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0506" w14:textId="77777777" w:rsidR="009A1F44" w:rsidRDefault="009A1F44" w:rsidP="000213E8">
      <w:pPr>
        <w:ind w:left="270" w:hanging="270"/>
        <w:jc w:val="center"/>
      </w:pPr>
      <w:smartTag w:uri="urn:schemas-microsoft-com:office:smarttags" w:element="PlaceType">
        <w:r>
          <w:t>COMMONWEALTH</w:t>
        </w:r>
      </w:smartTag>
      <w:r>
        <w:t xml:space="preserve"> OF MASSACHUSETTS</w:t>
      </w:r>
    </w:p>
    <w:p w14:paraId="57BBA207" w14:textId="77777777" w:rsidR="009A1F44" w:rsidRDefault="009A1F44" w:rsidP="000213E8">
      <w:pPr>
        <w:jc w:val="center"/>
      </w:pPr>
      <w:r>
        <w:t>BOARD OF REGISTRATION IN MEDICINE</w:t>
      </w:r>
    </w:p>
    <w:p w14:paraId="5443C121" w14:textId="77777777" w:rsidR="009A1F44" w:rsidRDefault="009A1F44" w:rsidP="000213E8">
      <w:pPr>
        <w:jc w:val="both"/>
      </w:pPr>
    </w:p>
    <w:p w14:paraId="4654FFFB" w14:textId="77777777" w:rsidR="00AC6B84" w:rsidRDefault="000213E8" w:rsidP="000213E8">
      <w:r>
        <w:t>Middlesex, ss.</w:t>
      </w:r>
      <w:r w:rsidR="009A1F44">
        <w:tab/>
      </w:r>
      <w:r w:rsidR="009A1F44">
        <w:tab/>
      </w:r>
      <w:r w:rsidR="009A1F44">
        <w:tab/>
      </w:r>
      <w:r>
        <w:tab/>
      </w:r>
      <w:r>
        <w:tab/>
      </w:r>
      <w:r>
        <w:tab/>
      </w:r>
      <w:r w:rsidR="009A1F44">
        <w:t>Adjudicatory Case</w:t>
      </w:r>
      <w:r w:rsidR="00AC6B84">
        <w:t xml:space="preserve"> </w:t>
      </w:r>
      <w:r w:rsidR="009A1F44">
        <w:t>N</w:t>
      </w:r>
      <w:r>
        <w:t>o</w:t>
      </w:r>
      <w:r w:rsidR="009A1F44">
        <w:t xml:space="preserve">. </w:t>
      </w:r>
      <w:r w:rsidR="003F4B84">
        <w:t>2020-0230</w:t>
      </w:r>
    </w:p>
    <w:p w14:paraId="45ED16BA" w14:textId="77777777" w:rsidR="009A1F44" w:rsidRDefault="00C65CDD" w:rsidP="000213E8">
      <w:pPr>
        <w:ind w:left="3600" w:hanging="3600"/>
      </w:pPr>
      <w:r>
        <w:tab/>
      </w:r>
      <w:r>
        <w:tab/>
      </w:r>
      <w:r>
        <w:tab/>
        <w:t>(RM-20-0</w:t>
      </w:r>
      <w:r w:rsidR="003F4B84">
        <w:t>23</w:t>
      </w:r>
      <w:r>
        <w:t>0</w:t>
      </w:r>
      <w:r w:rsidR="000213E8">
        <w:t>)</w:t>
      </w:r>
      <w:r w:rsidR="00AC6B84">
        <w:tab/>
      </w:r>
      <w:r w:rsidR="00AC6B84">
        <w:tab/>
      </w:r>
      <w:r w:rsidR="00AC6B84">
        <w:tab/>
      </w:r>
      <w:r w:rsidR="00AC6B84">
        <w:tab/>
      </w:r>
      <w:r w:rsidR="00AC6B84">
        <w:tab/>
      </w:r>
    </w:p>
    <w:p w14:paraId="338DAF8B" w14:textId="77777777"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0213E8" w14:paraId="4AAC6C09" w14:textId="77777777" w:rsidTr="000213E8">
        <w:trPr>
          <w:trHeight w:val="1433"/>
        </w:trPr>
        <w:tc>
          <w:tcPr>
            <w:tcW w:w="3120" w:type="dxa"/>
            <w:tcBorders>
              <w:left w:val="nil"/>
            </w:tcBorders>
          </w:tcPr>
          <w:p w14:paraId="5D943665" w14:textId="77777777" w:rsidR="000213E8" w:rsidRDefault="000213E8" w:rsidP="000213E8"/>
          <w:p w14:paraId="19F7A4CC" w14:textId="77777777" w:rsidR="000213E8" w:rsidRDefault="000213E8" w:rsidP="000213E8">
            <w:r>
              <w:t>In the Matter of</w:t>
            </w:r>
          </w:p>
          <w:p w14:paraId="4C79F35C" w14:textId="77777777" w:rsidR="000213E8" w:rsidRDefault="000213E8" w:rsidP="000213E8"/>
          <w:p w14:paraId="7D79F4AC" w14:textId="77777777" w:rsidR="000213E8" w:rsidRDefault="003F4B84" w:rsidP="003F4B84">
            <w:r>
              <w:t>Alex M. Barrocas, M</w:t>
            </w:r>
            <w:r w:rsidR="000213E8">
              <w:t>D.</w:t>
            </w:r>
          </w:p>
        </w:tc>
      </w:tr>
    </w:tbl>
    <w:p w14:paraId="53B9715B" w14:textId="77777777" w:rsidR="000213E8" w:rsidRDefault="000213E8" w:rsidP="000213E8">
      <w:pPr>
        <w:ind w:left="-720"/>
      </w:pPr>
    </w:p>
    <w:p w14:paraId="0C3E92F8" w14:textId="77777777" w:rsidR="000213E8" w:rsidRDefault="000213E8" w:rsidP="000213E8">
      <w:pPr>
        <w:ind w:left="-720"/>
      </w:pPr>
    </w:p>
    <w:p w14:paraId="5798DE94" w14:textId="77777777" w:rsidR="000213E8" w:rsidRDefault="000213E8" w:rsidP="000213E8">
      <w:pPr>
        <w:ind w:left="4320" w:firstLine="720"/>
      </w:pPr>
      <w:r>
        <w:rPr>
          <w:b/>
          <w:u w:val="single"/>
        </w:rPr>
        <w:t>FINAL DECISION AND ORDER</w:t>
      </w:r>
    </w:p>
    <w:p w14:paraId="1E9FAD3B" w14:textId="77777777" w:rsidR="000213E8" w:rsidRDefault="000213E8" w:rsidP="000213E8">
      <w:pPr>
        <w:ind w:left="-720"/>
      </w:pPr>
    </w:p>
    <w:p w14:paraId="6EC585A0" w14:textId="77777777" w:rsidR="00CC0E7A" w:rsidRPr="00CC0E7A" w:rsidRDefault="009A1F44" w:rsidP="000213E8">
      <w:r>
        <w:t xml:space="preserve">  </w:t>
      </w:r>
    </w:p>
    <w:p w14:paraId="2AA4391F" w14:textId="77777777" w:rsidR="00CC0E7A" w:rsidRDefault="00CC0E7A" w:rsidP="000213E8">
      <w:pPr>
        <w:ind w:left="-720"/>
      </w:pPr>
      <w:r>
        <w:tab/>
      </w:r>
    </w:p>
    <w:p w14:paraId="7930269C" w14:textId="77777777" w:rsidR="000213E8" w:rsidRPr="000213E8" w:rsidRDefault="000213E8" w:rsidP="000213E8"/>
    <w:p w14:paraId="47463265" w14:textId="32982B22" w:rsidR="003F4B84" w:rsidRPr="003F4B84" w:rsidRDefault="00552DA9" w:rsidP="003F4B84">
      <w:pPr>
        <w:spacing w:line="480" w:lineRule="auto"/>
        <w:rPr>
          <w:szCs w:val="20"/>
        </w:rPr>
      </w:pPr>
      <w:r>
        <w:tab/>
      </w:r>
      <w:r w:rsidR="00087BD8" w:rsidRPr="00187B06">
        <w:t xml:space="preserve">This matter came before the Board for final disposition on the basis of the Administrative Magistrate’s </w:t>
      </w:r>
      <w:r w:rsidR="00C65CDD">
        <w:t xml:space="preserve">Order of Default </w:t>
      </w:r>
      <w:r w:rsidR="00087BD8" w:rsidRPr="00187B06">
        <w:t xml:space="preserve">Recommended Decision (hereinafter “Recommended Decision”) dated </w:t>
      </w:r>
      <w:r w:rsidR="003F4B84">
        <w:t xml:space="preserve">July 29, 2020, </w:t>
      </w:r>
      <w:r w:rsidR="004C7FAB">
        <w:t xml:space="preserve">which found </w:t>
      </w:r>
      <w:r w:rsidR="003F4B84">
        <w:t xml:space="preserve">Alex M. Barrocas, M.D. </w:t>
      </w:r>
      <w:r w:rsidR="004C7FAB">
        <w:t>(hereinafter “Respondent”) in default</w:t>
      </w:r>
      <w:r w:rsidR="00087BD8">
        <w:t xml:space="preserve">. </w:t>
      </w:r>
      <w:r w:rsidR="00087BD8" w:rsidRPr="00187B06">
        <w:rPr>
          <w:rFonts w:cs="Arial"/>
        </w:rPr>
        <w:t>After full consideration of the Recommended Decision, which is attached hereto and incorporated by r</w:t>
      </w:r>
      <w:r w:rsidR="00087BD8">
        <w:rPr>
          <w:rFonts w:cs="Arial"/>
        </w:rPr>
        <w:t>eference</w:t>
      </w:r>
      <w:r w:rsidR="003F4B84" w:rsidRPr="003F4B84">
        <w:rPr>
          <w:szCs w:val="20"/>
        </w:rPr>
        <w:t>, and Complaint Counsel’s Memorandum on Disposition, the Board adopts the Recommended Decision, amending it by replacing with the following:</w:t>
      </w:r>
    </w:p>
    <w:p w14:paraId="6B08331E" w14:textId="77777777" w:rsidR="003F4B84" w:rsidRDefault="003F4B84" w:rsidP="00CE3997">
      <w:pPr>
        <w:numPr>
          <w:ilvl w:val="0"/>
          <w:numId w:val="22"/>
        </w:numPr>
        <w:spacing w:line="480" w:lineRule="auto"/>
        <w:rPr>
          <w:szCs w:val="20"/>
        </w:rPr>
      </w:pPr>
      <w:r w:rsidRPr="003F4B84">
        <w:rPr>
          <w:szCs w:val="20"/>
        </w:rPr>
        <w:t xml:space="preserve">On page </w:t>
      </w:r>
      <w:r>
        <w:rPr>
          <w:szCs w:val="20"/>
        </w:rPr>
        <w:t xml:space="preserve">1 in the caption and </w:t>
      </w:r>
      <w:r w:rsidRPr="003F4B84">
        <w:rPr>
          <w:szCs w:val="20"/>
        </w:rPr>
        <w:t>first paragraph, striking</w:t>
      </w:r>
      <w:r>
        <w:rPr>
          <w:szCs w:val="20"/>
        </w:rPr>
        <w:t xml:space="preserve"> “Alejandro” and </w:t>
      </w:r>
      <w:r w:rsidRPr="003F4B84">
        <w:rPr>
          <w:szCs w:val="20"/>
        </w:rPr>
        <w:t>substituting “</w:t>
      </w:r>
      <w:r>
        <w:rPr>
          <w:szCs w:val="20"/>
        </w:rPr>
        <w:t>Alex M.”</w:t>
      </w:r>
      <w:r w:rsidR="00CE3997">
        <w:rPr>
          <w:szCs w:val="20"/>
        </w:rPr>
        <w:t xml:space="preserve"> prior to Barrocas.</w:t>
      </w:r>
    </w:p>
    <w:p w14:paraId="349DEB5A" w14:textId="3E1751D7" w:rsidR="00087BD8" w:rsidRDefault="00CE3997" w:rsidP="00087BD8">
      <w:pPr>
        <w:pStyle w:val="Header"/>
        <w:tabs>
          <w:tab w:val="clear" w:pos="4320"/>
          <w:tab w:val="clear" w:pos="8640"/>
        </w:tabs>
        <w:spacing w:line="480" w:lineRule="auto"/>
        <w:ind w:firstLine="720"/>
        <w:rPr>
          <w:rFonts w:cs="Arial"/>
        </w:rPr>
      </w:pPr>
      <w:r>
        <w:rPr>
          <w:rFonts w:cs="Arial"/>
        </w:rPr>
        <w:t>T</w:t>
      </w:r>
      <w:r w:rsidR="00087BD8">
        <w:rPr>
          <w:rFonts w:cs="Arial"/>
        </w:rPr>
        <w:t xml:space="preserve">he Board </w:t>
      </w:r>
      <w:r w:rsidR="00491012">
        <w:rPr>
          <w:rFonts w:cs="Arial"/>
        </w:rPr>
        <w:t xml:space="preserve">also </w:t>
      </w:r>
      <w:r w:rsidR="00087BD8">
        <w:rPr>
          <w:rFonts w:cs="Arial"/>
        </w:rPr>
        <w:t>add</w:t>
      </w:r>
      <w:r w:rsidR="004844D4">
        <w:rPr>
          <w:rFonts w:cs="Arial"/>
        </w:rPr>
        <w:t>s</w:t>
      </w:r>
      <w:r w:rsidR="00087BD8">
        <w:rPr>
          <w:rFonts w:cs="Arial"/>
        </w:rPr>
        <w:t xml:space="preserve"> the following:</w:t>
      </w:r>
    </w:p>
    <w:p w14:paraId="295AB370" w14:textId="77777777" w:rsidR="00087BD8" w:rsidRDefault="00087BD8" w:rsidP="00E638AC">
      <w:pPr>
        <w:pStyle w:val="BodyText"/>
        <w:spacing w:line="480" w:lineRule="auto"/>
        <w:jc w:val="center"/>
        <w:rPr>
          <w:rFonts w:cs="Arial"/>
          <w:szCs w:val="24"/>
          <w:u w:val="single"/>
        </w:rPr>
      </w:pPr>
      <w:r>
        <w:rPr>
          <w:rFonts w:cs="Arial"/>
          <w:szCs w:val="24"/>
          <w:u w:val="single"/>
        </w:rPr>
        <w:t>F</w:t>
      </w:r>
      <w:r w:rsidRPr="00187B06">
        <w:rPr>
          <w:rFonts w:cs="Arial"/>
          <w:szCs w:val="24"/>
          <w:u w:val="single"/>
        </w:rPr>
        <w:t>indings of Fact</w:t>
      </w:r>
    </w:p>
    <w:p w14:paraId="17A29E11" w14:textId="1E5B60AA" w:rsidR="004C7FAB" w:rsidRDefault="004C7FAB" w:rsidP="00087BD8">
      <w:pPr>
        <w:spacing w:line="480" w:lineRule="auto"/>
        <w:ind w:firstLine="720"/>
      </w:pPr>
      <w:r>
        <w:rPr>
          <w:rFonts w:cs="Arial"/>
        </w:rPr>
        <w:t>In light of the Respondent’s failure to respond to the Statement of Allegations (hereinafter “SOA”)</w:t>
      </w:r>
      <w:r w:rsidR="00491012">
        <w:rPr>
          <w:rFonts w:cs="Arial"/>
        </w:rPr>
        <w:t xml:space="preserve"> and</w:t>
      </w:r>
      <w:r>
        <w:rPr>
          <w:rFonts w:cs="Arial"/>
        </w:rPr>
        <w:t xml:space="preserve"> to appear for a scheduled </w:t>
      </w:r>
      <w:r w:rsidR="005A2E9D">
        <w:rPr>
          <w:rFonts w:cs="Arial"/>
        </w:rPr>
        <w:t>pre</w:t>
      </w:r>
      <w:r>
        <w:rPr>
          <w:rFonts w:cs="Arial"/>
        </w:rPr>
        <w:t>hearing</w:t>
      </w:r>
      <w:r w:rsidR="005A2E9D">
        <w:rPr>
          <w:rFonts w:cs="Arial"/>
        </w:rPr>
        <w:t xml:space="preserve"> conference</w:t>
      </w:r>
      <w:r>
        <w:rPr>
          <w:rFonts w:cs="Arial"/>
        </w:rPr>
        <w:t xml:space="preserve"> at the Division of Administrative Law Ap</w:t>
      </w:r>
      <w:r w:rsidR="004844D4">
        <w:rPr>
          <w:rFonts w:cs="Arial"/>
        </w:rPr>
        <w:t>peals (hereinafter “DALA”), DALA</w:t>
      </w:r>
      <w:r w:rsidR="006E50B4">
        <w:rPr>
          <w:rFonts w:cs="Arial"/>
        </w:rPr>
        <w:t xml:space="preserve"> </w:t>
      </w:r>
      <w:r>
        <w:rPr>
          <w:rFonts w:cs="Arial"/>
        </w:rPr>
        <w:t>f</w:t>
      </w:r>
      <w:r w:rsidR="00491012">
        <w:rPr>
          <w:rFonts w:cs="Arial"/>
        </w:rPr>
        <w:t>ound</w:t>
      </w:r>
      <w:r w:rsidR="001467FE">
        <w:rPr>
          <w:rFonts w:cs="Arial"/>
        </w:rPr>
        <w:t xml:space="preserve"> the Respondent in default. </w:t>
      </w:r>
      <w:r>
        <w:rPr>
          <w:rFonts w:cs="Arial"/>
        </w:rPr>
        <w:t xml:space="preserve">G.L. c. 30A, § 10(2), and 801 CMR 1.01(7)(a)(1). Therefore, the allegations contained in the SOA are deemed admitted. </w:t>
      </w:r>
      <w:r>
        <w:rPr>
          <w:rFonts w:cs="Arial"/>
          <w:i/>
        </w:rPr>
        <w:t>See</w:t>
      </w:r>
      <w:r>
        <w:rPr>
          <w:rFonts w:cs="Arial"/>
        </w:rPr>
        <w:t xml:space="preserve"> </w:t>
      </w:r>
      <w:r>
        <w:rPr>
          <w:rFonts w:cs="Arial"/>
          <w:i/>
        </w:rPr>
        <w:t>In the Matter of Christopher D. Owens, M.D.</w:t>
      </w:r>
      <w:r>
        <w:rPr>
          <w:rFonts w:cs="Arial"/>
        </w:rPr>
        <w:t xml:space="preserve">, Board of Registration in Medicine, Adjudicatory Case No. 2017-031 (Final Decision and Order, April 25, 2018); </w:t>
      </w:r>
      <w:r>
        <w:rPr>
          <w:i/>
        </w:rPr>
        <w:t>In the Matter of Paul M. Willette, M.D.</w:t>
      </w:r>
      <w:r>
        <w:t xml:space="preserve">, Board of Registration in Medicine, Adjudicatory </w:t>
      </w:r>
      <w:r>
        <w:lastRenderedPageBreak/>
        <w:t>Case No. 2017-035 (Final Decision and Order, September 13, 2018).</w:t>
      </w:r>
      <w:r w:rsidR="004844D4">
        <w:t xml:space="preserve"> </w:t>
      </w:r>
      <w:r w:rsidR="008C120C">
        <w:t xml:space="preserve"> </w:t>
      </w:r>
      <w:r>
        <w:t xml:space="preserve">The Board </w:t>
      </w:r>
      <w:r w:rsidR="008A07EA">
        <w:t xml:space="preserve">therefore </w:t>
      </w:r>
      <w:r>
        <w:t>makes the following findings:</w:t>
      </w:r>
    </w:p>
    <w:p w14:paraId="5496A580" w14:textId="77777777" w:rsidR="004C7FAB" w:rsidRDefault="00BE4B8E" w:rsidP="001360F6">
      <w:pPr>
        <w:spacing w:line="480" w:lineRule="auto"/>
        <w:jc w:val="center"/>
        <w:rPr>
          <w:rFonts w:cs="Arial"/>
        </w:rPr>
      </w:pPr>
      <w:r>
        <w:rPr>
          <w:rFonts w:cs="Arial"/>
          <w:u w:val="single"/>
        </w:rPr>
        <w:t>Biographical Information</w:t>
      </w:r>
    </w:p>
    <w:p w14:paraId="3258099A" w14:textId="77777777" w:rsidR="00BE4B8E" w:rsidRPr="00BE4B8E" w:rsidRDefault="00BE4B8E" w:rsidP="00BE4B8E">
      <w:pPr>
        <w:spacing w:line="480" w:lineRule="auto"/>
        <w:ind w:firstLine="720"/>
        <w:rPr>
          <w:rFonts w:cs="Arial"/>
        </w:rPr>
      </w:pPr>
      <w:r>
        <w:rPr>
          <w:rFonts w:cs="Arial"/>
        </w:rPr>
        <w:t>1.</w:t>
      </w:r>
      <w:r w:rsidR="001467FE">
        <w:rPr>
          <w:rFonts w:cs="Arial"/>
        </w:rPr>
        <w:tab/>
      </w:r>
      <w:r w:rsidR="00074D7A" w:rsidRPr="00074D7A">
        <w:rPr>
          <w:rFonts w:cs="Arial"/>
        </w:rPr>
        <w:t xml:space="preserve">The Respondent was born </w:t>
      </w:r>
      <w:r w:rsidR="00CE3997">
        <w:rPr>
          <w:rFonts w:cs="Arial"/>
        </w:rPr>
        <w:t xml:space="preserve">in May 1973. </w:t>
      </w:r>
      <w:r w:rsidR="00C65CDD">
        <w:rPr>
          <w:rFonts w:cs="Arial"/>
        </w:rPr>
        <w:t>The Respondent graduated from</w:t>
      </w:r>
      <w:r w:rsidR="00CE3997">
        <w:rPr>
          <w:rFonts w:cs="Arial"/>
        </w:rPr>
        <w:t xml:space="preserve"> Rutgers New Jersey Medical School in 2000. </w:t>
      </w:r>
      <w:r w:rsidR="00C65CDD" w:rsidRPr="00C65CDD">
        <w:rPr>
          <w:rFonts w:cs="Arial"/>
        </w:rPr>
        <w:t xml:space="preserve">The Respondent had been licensed to practice medicine in Massachusetts beginning on </w:t>
      </w:r>
      <w:r w:rsidR="00CE3997">
        <w:rPr>
          <w:rFonts w:cs="Arial"/>
        </w:rPr>
        <w:t xml:space="preserve">June 27, 2005 </w:t>
      </w:r>
      <w:r w:rsidR="00C65CDD" w:rsidRPr="00C65CDD">
        <w:rPr>
          <w:rFonts w:cs="Arial"/>
        </w:rPr>
        <w:t xml:space="preserve">under license number </w:t>
      </w:r>
      <w:r w:rsidR="00CE3997">
        <w:rPr>
          <w:rFonts w:cs="Arial"/>
        </w:rPr>
        <w:t xml:space="preserve">226101. </w:t>
      </w:r>
      <w:r w:rsidR="00C65CDD" w:rsidRPr="00C65CDD">
        <w:rPr>
          <w:rFonts w:cs="Arial"/>
        </w:rPr>
        <w:t xml:space="preserve"> His license to practice medicine in Massac</w:t>
      </w:r>
      <w:r w:rsidR="00C65CDD">
        <w:rPr>
          <w:rFonts w:cs="Arial"/>
        </w:rPr>
        <w:t xml:space="preserve">husetts lapsed on </w:t>
      </w:r>
      <w:r w:rsidR="00CE3997">
        <w:rPr>
          <w:rFonts w:cs="Arial"/>
        </w:rPr>
        <w:t xml:space="preserve">May 10, 2010. </w:t>
      </w:r>
    </w:p>
    <w:p w14:paraId="76751436" w14:textId="77777777" w:rsidR="00BE4B8E" w:rsidRDefault="00BE4B8E" w:rsidP="001360F6">
      <w:pPr>
        <w:spacing w:line="480" w:lineRule="auto"/>
        <w:jc w:val="center"/>
        <w:rPr>
          <w:rFonts w:cs="Arial"/>
          <w:u w:val="single"/>
        </w:rPr>
      </w:pPr>
      <w:r>
        <w:rPr>
          <w:rFonts w:cs="Arial"/>
          <w:u w:val="single"/>
        </w:rPr>
        <w:t xml:space="preserve">Factual </w:t>
      </w:r>
      <w:r w:rsidR="00C65CDD">
        <w:rPr>
          <w:rFonts w:cs="Arial"/>
          <w:u w:val="single"/>
        </w:rPr>
        <w:t>Findings</w:t>
      </w:r>
    </w:p>
    <w:p w14:paraId="04954F76" w14:textId="77777777" w:rsidR="00BE4B8E" w:rsidRDefault="008C120C" w:rsidP="008C120C">
      <w:pPr>
        <w:spacing w:line="480" w:lineRule="auto"/>
        <w:rPr>
          <w:rFonts w:cs="Arial"/>
        </w:rPr>
      </w:pPr>
      <w:r>
        <w:rPr>
          <w:rFonts w:cs="Arial"/>
        </w:rPr>
        <w:tab/>
        <w:t xml:space="preserve">2.      </w:t>
      </w:r>
      <w:r w:rsidR="00C65CDD" w:rsidRPr="00C65CDD">
        <w:rPr>
          <w:rFonts w:cs="Arial"/>
        </w:rPr>
        <w:t xml:space="preserve">On </w:t>
      </w:r>
      <w:r w:rsidR="00CE3997">
        <w:rPr>
          <w:rFonts w:cs="Arial"/>
        </w:rPr>
        <w:t xml:space="preserve">February 19, 2020, </w:t>
      </w:r>
      <w:r w:rsidR="00C65CDD" w:rsidRPr="00C65CDD">
        <w:rPr>
          <w:rFonts w:cs="Arial"/>
        </w:rPr>
        <w:t xml:space="preserve">the State of </w:t>
      </w:r>
      <w:r w:rsidR="00C65CDD">
        <w:rPr>
          <w:rFonts w:cs="Arial"/>
        </w:rPr>
        <w:t>Florida Board of Medicine (the “Florida Board”</w:t>
      </w:r>
      <w:r w:rsidR="00C65CDD" w:rsidRPr="00C65CDD">
        <w:rPr>
          <w:rFonts w:cs="Arial"/>
        </w:rPr>
        <w:t>)</w:t>
      </w:r>
      <w:r w:rsidR="00C65CDD">
        <w:rPr>
          <w:rFonts w:cs="Arial"/>
        </w:rPr>
        <w:t xml:space="preserve"> suspended the Respondent’</w:t>
      </w:r>
      <w:r w:rsidR="00C65CDD" w:rsidRPr="00C65CDD">
        <w:rPr>
          <w:rFonts w:cs="Arial"/>
        </w:rPr>
        <w:t>s license to practice medicine in that state</w:t>
      </w:r>
      <w:r w:rsidR="00CE3997">
        <w:rPr>
          <w:rFonts w:cs="Arial"/>
        </w:rPr>
        <w:t xml:space="preserve"> for six months</w:t>
      </w:r>
      <w:r w:rsidR="00C65CDD" w:rsidRPr="00C65CDD">
        <w:rPr>
          <w:rFonts w:cs="Arial"/>
        </w:rPr>
        <w:t xml:space="preserve"> and</w:t>
      </w:r>
      <w:r w:rsidR="00552DA9">
        <w:rPr>
          <w:rFonts w:cs="Arial"/>
        </w:rPr>
        <w:t xml:space="preserve"> issued a </w:t>
      </w:r>
      <w:r w:rsidR="00CE3997">
        <w:rPr>
          <w:rFonts w:cs="Arial"/>
        </w:rPr>
        <w:t xml:space="preserve">reprimand. The Respondent was </w:t>
      </w:r>
      <w:r w:rsidR="00552DA9">
        <w:rPr>
          <w:rFonts w:cs="Arial"/>
        </w:rPr>
        <w:t xml:space="preserve">also </w:t>
      </w:r>
      <w:r w:rsidR="00CE3997">
        <w:rPr>
          <w:rFonts w:cs="Arial"/>
        </w:rPr>
        <w:t xml:space="preserve">ordered to complete Continuing Medical Education credits </w:t>
      </w:r>
      <w:r w:rsidR="00552DA9">
        <w:rPr>
          <w:rFonts w:cs="Arial"/>
        </w:rPr>
        <w:t xml:space="preserve">and was assessed an administrative find in the amount of </w:t>
      </w:r>
      <w:r w:rsidR="00CE3997">
        <w:rPr>
          <w:rFonts w:cs="Arial"/>
        </w:rPr>
        <w:t xml:space="preserve">5,000.00. </w:t>
      </w:r>
    </w:p>
    <w:p w14:paraId="6F160E72" w14:textId="77777777" w:rsidR="00074D7A" w:rsidRDefault="00074D7A" w:rsidP="00BE4B8E">
      <w:pPr>
        <w:spacing w:line="480" w:lineRule="auto"/>
        <w:ind w:firstLine="720"/>
        <w:rPr>
          <w:rFonts w:cs="Arial"/>
        </w:rPr>
      </w:pPr>
      <w:r>
        <w:rPr>
          <w:rFonts w:cs="Arial"/>
        </w:rPr>
        <w:t>3.</w:t>
      </w:r>
      <w:r>
        <w:rPr>
          <w:rFonts w:cs="Arial"/>
        </w:rPr>
        <w:tab/>
      </w:r>
      <w:r w:rsidR="00C65CDD" w:rsidRPr="00C65CDD">
        <w:rPr>
          <w:rFonts w:cs="Arial"/>
        </w:rPr>
        <w:t>The Fl</w:t>
      </w:r>
      <w:r w:rsidR="00C65CDD">
        <w:rPr>
          <w:rFonts w:cs="Arial"/>
        </w:rPr>
        <w:t>orida Board’s Final Order (the “Florida Order”</w:t>
      </w:r>
      <w:r w:rsidR="00C65CDD" w:rsidRPr="00C65CDD">
        <w:rPr>
          <w:rFonts w:cs="Arial"/>
        </w:rPr>
        <w:t>) is attached hereto as</w:t>
      </w:r>
      <w:r w:rsidR="00C65CDD">
        <w:rPr>
          <w:rFonts w:cs="Arial"/>
        </w:rPr>
        <w:t xml:space="preserve"> </w:t>
      </w:r>
      <w:r w:rsidR="00C65CDD" w:rsidRPr="00C65CDD">
        <w:rPr>
          <w:rFonts w:cs="Arial"/>
        </w:rPr>
        <w:t>Attachment A, with exhibits, and i</w:t>
      </w:r>
      <w:r w:rsidR="00C65CDD">
        <w:rPr>
          <w:rFonts w:cs="Arial"/>
        </w:rPr>
        <w:t>ncorporated herein by reference</w:t>
      </w:r>
      <w:r w:rsidRPr="00074D7A">
        <w:rPr>
          <w:rFonts w:cs="Arial"/>
        </w:rPr>
        <w:t>.</w:t>
      </w:r>
    </w:p>
    <w:p w14:paraId="3C352E8A" w14:textId="77777777" w:rsidR="00D719D7" w:rsidRDefault="001467FE" w:rsidP="00BE4B8E">
      <w:pPr>
        <w:spacing w:line="480" w:lineRule="auto"/>
        <w:ind w:firstLine="720"/>
        <w:rPr>
          <w:rFonts w:cs="Arial"/>
        </w:rPr>
      </w:pPr>
      <w:r>
        <w:rPr>
          <w:rFonts w:cs="Arial"/>
        </w:rPr>
        <w:t>4.</w:t>
      </w:r>
      <w:r>
        <w:rPr>
          <w:rFonts w:cs="Arial"/>
        </w:rPr>
        <w:tab/>
      </w:r>
      <w:r w:rsidR="00C65CDD" w:rsidRPr="00C65CDD">
        <w:rPr>
          <w:rFonts w:cs="Arial"/>
        </w:rPr>
        <w:t xml:space="preserve">The Florida Order </w:t>
      </w:r>
      <w:r w:rsidR="00C65CDD">
        <w:rPr>
          <w:rFonts w:cs="Arial"/>
        </w:rPr>
        <w:t>establishes that the Respondent’</w:t>
      </w:r>
      <w:r w:rsidR="00C65CDD" w:rsidRPr="00C65CDD">
        <w:rPr>
          <w:rFonts w:cs="Arial"/>
        </w:rPr>
        <w:t>s license to practice medicine</w:t>
      </w:r>
      <w:r w:rsidR="00C65CDD">
        <w:rPr>
          <w:rFonts w:cs="Arial"/>
        </w:rPr>
        <w:t xml:space="preserve"> </w:t>
      </w:r>
      <w:r w:rsidR="00C65CDD" w:rsidRPr="00C65CDD">
        <w:rPr>
          <w:rFonts w:cs="Arial"/>
        </w:rPr>
        <w:t xml:space="preserve">in that state was </w:t>
      </w:r>
      <w:r w:rsidR="00552DA9">
        <w:rPr>
          <w:rFonts w:cs="Arial"/>
        </w:rPr>
        <w:t xml:space="preserve">disciplined </w:t>
      </w:r>
      <w:r w:rsidR="00C65CDD" w:rsidRPr="00C65CDD">
        <w:rPr>
          <w:rFonts w:cs="Arial"/>
        </w:rPr>
        <w:t xml:space="preserve">based on </w:t>
      </w:r>
      <w:r w:rsidR="00212F7D">
        <w:rPr>
          <w:rFonts w:cs="Arial"/>
        </w:rPr>
        <w:t xml:space="preserve">his pleas </w:t>
      </w:r>
      <w:r w:rsidR="00636064">
        <w:rPr>
          <w:rFonts w:cs="Arial"/>
        </w:rPr>
        <w:t xml:space="preserve">entered </w:t>
      </w:r>
      <w:r w:rsidR="00212F7D">
        <w:rPr>
          <w:rFonts w:cs="Arial"/>
        </w:rPr>
        <w:t>in a criminal case</w:t>
      </w:r>
      <w:r w:rsidR="00552DA9">
        <w:rPr>
          <w:rFonts w:cs="Arial"/>
        </w:rPr>
        <w:t xml:space="preserve">.  </w:t>
      </w:r>
      <w:r w:rsidR="00636064">
        <w:rPr>
          <w:rFonts w:cs="Arial"/>
        </w:rPr>
        <w:t xml:space="preserve">Specifically, on </w:t>
      </w:r>
      <w:r w:rsidR="00212F7D">
        <w:rPr>
          <w:rFonts w:cs="Arial"/>
        </w:rPr>
        <w:t>April 11, 2016, the Respondent entered a plea of nolo contendere or guilty to one count of battery, in violation of section 784.03, Florida Statutes, and one count of domestic battery by strangula</w:t>
      </w:r>
      <w:r w:rsidR="007E24E1">
        <w:rPr>
          <w:rFonts w:cs="Arial"/>
        </w:rPr>
        <w:t xml:space="preserve">tion, in violation of section </w:t>
      </w:r>
      <w:r w:rsidR="00212F7D">
        <w:rPr>
          <w:rFonts w:cs="Arial"/>
        </w:rPr>
        <w:t>784.041(2)(a), Florida Statutes, in the Circuit Court of the Eleventh Judicial Circuit in and for Miami-Dad</w:t>
      </w:r>
      <w:r w:rsidR="00552DA9">
        <w:rPr>
          <w:rFonts w:cs="Arial"/>
        </w:rPr>
        <w:t>e</w:t>
      </w:r>
      <w:r w:rsidR="00212F7D">
        <w:rPr>
          <w:rFonts w:cs="Arial"/>
        </w:rPr>
        <w:t xml:space="preserve"> County, Florida. </w:t>
      </w:r>
      <w:r w:rsidR="00552DA9">
        <w:rPr>
          <w:rFonts w:cs="Arial"/>
        </w:rPr>
        <w:t xml:space="preserve"> P</w:t>
      </w:r>
      <w:r w:rsidR="00212F7D">
        <w:rPr>
          <w:rFonts w:cs="Arial"/>
        </w:rPr>
        <w:t xml:space="preserve">ursuant to Section 456.072(1)(c) of the Florida Statutes (2015), the Respondent’s pleas constitute grounds for disciplinary action by the </w:t>
      </w:r>
      <w:r w:rsidR="00552DA9">
        <w:rPr>
          <w:rFonts w:cs="Arial"/>
        </w:rPr>
        <w:t>Florida Board.</w:t>
      </w:r>
    </w:p>
    <w:p w14:paraId="5F47392D" w14:textId="77777777" w:rsidR="001E0133" w:rsidRDefault="001467FE" w:rsidP="00212F7D">
      <w:pPr>
        <w:spacing w:line="480" w:lineRule="auto"/>
        <w:ind w:firstLine="720"/>
        <w:rPr>
          <w:rFonts w:cs="Arial"/>
        </w:rPr>
      </w:pPr>
      <w:r>
        <w:rPr>
          <w:rFonts w:cs="Arial"/>
        </w:rPr>
        <w:lastRenderedPageBreak/>
        <w:t>5.</w:t>
      </w:r>
      <w:r>
        <w:rPr>
          <w:rFonts w:cs="Arial"/>
        </w:rPr>
        <w:tab/>
      </w:r>
      <w:r w:rsidR="001C0A37" w:rsidRPr="001C0A37">
        <w:rPr>
          <w:rFonts w:cs="Arial"/>
        </w:rPr>
        <w:t>On</w:t>
      </w:r>
      <w:r w:rsidR="00212F7D">
        <w:rPr>
          <w:rFonts w:cs="Arial"/>
        </w:rPr>
        <w:t xml:space="preserve"> May 8, 2020, the Board issued a Statement of Allegations (“SOA”) against the Respondent and granted him twenty-one days to respond to same.  The Respondent </w:t>
      </w:r>
      <w:r w:rsidR="00192A02">
        <w:rPr>
          <w:rFonts w:cs="Arial"/>
        </w:rPr>
        <w:t>failed to submit an Answer</w:t>
      </w:r>
      <w:r w:rsidR="001E0133">
        <w:rPr>
          <w:rFonts w:cs="Arial"/>
        </w:rPr>
        <w:t>.</w:t>
      </w:r>
    </w:p>
    <w:p w14:paraId="4A695368" w14:textId="77777777" w:rsidR="00192A02" w:rsidRDefault="001E0133" w:rsidP="00212F7D">
      <w:pPr>
        <w:spacing w:line="480" w:lineRule="auto"/>
        <w:ind w:firstLine="720"/>
        <w:rPr>
          <w:rFonts w:cs="Arial"/>
        </w:rPr>
      </w:pPr>
      <w:r>
        <w:rPr>
          <w:rFonts w:cs="Arial"/>
        </w:rPr>
        <w:t xml:space="preserve">6.  </w:t>
      </w:r>
      <w:r w:rsidR="008C120C">
        <w:rPr>
          <w:rFonts w:cs="Arial"/>
        </w:rPr>
        <w:tab/>
      </w:r>
      <w:r w:rsidR="00192A02">
        <w:rPr>
          <w:rFonts w:cs="Arial"/>
        </w:rPr>
        <w:t xml:space="preserve">On May 22, 2020, DALA issued a Notice of prehearing conference to be held on June 30, 2020 and informed the Respondent that it would be conducted by phone. The Notice </w:t>
      </w:r>
      <w:r w:rsidR="00DE4633">
        <w:rPr>
          <w:rFonts w:cs="Arial"/>
        </w:rPr>
        <w:t>w</w:t>
      </w:r>
      <w:r w:rsidR="00192A02">
        <w:rPr>
          <w:rFonts w:cs="Arial"/>
        </w:rPr>
        <w:t xml:space="preserve">as not returned to </w:t>
      </w:r>
      <w:r w:rsidR="00DE4633">
        <w:rPr>
          <w:rFonts w:cs="Arial"/>
        </w:rPr>
        <w:t xml:space="preserve">DALA as </w:t>
      </w:r>
      <w:r w:rsidR="00192A02">
        <w:rPr>
          <w:rFonts w:cs="Arial"/>
        </w:rPr>
        <w:t>undeliverable. The Respondent received the Notice because he sent an email to the Board’s Complaint Counsel seeking to reschedule the prehearing conference. Complaint Counsel responded that</w:t>
      </w:r>
      <w:r>
        <w:rPr>
          <w:rFonts w:cs="Arial"/>
        </w:rPr>
        <w:t xml:space="preserve"> </w:t>
      </w:r>
      <w:r w:rsidR="00192A02">
        <w:rPr>
          <w:rFonts w:cs="Arial"/>
        </w:rPr>
        <w:t xml:space="preserve">he </w:t>
      </w:r>
      <w:r>
        <w:rPr>
          <w:rFonts w:cs="Arial"/>
        </w:rPr>
        <w:t xml:space="preserve">would need to </w:t>
      </w:r>
      <w:r w:rsidR="00192A02">
        <w:rPr>
          <w:rFonts w:cs="Arial"/>
        </w:rPr>
        <w:t>notify the Magis</w:t>
      </w:r>
      <w:r>
        <w:rPr>
          <w:rFonts w:cs="Arial"/>
        </w:rPr>
        <w:t>trate.</w:t>
      </w:r>
      <w:r w:rsidR="00DE4633">
        <w:rPr>
          <w:rFonts w:cs="Arial"/>
        </w:rPr>
        <w:t xml:space="preserve"> The Respondent </w:t>
      </w:r>
      <w:r w:rsidR="00192A02">
        <w:rPr>
          <w:rFonts w:cs="Arial"/>
        </w:rPr>
        <w:t>failed to do so.</w:t>
      </w:r>
    </w:p>
    <w:p w14:paraId="45B19160" w14:textId="77777777" w:rsidR="00192A02" w:rsidRDefault="00192A02" w:rsidP="00212F7D">
      <w:pPr>
        <w:spacing w:line="480" w:lineRule="auto"/>
        <w:ind w:firstLine="720"/>
        <w:rPr>
          <w:rFonts w:cs="Arial"/>
        </w:rPr>
      </w:pPr>
      <w:r>
        <w:rPr>
          <w:rFonts w:cs="Arial"/>
        </w:rPr>
        <w:t xml:space="preserve">7. </w:t>
      </w:r>
      <w:r w:rsidR="008C120C">
        <w:rPr>
          <w:rFonts w:cs="Arial"/>
        </w:rPr>
        <w:tab/>
      </w:r>
      <w:r>
        <w:rPr>
          <w:rFonts w:cs="Arial"/>
        </w:rPr>
        <w:t>On July 6, 2020, the Magistrate issued an Order t</w:t>
      </w:r>
      <w:r w:rsidR="001E0133">
        <w:rPr>
          <w:rFonts w:cs="Arial"/>
        </w:rPr>
        <w:t xml:space="preserve">o Show Cause to the Respondent </w:t>
      </w:r>
      <w:r w:rsidR="00DE4633">
        <w:rPr>
          <w:rFonts w:cs="Arial"/>
        </w:rPr>
        <w:t xml:space="preserve">requiring that </w:t>
      </w:r>
      <w:r w:rsidR="001E0133">
        <w:rPr>
          <w:rFonts w:cs="Arial"/>
        </w:rPr>
        <w:t>he ex</w:t>
      </w:r>
      <w:r>
        <w:rPr>
          <w:rFonts w:cs="Arial"/>
        </w:rPr>
        <w:t>plain his failure to participate in the conference</w:t>
      </w:r>
      <w:r w:rsidR="001E0133">
        <w:rPr>
          <w:rFonts w:cs="Arial"/>
        </w:rPr>
        <w:t xml:space="preserve"> or</w:t>
      </w:r>
      <w:r w:rsidR="003F36DA">
        <w:rPr>
          <w:rFonts w:cs="Arial"/>
        </w:rPr>
        <w:t xml:space="preserve"> request that DALA </w:t>
      </w:r>
      <w:r w:rsidR="001E0133">
        <w:rPr>
          <w:rFonts w:cs="Arial"/>
        </w:rPr>
        <w:t xml:space="preserve">reschedule the conference. The Respondent provided no response.   </w:t>
      </w:r>
    </w:p>
    <w:p w14:paraId="4822EC7C" w14:textId="77777777" w:rsidR="001360F6" w:rsidRDefault="00552DA9" w:rsidP="007E5DCD">
      <w:pPr>
        <w:spacing w:line="480" w:lineRule="auto"/>
        <w:ind w:firstLine="720"/>
        <w:rPr>
          <w:rFonts w:cs="Arial"/>
        </w:rPr>
      </w:pPr>
      <w:r>
        <w:rPr>
          <w:rFonts w:cs="Arial"/>
        </w:rPr>
        <w:t xml:space="preserve">    </w:t>
      </w:r>
      <w:r w:rsidR="001C0A37">
        <w:rPr>
          <w:rFonts w:cs="Arial"/>
        </w:rPr>
        <w:tab/>
      </w:r>
      <w:r w:rsidR="007E5DCD">
        <w:rPr>
          <w:rFonts w:cs="Arial"/>
        </w:rPr>
        <w:tab/>
      </w:r>
      <w:r w:rsidR="007E5DCD">
        <w:rPr>
          <w:rFonts w:cs="Arial"/>
        </w:rPr>
        <w:tab/>
      </w:r>
      <w:r w:rsidR="00636064">
        <w:rPr>
          <w:rFonts w:cs="Arial"/>
          <w:u w:val="single"/>
        </w:rPr>
        <w:t>Conclusion</w:t>
      </w:r>
      <w:r w:rsidR="001360F6">
        <w:rPr>
          <w:rFonts w:cs="Arial"/>
          <w:u w:val="single"/>
        </w:rPr>
        <w:t xml:space="preserve"> of Law</w:t>
      </w:r>
    </w:p>
    <w:p w14:paraId="7ED73E5D" w14:textId="77777777" w:rsidR="00552DA9" w:rsidRDefault="001360F6" w:rsidP="00552DA9">
      <w:pPr>
        <w:spacing w:line="480" w:lineRule="auto"/>
        <w:rPr>
          <w:rFonts w:cs="Arial"/>
        </w:rPr>
      </w:pPr>
      <w:r>
        <w:rPr>
          <w:rFonts w:cs="Arial"/>
        </w:rPr>
        <w:tab/>
        <w:t xml:space="preserve">Since the matter was decided on the basis of a default at DALA, the Magistrate made no </w:t>
      </w:r>
      <w:r w:rsidR="00636064">
        <w:rPr>
          <w:rFonts w:cs="Arial"/>
        </w:rPr>
        <w:t>determinations as to Conclusion</w:t>
      </w:r>
      <w:r>
        <w:rPr>
          <w:rFonts w:cs="Arial"/>
        </w:rPr>
        <w:t xml:space="preserve"> of Law. Based upon the facts set forth in the SOA, and now admitted, the Board makes the</w:t>
      </w:r>
      <w:r w:rsidR="00552DA9">
        <w:rPr>
          <w:rFonts w:cs="Arial"/>
        </w:rPr>
        <w:t xml:space="preserve"> following Conclusion of Law.</w:t>
      </w:r>
      <w:r w:rsidR="00636064">
        <w:rPr>
          <w:rStyle w:val="FootnoteReference"/>
          <w:rFonts w:cs="Arial"/>
        </w:rPr>
        <w:footnoteReference w:id="1"/>
      </w:r>
      <w:r w:rsidR="00636064">
        <w:rPr>
          <w:rFonts w:cs="Arial"/>
        </w:rPr>
        <w:t xml:space="preserve"> </w:t>
      </w:r>
    </w:p>
    <w:p w14:paraId="22807684" w14:textId="77777777" w:rsidR="001C0A37" w:rsidRDefault="00552DA9" w:rsidP="00636064">
      <w:pPr>
        <w:spacing w:line="480" w:lineRule="auto"/>
      </w:pPr>
      <w:r>
        <w:rPr>
          <w:rFonts w:cs="Arial"/>
        </w:rPr>
        <w:tab/>
      </w:r>
      <w:r w:rsidR="004844D4">
        <w:t>T</w:t>
      </w:r>
      <w:r w:rsidR="001C0A37" w:rsidRPr="00552DA9">
        <w:t xml:space="preserve">he </w:t>
      </w:r>
      <w:r w:rsidR="00432FEA" w:rsidRPr="00552DA9">
        <w:t xml:space="preserve">Respondent </w:t>
      </w:r>
      <w:r w:rsidR="004844D4">
        <w:t xml:space="preserve">was </w:t>
      </w:r>
      <w:r w:rsidR="001C0A37" w:rsidRPr="00552DA9">
        <w:t xml:space="preserve">disciplined in another jurisdiction by the proper licensing authority for reasons substantially the same as </w:t>
      </w:r>
      <w:r w:rsidR="005A2E9D" w:rsidRPr="00552DA9">
        <w:t>those set forth in M.G.L. c. 112, § 5 or 243 CMR 1.03(5</w:t>
      </w:r>
      <w:r w:rsidR="001C0A37" w:rsidRPr="00552DA9">
        <w:t xml:space="preserve">). </w:t>
      </w:r>
      <w:r>
        <w:t xml:space="preserve"> </w:t>
      </w:r>
      <w:r w:rsidR="008C120C">
        <w:t xml:space="preserve">More specifically, the </w:t>
      </w:r>
      <w:r w:rsidRPr="00A866D8">
        <w:t>Respondent</w:t>
      </w:r>
      <w:r w:rsidR="001E0133">
        <w:t xml:space="preserve"> has </w:t>
      </w:r>
      <w:r w:rsidR="005A2E9D" w:rsidRPr="00A866D8">
        <w:t xml:space="preserve">engaged in conduct that undermines the public confidence in the integrity of the medical profession, pursuant to </w:t>
      </w:r>
      <w:r w:rsidR="005A2E9D" w:rsidRPr="00A866D8">
        <w:rPr>
          <w:i/>
        </w:rPr>
        <w:t>Levy v. Board of Registration in Medicine</w:t>
      </w:r>
      <w:r w:rsidR="005A2E9D" w:rsidRPr="00A866D8">
        <w:t xml:space="preserve">, 378 Mass. 519 (1979); </w:t>
      </w:r>
      <w:r w:rsidR="005A2E9D" w:rsidRPr="00A866D8">
        <w:rPr>
          <w:i/>
        </w:rPr>
        <w:t>Raymond v. Board of Registration</w:t>
      </w:r>
      <w:r w:rsidR="005A2E9D" w:rsidRPr="00552DA9">
        <w:rPr>
          <w:i/>
        </w:rPr>
        <w:t xml:space="preserve"> in Medicine</w:t>
      </w:r>
      <w:r w:rsidR="005A2E9D" w:rsidRPr="00552DA9">
        <w:t>, 387 Mass. 708 (1982).</w:t>
      </w:r>
    </w:p>
    <w:p w14:paraId="354F5BD4" w14:textId="77777777" w:rsidR="008C120C" w:rsidRDefault="008C120C" w:rsidP="00636064">
      <w:pPr>
        <w:spacing w:line="480" w:lineRule="auto"/>
      </w:pPr>
    </w:p>
    <w:p w14:paraId="40829E7F" w14:textId="77777777" w:rsidR="00B83098" w:rsidRDefault="00B83098" w:rsidP="00552DA9">
      <w:pPr>
        <w:spacing w:line="480" w:lineRule="auto"/>
        <w:rPr>
          <w:rFonts w:cs="Arial"/>
          <w:u w:val="single"/>
        </w:rPr>
      </w:pPr>
      <w:r>
        <w:rPr>
          <w:rFonts w:cs="Arial"/>
        </w:rPr>
        <w:lastRenderedPageBreak/>
        <w:tab/>
      </w:r>
      <w:r w:rsidR="00552DA9">
        <w:rPr>
          <w:rFonts w:cs="Arial"/>
        </w:rPr>
        <w:tab/>
      </w:r>
      <w:r w:rsidR="00552DA9">
        <w:rPr>
          <w:rFonts w:cs="Arial"/>
        </w:rPr>
        <w:tab/>
      </w:r>
      <w:r w:rsidR="00552DA9">
        <w:rPr>
          <w:rFonts w:cs="Arial"/>
        </w:rPr>
        <w:tab/>
      </w:r>
      <w:r w:rsidR="00552DA9">
        <w:rPr>
          <w:rFonts w:cs="Arial"/>
        </w:rPr>
        <w:tab/>
      </w:r>
      <w:r w:rsidR="00552DA9" w:rsidRPr="00552DA9">
        <w:rPr>
          <w:rFonts w:cs="Arial"/>
          <w:u w:val="single"/>
        </w:rPr>
        <w:t>S</w:t>
      </w:r>
      <w:r w:rsidRPr="00552DA9">
        <w:rPr>
          <w:rFonts w:cs="Arial"/>
          <w:u w:val="single"/>
        </w:rPr>
        <w:t>anction</w:t>
      </w:r>
    </w:p>
    <w:p w14:paraId="25CBF13D" w14:textId="740057A9" w:rsidR="00552DA9" w:rsidRDefault="00552DA9" w:rsidP="00552DA9">
      <w:pPr>
        <w:pStyle w:val="le-brm-normal-32-level"/>
        <w:spacing w:line="480" w:lineRule="auto"/>
        <w:ind w:firstLine="720"/>
        <w:rPr>
          <w:rFonts w:ascii="Times New Roman" w:hAnsi="Times New Roman"/>
          <w:sz w:val="24"/>
          <w:szCs w:val="24"/>
        </w:rPr>
      </w:pPr>
      <w:r>
        <w:rPr>
          <w:rFonts w:ascii="Times New Roman" w:hAnsi="Times New Roman"/>
          <w:sz w:val="24"/>
          <w:szCs w:val="24"/>
        </w:rPr>
        <w:t>The Board has the authority to discipline a physician upon proof satisfactory that the physician has been disciplined by another jurisdiction in any way by the proper licensing authority for reasons substantially the same as those set forth in G.L. c. 112, § 5 and 243 CMR 1.03(5).</w:t>
      </w:r>
      <w:r w:rsidR="00E42667">
        <w:rPr>
          <w:rFonts w:ascii="Times New Roman" w:hAnsi="Times New Roman"/>
          <w:sz w:val="24"/>
          <w:szCs w:val="24"/>
        </w:rPr>
        <w:t xml:space="preserve"> </w:t>
      </w:r>
    </w:p>
    <w:p w14:paraId="67626E61" w14:textId="72BD16A9" w:rsidR="00071A01" w:rsidRDefault="00B83098" w:rsidP="00071A01">
      <w:pPr>
        <w:spacing w:line="480" w:lineRule="auto"/>
        <w:rPr>
          <w:rFonts w:eastAsiaTheme="minorHAnsi" w:cstheme="minorBidi"/>
        </w:rPr>
      </w:pPr>
      <w:r>
        <w:rPr>
          <w:rFonts w:cs="Arial"/>
        </w:rPr>
        <w:tab/>
      </w:r>
      <w:r w:rsidR="00C605DF" w:rsidRPr="00C605DF">
        <w:rPr>
          <w:rFonts w:eastAsiaTheme="minorHAnsi" w:cstheme="minorBidi"/>
        </w:rPr>
        <w:t xml:space="preserve">The Board may </w:t>
      </w:r>
      <w:r w:rsidR="00071A01">
        <w:rPr>
          <w:rFonts w:eastAsiaTheme="minorHAnsi" w:cstheme="minorBidi"/>
        </w:rPr>
        <w:t xml:space="preserve">also </w:t>
      </w:r>
      <w:r w:rsidR="00C605DF" w:rsidRPr="00C605DF">
        <w:rPr>
          <w:rFonts w:eastAsiaTheme="minorHAnsi" w:cstheme="minorBidi"/>
        </w:rPr>
        <w:t xml:space="preserve">discipline a physician for engaging in conduct that indicates a lack of good moral character and for conduct that undermines the public confidence in the medical profession. </w:t>
      </w:r>
      <w:r w:rsidR="00C605DF" w:rsidRPr="00C605DF">
        <w:rPr>
          <w:rFonts w:eastAsiaTheme="minorHAnsi" w:cstheme="minorBidi"/>
          <w:i/>
        </w:rPr>
        <w:t>Levy v. Board of Registration in Medicine</w:t>
      </w:r>
      <w:r w:rsidR="00C605DF" w:rsidRPr="00C605DF">
        <w:rPr>
          <w:rFonts w:eastAsiaTheme="minorHAnsi" w:cstheme="minorBidi"/>
        </w:rPr>
        <w:t xml:space="preserve">, 378 Mass. 519, 527, 392 N.E. 2d 1036, 1041 (1979) and </w:t>
      </w:r>
      <w:r w:rsidR="00C605DF" w:rsidRPr="00C605DF">
        <w:rPr>
          <w:rFonts w:eastAsiaTheme="minorHAnsi" w:cstheme="minorBidi"/>
          <w:i/>
        </w:rPr>
        <w:t>Raymond v. Board of Registration in Medicine</w:t>
      </w:r>
      <w:r w:rsidR="00C605DF" w:rsidRPr="00C605DF">
        <w:rPr>
          <w:rFonts w:eastAsiaTheme="minorHAnsi" w:cstheme="minorBidi"/>
        </w:rPr>
        <w:t xml:space="preserve">, 378 Mass. 709, 454 N.E.2d 391, 394, 395 (1982). </w:t>
      </w:r>
      <w:r w:rsidR="00071A01">
        <w:t xml:space="preserve">“The practice of medicine, because of [its] peculiar relation to the public, require[s] that those holding licenses must have the important qualification of good character” and that “[t]he public has the right to expect the highest degree of integrity from members of the medical profession.” </w:t>
      </w:r>
      <w:r w:rsidR="005A321D" w:rsidRPr="00FA3784">
        <w:rPr>
          <w:i/>
          <w:iCs/>
        </w:rPr>
        <w:t>See</w:t>
      </w:r>
      <w:r w:rsidR="005A321D">
        <w:t xml:space="preserve"> </w:t>
      </w:r>
      <w:r w:rsidR="00071A01" w:rsidRPr="00071A01">
        <w:rPr>
          <w:i/>
          <w:iCs/>
        </w:rPr>
        <w:t>Levy, 37</w:t>
      </w:r>
      <w:r w:rsidR="00071A01">
        <w:t xml:space="preserve">8 Mass at 528. </w:t>
      </w:r>
      <w:r w:rsidR="00C605DF" w:rsidRPr="00C605DF">
        <w:rPr>
          <w:rFonts w:eastAsiaTheme="minorHAnsi" w:cstheme="minorBidi"/>
        </w:rPr>
        <w:t xml:space="preserve">The unprofessional conduct need not be related to the practice of medicine.  </w:t>
      </w:r>
      <w:r w:rsidR="00C605DF" w:rsidRPr="00FA3784">
        <w:rPr>
          <w:rFonts w:eastAsiaTheme="minorHAnsi" w:cstheme="minorBidi"/>
          <w:i/>
          <w:iCs/>
        </w:rPr>
        <w:t xml:space="preserve">See </w:t>
      </w:r>
      <w:r w:rsidR="00C605DF" w:rsidRPr="00C605DF">
        <w:rPr>
          <w:rFonts w:eastAsiaTheme="minorHAnsi" w:cstheme="minorBidi"/>
          <w:i/>
        </w:rPr>
        <w:t>Raymond</w:t>
      </w:r>
      <w:r w:rsidR="00C605DF" w:rsidRPr="00C605DF">
        <w:rPr>
          <w:rFonts w:eastAsiaTheme="minorHAnsi" w:cstheme="minorBidi"/>
        </w:rPr>
        <w:t>, supra at 712-713</w:t>
      </w:r>
      <w:r w:rsidR="00C605DF">
        <w:rPr>
          <w:rFonts w:eastAsiaTheme="minorHAnsi" w:cstheme="minorBidi"/>
        </w:rPr>
        <w:t xml:space="preserve">.  </w:t>
      </w:r>
    </w:p>
    <w:p w14:paraId="20AE82E9" w14:textId="4A711957" w:rsidR="00E42667" w:rsidRPr="00E42667" w:rsidRDefault="000E65A9" w:rsidP="00C605DF">
      <w:pPr>
        <w:spacing w:line="480" w:lineRule="auto"/>
        <w:ind w:firstLine="720"/>
        <w:rPr>
          <w:rFonts w:eastAsiaTheme="minorHAnsi" w:cstheme="minorBidi"/>
          <w:i/>
          <w:iCs/>
        </w:rPr>
      </w:pPr>
      <w:r>
        <w:rPr>
          <w:rFonts w:eastAsiaTheme="minorHAnsi" w:cstheme="minorBidi"/>
        </w:rPr>
        <w:t>T</w:t>
      </w:r>
      <w:r w:rsidR="00C605DF">
        <w:rPr>
          <w:rFonts w:eastAsiaTheme="minorHAnsi" w:cstheme="minorBidi"/>
        </w:rPr>
        <w:t>he Respondent</w:t>
      </w:r>
      <w:r>
        <w:rPr>
          <w:rFonts w:eastAsiaTheme="minorHAnsi" w:cstheme="minorBidi"/>
        </w:rPr>
        <w:t xml:space="preserve">’s </w:t>
      </w:r>
      <w:r w:rsidR="00FA3784">
        <w:rPr>
          <w:rFonts w:eastAsiaTheme="minorHAnsi" w:cstheme="minorBidi"/>
        </w:rPr>
        <w:t xml:space="preserve">conduct </w:t>
      </w:r>
      <w:r>
        <w:rPr>
          <w:rFonts w:eastAsiaTheme="minorHAnsi" w:cstheme="minorBidi"/>
        </w:rPr>
        <w:t xml:space="preserve">underlying the criminal charges </w:t>
      </w:r>
      <w:r w:rsidR="00071A01">
        <w:rPr>
          <w:rFonts w:eastAsiaTheme="minorHAnsi" w:cstheme="minorBidi"/>
        </w:rPr>
        <w:t xml:space="preserve">of </w:t>
      </w:r>
      <w:r>
        <w:rPr>
          <w:rFonts w:eastAsiaTheme="minorHAnsi" w:cstheme="minorBidi"/>
        </w:rPr>
        <w:t xml:space="preserve">battery and </w:t>
      </w:r>
      <w:r w:rsidR="00FA3784">
        <w:rPr>
          <w:rFonts w:eastAsiaTheme="minorHAnsi" w:cstheme="minorBidi"/>
        </w:rPr>
        <w:t xml:space="preserve">domestic battery by </w:t>
      </w:r>
      <w:r>
        <w:rPr>
          <w:rFonts w:eastAsiaTheme="minorHAnsi" w:cstheme="minorBidi"/>
        </w:rPr>
        <w:t>strangulation of his then-wife indicate</w:t>
      </w:r>
      <w:r w:rsidR="00E42667">
        <w:rPr>
          <w:rFonts w:eastAsiaTheme="minorHAnsi" w:cstheme="minorBidi"/>
        </w:rPr>
        <w:t>s</w:t>
      </w:r>
      <w:r>
        <w:rPr>
          <w:rFonts w:eastAsiaTheme="minorHAnsi" w:cstheme="minorBidi"/>
        </w:rPr>
        <w:t xml:space="preserve"> that he lacks certain essential qualities to practice medicine, namely sound judgment and a respect for human life</w:t>
      </w:r>
      <w:r w:rsidR="00E42667">
        <w:rPr>
          <w:rFonts w:eastAsiaTheme="minorHAnsi" w:cstheme="minorBidi"/>
        </w:rPr>
        <w:t xml:space="preserve">.  </w:t>
      </w:r>
      <w:r w:rsidR="005A321D">
        <w:rPr>
          <w:rFonts w:eastAsiaTheme="minorHAnsi" w:cstheme="minorBidi"/>
        </w:rPr>
        <w:t xml:space="preserve">The Respondent’s </w:t>
      </w:r>
      <w:r w:rsidR="00FA3784">
        <w:rPr>
          <w:rFonts w:eastAsiaTheme="minorHAnsi" w:cstheme="minorBidi"/>
        </w:rPr>
        <w:t xml:space="preserve">conduct </w:t>
      </w:r>
      <w:r w:rsidR="00E42667">
        <w:rPr>
          <w:rFonts w:eastAsiaTheme="minorHAnsi" w:cstheme="minorBidi"/>
        </w:rPr>
        <w:t xml:space="preserve">also demonstrates a </w:t>
      </w:r>
      <w:r w:rsidR="005A321D">
        <w:rPr>
          <w:rFonts w:eastAsiaTheme="minorHAnsi" w:cstheme="minorBidi"/>
        </w:rPr>
        <w:t>lack of</w:t>
      </w:r>
      <w:r w:rsidR="00E42667">
        <w:rPr>
          <w:rFonts w:eastAsiaTheme="minorHAnsi" w:cstheme="minorBidi"/>
        </w:rPr>
        <w:t xml:space="preserve"> good </w:t>
      </w:r>
      <w:r w:rsidR="005A321D">
        <w:rPr>
          <w:rFonts w:eastAsiaTheme="minorHAnsi" w:cstheme="minorBidi"/>
        </w:rPr>
        <w:t xml:space="preserve">moral character and undermines the public confidence in the medical profession for which </w:t>
      </w:r>
      <w:r w:rsidR="00E42667">
        <w:rPr>
          <w:rFonts w:eastAsiaTheme="minorHAnsi" w:cstheme="minorBidi"/>
        </w:rPr>
        <w:t xml:space="preserve">the Board may impose discipline pursuant to </w:t>
      </w:r>
      <w:r w:rsidR="00E42667" w:rsidRPr="00E42667">
        <w:rPr>
          <w:rFonts w:eastAsiaTheme="minorHAnsi" w:cstheme="minorBidi"/>
          <w:i/>
          <w:iCs/>
        </w:rPr>
        <w:t>Levy</w:t>
      </w:r>
      <w:r w:rsidR="00E42667">
        <w:rPr>
          <w:rFonts w:eastAsiaTheme="minorHAnsi" w:cstheme="minorBidi"/>
        </w:rPr>
        <w:t xml:space="preserve"> and </w:t>
      </w:r>
      <w:r w:rsidR="00E42667" w:rsidRPr="00E42667">
        <w:rPr>
          <w:rFonts w:eastAsiaTheme="minorHAnsi" w:cstheme="minorBidi"/>
          <w:i/>
          <w:iCs/>
        </w:rPr>
        <w:t>Raymond.</w:t>
      </w:r>
    </w:p>
    <w:p w14:paraId="6B137E00" w14:textId="53D62B26" w:rsidR="00C605DF" w:rsidRDefault="005A321D" w:rsidP="00C605DF">
      <w:pPr>
        <w:spacing w:line="480" w:lineRule="auto"/>
        <w:ind w:firstLine="720"/>
      </w:pPr>
      <w:r>
        <w:t xml:space="preserve">Where criminal cases have not resulted in a conviction, the Board has still imposed discipline where the physician’s </w:t>
      </w:r>
      <w:r w:rsidR="00FA3784">
        <w:t xml:space="preserve">conduct </w:t>
      </w:r>
      <w:r w:rsidR="000E65A9">
        <w:t>i</w:t>
      </w:r>
      <w:r w:rsidR="00C605DF">
        <w:t xml:space="preserve">ndicates a lack of good moral character and undermines the confidence in the medical profession </w:t>
      </w:r>
      <w:r w:rsidR="00C605DF">
        <w:rPr>
          <w:i/>
        </w:rPr>
        <w:t>See</w:t>
      </w:r>
      <w:r w:rsidR="00C605DF">
        <w:t xml:space="preserve"> </w:t>
      </w:r>
      <w:r w:rsidR="00C605DF" w:rsidRPr="00E42667">
        <w:rPr>
          <w:i/>
          <w:iCs/>
        </w:rPr>
        <w:t xml:space="preserve">In the Matter of Ernest Osei-Tutu, </w:t>
      </w:r>
      <w:r w:rsidR="00C605DF" w:rsidRPr="00E42667">
        <w:rPr>
          <w:i/>
          <w:iCs/>
        </w:rPr>
        <w:lastRenderedPageBreak/>
        <w:t xml:space="preserve">M.D., </w:t>
      </w:r>
      <w:r w:rsidR="00C605DF">
        <w:t xml:space="preserve">Board of Registration in Medicine Adjudicatory Case No. 2007-058 (November 14, 2007) (physician reprimanded after he admitted to sufficient facts in a domestic assault and battery case, criminal case continued without a finding and the Respondent was ordered to take a batterer’s class during two-year probation); </w:t>
      </w:r>
      <w:r w:rsidR="00C605DF" w:rsidRPr="00C605DF">
        <w:rPr>
          <w:i/>
          <w:iCs/>
        </w:rPr>
        <w:t>In the Matter of H. Scott Breen, M.D.,</w:t>
      </w:r>
      <w:r w:rsidR="00C605DF">
        <w:t xml:space="preserve"> Board of Registration in Medicine, Adjudicatory Case No. 04-40-XX (September 2004) (physician received a reprimand for slapping a child-patient; criminal case continued without a finding); </w:t>
      </w:r>
      <w:r w:rsidR="00C605DF" w:rsidRPr="00C605DF">
        <w:rPr>
          <w:i/>
          <w:iCs/>
        </w:rPr>
        <w:t>In the Matter of Murray Dimant, M.D.,</w:t>
      </w:r>
      <w:r w:rsidR="00C605DF">
        <w:t xml:space="preserve"> Board of Registration in Medicine, Adjudicatory Case No. 02-40-XX (September 8, 2002) (physician received a reprimand after he admitted to sufficient facts of indecent assault and battery); and </w:t>
      </w:r>
      <w:r w:rsidR="00C605DF" w:rsidRPr="00C605DF">
        <w:rPr>
          <w:i/>
          <w:iCs/>
        </w:rPr>
        <w:t>In the Matter of Raul Laguarda, M.D.,</w:t>
      </w:r>
      <w:r w:rsidR="00C605DF">
        <w:t xml:space="preserve"> Board of Registration in Medicine, Adjudicatory Case No. 02-18-XX (May 8, 2002) (physician received a reprimand after admitting to sufficient facts of indecent assault and battery). </w:t>
      </w:r>
      <w:r w:rsidR="00071A01">
        <w:t xml:space="preserve"> </w:t>
      </w:r>
    </w:p>
    <w:p w14:paraId="410AE4D9" w14:textId="4106D949" w:rsidR="00D37D45" w:rsidRPr="00D37D45" w:rsidRDefault="00491012" w:rsidP="00432FEA">
      <w:pPr>
        <w:spacing w:line="480" w:lineRule="auto"/>
        <w:rPr>
          <w:rFonts w:cs="Arial"/>
        </w:rPr>
      </w:pPr>
      <w:r>
        <w:rPr>
          <w:rFonts w:cs="Arial"/>
        </w:rPr>
        <w:tab/>
        <w:t xml:space="preserve">Revocation has been imposed by the Board where the physician has disregarded the Board’s administrative directives. </w:t>
      </w:r>
      <w:r w:rsidR="008A535C" w:rsidRPr="008A535C">
        <w:rPr>
          <w:rFonts w:cs="Arial"/>
          <w:i/>
          <w:iCs/>
        </w:rPr>
        <w:t>See</w:t>
      </w:r>
      <w:r w:rsidR="008A535C">
        <w:rPr>
          <w:rFonts w:cs="Arial"/>
        </w:rPr>
        <w:t xml:space="preserve"> </w:t>
      </w:r>
      <w:r w:rsidRPr="00491012">
        <w:rPr>
          <w:rFonts w:cs="Arial"/>
          <w:i/>
          <w:iCs/>
        </w:rPr>
        <w:t>In the Matter of Richard Mendel, M.D.,</w:t>
      </w:r>
      <w:r>
        <w:rPr>
          <w:rFonts w:cs="Arial"/>
        </w:rPr>
        <w:t xml:space="preserve"> Adjudicatory Case </w:t>
      </w:r>
      <w:r w:rsidR="00DB4605">
        <w:rPr>
          <w:rFonts w:cs="Arial"/>
        </w:rPr>
        <w:t>N</w:t>
      </w:r>
      <w:r>
        <w:rPr>
          <w:rFonts w:cs="Arial"/>
        </w:rPr>
        <w:t>o. 2020-007 (Final Decision and Order, October 8, 2020) (</w:t>
      </w:r>
      <w:r w:rsidR="00DB4605">
        <w:rPr>
          <w:rFonts w:cs="Arial"/>
        </w:rPr>
        <w:t>Board revoked physician’s inchoate right to renew his medical license</w:t>
      </w:r>
      <w:r w:rsidR="000E65A9">
        <w:rPr>
          <w:rFonts w:cs="Arial"/>
        </w:rPr>
        <w:t xml:space="preserve">, </w:t>
      </w:r>
      <w:r w:rsidR="00E44C85">
        <w:rPr>
          <w:rFonts w:cs="Arial"/>
        </w:rPr>
        <w:t>after finding that he</w:t>
      </w:r>
      <w:r w:rsidR="00DB4605">
        <w:rPr>
          <w:rFonts w:cs="Arial"/>
        </w:rPr>
        <w:t xml:space="preserve"> engag</w:t>
      </w:r>
      <w:r w:rsidR="00E44C85">
        <w:rPr>
          <w:rFonts w:cs="Arial"/>
        </w:rPr>
        <w:t xml:space="preserve">ed </w:t>
      </w:r>
      <w:r w:rsidR="00DB4605">
        <w:rPr>
          <w:rFonts w:cs="Arial"/>
        </w:rPr>
        <w:t>in misconduct in the practice of medicine, fail</w:t>
      </w:r>
      <w:r w:rsidR="00E44C85">
        <w:rPr>
          <w:rFonts w:cs="Arial"/>
        </w:rPr>
        <w:t xml:space="preserve">ed </w:t>
      </w:r>
      <w:r w:rsidR="00DB4605">
        <w:rPr>
          <w:rFonts w:cs="Arial"/>
        </w:rPr>
        <w:t>to maintain medical records</w:t>
      </w:r>
      <w:r w:rsidR="006E50B4">
        <w:rPr>
          <w:rFonts w:cs="Arial"/>
        </w:rPr>
        <w:t xml:space="preserve"> for each patient, and committed </w:t>
      </w:r>
      <w:r w:rsidR="00DB4605">
        <w:rPr>
          <w:rFonts w:cs="Arial"/>
        </w:rPr>
        <w:t>malpractice on more than one occasion</w:t>
      </w:r>
      <w:r w:rsidR="00E44C85">
        <w:rPr>
          <w:rFonts w:cs="Arial"/>
        </w:rPr>
        <w:t>).</w:t>
      </w:r>
      <w:r w:rsidR="006E50B4">
        <w:rPr>
          <w:rFonts w:cs="Arial"/>
        </w:rPr>
        <w:t xml:space="preserve">  </w:t>
      </w:r>
      <w:r w:rsidR="006E50B4">
        <w:rPr>
          <w:i/>
        </w:rPr>
        <w:t>See</w:t>
      </w:r>
      <w:r w:rsidR="00FA3784">
        <w:rPr>
          <w:i/>
        </w:rPr>
        <w:t xml:space="preserve"> also, </w:t>
      </w:r>
      <w:r w:rsidR="006E50B4">
        <w:rPr>
          <w:i/>
        </w:rPr>
        <w:t>In the Matter of Paul M. Willette, M.D.</w:t>
      </w:r>
      <w:r w:rsidR="006E50B4">
        <w:t xml:space="preserve">, Board of Registration in Medicine, Adjudicatory Case No. 2017-035 (Final Decision and Order, September 13, 2018) and </w:t>
      </w:r>
      <w:r w:rsidR="006E50B4">
        <w:rPr>
          <w:i/>
        </w:rPr>
        <w:t>In the Matter of Christopher D. Owens, M.D.</w:t>
      </w:r>
      <w:r w:rsidR="006E50B4">
        <w:t>, Board of Registration in Medicine, Adjudicatory Case No. 2017-031 (Final Decision and Order, April 25, 2018)</w:t>
      </w:r>
    </w:p>
    <w:p w14:paraId="59FA28EE" w14:textId="77777777" w:rsidR="00DE4633" w:rsidRDefault="00DB4475" w:rsidP="00B83098">
      <w:pPr>
        <w:spacing w:line="480" w:lineRule="auto"/>
        <w:rPr>
          <w:rFonts w:cs="Arial"/>
        </w:rPr>
      </w:pPr>
      <w:r>
        <w:rPr>
          <w:rFonts w:cs="Arial"/>
        </w:rPr>
        <w:tab/>
      </w:r>
      <w:r w:rsidR="001E1FB2">
        <w:rPr>
          <w:rFonts w:cs="Arial"/>
        </w:rPr>
        <w:t xml:space="preserve">The Board’s paramount responsibility is the protection of the public health, safety, and welfare. </w:t>
      </w:r>
      <w:r w:rsidR="001E1FB2">
        <w:rPr>
          <w:rFonts w:cs="Arial"/>
          <w:i/>
        </w:rPr>
        <w:t>See</w:t>
      </w:r>
      <w:r w:rsidR="001E1FB2">
        <w:rPr>
          <w:rFonts w:cs="Arial"/>
        </w:rPr>
        <w:t xml:space="preserve"> </w:t>
      </w:r>
      <w:r w:rsidR="001E1FB2">
        <w:rPr>
          <w:rFonts w:cs="Arial"/>
          <w:i/>
        </w:rPr>
        <w:t>Levy v. Board of Registration in Medicine</w:t>
      </w:r>
      <w:r w:rsidR="001E1FB2">
        <w:rPr>
          <w:rFonts w:cs="Arial"/>
        </w:rPr>
        <w:t xml:space="preserve">, 378 Mass 519 (1979). In light of the Respondent’s default, which hindered the Board’s efforts in its fulfillment of this responsibility, </w:t>
      </w:r>
      <w:r w:rsidR="001E1FB2">
        <w:rPr>
          <w:rFonts w:cs="Arial"/>
        </w:rPr>
        <w:lastRenderedPageBreak/>
        <w:t xml:space="preserve">it is appropriate to impose a sanction in this matter. The Board hereby </w:t>
      </w:r>
      <w:r w:rsidR="001E1FB2">
        <w:rPr>
          <w:rFonts w:cs="Arial"/>
          <w:b/>
        </w:rPr>
        <w:t>REVOKES</w:t>
      </w:r>
      <w:r w:rsidR="001E1FB2">
        <w:rPr>
          <w:rFonts w:cs="Arial"/>
        </w:rPr>
        <w:t xml:space="preserve"> the Respondent’s inch</w:t>
      </w:r>
      <w:r w:rsidR="00865E64">
        <w:rPr>
          <w:rFonts w:cs="Arial"/>
        </w:rPr>
        <w:t>oate right to renew his</w:t>
      </w:r>
      <w:r w:rsidR="001E1FB2">
        <w:rPr>
          <w:rFonts w:cs="Arial"/>
        </w:rPr>
        <w:t xml:space="preserve"> license to practice medicine. This sanction is imposed for </w:t>
      </w:r>
      <w:r w:rsidR="00DE4633">
        <w:rPr>
          <w:rFonts w:cs="Arial"/>
        </w:rPr>
        <w:t xml:space="preserve">the </w:t>
      </w:r>
      <w:r w:rsidR="001E1FB2">
        <w:rPr>
          <w:rFonts w:cs="Arial"/>
        </w:rPr>
        <w:t>violation of law listed in the Conclusion of Law section</w:t>
      </w:r>
      <w:r w:rsidR="00DE4633">
        <w:rPr>
          <w:rFonts w:cs="Arial"/>
        </w:rPr>
        <w:t>.</w:t>
      </w:r>
    </w:p>
    <w:p w14:paraId="6D0112F7" w14:textId="77777777" w:rsidR="001E1FB2" w:rsidRDefault="001E1FB2" w:rsidP="00B83098">
      <w:pPr>
        <w:spacing w:line="480" w:lineRule="auto"/>
        <w:rPr>
          <w:rFonts w:cs="Arial"/>
        </w:rPr>
      </w:pPr>
      <w:r>
        <w:rPr>
          <w:rFonts w:cs="Arial"/>
        </w:rPr>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w:t>
      </w:r>
      <w:r w:rsidR="00865E64">
        <w:rPr>
          <w:rFonts w:cs="Arial"/>
        </w:rPr>
        <w:t xml:space="preserve">, or federal facility at which </w:t>
      </w:r>
      <w:r>
        <w:rPr>
          <w:rFonts w:cs="Arial"/>
        </w:rPr>
        <w:t>he practices medicine; any in- or out-of-state health main</w:t>
      </w:r>
      <w:r w:rsidR="00865E64">
        <w:rPr>
          <w:rFonts w:cs="Arial"/>
        </w:rPr>
        <w:t xml:space="preserve">tenance organization with whom </w:t>
      </w:r>
      <w:r>
        <w:rPr>
          <w:rFonts w:cs="Arial"/>
        </w:rPr>
        <w:t>he has privileges or any other kind of association; any state agency, i</w:t>
      </w:r>
      <w:r w:rsidR="00865E64">
        <w:rPr>
          <w:rFonts w:cs="Arial"/>
        </w:rPr>
        <w:t xml:space="preserve">n- or out-of-state, with which </w:t>
      </w:r>
      <w:r>
        <w:rPr>
          <w:rFonts w:cs="Arial"/>
        </w:rPr>
        <w:t>he has a provider contract; any in- or out-of-state me</w:t>
      </w:r>
      <w:r w:rsidR="00865E64">
        <w:rPr>
          <w:rFonts w:cs="Arial"/>
        </w:rPr>
        <w:t xml:space="preserve">dical employer, whether or not </w:t>
      </w:r>
      <w:r>
        <w:rPr>
          <w:rFonts w:cs="Arial"/>
        </w:rPr>
        <w:t xml:space="preserve">he practices medicine there; the state licensing </w:t>
      </w:r>
      <w:r w:rsidR="00865E64">
        <w:rPr>
          <w:rFonts w:cs="Arial"/>
        </w:rPr>
        <w:t xml:space="preserve">board of all states in which </w:t>
      </w:r>
      <w:r w:rsidR="001467FE">
        <w:rPr>
          <w:rFonts w:cs="Arial"/>
        </w:rPr>
        <w:t xml:space="preserve">he has any kind of license to practice medicine; the Drug Enforcement Administration – Boston Diversion Group; and the Massachusetts Department of Public Health Drug Control Program. The Respondent shall also provide this notification to any such </w:t>
      </w:r>
      <w:r w:rsidR="00865E64">
        <w:rPr>
          <w:rFonts w:cs="Arial"/>
        </w:rPr>
        <w:t xml:space="preserve">designated entities with which </w:t>
      </w:r>
      <w:r w:rsidR="001467FE">
        <w:rPr>
          <w:rFonts w:cs="Arial"/>
        </w:rPr>
        <w:t>he becomes associated for the duration of this revocation. The Respondent is further directed to certify to the B</w:t>
      </w:r>
      <w:r w:rsidR="00865E64">
        <w:rPr>
          <w:rFonts w:cs="Arial"/>
        </w:rPr>
        <w:t xml:space="preserve">oard within ten (10) days that </w:t>
      </w:r>
      <w:r w:rsidR="001467FE">
        <w:rPr>
          <w:rFonts w:cs="Arial"/>
        </w:rPr>
        <w:t>he has complied with this directive.</w:t>
      </w:r>
    </w:p>
    <w:p w14:paraId="5D418C22" w14:textId="77777777" w:rsidR="001467FE" w:rsidRPr="001E1FB2" w:rsidRDefault="001467FE" w:rsidP="00B83098">
      <w:pPr>
        <w:spacing w:line="480" w:lineRule="auto"/>
        <w:rPr>
          <w:rFonts w:cs="Arial"/>
        </w:rPr>
      </w:pPr>
      <w:r>
        <w:rPr>
          <w:rFonts w:cs="Arial"/>
        </w:rPr>
        <w:tab/>
        <w:t>The Respondent has the right to appeal this Final Decision and Order within thirty (30) days, pursuant to G.L. c. 30A, §§ 14 and 15, and G.L. c. 112, § 64.</w:t>
      </w:r>
    </w:p>
    <w:p w14:paraId="2E739E4B" w14:textId="01FE76F4" w:rsidR="0085440C" w:rsidRPr="004F2850" w:rsidRDefault="007868DF" w:rsidP="000213E8">
      <w:pPr>
        <w:rPr>
          <w:u w:val="single"/>
        </w:rPr>
      </w:pPr>
      <w:bookmarkStart w:id="0" w:name="_GoBack"/>
      <w:bookmarkEnd w:id="0"/>
      <w:r>
        <w:t xml:space="preserve">Date: </w:t>
      </w:r>
      <w:r w:rsidR="00D719D7">
        <w:t>December 17, 2020</w:t>
      </w:r>
      <w:r>
        <w:tab/>
      </w:r>
      <w:r>
        <w:tab/>
      </w:r>
      <w:r>
        <w:tab/>
      </w:r>
      <w:r w:rsidR="005D62BD">
        <w:tab/>
      </w:r>
      <w:r w:rsidR="00014B1B">
        <w:rPr>
          <w:u w:val="single"/>
        </w:rPr>
        <w:t>Signed by George M. Abraham, M.D.</w:t>
      </w:r>
    </w:p>
    <w:p w14:paraId="248C772B" w14:textId="77777777" w:rsidR="00351723" w:rsidRDefault="00432FEA" w:rsidP="000213E8">
      <w:pPr>
        <w:ind w:left="5040"/>
      </w:pPr>
      <w:r>
        <w:t>George M. Abraham</w:t>
      </w:r>
      <w:r w:rsidR="007868DF">
        <w:t>, M.D.</w:t>
      </w:r>
    </w:p>
    <w:p w14:paraId="3BC470E2" w14:textId="77777777" w:rsidR="002150BD" w:rsidRDefault="000213E8" w:rsidP="000213E8">
      <w:pPr>
        <w:ind w:left="5040"/>
      </w:pPr>
      <w:r>
        <w:t>Chair</w:t>
      </w:r>
    </w:p>
    <w:p w14:paraId="7A2B53C8" w14:textId="1A2622B8" w:rsidR="000213E8" w:rsidRDefault="000213E8" w:rsidP="000213E8">
      <w:pPr>
        <w:ind w:left="5040"/>
      </w:pPr>
      <w:r>
        <w:t>Board of Registration in Medicine</w:t>
      </w:r>
    </w:p>
    <w:p w14:paraId="440EA98A" w14:textId="018AE290" w:rsidR="00014B1B" w:rsidRDefault="00014B1B" w:rsidP="00014B1B"/>
    <w:p w14:paraId="311CD7C0" w14:textId="77777777" w:rsidR="00014B1B" w:rsidRPr="00014B1B" w:rsidRDefault="00014B1B" w:rsidP="00014B1B">
      <w:r w:rsidRPr="00014B1B">
        <w:t xml:space="preserve">To obtain a copy of the out-of-state disciplinary order, please contact the appropriate state’s medical licensing board directly.  A list of  state medical boards and contact information is available at </w:t>
      </w:r>
      <w:hyperlink r:id="rId8" w:history="1">
        <w:r w:rsidRPr="00014B1B">
          <w:rPr>
            <w:rStyle w:val="Hyperlink"/>
          </w:rPr>
          <w:t>https://www.fsmb.org/contact-a-state-medica-board/</w:t>
        </w:r>
      </w:hyperlink>
      <w:r w:rsidRPr="00014B1B">
        <w:t xml:space="preserve">.  You may also obtain a copy of the out-of-state disciplinary order by submitting a public records request (PRR) with the </w:t>
      </w:r>
      <w:r w:rsidRPr="00014B1B">
        <w:lastRenderedPageBreak/>
        <w:t xml:space="preserve">Massachusetts Board of Registration in Medicine.  PRR forms and additional information can be found at </w:t>
      </w:r>
      <w:hyperlink r:id="rId9" w:history="1">
        <w:r w:rsidRPr="00014B1B">
          <w:rPr>
            <w:rStyle w:val="Hyperlink"/>
          </w:rPr>
          <w:t>https://www.mass.gov/board-of-registration-in-medicine-public-records</w:t>
        </w:r>
      </w:hyperlink>
      <w:r w:rsidRPr="00014B1B">
        <w:t>.</w:t>
      </w:r>
    </w:p>
    <w:p w14:paraId="4822501B" w14:textId="77777777" w:rsidR="00014B1B" w:rsidRDefault="00014B1B" w:rsidP="00014B1B"/>
    <w:p w14:paraId="6B3A1D02" w14:textId="77777777" w:rsidR="009624E5" w:rsidRDefault="00351723" w:rsidP="000213E8">
      <w:pPr>
        <w:jc w:val="both"/>
      </w:pPr>
      <w:r>
        <w:t xml:space="preserve">   </w:t>
      </w:r>
      <w:r w:rsidR="009624E5">
        <w:t xml:space="preserve"> </w:t>
      </w:r>
    </w:p>
    <w:sectPr w:rsidR="009624E5" w:rsidSect="000213E8">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3CCE" w14:textId="77777777" w:rsidR="00347F2D" w:rsidRDefault="00347F2D">
      <w:r>
        <w:separator/>
      </w:r>
    </w:p>
  </w:endnote>
  <w:endnote w:type="continuationSeparator" w:id="0">
    <w:p w14:paraId="5EB1066F" w14:textId="77777777" w:rsidR="00347F2D" w:rsidRDefault="0034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BBC0"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F1AC1D" w14:textId="77777777" w:rsidR="002150BD" w:rsidRDefault="0021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F55A"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20C">
      <w:rPr>
        <w:rStyle w:val="PageNumber"/>
        <w:noProof/>
      </w:rPr>
      <w:t>4</w:t>
    </w:r>
    <w:r>
      <w:rPr>
        <w:rStyle w:val="PageNumber"/>
      </w:rPr>
      <w:fldChar w:fldCharType="end"/>
    </w:r>
  </w:p>
  <w:p w14:paraId="4C336C84" w14:textId="77777777" w:rsidR="002150BD" w:rsidRDefault="0021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D196" w14:textId="77777777" w:rsidR="00347F2D" w:rsidRDefault="00347F2D">
      <w:r>
        <w:separator/>
      </w:r>
    </w:p>
  </w:footnote>
  <w:footnote w:type="continuationSeparator" w:id="0">
    <w:p w14:paraId="5A7D1CF4" w14:textId="77777777" w:rsidR="00347F2D" w:rsidRDefault="00347F2D">
      <w:r>
        <w:continuationSeparator/>
      </w:r>
    </w:p>
  </w:footnote>
  <w:footnote w:id="1">
    <w:p w14:paraId="0B3A1C18" w14:textId="77777777" w:rsidR="00636064" w:rsidRPr="00636064" w:rsidRDefault="00636064">
      <w:pPr>
        <w:pStyle w:val="FootnoteText"/>
        <w:rPr>
          <w:rFonts w:ascii="Times New Roman" w:hAnsi="Times New Roman"/>
        </w:rPr>
      </w:pPr>
      <w:r>
        <w:rPr>
          <w:rStyle w:val="FootnoteReference"/>
        </w:rPr>
        <w:footnoteRef/>
      </w:r>
      <w:r>
        <w:t xml:space="preserve"> </w:t>
      </w:r>
      <w:r w:rsidRPr="00636064">
        <w:rPr>
          <w:rFonts w:ascii="Times New Roman" w:hAnsi="Times New Roman"/>
        </w:rPr>
        <w:t>The Board acknowledges that it cannot discipline the Respondent for a violation of 243 CMR 1.03(5)(a)(7) (conviction of a crime)  because the judge declined to impose a finding of guilty on either count in the Florida</w:t>
      </w:r>
      <w:r>
        <w:rPr>
          <w:rFonts w:ascii="Times New Roman" w:hAnsi="Times New Roman"/>
        </w:rPr>
        <w:t xml:space="preserve">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022144"/>
    <w:multiLevelType w:val="hybridMultilevel"/>
    <w:tmpl w:val="E0560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602E4"/>
    <w:multiLevelType w:val="hybridMultilevel"/>
    <w:tmpl w:val="36FCB99E"/>
    <w:lvl w:ilvl="0" w:tplc="F0245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C97438"/>
    <w:multiLevelType w:val="hybridMultilevel"/>
    <w:tmpl w:val="0C44F63E"/>
    <w:lvl w:ilvl="0" w:tplc="CFFCA0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3559D"/>
    <w:multiLevelType w:val="hybridMultilevel"/>
    <w:tmpl w:val="7ADA7D7C"/>
    <w:lvl w:ilvl="0" w:tplc="7A5CAD8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603CD6"/>
    <w:multiLevelType w:val="hybridMultilevel"/>
    <w:tmpl w:val="00BC6A74"/>
    <w:lvl w:ilvl="0" w:tplc="38BE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A02968"/>
    <w:multiLevelType w:val="hybridMultilevel"/>
    <w:tmpl w:val="8744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FCB581E"/>
    <w:multiLevelType w:val="hybridMultilevel"/>
    <w:tmpl w:val="855E0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6D6217"/>
    <w:multiLevelType w:val="hybridMultilevel"/>
    <w:tmpl w:val="0C1E427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23795C"/>
    <w:multiLevelType w:val="hybridMultilevel"/>
    <w:tmpl w:val="0BA06D1A"/>
    <w:lvl w:ilvl="0" w:tplc="2D6CE8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D6700"/>
    <w:multiLevelType w:val="hybridMultilevel"/>
    <w:tmpl w:val="7A128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D586707"/>
    <w:multiLevelType w:val="hybridMultilevel"/>
    <w:tmpl w:val="D1D0C392"/>
    <w:lvl w:ilvl="0" w:tplc="CE702D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FF539BE"/>
    <w:multiLevelType w:val="hybridMultilevel"/>
    <w:tmpl w:val="764814FE"/>
    <w:lvl w:ilvl="0" w:tplc="63C84F9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21"/>
  </w:num>
  <w:num w:numId="6">
    <w:abstractNumId w:val="19"/>
  </w:num>
  <w:num w:numId="7">
    <w:abstractNumId w:val="18"/>
  </w:num>
  <w:num w:numId="8">
    <w:abstractNumId w:val="15"/>
  </w:num>
  <w:num w:numId="9">
    <w:abstractNumId w:val="0"/>
  </w:num>
  <w:num w:numId="10">
    <w:abstractNumId w:val="3"/>
  </w:num>
  <w:num w:numId="11">
    <w:abstractNumId w:val="9"/>
  </w:num>
  <w:num w:numId="12">
    <w:abstractNumId w:val="5"/>
  </w:num>
  <w:num w:numId="13">
    <w:abstractNumId w:val="2"/>
  </w:num>
  <w:num w:numId="14">
    <w:abstractNumId w:val="22"/>
  </w:num>
  <w:num w:numId="15">
    <w:abstractNumId w:val="16"/>
  </w:num>
  <w:num w:numId="16">
    <w:abstractNumId w:val="20"/>
  </w:num>
  <w:num w:numId="17">
    <w:abstractNumId w:val="12"/>
  </w:num>
  <w:num w:numId="18">
    <w:abstractNumId w:val="8"/>
  </w:num>
  <w:num w:numId="19">
    <w:abstractNumId w:val="10"/>
  </w:num>
  <w:num w:numId="20">
    <w:abstractNumId w:val="7"/>
  </w:num>
  <w:num w:numId="21">
    <w:abstractNumId w:val="13"/>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44"/>
    <w:rsid w:val="00014B1B"/>
    <w:rsid w:val="000213E8"/>
    <w:rsid w:val="00056449"/>
    <w:rsid w:val="000672B9"/>
    <w:rsid w:val="00071A01"/>
    <w:rsid w:val="00074D7A"/>
    <w:rsid w:val="00087BD8"/>
    <w:rsid w:val="000A19B5"/>
    <w:rsid w:val="000E65A9"/>
    <w:rsid w:val="001360F6"/>
    <w:rsid w:val="001467FE"/>
    <w:rsid w:val="00155EC0"/>
    <w:rsid w:val="00192A02"/>
    <w:rsid w:val="001C0A37"/>
    <w:rsid w:val="001E0133"/>
    <w:rsid w:val="001E1FB2"/>
    <w:rsid w:val="00201024"/>
    <w:rsid w:val="00212F7D"/>
    <w:rsid w:val="002150BD"/>
    <w:rsid w:val="002179E7"/>
    <w:rsid w:val="002C7C23"/>
    <w:rsid w:val="002E697B"/>
    <w:rsid w:val="00347F2D"/>
    <w:rsid w:val="00351723"/>
    <w:rsid w:val="00373A2F"/>
    <w:rsid w:val="00395795"/>
    <w:rsid w:val="003A13E5"/>
    <w:rsid w:val="003D4002"/>
    <w:rsid w:val="003F36DA"/>
    <w:rsid w:val="003F4B84"/>
    <w:rsid w:val="00423D12"/>
    <w:rsid w:val="00432FEA"/>
    <w:rsid w:val="004362A0"/>
    <w:rsid w:val="00454056"/>
    <w:rsid w:val="00461321"/>
    <w:rsid w:val="00476CAD"/>
    <w:rsid w:val="004844D4"/>
    <w:rsid w:val="00491012"/>
    <w:rsid w:val="00493902"/>
    <w:rsid w:val="004C7FAB"/>
    <w:rsid w:val="004E4F08"/>
    <w:rsid w:val="004F2850"/>
    <w:rsid w:val="005418CA"/>
    <w:rsid w:val="00552DA9"/>
    <w:rsid w:val="005557DF"/>
    <w:rsid w:val="0056428E"/>
    <w:rsid w:val="005A2E9D"/>
    <w:rsid w:val="005A321D"/>
    <w:rsid w:val="005A42CA"/>
    <w:rsid w:val="005C20E3"/>
    <w:rsid w:val="005C2503"/>
    <w:rsid w:val="005D62BD"/>
    <w:rsid w:val="005F2A83"/>
    <w:rsid w:val="00607FD5"/>
    <w:rsid w:val="00636064"/>
    <w:rsid w:val="00695A7F"/>
    <w:rsid w:val="006976E5"/>
    <w:rsid w:val="006B2131"/>
    <w:rsid w:val="006C7397"/>
    <w:rsid w:val="006E50B4"/>
    <w:rsid w:val="00725424"/>
    <w:rsid w:val="00747CA8"/>
    <w:rsid w:val="00763C40"/>
    <w:rsid w:val="00780898"/>
    <w:rsid w:val="007868DF"/>
    <w:rsid w:val="007E24E1"/>
    <w:rsid w:val="007E5DCD"/>
    <w:rsid w:val="00810B8C"/>
    <w:rsid w:val="00816F63"/>
    <w:rsid w:val="00852600"/>
    <w:rsid w:val="0085440C"/>
    <w:rsid w:val="00860653"/>
    <w:rsid w:val="00865E64"/>
    <w:rsid w:val="008A07EA"/>
    <w:rsid w:val="008A535C"/>
    <w:rsid w:val="008A7645"/>
    <w:rsid w:val="008B2DE3"/>
    <w:rsid w:val="008C120C"/>
    <w:rsid w:val="008D1CEA"/>
    <w:rsid w:val="008D2309"/>
    <w:rsid w:val="009260C7"/>
    <w:rsid w:val="009432D4"/>
    <w:rsid w:val="00943884"/>
    <w:rsid w:val="00943BF2"/>
    <w:rsid w:val="009624E5"/>
    <w:rsid w:val="00962EB7"/>
    <w:rsid w:val="009A1F44"/>
    <w:rsid w:val="009B2B74"/>
    <w:rsid w:val="009C39EA"/>
    <w:rsid w:val="009F2B39"/>
    <w:rsid w:val="009F36CF"/>
    <w:rsid w:val="00A1040F"/>
    <w:rsid w:val="00A64EB2"/>
    <w:rsid w:val="00A866D8"/>
    <w:rsid w:val="00A969F9"/>
    <w:rsid w:val="00AB6D73"/>
    <w:rsid w:val="00AC6B84"/>
    <w:rsid w:val="00AE42C6"/>
    <w:rsid w:val="00AF04F3"/>
    <w:rsid w:val="00AF6A4E"/>
    <w:rsid w:val="00B174B4"/>
    <w:rsid w:val="00B37BCA"/>
    <w:rsid w:val="00B528F0"/>
    <w:rsid w:val="00B83098"/>
    <w:rsid w:val="00BA0751"/>
    <w:rsid w:val="00BB5DE1"/>
    <w:rsid w:val="00BD2D38"/>
    <w:rsid w:val="00BE4B8E"/>
    <w:rsid w:val="00C13740"/>
    <w:rsid w:val="00C3351B"/>
    <w:rsid w:val="00C33C8F"/>
    <w:rsid w:val="00C414E8"/>
    <w:rsid w:val="00C605DF"/>
    <w:rsid w:val="00C65CDD"/>
    <w:rsid w:val="00C855B9"/>
    <w:rsid w:val="00C86780"/>
    <w:rsid w:val="00C96F64"/>
    <w:rsid w:val="00CC0DE1"/>
    <w:rsid w:val="00CC0E7A"/>
    <w:rsid w:val="00CE3997"/>
    <w:rsid w:val="00D37D45"/>
    <w:rsid w:val="00D719D7"/>
    <w:rsid w:val="00D71AE3"/>
    <w:rsid w:val="00DB4475"/>
    <w:rsid w:val="00DB4605"/>
    <w:rsid w:val="00DE4633"/>
    <w:rsid w:val="00E42667"/>
    <w:rsid w:val="00E43C64"/>
    <w:rsid w:val="00E44C85"/>
    <w:rsid w:val="00E51A4B"/>
    <w:rsid w:val="00E638AC"/>
    <w:rsid w:val="00EC4B54"/>
    <w:rsid w:val="00F0063E"/>
    <w:rsid w:val="00F02F37"/>
    <w:rsid w:val="00F07A68"/>
    <w:rsid w:val="00F661EE"/>
    <w:rsid w:val="00F668F5"/>
    <w:rsid w:val="00FA3784"/>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7D3F32F"/>
  <w15:docId w15:val="{14BEC680-D7F8-4FE5-8EEA-D3F2033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D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 w:type="paragraph" w:customStyle="1" w:styleId="le-brm-normal-32-level">
    <w:name w:val="le-brm-normal-32-level"/>
    <w:basedOn w:val="Normal"/>
    <w:rsid w:val="00552DA9"/>
    <w:pPr>
      <w:spacing w:before="15" w:after="15"/>
    </w:pPr>
    <w:rPr>
      <w:rFonts w:ascii="Courier New" w:hAnsi="Courier New"/>
      <w:color w:val="000000"/>
      <w:sz w:val="20"/>
      <w:szCs w:val="20"/>
    </w:rPr>
  </w:style>
  <w:style w:type="character" w:styleId="Hyperlink">
    <w:name w:val="Hyperlink"/>
    <w:basedOn w:val="DefaultParagraphFont"/>
    <w:unhideWhenUsed/>
    <w:rsid w:val="00014B1B"/>
    <w:rPr>
      <w:color w:val="0000FF" w:themeColor="hyperlink"/>
      <w:u w:val="single"/>
    </w:rPr>
  </w:style>
  <w:style w:type="character" w:styleId="UnresolvedMention">
    <w:name w:val="Unresolved Mention"/>
    <w:basedOn w:val="DefaultParagraphFont"/>
    <w:uiPriority w:val="99"/>
    <w:semiHidden/>
    <w:unhideWhenUsed/>
    <w:rsid w:val="00014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2384">
      <w:bodyDiv w:val="1"/>
      <w:marLeft w:val="0"/>
      <w:marRight w:val="0"/>
      <w:marTop w:val="0"/>
      <w:marBottom w:val="0"/>
      <w:divBdr>
        <w:top w:val="none" w:sz="0" w:space="0" w:color="auto"/>
        <w:left w:val="none" w:sz="0" w:space="0" w:color="auto"/>
        <w:bottom w:val="none" w:sz="0" w:space="0" w:color="auto"/>
        <w:right w:val="none" w:sz="0" w:space="0" w:color="auto"/>
      </w:divBdr>
    </w:div>
    <w:div w:id="1030453987">
      <w:bodyDiv w:val="1"/>
      <w:marLeft w:val="0"/>
      <w:marRight w:val="0"/>
      <w:marTop w:val="0"/>
      <w:marBottom w:val="0"/>
      <w:divBdr>
        <w:top w:val="none" w:sz="0" w:space="0" w:color="auto"/>
        <w:left w:val="none" w:sz="0" w:space="0" w:color="auto"/>
        <w:bottom w:val="none" w:sz="0" w:space="0" w:color="auto"/>
        <w:right w:val="none" w:sz="0" w:space="0" w:color="auto"/>
      </w:divBdr>
    </w:div>
    <w:div w:id="1717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595B-752B-4F74-8236-4018FFBA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1690</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LaPointe, Donald (MED)</cp:lastModifiedBy>
  <cp:revision>4</cp:revision>
  <cp:lastPrinted>2020-11-19T19:20:00Z</cp:lastPrinted>
  <dcterms:created xsi:type="dcterms:W3CDTF">2021-01-05T14:57:00Z</dcterms:created>
  <dcterms:modified xsi:type="dcterms:W3CDTF">2021-01-05T15:01:00Z</dcterms:modified>
</cp:coreProperties>
</file>