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590A13" w:rsidRPr="00BF7BF6" w:rsidRDefault="00590A13" w:rsidP="00590A13">
      <w:pPr>
        <w:jc w:val="center"/>
      </w:pPr>
      <w:r w:rsidRPr="00BF7BF6">
        <w:t>BOARD OF REGISTRATION IN MEDICINE</w:t>
      </w:r>
    </w:p>
    <w:p w:rsidR="00590A13" w:rsidRPr="00BF7BF6" w:rsidRDefault="00590A13" w:rsidP="00590A13"/>
    <w:p w:rsidR="00590A13" w:rsidRPr="00BF7BF6" w:rsidRDefault="00590A13" w:rsidP="00590A13"/>
    <w:p w:rsidR="00590A13" w:rsidRDefault="00590A13" w:rsidP="00590A13">
      <w:pPr>
        <w:jc w:val="both"/>
      </w:pPr>
      <w:r w:rsidRPr="00BF7BF6">
        <w:t>MIDDLESEX, SS</w:t>
      </w:r>
      <w:r w:rsidRPr="00BF7BF6">
        <w:tab/>
      </w:r>
      <w:r w:rsidRPr="00BF7BF6">
        <w:tab/>
      </w:r>
      <w:r w:rsidRPr="00BF7BF6">
        <w:tab/>
      </w:r>
      <w:r w:rsidRPr="00BF7BF6">
        <w:tab/>
      </w:r>
      <w:r w:rsidRPr="00BF7BF6">
        <w:tab/>
        <w:t>Adjudicatory Case</w:t>
      </w:r>
      <w:r w:rsidR="000B2A09">
        <w:t xml:space="preserve"> </w:t>
      </w:r>
      <w:r w:rsidR="00184F35">
        <w:t>No.</w:t>
      </w:r>
      <w:r w:rsidR="000B2A09">
        <w:t xml:space="preserve"> 2012-016</w:t>
      </w:r>
    </w:p>
    <w:p w:rsidR="000B2A09" w:rsidRPr="00BF7BF6" w:rsidRDefault="000B2A09" w:rsidP="00590A13">
      <w:pPr>
        <w:jc w:val="both"/>
      </w:pPr>
      <w:r>
        <w:tab/>
      </w:r>
      <w:r>
        <w:tab/>
      </w:r>
      <w:r>
        <w:tab/>
      </w:r>
      <w:r>
        <w:tab/>
      </w:r>
      <w:r>
        <w:tab/>
      </w:r>
      <w:r>
        <w:tab/>
      </w:r>
      <w:r>
        <w:tab/>
        <w:t>(RM-12-234)</w:t>
      </w:r>
    </w:p>
    <w:p w:rsidR="00590A13" w:rsidRPr="00BF7BF6" w:rsidRDefault="00590A13" w:rsidP="00590A13">
      <w:pPr>
        <w:jc w:val="both"/>
      </w:pP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83160B" w:rsidRDefault="00590A13" w:rsidP="0083160B">
      <w:pPr>
        <w:jc w:val="both"/>
      </w:pPr>
      <w:r w:rsidRPr="00BF7BF6">
        <w:t xml:space="preserve">In the Matter of </w:t>
      </w:r>
      <w:r w:rsidRPr="00BF7BF6">
        <w:tab/>
      </w:r>
      <w:r w:rsidR="00BF7BF6">
        <w:tab/>
        <w:t>)</w:t>
      </w:r>
    </w:p>
    <w:p w:rsidR="00590A13" w:rsidRPr="00BF7BF6" w:rsidRDefault="0083160B" w:rsidP="0083160B">
      <w:pPr>
        <w:jc w:val="both"/>
      </w:pPr>
      <w:r>
        <w:tab/>
      </w:r>
      <w:r>
        <w:tab/>
      </w:r>
      <w:r>
        <w:tab/>
      </w:r>
      <w:r>
        <w:tab/>
      </w:r>
      <w:r w:rsidR="00BF7BF6">
        <w:t>)</w:t>
      </w:r>
      <w:r>
        <w:tab/>
      </w:r>
      <w:r w:rsidRPr="00C23007">
        <w:rPr>
          <w:u w:val="single"/>
        </w:rPr>
        <w:t>FINAL DECISION AND ORDER</w:t>
      </w:r>
    </w:p>
    <w:p w:rsidR="00590A13" w:rsidRPr="00BF7BF6" w:rsidRDefault="000B2A09" w:rsidP="00590A13">
      <w:pPr>
        <w:jc w:val="both"/>
      </w:pPr>
      <w:r>
        <w:t>David Brendel</w:t>
      </w:r>
      <w:r w:rsidR="00590A13" w:rsidRPr="00BF7BF6">
        <w:t>, M.D.</w:t>
      </w:r>
      <w:r>
        <w:tab/>
      </w:r>
      <w:r w:rsidR="00BF7BF6">
        <w:tab/>
      </w:r>
      <w:r w:rsidR="00590A13" w:rsidRPr="00BF7BF6">
        <w:t>)</w:t>
      </w:r>
    </w:p>
    <w:p w:rsidR="00590A13" w:rsidRPr="00BF7BF6" w:rsidRDefault="00590A13" w:rsidP="00590A13">
      <w:pPr>
        <w:jc w:val="both"/>
      </w:pPr>
      <w:r w:rsidRPr="00BF7BF6">
        <w:t>________________________)</w:t>
      </w:r>
    </w:p>
    <w:p w:rsidR="00640812" w:rsidRDefault="00640812" w:rsidP="00214930">
      <w:pPr>
        <w:spacing w:line="360" w:lineRule="auto"/>
      </w:pPr>
    </w:p>
    <w:p w:rsidR="002833DB" w:rsidRPr="00E67BE8" w:rsidRDefault="002833DB" w:rsidP="00214930">
      <w:pPr>
        <w:spacing w:line="360" w:lineRule="auto"/>
      </w:pPr>
    </w:p>
    <w:p w:rsidR="00214930" w:rsidRPr="00083176" w:rsidRDefault="00214930" w:rsidP="002833DB">
      <w:pPr>
        <w:spacing w:line="360" w:lineRule="auto"/>
        <w:jc w:val="both"/>
      </w:pPr>
      <w:r>
        <w:tab/>
      </w:r>
      <w:r w:rsidR="00F432C7" w:rsidRPr="00E67BE8">
        <w:t xml:space="preserve">This matter came before the Board for disposition on the basis of the Administrative Magistrate’s Recommended </w:t>
      </w:r>
      <w:r w:rsidR="00B214C4">
        <w:t>Decision</w:t>
      </w:r>
      <w:r w:rsidR="00F432C7" w:rsidRPr="00E67BE8">
        <w:t xml:space="preserve"> </w:t>
      </w:r>
      <w:r w:rsidR="00B214C4">
        <w:t xml:space="preserve">incorporating a Stipulation, </w:t>
      </w:r>
      <w:r w:rsidR="00F432C7" w:rsidRPr="00E67BE8">
        <w:t xml:space="preserve">dated </w:t>
      </w:r>
      <w:r w:rsidR="00B214C4">
        <w:t>April 13, 2017</w:t>
      </w:r>
      <w:r w:rsidR="00083176">
        <w:t>,</w:t>
      </w:r>
      <w:r w:rsidR="00083176" w:rsidRPr="00083176">
        <w:t xml:space="preserve"> </w:t>
      </w:r>
      <w:r w:rsidR="00083176" w:rsidRPr="00E67BE8">
        <w:t xml:space="preserve">which </w:t>
      </w:r>
      <w:r w:rsidR="00083176">
        <w:t>is</w:t>
      </w:r>
      <w:r w:rsidR="00083176" w:rsidRPr="00E67BE8">
        <w:t xml:space="preserve"> attached hereto</w:t>
      </w:r>
      <w:r w:rsidR="00BF39E2" w:rsidRPr="00BF39E2">
        <w:t xml:space="preserve"> </w:t>
      </w:r>
      <w:r w:rsidR="00BF39E2" w:rsidRPr="00E67BE8">
        <w:t>and incorporated by reference</w:t>
      </w:r>
      <w:r w:rsidR="00083176">
        <w:t xml:space="preserve">.  </w:t>
      </w:r>
      <w:r w:rsidR="00E67BE8" w:rsidRPr="00E67BE8">
        <w:t xml:space="preserve">The Respondent </w:t>
      </w:r>
      <w:r w:rsidR="008471CF">
        <w:t xml:space="preserve">and </w:t>
      </w:r>
      <w:r w:rsidR="00B214C4">
        <w:t xml:space="preserve">Complaint Counsel </w:t>
      </w:r>
      <w:r w:rsidR="008471CF">
        <w:t>each</w:t>
      </w:r>
      <w:r w:rsidR="00B214C4">
        <w:t xml:space="preserve"> </w:t>
      </w:r>
      <w:r w:rsidR="00E67BE8" w:rsidRPr="00E67BE8">
        <w:t xml:space="preserve">submitted </w:t>
      </w:r>
      <w:r w:rsidR="008471CF">
        <w:t xml:space="preserve">a </w:t>
      </w:r>
      <w:r w:rsidR="00B214C4">
        <w:t>Memorand</w:t>
      </w:r>
      <w:r w:rsidR="008471CF">
        <w:t>um</w:t>
      </w:r>
      <w:r w:rsidR="00B214C4">
        <w:t xml:space="preserve"> on Disposition.  </w:t>
      </w:r>
      <w:r w:rsidR="00083176">
        <w:t>The Board also heard from the Respondent and Complaint Counsel regarding disposition.</w:t>
      </w:r>
    </w:p>
    <w:p w:rsidR="00640812" w:rsidRPr="00E67BE8" w:rsidRDefault="00214930" w:rsidP="002833DB">
      <w:pPr>
        <w:pStyle w:val="le-brm-normal-32-level"/>
        <w:spacing w:line="360" w:lineRule="auto"/>
        <w:jc w:val="both"/>
        <w:rPr>
          <w:rFonts w:ascii="Times New Roman" w:hAnsi="Times New Roman" w:cs="Times New Roman"/>
          <w:sz w:val="24"/>
          <w:szCs w:val="24"/>
        </w:rPr>
      </w:pPr>
      <w:r w:rsidRPr="00083176">
        <w:rPr>
          <w:rFonts w:ascii="Times New Roman" w:hAnsi="Times New Roman" w:cs="Times New Roman"/>
          <w:sz w:val="24"/>
          <w:szCs w:val="24"/>
        </w:rPr>
        <w:tab/>
      </w:r>
      <w:r w:rsidR="00640812" w:rsidRPr="00E67BE8">
        <w:rPr>
          <w:rFonts w:ascii="Times New Roman" w:hAnsi="Times New Roman" w:cs="Times New Roman"/>
          <w:sz w:val="24"/>
          <w:szCs w:val="24"/>
        </w:rPr>
        <w:t xml:space="preserve">After full consideration of the Recommended </w:t>
      </w:r>
      <w:r w:rsidR="00B214C4">
        <w:rPr>
          <w:rFonts w:ascii="Times New Roman" w:hAnsi="Times New Roman" w:cs="Times New Roman"/>
          <w:sz w:val="24"/>
          <w:szCs w:val="24"/>
        </w:rPr>
        <w:t xml:space="preserve">Decision </w:t>
      </w:r>
      <w:r w:rsidR="002833DB">
        <w:rPr>
          <w:rFonts w:ascii="Times New Roman" w:hAnsi="Times New Roman" w:cs="Times New Roman"/>
          <w:sz w:val="24"/>
          <w:szCs w:val="24"/>
        </w:rPr>
        <w:t xml:space="preserve">incorporating the </w:t>
      </w:r>
      <w:r w:rsidR="00B214C4">
        <w:rPr>
          <w:rFonts w:ascii="Times New Roman" w:hAnsi="Times New Roman" w:cs="Times New Roman"/>
          <w:sz w:val="24"/>
          <w:szCs w:val="24"/>
        </w:rPr>
        <w:t>Stipulation</w:t>
      </w:r>
      <w:r w:rsidR="00083176">
        <w:rPr>
          <w:rFonts w:ascii="Times New Roman" w:hAnsi="Times New Roman" w:cs="Times New Roman"/>
          <w:sz w:val="24"/>
          <w:szCs w:val="24"/>
        </w:rPr>
        <w:t xml:space="preserve">, </w:t>
      </w:r>
      <w:r w:rsidR="00BF39E2">
        <w:rPr>
          <w:rFonts w:ascii="Times New Roman" w:hAnsi="Times New Roman" w:cs="Times New Roman"/>
          <w:sz w:val="24"/>
          <w:szCs w:val="24"/>
        </w:rPr>
        <w:t xml:space="preserve">and </w:t>
      </w:r>
      <w:r w:rsidR="00083176">
        <w:rPr>
          <w:rFonts w:ascii="Times New Roman" w:hAnsi="Times New Roman" w:cs="Times New Roman"/>
          <w:sz w:val="24"/>
          <w:szCs w:val="24"/>
        </w:rPr>
        <w:t xml:space="preserve">the </w:t>
      </w:r>
      <w:r w:rsidR="00BF39E2">
        <w:rPr>
          <w:rFonts w:ascii="Times New Roman" w:hAnsi="Times New Roman" w:cs="Times New Roman"/>
          <w:sz w:val="24"/>
          <w:szCs w:val="24"/>
        </w:rPr>
        <w:t xml:space="preserve">considerations of Patient A, </w:t>
      </w:r>
      <w:r w:rsidR="00640812" w:rsidRPr="00E67BE8">
        <w:rPr>
          <w:rFonts w:ascii="Times New Roman" w:hAnsi="Times New Roman" w:cs="Times New Roman"/>
          <w:sz w:val="24"/>
          <w:szCs w:val="24"/>
        </w:rPr>
        <w:t xml:space="preserve">the Board </w:t>
      </w:r>
      <w:r w:rsidR="00BF39E2">
        <w:rPr>
          <w:rFonts w:ascii="Times New Roman" w:hAnsi="Times New Roman" w:cs="Times New Roman"/>
          <w:sz w:val="24"/>
          <w:szCs w:val="24"/>
        </w:rPr>
        <w:t xml:space="preserve">adopts the Recommended </w:t>
      </w:r>
      <w:r w:rsidR="00B214C4">
        <w:rPr>
          <w:rFonts w:ascii="Times New Roman" w:hAnsi="Times New Roman" w:cs="Times New Roman"/>
          <w:sz w:val="24"/>
          <w:szCs w:val="24"/>
        </w:rPr>
        <w:t>Decision</w:t>
      </w:r>
      <w:r w:rsidR="00BF39E2">
        <w:rPr>
          <w:rFonts w:ascii="Times New Roman" w:hAnsi="Times New Roman" w:cs="Times New Roman"/>
          <w:sz w:val="24"/>
          <w:szCs w:val="24"/>
        </w:rPr>
        <w:t xml:space="preserve"> and </w:t>
      </w:r>
      <w:r w:rsidR="002833DB">
        <w:rPr>
          <w:rFonts w:ascii="Times New Roman" w:hAnsi="Times New Roman" w:cs="Times New Roman"/>
          <w:sz w:val="24"/>
          <w:szCs w:val="24"/>
        </w:rPr>
        <w:t>Stipulation.  Pursuant to the provisions in the Stipulation that allow for “the parties to re-negotiate the provision in light of the Board’s rejection [of any provision], the Board requested modifications to the suggested sanction.  After being given an opportunity to accept or reject the modified sanction, the Respondent and his counsel agreed to the modified sanction.</w:t>
      </w:r>
      <w:r w:rsidR="00640812" w:rsidRPr="00E67BE8">
        <w:rPr>
          <w:rFonts w:ascii="Times New Roman" w:hAnsi="Times New Roman" w:cs="Times New Roman"/>
          <w:sz w:val="24"/>
          <w:szCs w:val="24"/>
        </w:rPr>
        <w:t xml:space="preserve"> </w:t>
      </w:r>
    </w:p>
    <w:p w:rsidR="00640812" w:rsidRPr="00985481" w:rsidRDefault="00640812" w:rsidP="00E4139D">
      <w:pPr>
        <w:pStyle w:val="le-brm-normal-32-level"/>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Sanction</w:t>
      </w:r>
    </w:p>
    <w:p w:rsidR="00640812" w:rsidRDefault="00640812" w:rsidP="002833DB">
      <w:pPr>
        <w:spacing w:line="360" w:lineRule="auto"/>
        <w:ind w:firstLine="720"/>
        <w:jc w:val="both"/>
      </w:pPr>
      <w:r>
        <w:t xml:space="preserve">The record demonstrates that the Respondent engaged in conduct that calls into question his competence to practice medicine and </w:t>
      </w:r>
      <w:r w:rsidR="006B555E">
        <w:t xml:space="preserve">engaged in conduct that </w:t>
      </w:r>
      <w:r>
        <w:t xml:space="preserve">undermines public confidence in the integrity of the medical profession.  Therefore, it is proper for the Board to impose sanction.  </w:t>
      </w:r>
      <w:r w:rsidRPr="006B555E">
        <w:rPr>
          <w:i/>
          <w:iCs/>
        </w:rPr>
        <w:t>See</w:t>
      </w:r>
      <w:r>
        <w:rPr>
          <w:i/>
          <w:iCs/>
        </w:rPr>
        <w:t xml:space="preserve"> </w:t>
      </w:r>
      <w:r w:rsidRPr="00A47366">
        <w:rPr>
          <w:iCs/>
          <w:u w:val="single"/>
        </w:rPr>
        <w:t>Raymond v. Board of Registration in Medicine</w:t>
      </w:r>
      <w:r>
        <w:t xml:space="preserve">, 387 </w:t>
      </w:r>
      <w:smartTag w:uri="urn:schemas-microsoft-com:office:smarttags" w:element="State">
        <w:r>
          <w:t>Mass.</w:t>
        </w:r>
      </w:smartTag>
      <w:r>
        <w:t xml:space="preserve"> 708 (1982); </w:t>
      </w:r>
      <w:r w:rsidRPr="00A47366">
        <w:rPr>
          <w:iCs/>
          <w:u w:val="single"/>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w:t>
      </w:r>
    </w:p>
    <w:p w:rsidR="00640812" w:rsidRDefault="00640812" w:rsidP="002833DB">
      <w:pPr>
        <w:pStyle w:val="BodyText"/>
        <w:spacing w:line="360" w:lineRule="auto"/>
        <w:ind w:firstLine="720"/>
        <w:jc w:val="both"/>
      </w:pPr>
      <w:r>
        <w:t xml:space="preserve">In the past, the Board has dealt strictly with cases of sexual misconduct, particularly where, as in the Respondent’s case, the physician is a psychiatrist or is acting </w:t>
      </w:r>
      <w:r>
        <w:lastRenderedPageBreak/>
        <w:t xml:space="preserve">in such a role.  Such cases involve a serious departure from good and accepted medical practice and a complete abuse of patient trust.  </w:t>
      </w:r>
      <w:r w:rsidRPr="006B555E">
        <w:rPr>
          <w:i/>
        </w:rPr>
        <w:t>See</w:t>
      </w:r>
      <w:r>
        <w:t xml:space="preserve"> </w:t>
      </w:r>
      <w:r>
        <w:rPr>
          <w:u w:val="single"/>
        </w:rPr>
        <w:t>In the Matter of John A. Scorza, M.D.</w:t>
      </w:r>
      <w:r>
        <w:t xml:space="preserve">, Board of Registration in Medicine, Adjudicatory Case No. 2005-030 (Final Decision and Order, February 20, 2008); </w:t>
      </w:r>
      <w:r>
        <w:rPr>
          <w:u w:val="single"/>
        </w:rPr>
        <w:t>In The Matter of Karen S. Kagey, M.D.</w:t>
      </w:r>
      <w:r>
        <w:t xml:space="preserve">, Board of Registration in Medicine, Adjudicatory Case No. 05-15 (Final Decision and Order, November 15, 2006); and </w:t>
      </w:r>
      <w:r>
        <w:rPr>
          <w:u w:val="single"/>
        </w:rPr>
        <w:t>In the Matter of William Kadish, M.D.</w:t>
      </w:r>
      <w:r>
        <w:t>, Board of Registration in Medicine, Adjudicatory Case No. 2001-XX (Consent Order, August 22, 2001).  In this case, the Respondent committed boundary violations</w:t>
      </w:r>
      <w:r w:rsidR="006B555E">
        <w:t xml:space="preserve"> with a former patient</w:t>
      </w:r>
      <w:r>
        <w:t xml:space="preserve">, </w:t>
      </w:r>
      <w:r w:rsidR="00CE5CFC">
        <w:t xml:space="preserve">beginning a social relationship after </w:t>
      </w:r>
      <w:r w:rsidR="006B555E">
        <w:t>terminat</w:t>
      </w:r>
      <w:r w:rsidR="0077606C">
        <w:t>ing</w:t>
      </w:r>
      <w:r w:rsidR="006B555E">
        <w:t xml:space="preserve"> </w:t>
      </w:r>
      <w:r w:rsidR="0078003F">
        <w:t>the psychotherapist – patient relationship</w:t>
      </w:r>
      <w:r w:rsidR="00CE5CFC">
        <w:t xml:space="preserve"> and</w:t>
      </w:r>
      <w:r w:rsidR="0078003F">
        <w:t xml:space="preserve"> transferring </w:t>
      </w:r>
      <w:r w:rsidR="0077606C">
        <w:t>the patient’s</w:t>
      </w:r>
      <w:r w:rsidR="0078003F">
        <w:t xml:space="preserve"> care to another psychotherapist.  </w:t>
      </w:r>
      <w:r>
        <w:t>By doing so, the Respondent crossed the boundary which separates reasonable and appropriate professional conduct from un</w:t>
      </w:r>
      <w:r w:rsidR="0078003F">
        <w:t xml:space="preserve">acceptable personal relations, all in violation of the standards set forth in </w:t>
      </w:r>
      <w:r w:rsidR="0078003F" w:rsidRPr="00B64297">
        <w:rPr>
          <w:i/>
        </w:rPr>
        <w:t>The Principles of Medical Ethics with Annotations Especially Applicable to Psychiatry</w:t>
      </w:r>
      <w:r w:rsidR="0078003F">
        <w:t xml:space="preserve"> by the American Psychiatric Association (APA), making it unethical for a psychiatrist to have a sexual relationship with a current or former patient.</w:t>
      </w:r>
    </w:p>
    <w:p w:rsidR="0077606C" w:rsidRDefault="00640812" w:rsidP="002833DB">
      <w:pPr>
        <w:pStyle w:val="BodyText"/>
        <w:spacing w:line="360" w:lineRule="auto"/>
        <w:ind w:firstLine="720"/>
        <w:jc w:val="both"/>
      </w:pPr>
      <w:r>
        <w:t>In determining the appropriate sanction, the Board has considered the mitigating factors proffered</w:t>
      </w:r>
      <w:r w:rsidR="00CE5CFC">
        <w:t xml:space="preserve"> by the Respondent</w:t>
      </w:r>
      <w:r>
        <w:t xml:space="preserve">, </w:t>
      </w:r>
      <w:r w:rsidR="0077606C">
        <w:t xml:space="preserve">including </w:t>
      </w:r>
      <w:r w:rsidR="00CE5CFC">
        <w:t xml:space="preserve">that the psychotherapist-patient relationship was properly terminated, </w:t>
      </w:r>
      <w:r w:rsidR="0077606C">
        <w:t>th</w:t>
      </w:r>
      <w:r w:rsidR="00E27B44">
        <w:t>at</w:t>
      </w:r>
      <w:r w:rsidR="0077606C">
        <w:t xml:space="preserve"> </w:t>
      </w:r>
      <w:r w:rsidR="00E27B44">
        <w:t>P</w:t>
      </w:r>
      <w:r w:rsidR="0077606C">
        <w:t>atient</w:t>
      </w:r>
      <w:r w:rsidR="00CE5CFC">
        <w:t xml:space="preserve"> </w:t>
      </w:r>
      <w:r w:rsidR="00E27B44">
        <w:t xml:space="preserve">A </w:t>
      </w:r>
      <w:r w:rsidR="00CE5CFC">
        <w:t xml:space="preserve">has </w:t>
      </w:r>
      <w:r w:rsidR="0077606C">
        <w:t xml:space="preserve">alleged consent and </w:t>
      </w:r>
      <w:r w:rsidR="008F438F">
        <w:t xml:space="preserve">denied </w:t>
      </w:r>
      <w:r w:rsidR="00CE5CFC">
        <w:t xml:space="preserve">there was </w:t>
      </w:r>
      <w:r w:rsidR="000F025E">
        <w:t>any</w:t>
      </w:r>
      <w:r w:rsidR="0077606C">
        <w:t xml:space="preserve"> harm. The Board </w:t>
      </w:r>
      <w:r w:rsidR="00342E6E">
        <w:t xml:space="preserve">does not </w:t>
      </w:r>
      <w:r w:rsidR="0077606C">
        <w:t>consider the argument</w:t>
      </w:r>
      <w:r w:rsidR="00342E6E">
        <w:t xml:space="preserve">s relative to </w:t>
      </w:r>
      <w:r w:rsidR="0077606C">
        <w:t xml:space="preserve">consent </w:t>
      </w:r>
      <w:r w:rsidR="00342E6E">
        <w:t xml:space="preserve">and the absence of harm </w:t>
      </w:r>
      <w:r w:rsidR="000C5AA8">
        <w:t xml:space="preserve">as defenses to the violations.  </w:t>
      </w:r>
      <w:r w:rsidR="0077606C">
        <w:t xml:space="preserve">“Consent is not a defense to sexual misconduct.” </w:t>
      </w:r>
      <w:r w:rsidR="0077606C" w:rsidRPr="000C5AA8">
        <w:rPr>
          <w:i/>
        </w:rPr>
        <w:t>See</w:t>
      </w:r>
      <w:r w:rsidR="0077606C">
        <w:t xml:space="preserve"> </w:t>
      </w:r>
      <w:r w:rsidR="0077606C" w:rsidRPr="000C5AA8">
        <w:rPr>
          <w:u w:val="single"/>
        </w:rPr>
        <w:t>In the Matter of Terrence M. O’Neill, M.D.</w:t>
      </w:r>
      <w:r w:rsidR="0077606C" w:rsidRPr="000C5AA8">
        <w:t>,</w:t>
      </w:r>
      <w:r w:rsidR="0077606C">
        <w:t xml:space="preserve"> Board of Medicine, Adjudicatory Case Number 88-44-TR (Final Decision and Order, August 9, 1994). “To take disciplinary action, the Board need not establish that a physician’s conduct caused any harm to his patient.” </w:t>
      </w:r>
      <w:r w:rsidR="0077606C" w:rsidRPr="000C5AA8">
        <w:rPr>
          <w:i/>
        </w:rPr>
        <w:t>Id. citing</w:t>
      </w:r>
      <w:r w:rsidR="0077606C">
        <w:t xml:space="preserve"> </w:t>
      </w:r>
      <w:r w:rsidR="0077606C" w:rsidRPr="00431EBC">
        <w:rPr>
          <w:i/>
          <w:u w:val="single"/>
        </w:rPr>
        <w:t>Merola</w:t>
      </w:r>
      <w:r w:rsidR="0077606C" w:rsidRPr="000C5AA8">
        <w:t xml:space="preserve"> and </w:t>
      </w:r>
      <w:r w:rsidR="0077606C" w:rsidRPr="000C5AA8">
        <w:rPr>
          <w:u w:val="single"/>
        </w:rPr>
        <w:t>Yellin v. Board of Medicine</w:t>
      </w:r>
      <w:r w:rsidR="0077606C">
        <w:t xml:space="preserve">, </w:t>
      </w:r>
      <w:smartTag w:uri="urn:schemas-microsoft-com:office:smarttags" w:element="Street">
        <w:smartTag w:uri="urn:schemas-microsoft-com:office:smarttags" w:element="address">
          <w:r w:rsidR="0077606C">
            <w:t>Supreme Judicial Court, No.</w:t>
          </w:r>
        </w:smartTag>
      </w:smartTag>
      <w:r w:rsidR="0077606C">
        <w:t xml:space="preserve"> 83-99, January 17, 1984, (Memorandum of Decision) at pp.10-11. </w:t>
      </w:r>
      <w:r w:rsidR="00CE5CFC">
        <w:t>However, r</w:t>
      </w:r>
      <w:r w:rsidR="00BF7EBC">
        <w:t>elative to</w:t>
      </w:r>
      <w:r w:rsidR="000C5AA8">
        <w:t xml:space="preserve"> disposition, t</w:t>
      </w:r>
      <w:r w:rsidR="0077606C">
        <w:t xml:space="preserve">he </w:t>
      </w:r>
      <w:r w:rsidR="00CE5CFC">
        <w:t xml:space="preserve">Board will consider that </w:t>
      </w:r>
      <w:r w:rsidR="00E27B44">
        <w:t xml:space="preserve">Patient A has alleged the </w:t>
      </w:r>
      <w:r w:rsidR="000C5AA8">
        <w:t>relationship was consensual and there was no harm to her.</w:t>
      </w:r>
    </w:p>
    <w:p w:rsidR="00640812" w:rsidRDefault="00640812" w:rsidP="002833DB">
      <w:pPr>
        <w:pStyle w:val="BodyText"/>
        <w:spacing w:line="360" w:lineRule="auto"/>
        <w:ind w:firstLine="720"/>
        <w:jc w:val="both"/>
      </w:pPr>
      <w:r>
        <w:t xml:space="preserve">In the past, the Board has imposed a lesser sanction than </w:t>
      </w:r>
      <w:r w:rsidR="00CF1EC0">
        <w:t xml:space="preserve">straight </w:t>
      </w:r>
      <w:r>
        <w:t xml:space="preserve">revocation taking into account such factors as the nature and extent of the overall misconduct, the number of patients involved, the duration of the misconduct, and whether the physician self-reported the misconduct and cooperated with the Board.  </w:t>
      </w:r>
      <w:r>
        <w:rPr>
          <w:u w:val="single"/>
        </w:rPr>
        <w:t xml:space="preserve">In the Matter of Terrence </w:t>
      </w:r>
      <w:r>
        <w:rPr>
          <w:u w:val="single"/>
        </w:rPr>
        <w:lastRenderedPageBreak/>
        <w:t>M. O’Neill, M.D.</w:t>
      </w:r>
      <w:r>
        <w:t xml:space="preserve">, Board of Registration in Medicine, Adjudicatory Case No. 88-44-TR (Final Decision and Order, August 9, 1994).  </w:t>
      </w:r>
      <w:r w:rsidR="00506E9A">
        <w:t>In th</w:t>
      </w:r>
      <w:r w:rsidR="008F438F">
        <w:t xml:space="preserve">e </w:t>
      </w:r>
      <w:r w:rsidR="008F438F" w:rsidRPr="008F438F">
        <w:rPr>
          <w:i/>
        </w:rPr>
        <w:t>O’Neill</w:t>
      </w:r>
      <w:r w:rsidR="008F438F">
        <w:t xml:space="preserve"> case</w:t>
      </w:r>
      <w:r w:rsidR="00506E9A">
        <w:t xml:space="preserve"> matter</w:t>
      </w:r>
      <w:r>
        <w:t xml:space="preserve"> the Respondent</w:t>
      </w:r>
      <w:r w:rsidR="00CF1EC0">
        <w:t>, an Ob-Gyn,</w:t>
      </w:r>
      <w:r>
        <w:t xml:space="preserve"> did</w:t>
      </w:r>
      <w:r w:rsidR="00506E9A">
        <w:t xml:space="preserve"> transfer the patient’s care to a psychiatrist</w:t>
      </w:r>
      <w:r w:rsidR="0037560B">
        <w:t>,</w:t>
      </w:r>
      <w:r w:rsidR="00BF7EBC">
        <w:t xml:space="preserve"> </w:t>
      </w:r>
      <w:r w:rsidR="00506E9A">
        <w:t xml:space="preserve">there was no harm </w:t>
      </w:r>
      <w:r w:rsidR="008F438F">
        <w:t xml:space="preserve">alleged </w:t>
      </w:r>
      <w:r w:rsidR="00506E9A">
        <w:t>according to the patient and the Respondent ha</w:t>
      </w:r>
      <w:r w:rsidR="00CF1EC0">
        <w:t>d</w:t>
      </w:r>
      <w:r w:rsidR="00506E9A">
        <w:t xml:space="preserve"> no other violations or matters before the Board.  There was only one patient involved, that patient was a former patient and </w:t>
      </w:r>
      <w:r w:rsidR="00581F69">
        <w:t xml:space="preserve">there </w:t>
      </w:r>
      <w:r w:rsidR="00CF1EC0">
        <w:t>was</w:t>
      </w:r>
      <w:r w:rsidR="00581F69">
        <w:t xml:space="preserve"> not likely to be a recurrence of this behavior.  </w:t>
      </w:r>
      <w:r w:rsidR="00CF1EC0">
        <w:t xml:space="preserve">The Board suspended his license for 3 years, which suspension was stayed </w:t>
      </w:r>
      <w:r w:rsidR="008471CF">
        <w:t xml:space="preserve">seven </w:t>
      </w:r>
      <w:r w:rsidR="00CF1EC0">
        <w:t xml:space="preserve">months after the Final Decision.  </w:t>
      </w:r>
      <w:r w:rsidR="00581F69" w:rsidRPr="00CF1EC0">
        <w:rPr>
          <w:i/>
        </w:rPr>
        <w:t>See</w:t>
      </w:r>
      <w:r w:rsidR="00581F69">
        <w:t xml:space="preserve"> </w:t>
      </w:r>
      <w:r w:rsidR="00581F69" w:rsidRPr="00BE176A">
        <w:rPr>
          <w:u w:val="single"/>
        </w:rPr>
        <w:t>In the Matter of Gerald Franklin, M.D.</w:t>
      </w:r>
      <w:r w:rsidR="00581F69">
        <w:t>, Adjudicatory Case No. 95-30-XX, (Consent Order, February 22, 1995), where the psychiatrist had a sexual relationship with his patient during the course of treatment.  In deciding a sanction, the Board took into account that there was only one patient involved, there was unlikely to be a recurrence of this behavior, and the Respondent felt remorseful</w:t>
      </w:r>
      <w:r w:rsidR="008A2296">
        <w:t>.</w:t>
      </w:r>
      <w:r w:rsidR="00CF1EC0">
        <w:t xml:space="preserve">  The Board revoked his license, but allowed him to petition for reinstatement after </w:t>
      </w:r>
      <w:r w:rsidR="00E236F9">
        <w:t>17 months.</w:t>
      </w:r>
      <w:r w:rsidR="00EA6875">
        <w:t xml:space="preserve">  </w:t>
      </w:r>
      <w:r w:rsidR="00F172F5" w:rsidRPr="00D13F0E">
        <w:rPr>
          <w:i/>
        </w:rPr>
        <w:t>See</w:t>
      </w:r>
      <w:r w:rsidR="00F172F5">
        <w:t xml:space="preserve"> </w:t>
      </w:r>
      <w:r w:rsidR="00F172F5" w:rsidRPr="00D13F0E">
        <w:rPr>
          <w:u w:val="single"/>
        </w:rPr>
        <w:t>In the Matter of Howard Berens, M.D.</w:t>
      </w:r>
      <w:r w:rsidR="00F172F5">
        <w:t>, Adjudicatory Case No. 02-33-XX, (Consent Order, August 2, 2002), where the psychiatris</w:t>
      </w:r>
      <w:r w:rsidR="00D13F0E">
        <w:t xml:space="preserve">t started a sexual relationship with a patient two months after the physician-patient relationship had been terminated.  The patient declined to file a complaint and the Respondent cooperated with the Board.  The Board suspended him for 3 years and stayed the suspension upon entry into a probation agreement.  </w:t>
      </w:r>
      <w:r w:rsidR="00F172F5">
        <w:t xml:space="preserve"> </w:t>
      </w:r>
      <w:r w:rsidR="00EA6875" w:rsidRPr="00EA6875">
        <w:rPr>
          <w:i/>
        </w:rPr>
        <w:t>See</w:t>
      </w:r>
      <w:r w:rsidR="00EA6875">
        <w:t xml:space="preserve"> </w:t>
      </w:r>
      <w:r w:rsidR="00EA6875" w:rsidRPr="00EA6875">
        <w:rPr>
          <w:u w:val="single"/>
        </w:rPr>
        <w:t>In the Matter of Harold Williams, M.D.</w:t>
      </w:r>
      <w:r w:rsidR="00EA6875">
        <w:t xml:space="preserve">, Adjudicatory Case No. 92-15-DALA, (Final Decision and Order, April 14, 1993), where the psychiatrist had a sexual relationship with his patient during the course of treatment.  </w:t>
      </w:r>
      <w:r w:rsidR="00640C55">
        <w:t>The Board accepted a stipulation by the parties allowing for a suspension of five years, stayed after one year upon entering into a five year probation agreement.</w:t>
      </w:r>
    </w:p>
    <w:p w:rsidR="008A2296" w:rsidRDefault="008A2296" w:rsidP="002833DB">
      <w:pPr>
        <w:spacing w:line="360" w:lineRule="auto"/>
        <w:ind w:firstLine="720"/>
        <w:jc w:val="both"/>
      </w:pPr>
      <w:r>
        <w:t>In light of the Respondent’s sexual relationship with a former patient, and taking into consideration the aforementioned mitigating factors, t</w:t>
      </w:r>
      <w:r w:rsidR="00640812" w:rsidRPr="000A15F7">
        <w:t xml:space="preserve">he Board hereby </w:t>
      </w:r>
      <w:r w:rsidR="008F438F">
        <w:t xml:space="preserve">INDEFINITELY </w:t>
      </w:r>
      <w:r>
        <w:t>SUSPENDS</w:t>
      </w:r>
      <w:r w:rsidR="00640812">
        <w:t xml:space="preserve"> the Respondent’s license to practice medicine</w:t>
      </w:r>
      <w:r w:rsidR="008F438F">
        <w:t xml:space="preserve"> with an immediate stay</w:t>
      </w:r>
      <w:r>
        <w:t xml:space="preserve">. </w:t>
      </w:r>
      <w:r w:rsidR="008F438F">
        <w:t xml:space="preserve">The Respondent shall </w:t>
      </w:r>
      <w:r w:rsidR="00811554">
        <w:t>complet</w:t>
      </w:r>
      <w:r w:rsidR="008F438F">
        <w:t>e</w:t>
      </w:r>
      <w:r w:rsidR="00811554">
        <w:t xml:space="preserve"> 20 credit hours of Continuing Professional Development </w:t>
      </w:r>
      <w:r w:rsidR="008F438F">
        <w:t xml:space="preserve">(CPD) </w:t>
      </w:r>
      <w:r w:rsidR="00811554">
        <w:t>courses in boundar</w:t>
      </w:r>
      <w:r w:rsidR="008F438F">
        <w:t>y violations and medical ethics within 60 days.  If the CPDs are not completed within 60 days, the stay will be lifted.</w:t>
      </w:r>
    </w:p>
    <w:p w:rsidR="00640812" w:rsidRPr="000A15F7" w:rsidRDefault="00214930" w:rsidP="002833DB">
      <w:pPr>
        <w:spacing w:line="360" w:lineRule="auto"/>
        <w:jc w:val="both"/>
      </w:pPr>
      <w:r>
        <w:tab/>
      </w:r>
      <w:r w:rsidR="00640812">
        <w:t xml:space="preserve">The Respondent shall provide a complete copy of this Final Decision and Order, with all exhibits and attachments within ten (10) days by certified mail, return receipt </w:t>
      </w:r>
      <w:r w:rsidR="00640812">
        <w:lastRenderedPageBreak/>
        <w:t xml:space="preserve">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8A6C71">
        <w:t xml:space="preserve">for the duration </w:t>
      </w:r>
      <w:r w:rsidR="00431EBC">
        <w:t>of this suspension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rsidR="00BF7EBC" w:rsidRDefault="00BF7EBC" w:rsidP="0077606C">
      <w:pPr>
        <w:spacing w:line="360" w:lineRule="auto"/>
      </w:pPr>
    </w:p>
    <w:p w:rsidR="00BF7EBC" w:rsidRDefault="00BF7EBC" w:rsidP="0077606C">
      <w:pPr>
        <w:spacing w:line="360" w:lineRule="auto"/>
      </w:pPr>
    </w:p>
    <w:p w:rsidR="00590A13" w:rsidRPr="00AB0744" w:rsidRDefault="00590A13" w:rsidP="00BF7EBC">
      <w:pPr>
        <w:rPr>
          <w:u w:val="single"/>
        </w:rPr>
      </w:pPr>
      <w:r w:rsidRPr="00BF7BF6">
        <w:t>Date:</w:t>
      </w:r>
      <w:r w:rsidR="00BF7EBC">
        <w:tab/>
      </w:r>
      <w:r w:rsidR="00D602E5">
        <w:t>July 13, 2017</w:t>
      </w:r>
      <w:r w:rsidR="00D602E5">
        <w:tab/>
      </w:r>
      <w:r w:rsidRPr="00BF7BF6">
        <w:tab/>
      </w:r>
      <w:r w:rsidRPr="00BF7BF6">
        <w:tab/>
      </w:r>
      <w:r w:rsidR="00AB0744">
        <w:rPr>
          <w:u w:val="single"/>
        </w:rPr>
        <w:t>Signed by Candace Lapidus Sloane, M.D.</w:t>
      </w:r>
      <w:r w:rsidR="00AB0744">
        <w:rPr>
          <w:u w:val="single"/>
        </w:rPr>
        <w:tab/>
      </w:r>
      <w:bookmarkStart w:id="0" w:name="_GoBack"/>
      <w:bookmarkEnd w:id="0"/>
    </w:p>
    <w:p w:rsidR="00590A13" w:rsidRPr="00BF7BF6" w:rsidRDefault="00590A13" w:rsidP="00BF7EBC">
      <w:r w:rsidRPr="00BF7BF6">
        <w:tab/>
      </w:r>
      <w:r w:rsidRPr="00BF7BF6">
        <w:tab/>
      </w:r>
      <w:r w:rsidRPr="00BF7BF6">
        <w:tab/>
      </w:r>
      <w:r w:rsidRPr="00BF7BF6">
        <w:tab/>
      </w:r>
      <w:r w:rsidRPr="00BF7BF6">
        <w:tab/>
      </w:r>
      <w:r w:rsidR="00DF031C">
        <w:t xml:space="preserve">Candace </w:t>
      </w:r>
      <w:r w:rsidR="00322E91">
        <w:t xml:space="preserve">Lapidus </w:t>
      </w:r>
      <w:r w:rsidR="00DF031C">
        <w:t>Sloan</w:t>
      </w:r>
      <w:r w:rsidR="00A2786E">
        <w:t>e</w:t>
      </w:r>
      <w:r w:rsidR="00DF031C">
        <w:t>, M.D.</w:t>
      </w:r>
    </w:p>
    <w:p w:rsidR="00590A13" w:rsidRPr="00BF7BF6" w:rsidRDefault="00590A13" w:rsidP="00BF7EBC">
      <w:r w:rsidRPr="00BF7BF6">
        <w:tab/>
      </w:r>
      <w:r w:rsidRPr="00BF7BF6">
        <w:tab/>
      </w:r>
      <w:r w:rsidRPr="00BF7BF6">
        <w:tab/>
      </w:r>
      <w:r w:rsidRPr="00BF7BF6">
        <w:tab/>
      </w:r>
      <w:r w:rsidRPr="00BF7BF6">
        <w:tab/>
        <w:t>Chair</w:t>
      </w:r>
    </w:p>
    <w:p w:rsidR="001C1641" w:rsidRPr="00BF7BF6" w:rsidRDefault="00590A13" w:rsidP="00BF7EBC">
      <w:r w:rsidRPr="00BF7BF6">
        <w:tab/>
      </w:r>
      <w:r w:rsidRPr="00BF7BF6">
        <w:tab/>
      </w:r>
      <w:r w:rsidRPr="00BF7BF6">
        <w:tab/>
      </w:r>
      <w:r w:rsidRPr="00BF7BF6">
        <w:tab/>
      </w:r>
      <w:r w:rsidRPr="00BF7BF6">
        <w:tab/>
        <w:t>Board of Registration in Medicine</w:t>
      </w:r>
    </w:p>
    <w:sectPr w:rsidR="001C1641" w:rsidRPr="00BF7BF6" w:rsidSect="00D602E5">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CB" w:rsidRDefault="00C970CB">
      <w:r>
        <w:separator/>
      </w:r>
    </w:p>
  </w:endnote>
  <w:endnote w:type="continuationSeparator" w:id="0">
    <w:p w:rsidR="00C970CB" w:rsidRDefault="00C9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BE8" w:rsidRDefault="00E67BE8" w:rsidP="00E67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7BE8" w:rsidRDefault="00E67BE8"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E5" w:rsidRDefault="00D602E5">
    <w:pPr>
      <w:pStyle w:val="Footer"/>
      <w:jc w:val="center"/>
    </w:pPr>
    <w:r>
      <w:fldChar w:fldCharType="begin"/>
    </w:r>
    <w:r>
      <w:instrText xml:space="preserve"> PAGE   \* MERGEFORMAT </w:instrText>
    </w:r>
    <w:r>
      <w:fldChar w:fldCharType="separate"/>
    </w:r>
    <w:r w:rsidR="00AB0744">
      <w:rPr>
        <w:noProof/>
      </w:rPr>
      <w:t>4</w:t>
    </w:r>
    <w:r>
      <w:rPr>
        <w:noProof/>
      </w:rPr>
      <w:fldChar w:fldCharType="end"/>
    </w:r>
  </w:p>
  <w:p w:rsidR="00E67BE8" w:rsidRDefault="00E67BE8" w:rsidP="00E67B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CB" w:rsidRDefault="00C970CB">
      <w:r>
        <w:separator/>
      </w:r>
    </w:p>
  </w:footnote>
  <w:footnote w:type="continuationSeparator" w:id="0">
    <w:p w:rsidR="00C970CB" w:rsidRDefault="00C97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3176"/>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26F3"/>
    <w:rsid w:val="000B2A09"/>
    <w:rsid w:val="000B41AA"/>
    <w:rsid w:val="000B4A14"/>
    <w:rsid w:val="000B4EFC"/>
    <w:rsid w:val="000B60D6"/>
    <w:rsid w:val="000B65FF"/>
    <w:rsid w:val="000B6F2D"/>
    <w:rsid w:val="000B7129"/>
    <w:rsid w:val="000B72F3"/>
    <w:rsid w:val="000B7ABE"/>
    <w:rsid w:val="000C0837"/>
    <w:rsid w:val="000C0AE5"/>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23D6"/>
    <w:rsid w:val="000E279A"/>
    <w:rsid w:val="000E403C"/>
    <w:rsid w:val="000E48C2"/>
    <w:rsid w:val="000E4CB3"/>
    <w:rsid w:val="000E57E0"/>
    <w:rsid w:val="000E5DF5"/>
    <w:rsid w:val="000E6119"/>
    <w:rsid w:val="000E650A"/>
    <w:rsid w:val="000E706C"/>
    <w:rsid w:val="000E7714"/>
    <w:rsid w:val="000E77CE"/>
    <w:rsid w:val="000E78C8"/>
    <w:rsid w:val="000E7943"/>
    <w:rsid w:val="000F0252"/>
    <w:rsid w:val="000F025E"/>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D1B"/>
    <w:rsid w:val="001323B6"/>
    <w:rsid w:val="00133223"/>
    <w:rsid w:val="0013347A"/>
    <w:rsid w:val="001336E1"/>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D1D"/>
    <w:rsid w:val="00160559"/>
    <w:rsid w:val="001620BF"/>
    <w:rsid w:val="00162401"/>
    <w:rsid w:val="001629C8"/>
    <w:rsid w:val="00164061"/>
    <w:rsid w:val="0016620A"/>
    <w:rsid w:val="001665CB"/>
    <w:rsid w:val="00166CE5"/>
    <w:rsid w:val="001676B4"/>
    <w:rsid w:val="00170308"/>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1A6D"/>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D07DB"/>
    <w:rsid w:val="001D0A15"/>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F05D1"/>
    <w:rsid w:val="001F12F9"/>
    <w:rsid w:val="001F1414"/>
    <w:rsid w:val="001F22B6"/>
    <w:rsid w:val="001F241F"/>
    <w:rsid w:val="001F2501"/>
    <w:rsid w:val="001F4472"/>
    <w:rsid w:val="001F5B80"/>
    <w:rsid w:val="001F5BEA"/>
    <w:rsid w:val="001F68AE"/>
    <w:rsid w:val="001F6C72"/>
    <w:rsid w:val="002001A0"/>
    <w:rsid w:val="00201C86"/>
    <w:rsid w:val="002032B2"/>
    <w:rsid w:val="00204931"/>
    <w:rsid w:val="0020508E"/>
    <w:rsid w:val="0020701F"/>
    <w:rsid w:val="00207E10"/>
    <w:rsid w:val="00210626"/>
    <w:rsid w:val="0021145D"/>
    <w:rsid w:val="00211B19"/>
    <w:rsid w:val="00211F8E"/>
    <w:rsid w:val="0021265B"/>
    <w:rsid w:val="00213251"/>
    <w:rsid w:val="00214198"/>
    <w:rsid w:val="00214930"/>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81"/>
    <w:rsid w:val="00253B42"/>
    <w:rsid w:val="00254617"/>
    <w:rsid w:val="002548D9"/>
    <w:rsid w:val="00255B81"/>
    <w:rsid w:val="00255C89"/>
    <w:rsid w:val="0025616C"/>
    <w:rsid w:val="00256C25"/>
    <w:rsid w:val="00257165"/>
    <w:rsid w:val="00261F73"/>
    <w:rsid w:val="002650C3"/>
    <w:rsid w:val="00265F65"/>
    <w:rsid w:val="0026602E"/>
    <w:rsid w:val="00266743"/>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33DB"/>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41B"/>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BE0"/>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E66"/>
    <w:rsid w:val="003B2A84"/>
    <w:rsid w:val="003B2EF5"/>
    <w:rsid w:val="003B3F98"/>
    <w:rsid w:val="003B4888"/>
    <w:rsid w:val="003B5B3D"/>
    <w:rsid w:val="003B6010"/>
    <w:rsid w:val="003B626C"/>
    <w:rsid w:val="003B78E3"/>
    <w:rsid w:val="003B7A8C"/>
    <w:rsid w:val="003C012C"/>
    <w:rsid w:val="003C14BE"/>
    <w:rsid w:val="003C18DE"/>
    <w:rsid w:val="003C1B25"/>
    <w:rsid w:val="003C1BE0"/>
    <w:rsid w:val="003C1DA3"/>
    <w:rsid w:val="003C2130"/>
    <w:rsid w:val="003C2905"/>
    <w:rsid w:val="003C2E25"/>
    <w:rsid w:val="003C38E4"/>
    <w:rsid w:val="003C40E5"/>
    <w:rsid w:val="003C4DAC"/>
    <w:rsid w:val="003C548C"/>
    <w:rsid w:val="003C5BCF"/>
    <w:rsid w:val="003C6ABB"/>
    <w:rsid w:val="003C6D70"/>
    <w:rsid w:val="003C7827"/>
    <w:rsid w:val="003D01FF"/>
    <w:rsid w:val="003D04E8"/>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EBC"/>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991"/>
    <w:rsid w:val="004A07AD"/>
    <w:rsid w:val="004A1534"/>
    <w:rsid w:val="004A1FC1"/>
    <w:rsid w:val="004A2E34"/>
    <w:rsid w:val="004A4D68"/>
    <w:rsid w:val="004A54A5"/>
    <w:rsid w:val="004A5B3C"/>
    <w:rsid w:val="004A62A9"/>
    <w:rsid w:val="004A6869"/>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84E"/>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BD7"/>
    <w:rsid w:val="005F3693"/>
    <w:rsid w:val="005F5355"/>
    <w:rsid w:val="005F623F"/>
    <w:rsid w:val="005F6697"/>
    <w:rsid w:val="005F67E7"/>
    <w:rsid w:val="005F6894"/>
    <w:rsid w:val="005F723F"/>
    <w:rsid w:val="005F726B"/>
    <w:rsid w:val="00600E55"/>
    <w:rsid w:val="006019B2"/>
    <w:rsid w:val="006021F3"/>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76B0"/>
    <w:rsid w:val="00640812"/>
    <w:rsid w:val="00640874"/>
    <w:rsid w:val="0064093E"/>
    <w:rsid w:val="00640C55"/>
    <w:rsid w:val="00640DB8"/>
    <w:rsid w:val="00640FAC"/>
    <w:rsid w:val="00640FD4"/>
    <w:rsid w:val="00644B80"/>
    <w:rsid w:val="006463D7"/>
    <w:rsid w:val="006463EF"/>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366"/>
    <w:rsid w:val="0066696D"/>
    <w:rsid w:val="00666A5A"/>
    <w:rsid w:val="00666CEB"/>
    <w:rsid w:val="00667971"/>
    <w:rsid w:val="00670A7B"/>
    <w:rsid w:val="00670C8A"/>
    <w:rsid w:val="00671468"/>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447"/>
    <w:rsid w:val="006C763B"/>
    <w:rsid w:val="006C7693"/>
    <w:rsid w:val="006D1B51"/>
    <w:rsid w:val="006D1DD1"/>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BDB"/>
    <w:rsid w:val="00705D25"/>
    <w:rsid w:val="00707433"/>
    <w:rsid w:val="007074C2"/>
    <w:rsid w:val="00711A83"/>
    <w:rsid w:val="00712DA0"/>
    <w:rsid w:val="007136D3"/>
    <w:rsid w:val="007136DD"/>
    <w:rsid w:val="00714F15"/>
    <w:rsid w:val="0071635F"/>
    <w:rsid w:val="00717CDC"/>
    <w:rsid w:val="00717F9D"/>
    <w:rsid w:val="00720E16"/>
    <w:rsid w:val="007210D7"/>
    <w:rsid w:val="007219E8"/>
    <w:rsid w:val="00722244"/>
    <w:rsid w:val="00723397"/>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22E2"/>
    <w:rsid w:val="007A288B"/>
    <w:rsid w:val="007A363C"/>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4E29"/>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1554"/>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60B"/>
    <w:rsid w:val="00831A4F"/>
    <w:rsid w:val="00832EAA"/>
    <w:rsid w:val="00833A3D"/>
    <w:rsid w:val="0083654B"/>
    <w:rsid w:val="008365B9"/>
    <w:rsid w:val="0083694B"/>
    <w:rsid w:val="008369FB"/>
    <w:rsid w:val="0083701D"/>
    <w:rsid w:val="0084064E"/>
    <w:rsid w:val="008421E3"/>
    <w:rsid w:val="0084324D"/>
    <w:rsid w:val="0084548B"/>
    <w:rsid w:val="008455C2"/>
    <w:rsid w:val="00845AF8"/>
    <w:rsid w:val="00845EDD"/>
    <w:rsid w:val="00847176"/>
    <w:rsid w:val="008471CF"/>
    <w:rsid w:val="00847ACF"/>
    <w:rsid w:val="008519E3"/>
    <w:rsid w:val="00851FAE"/>
    <w:rsid w:val="00852124"/>
    <w:rsid w:val="008538D1"/>
    <w:rsid w:val="00853C7B"/>
    <w:rsid w:val="00854423"/>
    <w:rsid w:val="0085559D"/>
    <w:rsid w:val="00855919"/>
    <w:rsid w:val="00855C60"/>
    <w:rsid w:val="00855D9D"/>
    <w:rsid w:val="0085798E"/>
    <w:rsid w:val="008611AD"/>
    <w:rsid w:val="00862746"/>
    <w:rsid w:val="00863549"/>
    <w:rsid w:val="00864A70"/>
    <w:rsid w:val="00864BDD"/>
    <w:rsid w:val="008656F6"/>
    <w:rsid w:val="00865910"/>
    <w:rsid w:val="0087226C"/>
    <w:rsid w:val="00874DBA"/>
    <w:rsid w:val="00874F68"/>
    <w:rsid w:val="008751B5"/>
    <w:rsid w:val="00875396"/>
    <w:rsid w:val="008770F7"/>
    <w:rsid w:val="00877195"/>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C71"/>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38F"/>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D6C"/>
    <w:rsid w:val="00A42E26"/>
    <w:rsid w:val="00A42E36"/>
    <w:rsid w:val="00A439CE"/>
    <w:rsid w:val="00A43ED4"/>
    <w:rsid w:val="00A44036"/>
    <w:rsid w:val="00A448B1"/>
    <w:rsid w:val="00A448FC"/>
    <w:rsid w:val="00A44E96"/>
    <w:rsid w:val="00A44F88"/>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744"/>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5266"/>
    <w:rsid w:val="00B15D21"/>
    <w:rsid w:val="00B16084"/>
    <w:rsid w:val="00B16A97"/>
    <w:rsid w:val="00B1729C"/>
    <w:rsid w:val="00B2010F"/>
    <w:rsid w:val="00B214C4"/>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906D7"/>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6A6B"/>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7D8"/>
    <w:rsid w:val="00BC21C6"/>
    <w:rsid w:val="00BC2EC6"/>
    <w:rsid w:val="00BC31B1"/>
    <w:rsid w:val="00BC45C7"/>
    <w:rsid w:val="00BC65DA"/>
    <w:rsid w:val="00BC66B6"/>
    <w:rsid w:val="00BD0459"/>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9E2"/>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0C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60F"/>
    <w:rsid w:val="00D068BB"/>
    <w:rsid w:val="00D109B9"/>
    <w:rsid w:val="00D1172B"/>
    <w:rsid w:val="00D12017"/>
    <w:rsid w:val="00D12C8A"/>
    <w:rsid w:val="00D131E4"/>
    <w:rsid w:val="00D13549"/>
    <w:rsid w:val="00D13D18"/>
    <w:rsid w:val="00D13D27"/>
    <w:rsid w:val="00D13F0E"/>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CAB"/>
    <w:rsid w:val="00D55C30"/>
    <w:rsid w:val="00D5793A"/>
    <w:rsid w:val="00D57E75"/>
    <w:rsid w:val="00D601B7"/>
    <w:rsid w:val="00D602E5"/>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C43"/>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8EE"/>
    <w:rsid w:val="00E1292D"/>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4C8F"/>
    <w:rsid w:val="00E35924"/>
    <w:rsid w:val="00E35C35"/>
    <w:rsid w:val="00E37C8B"/>
    <w:rsid w:val="00E40B84"/>
    <w:rsid w:val="00E4139D"/>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2F5"/>
    <w:rsid w:val="00F1768F"/>
    <w:rsid w:val="00F20945"/>
    <w:rsid w:val="00F2121F"/>
    <w:rsid w:val="00F21220"/>
    <w:rsid w:val="00F215B9"/>
    <w:rsid w:val="00F21D23"/>
    <w:rsid w:val="00F21DD8"/>
    <w:rsid w:val="00F22853"/>
    <w:rsid w:val="00F23665"/>
    <w:rsid w:val="00F240D6"/>
    <w:rsid w:val="00F25A3C"/>
    <w:rsid w:val="00F27901"/>
    <w:rsid w:val="00F301ED"/>
    <w:rsid w:val="00F30437"/>
    <w:rsid w:val="00F30EA3"/>
    <w:rsid w:val="00F311F7"/>
    <w:rsid w:val="00F312CE"/>
    <w:rsid w:val="00F31AFE"/>
    <w:rsid w:val="00F320E5"/>
    <w:rsid w:val="00F32209"/>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2C7"/>
    <w:rsid w:val="00F4334A"/>
    <w:rsid w:val="00F43A6E"/>
    <w:rsid w:val="00F43C70"/>
    <w:rsid w:val="00F44EC6"/>
    <w:rsid w:val="00F454CE"/>
    <w:rsid w:val="00F456B1"/>
    <w:rsid w:val="00F45F74"/>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41B"/>
    <w:rsid w:val="00FF088E"/>
    <w:rsid w:val="00FF0B28"/>
    <w:rsid w:val="00FF0B99"/>
    <w:rsid w:val="00FF12AE"/>
    <w:rsid w:val="00FF1B51"/>
    <w:rsid w:val="00FF3CDA"/>
    <w:rsid w:val="00FF514B"/>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rsid w:val="00640812"/>
    <w:rPr>
      <w:szCs w:val="20"/>
    </w:rPr>
  </w:style>
  <w:style w:type="paragraph" w:styleId="Footer">
    <w:name w:val="footer"/>
    <w:basedOn w:val="Normal"/>
    <w:link w:val="FooterChar"/>
    <w:uiPriority w:val="99"/>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paragraph" w:styleId="Header">
    <w:name w:val="header"/>
    <w:basedOn w:val="Normal"/>
    <w:link w:val="HeaderChar"/>
    <w:rsid w:val="00D602E5"/>
    <w:pPr>
      <w:tabs>
        <w:tab w:val="center" w:pos="4680"/>
        <w:tab w:val="right" w:pos="9360"/>
      </w:tabs>
    </w:pPr>
  </w:style>
  <w:style w:type="character" w:customStyle="1" w:styleId="HeaderChar">
    <w:name w:val="Header Char"/>
    <w:link w:val="Header"/>
    <w:rsid w:val="00D602E5"/>
    <w:rPr>
      <w:sz w:val="24"/>
      <w:szCs w:val="24"/>
    </w:rPr>
  </w:style>
  <w:style w:type="character" w:customStyle="1" w:styleId="FooterChar">
    <w:name w:val="Footer Char"/>
    <w:link w:val="Footer"/>
    <w:uiPriority w:val="99"/>
    <w:rsid w:val="00D6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TJOttina</dc:creator>
  <cp:lastModifiedBy> </cp:lastModifiedBy>
  <cp:revision>3</cp:revision>
  <cp:lastPrinted>2017-07-14T16:00:00Z</cp:lastPrinted>
  <dcterms:created xsi:type="dcterms:W3CDTF">2017-08-09T18:50:00Z</dcterms:created>
  <dcterms:modified xsi:type="dcterms:W3CDTF">2017-08-09T18:50:00Z</dcterms:modified>
</cp:coreProperties>
</file>