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1CCD" w14:textId="0EA67747" w:rsidR="00202590" w:rsidRPr="00022F93" w:rsidRDefault="00202590">
      <w:pPr>
        <w:pStyle w:val="Title"/>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14:paraId="7A9ECEF1" w14:textId="77777777" w:rsidR="00202590" w:rsidRDefault="00202590"/>
    <w:p w14:paraId="7DBBBD5B" w14:textId="77777777"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14:paraId="265C49F1" w14:textId="77777777" w:rsidR="00202590" w:rsidRDefault="00202590"/>
    <w:p w14:paraId="3D8D5C05" w14:textId="5CFDC2ED" w:rsidR="00202590" w:rsidRDefault="00202590">
      <w:pPr>
        <w:ind w:left="3600" w:firstLine="720"/>
      </w:pPr>
      <w:r>
        <w:tab/>
        <w:t>Adj</w:t>
      </w:r>
      <w:r w:rsidR="00C00F70">
        <w:t>udicatory</w:t>
      </w:r>
      <w:r w:rsidR="00B6433B">
        <w:t xml:space="preserve"> </w:t>
      </w:r>
      <w:r>
        <w:t xml:space="preserve">Case No: </w:t>
      </w:r>
      <w:r w:rsidR="004A56C7">
        <w:t>20</w:t>
      </w:r>
      <w:r w:rsidR="00CB13B6">
        <w:t>2</w:t>
      </w:r>
      <w:r w:rsidR="00866761">
        <w:t>4-058</w:t>
      </w:r>
    </w:p>
    <w:p w14:paraId="731011DE" w14:textId="77777777" w:rsidR="00202590" w:rsidRDefault="00202590">
      <w:r>
        <w:t>________________________</w:t>
      </w:r>
    </w:p>
    <w:p w14:paraId="4A8A5A9F" w14:textId="77777777" w:rsidR="00202590" w:rsidRDefault="00202590">
      <w:r>
        <w:tab/>
      </w:r>
      <w:r>
        <w:tab/>
      </w:r>
      <w:r>
        <w:tab/>
      </w:r>
      <w:r>
        <w:tab/>
        <w:t>)</w:t>
      </w:r>
      <w:r>
        <w:tab/>
      </w:r>
    </w:p>
    <w:p w14:paraId="38C37209" w14:textId="77777777" w:rsidR="00202590" w:rsidRDefault="00202590">
      <w:r>
        <w:t>In the Matter of</w:t>
      </w:r>
      <w:r>
        <w:tab/>
      </w:r>
      <w:r>
        <w:tab/>
        <w:t>)</w:t>
      </w:r>
    </w:p>
    <w:p w14:paraId="3CFA88CE" w14:textId="77777777" w:rsidR="00202590" w:rsidRPr="006374FC" w:rsidRDefault="00202590">
      <w:pPr>
        <w:rPr>
          <w:u w:val="single"/>
        </w:rPr>
      </w:pPr>
      <w:r>
        <w:tab/>
      </w:r>
      <w:r>
        <w:tab/>
      </w:r>
      <w:r>
        <w:tab/>
      </w:r>
      <w:r>
        <w:tab/>
        <w:t>)</w:t>
      </w:r>
      <w:r>
        <w:tab/>
      </w:r>
      <w:r>
        <w:tab/>
      </w:r>
      <w:r w:rsidR="00C00F70">
        <w:tab/>
      </w:r>
      <w:r w:rsidR="00A43757" w:rsidRPr="006374FC">
        <w:rPr>
          <w:u w:val="single"/>
        </w:rPr>
        <w:t>Final Decision and Order</w:t>
      </w:r>
    </w:p>
    <w:p w14:paraId="725F0FE3" w14:textId="7750E08D" w:rsidR="00202590" w:rsidRDefault="00866761">
      <w:r>
        <w:t>Meena D. Chaudhary</w:t>
      </w:r>
      <w:r w:rsidR="005E667B">
        <w:t xml:space="preserve">, </w:t>
      </w:r>
      <w:r w:rsidR="00202590">
        <w:t xml:space="preserve">M.D. </w:t>
      </w:r>
      <w:r w:rsidR="00202590">
        <w:tab/>
        <w:t>)</w:t>
      </w:r>
    </w:p>
    <w:p w14:paraId="43F17B7D" w14:textId="77777777" w:rsidR="00202590" w:rsidRDefault="00202590">
      <w:r>
        <w:t>________________________)</w:t>
      </w:r>
    </w:p>
    <w:p w14:paraId="221B4659" w14:textId="77777777" w:rsidR="00866515" w:rsidRDefault="00866515"/>
    <w:p w14:paraId="318A0945" w14:textId="77777777" w:rsidR="00D56F12" w:rsidRDefault="00D56F12" w:rsidP="00D50062">
      <w:pPr>
        <w:spacing w:line="480" w:lineRule="auto"/>
        <w:jc w:val="center"/>
        <w:rPr>
          <w:u w:val="single"/>
        </w:rPr>
      </w:pPr>
      <w:r>
        <w:rPr>
          <w:u w:val="single"/>
        </w:rPr>
        <w:t>Procedural History</w:t>
      </w:r>
    </w:p>
    <w:p w14:paraId="65C142FF" w14:textId="6FB1A441" w:rsidR="00573515" w:rsidRDefault="00D56F12" w:rsidP="00D50062">
      <w:pPr>
        <w:spacing w:line="480" w:lineRule="auto"/>
        <w:ind w:firstLine="720"/>
      </w:pPr>
      <w:r>
        <w:t xml:space="preserve">The Board initiated this matter by issuing a Statement of Allegations </w:t>
      </w:r>
      <w:r w:rsidR="005427C4">
        <w:t>(</w:t>
      </w:r>
      <w:r w:rsidR="00D50062">
        <w:t>“</w:t>
      </w:r>
      <w:r w:rsidR="005427C4">
        <w:t>SOA</w:t>
      </w:r>
      <w:r w:rsidR="00D50062">
        <w:t>”</w:t>
      </w:r>
      <w:r w:rsidR="005427C4">
        <w:t xml:space="preserve">) </w:t>
      </w:r>
      <w:r>
        <w:t xml:space="preserve">against </w:t>
      </w:r>
      <w:r w:rsidR="00866761">
        <w:t>Meena D. Chaudhary</w:t>
      </w:r>
      <w:r w:rsidR="005E4A09">
        <w:t xml:space="preserve">, M.D. (“Respondent”) </w:t>
      </w:r>
      <w:r>
        <w:t xml:space="preserve">on </w:t>
      </w:r>
      <w:r w:rsidR="00866761">
        <w:t>November 7</w:t>
      </w:r>
      <w:r>
        <w:t>, 202</w:t>
      </w:r>
      <w:r w:rsidR="00866761">
        <w:t>4</w:t>
      </w:r>
      <w:r>
        <w:t xml:space="preserve"> and referring the matter to the Division of Administrative Law Appeals (</w:t>
      </w:r>
      <w:r w:rsidR="00D50062">
        <w:t>“</w:t>
      </w:r>
      <w:r>
        <w:t>DALA</w:t>
      </w:r>
      <w:r w:rsidR="00D50062">
        <w:t>”</w:t>
      </w:r>
      <w:r>
        <w:t xml:space="preserve">).  </w:t>
      </w:r>
      <w:r w:rsidR="005E4A09">
        <w:t xml:space="preserve">A copy of the </w:t>
      </w:r>
      <w:r w:rsidR="005427C4">
        <w:t>SOA</w:t>
      </w:r>
      <w:r w:rsidR="005E4A09">
        <w:t xml:space="preserve"> is attached hereto and incorporated by reference.  </w:t>
      </w:r>
      <w:r w:rsidR="00866761">
        <w:t>The Respondent failed to respond to</w:t>
      </w:r>
      <w:r w:rsidR="00866761" w:rsidRPr="00301A78">
        <w:rPr>
          <w:b/>
        </w:rPr>
        <w:t xml:space="preserve"> </w:t>
      </w:r>
      <w:r w:rsidR="00866761" w:rsidRPr="00866761">
        <w:rPr>
          <w:bCs/>
        </w:rPr>
        <w:t xml:space="preserve">the </w:t>
      </w:r>
      <w:r w:rsidR="003D7FAF">
        <w:rPr>
          <w:bCs/>
        </w:rPr>
        <w:t>c</w:t>
      </w:r>
      <w:r w:rsidR="00866761" w:rsidRPr="00866761">
        <w:rPr>
          <w:bCs/>
        </w:rPr>
        <w:t>omplaint, a notification letter from the Board’s Enforcement Division, and a Ten-Day Order issued by the Board’s Complaint Committee.  She also failed to attend a prehearing conference at DALA and failed to respond to DALA’s Order to Show Cause.</w:t>
      </w:r>
      <w:r w:rsidR="00866761" w:rsidRPr="00301A78">
        <w:rPr>
          <w:b/>
        </w:rPr>
        <w:t xml:space="preserve">  </w:t>
      </w:r>
      <w:r w:rsidR="00866761">
        <w:t xml:space="preserve">As such, </w:t>
      </w:r>
      <w:r w:rsidR="004341F6">
        <w:t>t</w:t>
      </w:r>
      <w:r>
        <w:t xml:space="preserve">he DALA Administrative Magistrate </w:t>
      </w:r>
      <w:r w:rsidR="005E4A09">
        <w:t xml:space="preserve">issued, on </w:t>
      </w:r>
      <w:r w:rsidR="00866761">
        <w:t>February 21</w:t>
      </w:r>
      <w:r w:rsidR="005E4A09">
        <w:t>, 202</w:t>
      </w:r>
      <w:r w:rsidR="00866761">
        <w:t>5</w:t>
      </w:r>
      <w:r w:rsidR="005E4A09">
        <w:t xml:space="preserve">, an Order of Default and </w:t>
      </w:r>
      <w:r w:rsidR="008C33DF" w:rsidRPr="001217ED">
        <w:t xml:space="preserve">Recommended Decision, </w:t>
      </w:r>
      <w:r w:rsidR="008C33DF">
        <w:t xml:space="preserve">which found </w:t>
      </w:r>
      <w:r w:rsidR="005E4A09">
        <w:t xml:space="preserve">the </w:t>
      </w:r>
      <w:r w:rsidR="008C33DF">
        <w:t>Respondent</w:t>
      </w:r>
      <w:r w:rsidR="005E4A09">
        <w:t xml:space="preserve"> to be</w:t>
      </w:r>
      <w:r w:rsidR="008C33DF">
        <w:t xml:space="preserve"> in default</w:t>
      </w:r>
      <w:r w:rsidR="005E4A09">
        <w:t xml:space="preserve"> and recommend</w:t>
      </w:r>
      <w:r w:rsidR="00D50062">
        <w:t>ed</w:t>
      </w:r>
      <w:r w:rsidR="005E4A09">
        <w:t xml:space="preserve"> that the Board enter judgment</w:t>
      </w:r>
      <w:r w:rsidR="004341F6">
        <w:t xml:space="preserve"> pursuant to</w:t>
      </w:r>
      <w:r w:rsidR="008C33DF">
        <w:t xml:space="preserve"> </w:t>
      </w:r>
      <w:r w:rsidR="00866761">
        <w:t xml:space="preserve">801 CMR § 1.01(7)(g)(2) and </w:t>
      </w:r>
      <w:r w:rsidR="00C41A84">
        <w:t>M.G.L. c. 30A, § 10(2)</w:t>
      </w:r>
      <w:r w:rsidR="004341F6">
        <w:t>.</w:t>
      </w:r>
      <w:r w:rsidR="00C41A84">
        <w:t xml:space="preserve"> </w:t>
      </w:r>
      <w:r w:rsidR="00D50062">
        <w:t xml:space="preserve"> </w:t>
      </w:r>
    </w:p>
    <w:p w14:paraId="6ED9BC67" w14:textId="37A5913B" w:rsidR="00D50062" w:rsidRDefault="008C33DF" w:rsidP="00D50062">
      <w:pPr>
        <w:spacing w:line="480" w:lineRule="auto"/>
        <w:ind w:firstLine="720"/>
      </w:pPr>
      <w:r w:rsidRPr="001217ED">
        <w:t xml:space="preserve">After full consideration </w:t>
      </w:r>
      <w:r>
        <w:t>of th</w:t>
      </w:r>
      <w:r w:rsidR="00C41A84">
        <w:t>e</w:t>
      </w:r>
      <w:r w:rsidRPr="001217ED">
        <w:t xml:space="preserve"> Recommended Decision, which is attached hereto and incorporated by </w:t>
      </w:r>
      <w:r>
        <w:t>reference</w:t>
      </w:r>
      <w:r w:rsidR="00456B65">
        <w:t xml:space="preserve">, </w:t>
      </w:r>
      <w:r>
        <w:t>the Board adopts the R</w:t>
      </w:r>
      <w:r w:rsidRPr="001217ED">
        <w:t>ecommended Decision, amending it</w:t>
      </w:r>
      <w:r w:rsidR="004341F6">
        <w:t xml:space="preserve"> to incorporate as findings of fact the allegations in the </w:t>
      </w:r>
      <w:r w:rsidR="005427C4">
        <w:t>SOA</w:t>
      </w:r>
      <w:r w:rsidR="00606C36">
        <w:t xml:space="preserve"> which have been deemed to be proven on the basis of the default</w:t>
      </w:r>
      <w:r w:rsidR="004341F6" w:rsidRPr="00D50062">
        <w:rPr>
          <w:i/>
          <w:iCs/>
        </w:rPr>
        <w:t xml:space="preserve">.  </w:t>
      </w:r>
      <w:r w:rsidR="00606C36" w:rsidRPr="00CA0F2E">
        <w:rPr>
          <w:u w:val="single"/>
        </w:rPr>
        <w:t>See</w:t>
      </w:r>
      <w:r w:rsidR="00606C36" w:rsidRPr="00D50062">
        <w:rPr>
          <w:i/>
          <w:iCs/>
        </w:rPr>
        <w:t xml:space="preserve"> </w:t>
      </w:r>
      <w:r w:rsidR="005427C4" w:rsidRPr="00D50062">
        <w:rPr>
          <w:u w:val="single"/>
        </w:rPr>
        <w:t>Danca Corp. v. Raytheon Co.</w:t>
      </w:r>
      <w:r w:rsidR="005427C4">
        <w:t>, 28 Mass. App. Ct. 942, 943, 550 N.E.2d 402, 403 (1990).</w:t>
      </w:r>
      <w:r w:rsidRPr="001217ED">
        <w:t> </w:t>
      </w:r>
    </w:p>
    <w:p w14:paraId="26A496A0" w14:textId="77777777" w:rsidR="00553B64" w:rsidRDefault="00553B64" w:rsidP="00D50062">
      <w:pPr>
        <w:spacing w:line="480" w:lineRule="auto"/>
        <w:ind w:firstLine="720"/>
      </w:pPr>
    </w:p>
    <w:p w14:paraId="7904A014" w14:textId="3199A849" w:rsidR="008727AC" w:rsidRPr="008727AC" w:rsidRDefault="008727AC" w:rsidP="00D50062">
      <w:pPr>
        <w:spacing w:line="480" w:lineRule="auto"/>
        <w:jc w:val="center"/>
        <w:rPr>
          <w:rFonts w:eastAsiaTheme="minorHAnsi"/>
          <w:u w:val="single"/>
        </w:rPr>
      </w:pPr>
      <w:r w:rsidRPr="008727AC">
        <w:rPr>
          <w:rFonts w:eastAsiaTheme="minorHAnsi"/>
          <w:u w:val="single"/>
        </w:rPr>
        <w:lastRenderedPageBreak/>
        <w:t>Conclusions of Law</w:t>
      </w:r>
    </w:p>
    <w:p w14:paraId="1AFDB936" w14:textId="3118F6B5" w:rsidR="008727AC" w:rsidRPr="008727AC" w:rsidRDefault="005427C4" w:rsidP="00D50062">
      <w:pPr>
        <w:spacing w:line="480" w:lineRule="auto"/>
        <w:ind w:firstLine="720"/>
        <w:rPr>
          <w:rFonts w:eastAsiaTheme="minorHAnsi"/>
        </w:rPr>
      </w:pPr>
      <w:r>
        <w:rPr>
          <w:rFonts w:eastAsiaTheme="minorHAnsi"/>
        </w:rPr>
        <w:t>In the Order of Default and Recommended Decision</w:t>
      </w:r>
      <w:r w:rsidR="008727AC" w:rsidRPr="008727AC">
        <w:rPr>
          <w:rFonts w:eastAsiaTheme="minorHAnsi"/>
        </w:rPr>
        <w:t xml:space="preserve">, the Magistrate </w:t>
      </w:r>
      <w:r w:rsidR="00037930">
        <w:rPr>
          <w:rFonts w:eastAsiaTheme="minorHAnsi"/>
        </w:rPr>
        <w:t xml:space="preserve">concluded that the Board may discipline the Respondent based on her failure to respond to the </w:t>
      </w:r>
      <w:r w:rsidR="00553B64">
        <w:rPr>
          <w:rFonts w:eastAsiaTheme="minorHAnsi"/>
        </w:rPr>
        <w:t>c</w:t>
      </w:r>
      <w:r w:rsidR="00037930">
        <w:rPr>
          <w:rFonts w:eastAsiaTheme="minorHAnsi"/>
        </w:rPr>
        <w:t>omplaint, notification letter, and the Complaint Committee’s Ten-Day Order</w:t>
      </w:r>
      <w:r w:rsidR="008727AC" w:rsidRPr="008727AC">
        <w:rPr>
          <w:rFonts w:eastAsiaTheme="minorHAnsi"/>
        </w:rPr>
        <w:t xml:space="preserve">. </w:t>
      </w:r>
      <w:r>
        <w:rPr>
          <w:rFonts w:eastAsiaTheme="minorHAnsi"/>
        </w:rPr>
        <w:t xml:space="preserve"> </w:t>
      </w:r>
      <w:r w:rsidR="008727AC" w:rsidRPr="008727AC">
        <w:rPr>
          <w:rFonts w:eastAsiaTheme="minorHAnsi"/>
        </w:rPr>
        <w:t>Based upon the facts set out in the SOA</w:t>
      </w:r>
      <w:r>
        <w:rPr>
          <w:rFonts w:eastAsiaTheme="minorHAnsi"/>
        </w:rPr>
        <w:t xml:space="preserve">, </w:t>
      </w:r>
      <w:r w:rsidRPr="00D50062">
        <w:rPr>
          <w:rFonts w:eastAsiaTheme="minorHAnsi"/>
          <w:i/>
          <w:iCs/>
        </w:rPr>
        <w:t>see</w:t>
      </w:r>
      <w:r w:rsidRPr="00D50062">
        <w:rPr>
          <w:i/>
          <w:iCs/>
        </w:rPr>
        <w:t xml:space="preserve"> </w:t>
      </w:r>
      <w:r w:rsidRPr="00D50062">
        <w:rPr>
          <w:u w:val="single"/>
        </w:rPr>
        <w:t>Lawless v. Bd. of Registration in Pharmacy</w:t>
      </w:r>
      <w:r>
        <w:t>, 466 Mass. 1010, 1011–12, 996 N.E.2d 878, 880 (2013),</w:t>
      </w:r>
      <w:r w:rsidR="00D50062">
        <w:t xml:space="preserve"> </w:t>
      </w:r>
      <w:r w:rsidR="008727AC" w:rsidRPr="008727AC">
        <w:rPr>
          <w:rFonts w:eastAsiaTheme="minorHAnsi"/>
        </w:rPr>
        <w:t>the Board make</w:t>
      </w:r>
      <w:r>
        <w:rPr>
          <w:rFonts w:eastAsiaTheme="minorHAnsi"/>
        </w:rPr>
        <w:t>s</w:t>
      </w:r>
      <w:r w:rsidR="008727AC" w:rsidRPr="008727AC">
        <w:rPr>
          <w:rFonts w:eastAsiaTheme="minorHAnsi"/>
        </w:rPr>
        <w:t xml:space="preserve"> </w:t>
      </w:r>
      <w:r w:rsidR="00B349DC">
        <w:rPr>
          <w:rFonts w:eastAsiaTheme="minorHAnsi"/>
        </w:rPr>
        <w:t xml:space="preserve">the following </w:t>
      </w:r>
      <w:r w:rsidR="008727AC" w:rsidRPr="008727AC">
        <w:rPr>
          <w:rFonts w:eastAsiaTheme="minorHAnsi"/>
        </w:rPr>
        <w:t>Conclusions of Law</w:t>
      </w:r>
      <w:r w:rsidR="00B349DC">
        <w:rPr>
          <w:rFonts w:eastAsiaTheme="minorHAnsi"/>
        </w:rPr>
        <w:t>:</w:t>
      </w:r>
      <w:r w:rsidR="008727AC" w:rsidRPr="008727AC">
        <w:rPr>
          <w:rFonts w:eastAsiaTheme="minorHAnsi"/>
        </w:rPr>
        <w:t xml:space="preserve"> </w:t>
      </w:r>
    </w:p>
    <w:p w14:paraId="2E91D872" w14:textId="4CF64AEF" w:rsidR="00381F76" w:rsidRDefault="00381F76" w:rsidP="00381F76">
      <w:pPr>
        <w:pStyle w:val="ListParagraph"/>
        <w:numPr>
          <w:ilvl w:val="0"/>
          <w:numId w:val="21"/>
        </w:numPr>
        <w:spacing w:line="480" w:lineRule="auto"/>
        <w:ind w:left="0" w:firstLine="720"/>
        <w:rPr>
          <w:rFonts w:eastAsia="Calibri"/>
        </w:rPr>
      </w:pPr>
      <w:r w:rsidRPr="00381F76">
        <w:rPr>
          <w:rFonts w:eastAsia="Calibri"/>
        </w:rPr>
        <w:t>Pursuant to G.L. c. 112, §5, eighth par. (h) and 243 CMR 1.03(5)(a)(11), the Respondent has violated any rule or regulation of the Board governing the practice of medicine. More specifically, the Respondent</w:t>
      </w:r>
      <w:r>
        <w:rPr>
          <w:rFonts w:eastAsia="Calibri"/>
        </w:rPr>
        <w:t xml:space="preserve"> has</w:t>
      </w:r>
      <w:r w:rsidRPr="00381F76">
        <w:rPr>
          <w:rFonts w:eastAsia="Calibri"/>
        </w:rPr>
        <w:t>:</w:t>
      </w:r>
    </w:p>
    <w:p w14:paraId="62CA388D" w14:textId="77777777" w:rsidR="00381F76" w:rsidRDefault="00381F76" w:rsidP="00381F76">
      <w:pPr>
        <w:pStyle w:val="ListParagraph"/>
        <w:numPr>
          <w:ilvl w:val="1"/>
          <w:numId w:val="21"/>
        </w:numPr>
        <w:spacing w:line="480" w:lineRule="auto"/>
        <w:ind w:left="1800" w:hanging="450"/>
        <w:rPr>
          <w:rFonts w:eastAsia="Calibri"/>
        </w:rPr>
      </w:pPr>
      <w:r w:rsidRPr="00381F76">
        <w:rPr>
          <w:rFonts w:eastAsia="Calibri"/>
        </w:rPr>
        <w:t>Violated 243 CMR 2.07(12)(a) by failing to respond to a written communication from the Board within thirty days;</w:t>
      </w:r>
    </w:p>
    <w:p w14:paraId="4E33A762" w14:textId="77777777" w:rsidR="00381F76" w:rsidRDefault="00381F76" w:rsidP="00381F76">
      <w:pPr>
        <w:pStyle w:val="ListParagraph"/>
        <w:numPr>
          <w:ilvl w:val="1"/>
          <w:numId w:val="21"/>
        </w:numPr>
        <w:spacing w:line="480" w:lineRule="auto"/>
        <w:ind w:left="1800" w:hanging="450"/>
        <w:rPr>
          <w:rFonts w:eastAsia="Calibri"/>
        </w:rPr>
      </w:pPr>
      <w:r w:rsidRPr="00381F76">
        <w:rPr>
          <w:rFonts w:eastAsia="Calibri"/>
        </w:rPr>
        <w:t xml:space="preserve">Violated 243 CMR 1.03(5)(a)(16) by failing to respond to a subpoena or to furnish the Board, its investigators or representatives, documents, information or testimony which the Board is legally entitled; </w:t>
      </w:r>
      <w:r>
        <w:rPr>
          <w:rFonts w:eastAsia="Calibri"/>
        </w:rPr>
        <w:t>and</w:t>
      </w:r>
      <w:r w:rsidRPr="00381F76">
        <w:rPr>
          <w:rFonts w:eastAsia="Calibri"/>
        </w:rPr>
        <w:t xml:space="preserve"> </w:t>
      </w:r>
    </w:p>
    <w:p w14:paraId="0CA9FCC1" w14:textId="5099F02F" w:rsidR="00381F76" w:rsidRPr="00381F76" w:rsidRDefault="00381F76" w:rsidP="00381F76">
      <w:pPr>
        <w:pStyle w:val="ListParagraph"/>
        <w:numPr>
          <w:ilvl w:val="1"/>
          <w:numId w:val="21"/>
        </w:numPr>
        <w:spacing w:line="480" w:lineRule="auto"/>
        <w:ind w:left="1800" w:hanging="450"/>
        <w:rPr>
          <w:rFonts w:eastAsia="Calibri"/>
        </w:rPr>
      </w:pPr>
      <w:r w:rsidRPr="00381F76">
        <w:rPr>
          <w:rFonts w:eastAsia="Calibri"/>
        </w:rPr>
        <w:t>Violated 243 CMR 1.03(7) and 243 CMR 2.07(12)(b) by failing to respond within ten days to an Order to Respond issued by the Complaint Committee.</w:t>
      </w:r>
    </w:p>
    <w:p w14:paraId="0C9771D7" w14:textId="3C9C7775" w:rsidR="008C33DF" w:rsidRDefault="00C128B4" w:rsidP="003A01E2">
      <w:pPr>
        <w:tabs>
          <w:tab w:val="left" w:pos="0"/>
        </w:tabs>
        <w:spacing w:after="200" w:line="480" w:lineRule="auto"/>
        <w:contextualSpacing/>
        <w:jc w:val="center"/>
      </w:pPr>
      <w:r>
        <w:rPr>
          <w:u w:val="single"/>
        </w:rPr>
        <w:t xml:space="preserve">Discussion and </w:t>
      </w:r>
      <w:r w:rsidR="008C33DF" w:rsidRPr="00456B65">
        <w:rPr>
          <w:u w:val="single"/>
        </w:rPr>
        <w:t>Sanction</w:t>
      </w:r>
    </w:p>
    <w:p w14:paraId="28F70997" w14:textId="3E303903" w:rsidR="00DC573C" w:rsidRDefault="008C33DF" w:rsidP="00C70482">
      <w:pPr>
        <w:spacing w:line="480" w:lineRule="auto"/>
      </w:pPr>
      <w:r>
        <w:tab/>
      </w:r>
      <w:r w:rsidR="00DA43E1">
        <w:t xml:space="preserve">In </w:t>
      </w:r>
      <w:r w:rsidR="001F4FCC">
        <w:t>this</w:t>
      </w:r>
      <w:r w:rsidR="00DA43E1">
        <w:t xml:space="preserve"> matter, the</w:t>
      </w:r>
      <w:r w:rsidR="00DC573C">
        <w:t xml:space="preserve"> Respondent</w:t>
      </w:r>
      <w:r w:rsidR="00DA43E1">
        <w:t xml:space="preserve"> failed to</w:t>
      </w:r>
      <w:r w:rsidR="00DC573C">
        <w:t xml:space="preserve"> respond to </w:t>
      </w:r>
      <w:r w:rsidR="00C00F70">
        <w:t>the</w:t>
      </w:r>
      <w:r w:rsidR="00DA43E1">
        <w:t xml:space="preserve"> complaint, a notification letter</w:t>
      </w:r>
      <w:r w:rsidR="0035180E">
        <w:t xml:space="preserve"> from the Board</w:t>
      </w:r>
      <w:r w:rsidR="002F2A03">
        <w:t xml:space="preserve">, </w:t>
      </w:r>
      <w:r w:rsidR="00DA43E1">
        <w:t>and a</w:t>
      </w:r>
      <w:r w:rsidR="002F2A03">
        <w:t xml:space="preserve"> Ten-Day Order</w:t>
      </w:r>
      <w:r w:rsidR="00DA43E1">
        <w:t xml:space="preserve"> issued by the Complaint Committee.  She also failed to</w:t>
      </w:r>
      <w:r w:rsidR="00C00F70">
        <w:t xml:space="preserve"> </w:t>
      </w:r>
      <w:r w:rsidR="00C00F70" w:rsidRPr="008C33DF">
        <w:t xml:space="preserve">appear for </w:t>
      </w:r>
      <w:r w:rsidR="00C00F70">
        <w:t>a</w:t>
      </w:r>
      <w:r w:rsidR="00C00F70" w:rsidRPr="008C33DF">
        <w:t xml:space="preserve"> scheduled </w:t>
      </w:r>
      <w:r w:rsidR="003A01E2">
        <w:t>pre</w:t>
      </w:r>
      <w:r w:rsidR="00C00F70" w:rsidRPr="008C33DF">
        <w:t>hearing</w:t>
      </w:r>
      <w:r w:rsidR="00C00F70">
        <w:t xml:space="preserve"> at DALA</w:t>
      </w:r>
      <w:r w:rsidR="00DA43E1">
        <w:t xml:space="preserve"> and to</w:t>
      </w:r>
      <w:r w:rsidR="00C00F70">
        <w:t xml:space="preserve"> </w:t>
      </w:r>
      <w:r w:rsidR="00972698">
        <w:t xml:space="preserve">respond to </w:t>
      </w:r>
      <w:r w:rsidR="002F2A03">
        <w:t xml:space="preserve">DALA’s </w:t>
      </w:r>
      <w:r w:rsidR="00972698">
        <w:t>Order to Show Cause</w:t>
      </w:r>
      <w:r w:rsidR="00DA43E1">
        <w:t>.  The Respondent’s lack of communication</w:t>
      </w:r>
      <w:r w:rsidR="00C00F70">
        <w:t xml:space="preserve"> </w:t>
      </w:r>
      <w:r w:rsidR="00DC573C">
        <w:t>in connection with this action demonstrate</w:t>
      </w:r>
      <w:r w:rsidR="001F4FCC">
        <w:t>s</w:t>
      </w:r>
      <w:r w:rsidR="00DC573C">
        <w:t xml:space="preserve"> h</w:t>
      </w:r>
      <w:r w:rsidR="002F2A03">
        <w:t>er</w:t>
      </w:r>
      <w:r w:rsidR="00DC573C">
        <w:t xml:space="preserve"> utter disregard for the Board’s statutory mandate. </w:t>
      </w:r>
      <w:r w:rsidR="00C70482">
        <w:t xml:space="preserve"> </w:t>
      </w:r>
      <w:r w:rsidR="00DC573C">
        <w:t xml:space="preserve">In order for the Board to fulfill its mission to protect the public, a physician’s cooperation is essential.  By failing to respond to the serious </w:t>
      </w:r>
      <w:r w:rsidR="00DC573C">
        <w:lastRenderedPageBreak/>
        <w:t xml:space="preserve">allegations against </w:t>
      </w:r>
      <w:r w:rsidR="00C00F70">
        <w:t>h</w:t>
      </w:r>
      <w:r w:rsidR="002F2A03">
        <w:t>er</w:t>
      </w:r>
      <w:r w:rsidR="00DC573C">
        <w:t xml:space="preserve">, the Respondent hindered the Board’s efforts to fulfill its mission.  </w:t>
      </w:r>
      <w:r w:rsidR="00DC573C" w:rsidRPr="00504015">
        <w:rPr>
          <w:u w:val="single"/>
        </w:rPr>
        <w:t>See</w:t>
      </w:r>
      <w:r w:rsidR="00DC573C">
        <w:t xml:space="preserve"> </w:t>
      </w:r>
      <w:r w:rsidR="00DC573C" w:rsidRPr="00C70482">
        <w:rPr>
          <w:iCs/>
          <w:u w:val="single"/>
        </w:rPr>
        <w:t>In the Matter of Mark M. Kowalski, M.D.</w:t>
      </w:r>
      <w:r w:rsidR="00DC573C">
        <w:t xml:space="preserve">, </w:t>
      </w:r>
      <w:r w:rsidR="000F3020">
        <w:t xml:space="preserve">Board of Registration in Medicine, </w:t>
      </w:r>
      <w:r w:rsidR="00DC573C">
        <w:t>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w:t>
      </w:r>
      <w:r w:rsidR="00AA7F82">
        <w:t>.</w:t>
      </w:r>
      <w:r w:rsidR="00DC573C">
        <w:t xml:space="preserve">  </w:t>
      </w:r>
    </w:p>
    <w:p w14:paraId="3A06B662" w14:textId="6DF5E5F2" w:rsidR="00BE71F0" w:rsidRDefault="00717C7C" w:rsidP="00BE71F0">
      <w:pPr>
        <w:tabs>
          <w:tab w:val="left" w:pos="0"/>
        </w:tabs>
        <w:spacing w:line="480" w:lineRule="auto"/>
      </w:pPr>
      <w:bookmarkStart w:id="0" w:name="_Hlk125544561"/>
      <w:r>
        <w:tab/>
      </w:r>
      <w:bookmarkEnd w:id="0"/>
      <w:r w:rsidR="00BE71F0">
        <w:t xml:space="preserve">The Board has historically imposed license revocation when there is a determination of default.  </w:t>
      </w:r>
      <w:r w:rsidR="00BE71F0" w:rsidRPr="00F7794D">
        <w:rPr>
          <w:u w:val="single"/>
        </w:rPr>
        <w:t>See</w:t>
      </w:r>
      <w:r w:rsidR="00BE71F0">
        <w:t xml:space="preserve"> </w:t>
      </w:r>
      <w:r w:rsidR="00BE71F0" w:rsidRPr="00AC7688">
        <w:rPr>
          <w:u w:val="single"/>
        </w:rPr>
        <w:t>In the Matter of Mavis Jaworski</w:t>
      </w:r>
      <w:r w:rsidR="00BE71F0">
        <w:t>, Adjudicatory Case No. 2023-027 (Final Decision  and Order, December 21, 2023)(where physician defaulted, revocation imposed for</w:t>
      </w:r>
      <w:r w:rsidR="0035180E">
        <w:t xml:space="preserve"> her</w:t>
      </w:r>
      <w:r w:rsidR="00BE71F0">
        <w:t xml:space="preserve"> fals</w:t>
      </w:r>
      <w:r w:rsidR="0035180E">
        <w:t>e</w:t>
      </w:r>
      <w:r w:rsidR="00BE71F0">
        <w:t xml:space="preserve"> stat</w:t>
      </w:r>
      <w:r w:rsidR="0035180E">
        <w:t>ement</w:t>
      </w:r>
      <w:r w:rsidR="00BE71F0">
        <w:t xml:space="preserve"> that she was board certified in family medicine and that she was not aware of any open or pending investigation into her professional conduct); </w:t>
      </w:r>
      <w:r w:rsidR="00BE71F0" w:rsidRPr="000832CC">
        <w:rPr>
          <w:u w:val="single"/>
        </w:rPr>
        <w:t>In the Matter of Thomas W. Stinson, M.D.</w:t>
      </w:r>
      <w:r w:rsidR="00BE71F0">
        <w:t xml:space="preserve">, Board of Registration in Medicine, Adjudicatory Case No. 2022-024 (Final Decision and Order, February 2, 2023)(in case of default, revocation for a physician who admitted that he failed to check the MassPat system before prescribing to his patients); </w:t>
      </w:r>
      <w:r w:rsidR="00BE71F0" w:rsidRPr="005B25E7">
        <w:rPr>
          <w:u w:val="single"/>
        </w:rPr>
        <w:t>In the Matter of Abebe Haregewoin, M.D.</w:t>
      </w:r>
      <w:r w:rsidR="00BE71F0" w:rsidRPr="005B25E7">
        <w:t xml:space="preserve">, </w:t>
      </w:r>
      <w:r w:rsidR="00BE71F0">
        <w:t>Board of Registration in Medicine, Adjudicatory Case No. 2020-051 (Final Decision and Order, November 4, 2021)(revocation for physician who defaulted and whose license was also reprimanded in Maryland for pre-signing blank prescriptions and allowing an unlicensed person t</w:t>
      </w:r>
      <w:r w:rsidR="0035180E">
        <w:t>o fill them out for</w:t>
      </w:r>
      <w:r w:rsidR="00BE71F0">
        <w:t xml:space="preserve"> </w:t>
      </w:r>
      <w:r w:rsidR="0035180E">
        <w:t>s</w:t>
      </w:r>
      <w:r w:rsidR="00BE71F0">
        <w:t xml:space="preserve">uboxone and buprenorphine); and </w:t>
      </w:r>
      <w:r w:rsidR="00BE71F0" w:rsidRPr="00F7794D">
        <w:rPr>
          <w:u w:val="single"/>
        </w:rPr>
        <w:t>In the Matter of Paul M. Willette, M.D.</w:t>
      </w:r>
      <w:r w:rsidR="00BE71F0">
        <w:t xml:space="preserve">, Board of Registration in Medicine, Adjudicatory Case No. 2017-035 (Final Decision and Order, September 13, 2018)(in case of default, revocation for physician whose license was also revoked in New Mexico for failure to provide emergency care, for fraudulent medical records and billing for services never rendered, being disruptive with staff, and failure to access prescription monitoring reports for 8-10 patients). In these cases, the Board reasoned that </w:t>
      </w:r>
      <w:r w:rsidR="00BE71F0">
        <w:lastRenderedPageBreak/>
        <w:t>a default demonstrates a physician’s utter disregard for the Board’s statutory mandate, preventing the Board from investigating the allegations concerning his or her misconduct.</w:t>
      </w:r>
    </w:p>
    <w:p w14:paraId="20DAA508" w14:textId="284D5710" w:rsidR="00717C7C" w:rsidRDefault="00AA7F82" w:rsidP="00AA7F82">
      <w:pPr>
        <w:tabs>
          <w:tab w:val="left" w:pos="0"/>
        </w:tabs>
        <w:spacing w:line="480" w:lineRule="auto"/>
      </w:pPr>
      <w:r>
        <w:tab/>
      </w:r>
      <w:r w:rsidR="00BE71F0">
        <w:t xml:space="preserve">In the present case, it does not appear that any discipline other than a revocation is sufficient as the Respondent repeatedly failed to respond to the Board and DALA.  As noted above, </w:t>
      </w:r>
      <w:r w:rsidR="00BE71F0" w:rsidRPr="00387111">
        <w:t>the Board could impose a revocation based on the default alone</w:t>
      </w:r>
      <w:r w:rsidR="00BE71F0">
        <w:t xml:space="preserve">. </w:t>
      </w:r>
      <w:r w:rsidR="00EE312E" w:rsidRPr="00EE312E">
        <w:t xml:space="preserve">The Board’s paramount responsibility is the protection of the public health, safety and welfare.  </w:t>
      </w:r>
      <w:r w:rsidR="00EE312E" w:rsidRPr="00EE312E">
        <w:rPr>
          <w:u w:val="single"/>
        </w:rPr>
        <w:t>See</w:t>
      </w:r>
      <w:r w:rsidR="00EE312E" w:rsidRPr="00EE312E">
        <w:t xml:space="preserve"> </w:t>
      </w:r>
      <w:r w:rsidR="00EE312E" w:rsidRPr="00EE312E">
        <w:rPr>
          <w:iCs/>
          <w:u w:val="single"/>
        </w:rPr>
        <w:t>Levy v. Board of Registration in Medicine</w:t>
      </w:r>
      <w:r w:rsidR="00EE312E" w:rsidRPr="00EE312E">
        <w:t>, 378 Mass. 519 (1979).  In light of the Respondent’s default, which hindered the Board’s efforts in its fulfillment of this responsibility, it is appropriate to impose a sanction in this matter.</w:t>
      </w:r>
      <w:r w:rsidR="00EE312E">
        <w:t xml:space="preserve"> </w:t>
      </w:r>
      <w:r w:rsidR="00717C7C" w:rsidRPr="00387111">
        <w:t xml:space="preserve">Given the foregoing, the Board </w:t>
      </w:r>
      <w:r w:rsidR="00EE312E">
        <w:t xml:space="preserve">hereby </w:t>
      </w:r>
      <w:r w:rsidR="004D7683">
        <w:rPr>
          <w:b/>
          <w:bCs/>
        </w:rPr>
        <w:t>REVOKES</w:t>
      </w:r>
      <w:r w:rsidR="004D7683">
        <w:t xml:space="preserve"> </w:t>
      </w:r>
      <w:r w:rsidR="00EE312E" w:rsidRPr="00EE312E">
        <w:t>the Respondent’s inchoate right to renew h</w:t>
      </w:r>
      <w:r w:rsidR="002F2A03">
        <w:t>er</w:t>
      </w:r>
      <w:r w:rsidR="00EE312E" w:rsidRPr="00EE312E">
        <w:t xml:space="preserve"> license to practice medicine.  This sanction is imposed for each violation of law listed in the Conclusion section and not a combination of any or all of them.</w:t>
      </w:r>
      <w:r w:rsidR="00EE312E">
        <w:t xml:space="preserve">  </w:t>
      </w:r>
    </w:p>
    <w:p w14:paraId="65F0BB2D" w14:textId="24465C3C" w:rsidR="00F12AA8" w:rsidRDefault="008C33DF" w:rsidP="00BE71F0">
      <w:pPr>
        <w:spacing w:after="200" w:line="480" w:lineRule="auto"/>
        <w:ind w:firstLine="720"/>
      </w:pPr>
      <w:r>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2F2A03">
        <w:t>s</w:t>
      </w:r>
      <w:r>
        <w:t xml:space="preserve">he practices medicine; any in- or out-of-state health maintenance organization with whom </w:t>
      </w:r>
      <w:r w:rsidR="002F2A03">
        <w:t>s</w:t>
      </w:r>
      <w:r>
        <w:t xml:space="preserve">he has privileges or any other kind of association; any state agency, in- or out-of-state, with which </w:t>
      </w:r>
      <w:r w:rsidR="002F2A03">
        <w:t>s</w:t>
      </w:r>
      <w:r>
        <w:t xml:space="preserve">he has a provider contract; any in- or out-of-state medical employer, whether or not </w:t>
      </w:r>
      <w:r w:rsidR="002F2A03">
        <w:t>s</w:t>
      </w:r>
      <w:r>
        <w:t xml:space="preserve">he practices medicine there; the state licensing boards of all states in which </w:t>
      </w:r>
      <w:r w:rsidR="002F2A03">
        <w:t>sh</w:t>
      </w:r>
      <w:r>
        <w:t>e has any kind of license to practice medicine; the Drug Enforcement Administration – Boston Diversion Group; and the Massachusetts Department of Public Health Drug Control Program.  The Respondent shall also provide this notification to any such designated entities with which</w:t>
      </w:r>
      <w:r w:rsidR="001A5C95">
        <w:t xml:space="preserve"> </w:t>
      </w:r>
      <w:r w:rsidR="002F2A03">
        <w:t>s</w:t>
      </w:r>
      <w:r>
        <w:t xml:space="preserve">he becomes associated for </w:t>
      </w:r>
      <w:r>
        <w:lastRenderedPageBreak/>
        <w:t xml:space="preserve">the duration of this revocation.  The Respondent is further directed to certify to the Board within ten (10) days that </w:t>
      </w:r>
      <w:r w:rsidR="002F2A03">
        <w:t>s</w:t>
      </w:r>
      <w:r w:rsidR="001A5C95">
        <w:t>h</w:t>
      </w:r>
      <w:r>
        <w:t>e has complied with this directive.</w:t>
      </w:r>
    </w:p>
    <w:p w14:paraId="49002BC0" w14:textId="2B4089BC" w:rsidR="008C33DF" w:rsidRPr="000A15F7" w:rsidRDefault="008C33DF" w:rsidP="00F12AA8">
      <w:pPr>
        <w:spacing w:line="480" w:lineRule="auto"/>
        <w:ind w:firstLine="720"/>
        <w:jc w:val="both"/>
      </w:pPr>
      <w:r w:rsidRPr="000A15F7">
        <w:t xml:space="preserve">The Respondent has the right to appeal this Final Decision and Order within thirty (30) days, pursuant to G.L. c. 30A, §§14 and 15, and G.L. c. 112, § 64.      </w:t>
      </w:r>
    </w:p>
    <w:p w14:paraId="269B3261" w14:textId="77777777" w:rsidR="008C33DF" w:rsidRPr="000A15F7" w:rsidRDefault="008C33DF" w:rsidP="000F3020">
      <w:pPr>
        <w:spacing w:line="480" w:lineRule="auto"/>
        <w:jc w:val="both"/>
      </w:pPr>
    </w:p>
    <w:p w14:paraId="2AE86D9C" w14:textId="354FD0AE"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D</w:t>
      </w:r>
      <w:r w:rsidR="00C00F70">
        <w:rPr>
          <w:rFonts w:ascii="Times New Roman" w:hAnsi="Times New Roman" w:cs="Times New Roman"/>
          <w:color w:val="000000"/>
          <w:sz w:val="24"/>
          <w:szCs w:val="24"/>
        </w:rPr>
        <w:t>ate</w:t>
      </w:r>
      <w:r w:rsidRPr="00EF31FC">
        <w:rPr>
          <w:rFonts w:ascii="Times New Roman" w:hAnsi="Times New Roman" w:cs="Times New Roman"/>
          <w:color w:val="000000"/>
          <w:sz w:val="24"/>
          <w:szCs w:val="24"/>
        </w:rPr>
        <w:t>:</w:t>
      </w:r>
      <w:r w:rsidRPr="00EF31FC">
        <w:rPr>
          <w:rFonts w:ascii="Times New Roman" w:hAnsi="Times New Roman" w:cs="Times New Roman"/>
          <w:color w:val="000000"/>
          <w:sz w:val="24"/>
          <w:szCs w:val="24"/>
        </w:rPr>
        <w:tab/>
      </w:r>
      <w:r w:rsidR="002F2A03">
        <w:rPr>
          <w:rFonts w:ascii="Times New Roman" w:hAnsi="Times New Roman" w:cs="Times New Roman"/>
          <w:color w:val="000000"/>
          <w:sz w:val="24"/>
          <w:szCs w:val="24"/>
        </w:rPr>
        <w:tab/>
      </w:r>
      <w:r w:rsidR="002F2A03">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_______________________________</w:t>
      </w:r>
    </w:p>
    <w:p w14:paraId="31C1C041" w14:textId="2A46A8E0"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2F2A03">
        <w:rPr>
          <w:rFonts w:ascii="Times New Roman" w:hAnsi="Times New Roman" w:cs="Times New Roman"/>
          <w:color w:val="000000"/>
          <w:sz w:val="24"/>
          <w:szCs w:val="24"/>
        </w:rPr>
        <w:t>Booker T. Bush</w:t>
      </w:r>
      <w:r w:rsidRPr="00EF31FC">
        <w:rPr>
          <w:rFonts w:ascii="Times New Roman" w:hAnsi="Times New Roman" w:cs="Times New Roman"/>
          <w:color w:val="000000"/>
          <w:sz w:val="24"/>
          <w:szCs w:val="24"/>
        </w:rPr>
        <w:t>, M.D.</w:t>
      </w:r>
    </w:p>
    <w:p w14:paraId="70F95B7F" w14:textId="77777777" w:rsid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 xml:space="preserve">Board </w:t>
      </w:r>
      <w:r w:rsidRPr="00EF31FC">
        <w:rPr>
          <w:rFonts w:ascii="Times New Roman" w:hAnsi="Times New Roman" w:cs="Times New Roman"/>
          <w:color w:val="000000"/>
          <w:sz w:val="24"/>
          <w:szCs w:val="24"/>
        </w:rPr>
        <w:t>Chair</w:t>
      </w:r>
      <w:r w:rsidRPr="00EF31FC">
        <w:rPr>
          <w:rFonts w:ascii="Times New Roman" w:hAnsi="Times New Roman" w:cs="Times New Roman"/>
          <w:color w:val="000000"/>
          <w:sz w:val="24"/>
          <w:szCs w:val="24"/>
        </w:rPr>
        <w:tab/>
      </w:r>
    </w:p>
    <w:p w14:paraId="293807D5" w14:textId="77777777" w:rsidR="008C33DF" w:rsidRPr="000A15F7" w:rsidRDefault="00EF31FC" w:rsidP="000F3020">
      <w:pPr>
        <w:pStyle w:val="BodyText"/>
        <w:spacing w:line="240" w:lineRule="auto"/>
        <w:jc w:val="both"/>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14:paraId="6591310C" w14:textId="77777777" w:rsidR="00202590" w:rsidRDefault="00202590" w:rsidP="008C33DF">
      <w:pPr>
        <w:pStyle w:val="le-brm-normal-32-level"/>
        <w:spacing w:line="480" w:lineRule="auto"/>
      </w:pPr>
    </w:p>
    <w:sectPr w:rsidR="00202590" w:rsidSect="00C4203E">
      <w:headerReference w:type="even" r:id="rId8"/>
      <w:headerReference w:type="default" r:id="rId9"/>
      <w:footerReference w:type="even" r:id="rId10"/>
      <w:footerReference w:type="default" r:id="rId11"/>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95A9" w14:textId="77777777" w:rsidR="006775A0" w:rsidRDefault="006775A0">
      <w:r>
        <w:separator/>
      </w:r>
    </w:p>
  </w:endnote>
  <w:endnote w:type="continuationSeparator" w:id="0">
    <w:p w14:paraId="3AB1372C" w14:textId="77777777" w:rsidR="006775A0" w:rsidRDefault="0067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AFE5" w14:textId="77777777"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FAD66" w14:textId="77777777" w:rsidR="00A34194" w:rsidRDefault="00A3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D56D" w14:textId="77777777"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0042CF">
      <w:rPr>
        <w:rStyle w:val="PageNumber"/>
        <w:rFonts w:ascii="Times New Roman" w:hAnsi="Times New Roman"/>
        <w:noProof/>
      </w:rPr>
      <w:t>2</w:t>
    </w:r>
    <w:r w:rsidRPr="00E548EC">
      <w:rPr>
        <w:rStyle w:val="PageNumber"/>
        <w:rFonts w:ascii="Times New Roman" w:hAnsi="Times New Roman"/>
      </w:rPr>
      <w:fldChar w:fldCharType="end"/>
    </w:r>
  </w:p>
  <w:p w14:paraId="0C8CA4BF" w14:textId="77777777" w:rsidR="00A34194" w:rsidRDefault="00A3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6FB1" w14:textId="77777777" w:rsidR="006775A0" w:rsidRDefault="006775A0">
      <w:r>
        <w:separator/>
      </w:r>
    </w:p>
  </w:footnote>
  <w:footnote w:type="continuationSeparator" w:id="0">
    <w:p w14:paraId="5425ECF0" w14:textId="77777777" w:rsidR="006775A0" w:rsidRDefault="0067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7A3F" w14:textId="77777777"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31B766" w14:textId="77777777" w:rsidR="00A34194" w:rsidRDefault="00A341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2DFD" w14:textId="77777777" w:rsidR="00A34194" w:rsidRDefault="00A34194">
    <w:pPr>
      <w:pStyle w:val="Header"/>
      <w:framePr w:wrap="around" w:vAnchor="text" w:hAnchor="margin" w:xAlign="center" w:y="1"/>
      <w:rPr>
        <w:rStyle w:val="PageNumber"/>
      </w:rPr>
    </w:pPr>
  </w:p>
  <w:p w14:paraId="2704236B" w14:textId="77777777" w:rsidR="00A34194" w:rsidRDefault="00A341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8"/>
    <w:multiLevelType w:val="hybridMultilevel"/>
    <w:tmpl w:val="959AA83A"/>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754BD"/>
    <w:multiLevelType w:val="hybridMultilevel"/>
    <w:tmpl w:val="CAA0CF04"/>
    <w:lvl w:ilvl="0" w:tplc="D62A86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8" w15:restartNumberingAfterBreak="0">
    <w:nsid w:val="205103C1"/>
    <w:multiLevelType w:val="hybridMultilevel"/>
    <w:tmpl w:val="6532CBE0"/>
    <w:lvl w:ilvl="0" w:tplc="960A704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B4016B"/>
    <w:multiLevelType w:val="hybridMultilevel"/>
    <w:tmpl w:val="39EC5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7C769F"/>
    <w:multiLevelType w:val="hybridMultilevel"/>
    <w:tmpl w:val="20DC0B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763632"/>
    <w:multiLevelType w:val="hybridMultilevel"/>
    <w:tmpl w:val="A09291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631BD"/>
    <w:multiLevelType w:val="hybridMultilevel"/>
    <w:tmpl w:val="C47693CA"/>
    <w:lvl w:ilvl="0" w:tplc="8A2661A2">
      <w:start w:val="1"/>
      <w:numFmt w:val="upperLetter"/>
      <w:lvlText w:val="%1."/>
      <w:lvlJc w:val="left"/>
      <w:pPr>
        <w:ind w:left="1080" w:hanging="360"/>
      </w:pPr>
      <w:rPr>
        <w:rFonts w:hint="default"/>
      </w:rPr>
    </w:lvl>
    <w:lvl w:ilvl="1" w:tplc="4AC846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E0988"/>
    <w:multiLevelType w:val="hybridMultilevel"/>
    <w:tmpl w:val="A8CE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260D"/>
    <w:multiLevelType w:val="hybridMultilevel"/>
    <w:tmpl w:val="2CF8A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013C5"/>
    <w:multiLevelType w:val="hybridMultilevel"/>
    <w:tmpl w:val="72547A44"/>
    <w:lvl w:ilvl="0" w:tplc="79F63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23"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547738">
    <w:abstractNumId w:val="7"/>
  </w:num>
  <w:num w:numId="2" w16cid:durableId="1882278329">
    <w:abstractNumId w:val="23"/>
  </w:num>
  <w:num w:numId="3" w16cid:durableId="1333794271">
    <w:abstractNumId w:val="13"/>
  </w:num>
  <w:num w:numId="4" w16cid:durableId="485172280">
    <w:abstractNumId w:val="24"/>
  </w:num>
  <w:num w:numId="5" w16cid:durableId="15694751">
    <w:abstractNumId w:val="21"/>
  </w:num>
  <w:num w:numId="6" w16cid:durableId="36392713">
    <w:abstractNumId w:val="9"/>
  </w:num>
  <w:num w:numId="7" w16cid:durableId="1670018259">
    <w:abstractNumId w:val="22"/>
  </w:num>
  <w:num w:numId="8" w16cid:durableId="225535669">
    <w:abstractNumId w:val="4"/>
  </w:num>
  <w:num w:numId="9" w16cid:durableId="327903624">
    <w:abstractNumId w:val="12"/>
  </w:num>
  <w:num w:numId="10" w16cid:durableId="1283878522">
    <w:abstractNumId w:val="20"/>
  </w:num>
  <w:num w:numId="11" w16cid:durableId="129982414">
    <w:abstractNumId w:val="1"/>
  </w:num>
  <w:num w:numId="12" w16cid:durableId="64887890">
    <w:abstractNumId w:val="6"/>
  </w:num>
  <w:num w:numId="13" w16cid:durableId="1146975245">
    <w:abstractNumId w:val="5"/>
  </w:num>
  <w:num w:numId="14" w16cid:durableId="1236479688">
    <w:abstractNumId w:val="3"/>
  </w:num>
  <w:num w:numId="15" w16cid:durableId="879511097">
    <w:abstractNumId w:val="10"/>
  </w:num>
  <w:num w:numId="16" w16cid:durableId="831140557">
    <w:abstractNumId w:val="0"/>
  </w:num>
  <w:num w:numId="17" w16cid:durableId="1944261599">
    <w:abstractNumId w:val="14"/>
  </w:num>
  <w:num w:numId="18" w16cid:durableId="1261600353">
    <w:abstractNumId w:val="11"/>
  </w:num>
  <w:num w:numId="19" w16cid:durableId="1645160176">
    <w:abstractNumId w:val="16"/>
  </w:num>
  <w:num w:numId="20" w16cid:durableId="1266228115">
    <w:abstractNumId w:val="17"/>
  </w:num>
  <w:num w:numId="21" w16cid:durableId="700133564">
    <w:abstractNumId w:val="15"/>
  </w:num>
  <w:num w:numId="22" w16cid:durableId="26302345">
    <w:abstractNumId w:val="2"/>
  </w:num>
  <w:num w:numId="23" w16cid:durableId="1002315992">
    <w:abstractNumId w:val="18"/>
  </w:num>
  <w:num w:numId="24" w16cid:durableId="1322613765">
    <w:abstractNumId w:val="8"/>
  </w:num>
  <w:num w:numId="25" w16cid:durableId="18672520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39"/>
    <w:rsid w:val="000042CF"/>
    <w:rsid w:val="0000776B"/>
    <w:rsid w:val="00022F93"/>
    <w:rsid w:val="00037930"/>
    <w:rsid w:val="000418F9"/>
    <w:rsid w:val="00052490"/>
    <w:rsid w:val="0005579B"/>
    <w:rsid w:val="00067CC8"/>
    <w:rsid w:val="00071C53"/>
    <w:rsid w:val="00073748"/>
    <w:rsid w:val="0009048F"/>
    <w:rsid w:val="000A609B"/>
    <w:rsid w:val="000B3CFE"/>
    <w:rsid w:val="000B5933"/>
    <w:rsid w:val="000E2293"/>
    <w:rsid w:val="000E6CD3"/>
    <w:rsid w:val="000F3020"/>
    <w:rsid w:val="0010597C"/>
    <w:rsid w:val="001162E7"/>
    <w:rsid w:val="00117F3C"/>
    <w:rsid w:val="00125D4F"/>
    <w:rsid w:val="001453B5"/>
    <w:rsid w:val="00145FD1"/>
    <w:rsid w:val="00170F4A"/>
    <w:rsid w:val="0017382B"/>
    <w:rsid w:val="00177D1A"/>
    <w:rsid w:val="00181B18"/>
    <w:rsid w:val="001907DB"/>
    <w:rsid w:val="001A34CA"/>
    <w:rsid w:val="001A5C95"/>
    <w:rsid w:val="001B2D72"/>
    <w:rsid w:val="001B6431"/>
    <w:rsid w:val="001C5D32"/>
    <w:rsid w:val="001E7A7D"/>
    <w:rsid w:val="001F4FCC"/>
    <w:rsid w:val="00202590"/>
    <w:rsid w:val="00204059"/>
    <w:rsid w:val="00232305"/>
    <w:rsid w:val="00235DD6"/>
    <w:rsid w:val="00246535"/>
    <w:rsid w:val="002A2779"/>
    <w:rsid w:val="002A4108"/>
    <w:rsid w:val="002B5A27"/>
    <w:rsid w:val="002D74D3"/>
    <w:rsid w:val="002D7F98"/>
    <w:rsid w:val="002F2A03"/>
    <w:rsid w:val="00306A0B"/>
    <w:rsid w:val="0034525B"/>
    <w:rsid w:val="003469E2"/>
    <w:rsid w:val="00346AD1"/>
    <w:rsid w:val="00347263"/>
    <w:rsid w:val="0035180E"/>
    <w:rsid w:val="00381F76"/>
    <w:rsid w:val="00391026"/>
    <w:rsid w:val="00396EE2"/>
    <w:rsid w:val="003A01E2"/>
    <w:rsid w:val="003A24BB"/>
    <w:rsid w:val="003B7CD7"/>
    <w:rsid w:val="003C412B"/>
    <w:rsid w:val="003C6F39"/>
    <w:rsid w:val="003D7FAF"/>
    <w:rsid w:val="00411BA7"/>
    <w:rsid w:val="004165E7"/>
    <w:rsid w:val="00416B6A"/>
    <w:rsid w:val="004267BE"/>
    <w:rsid w:val="004341F6"/>
    <w:rsid w:val="00437F4B"/>
    <w:rsid w:val="00452250"/>
    <w:rsid w:val="00456B65"/>
    <w:rsid w:val="004629C0"/>
    <w:rsid w:val="00462B69"/>
    <w:rsid w:val="004720CD"/>
    <w:rsid w:val="00483A2F"/>
    <w:rsid w:val="004A4FC8"/>
    <w:rsid w:val="004A56C7"/>
    <w:rsid w:val="004C47A4"/>
    <w:rsid w:val="004D7683"/>
    <w:rsid w:val="00506A4D"/>
    <w:rsid w:val="00507295"/>
    <w:rsid w:val="005427C4"/>
    <w:rsid w:val="00553B64"/>
    <w:rsid w:val="00561893"/>
    <w:rsid w:val="00573515"/>
    <w:rsid w:val="005739EE"/>
    <w:rsid w:val="00581EC8"/>
    <w:rsid w:val="00591687"/>
    <w:rsid w:val="005A756F"/>
    <w:rsid w:val="005B412A"/>
    <w:rsid w:val="005E4A09"/>
    <w:rsid w:val="005E667B"/>
    <w:rsid w:val="00602436"/>
    <w:rsid w:val="00606C36"/>
    <w:rsid w:val="0063480C"/>
    <w:rsid w:val="006374FC"/>
    <w:rsid w:val="0065684F"/>
    <w:rsid w:val="006775A0"/>
    <w:rsid w:val="006847BF"/>
    <w:rsid w:val="00684D59"/>
    <w:rsid w:val="00690083"/>
    <w:rsid w:val="006B6AAD"/>
    <w:rsid w:val="006C61F4"/>
    <w:rsid w:val="006E095A"/>
    <w:rsid w:val="006F65EE"/>
    <w:rsid w:val="00717C7C"/>
    <w:rsid w:val="007268B5"/>
    <w:rsid w:val="00726D0F"/>
    <w:rsid w:val="00735F39"/>
    <w:rsid w:val="00746A43"/>
    <w:rsid w:val="007507CD"/>
    <w:rsid w:val="00756E28"/>
    <w:rsid w:val="007848AB"/>
    <w:rsid w:val="00796BD8"/>
    <w:rsid w:val="007B6030"/>
    <w:rsid w:val="007E6878"/>
    <w:rsid w:val="007F5BEA"/>
    <w:rsid w:val="00827D49"/>
    <w:rsid w:val="00845A64"/>
    <w:rsid w:val="00866515"/>
    <w:rsid w:val="00866761"/>
    <w:rsid w:val="008727AC"/>
    <w:rsid w:val="008831E1"/>
    <w:rsid w:val="008A317B"/>
    <w:rsid w:val="008A7688"/>
    <w:rsid w:val="008B6DB5"/>
    <w:rsid w:val="008C33DF"/>
    <w:rsid w:val="008C38D8"/>
    <w:rsid w:val="008D1F93"/>
    <w:rsid w:val="008D50A9"/>
    <w:rsid w:val="008E47E6"/>
    <w:rsid w:val="00905419"/>
    <w:rsid w:val="0091226F"/>
    <w:rsid w:val="00930EE1"/>
    <w:rsid w:val="0096561E"/>
    <w:rsid w:val="00972698"/>
    <w:rsid w:val="00973908"/>
    <w:rsid w:val="00993073"/>
    <w:rsid w:val="009C19A7"/>
    <w:rsid w:val="009E193C"/>
    <w:rsid w:val="009F0AFF"/>
    <w:rsid w:val="009F3A17"/>
    <w:rsid w:val="00A13C95"/>
    <w:rsid w:val="00A318F1"/>
    <w:rsid w:val="00A34194"/>
    <w:rsid w:val="00A43757"/>
    <w:rsid w:val="00A67708"/>
    <w:rsid w:val="00A92CF6"/>
    <w:rsid w:val="00AA7F82"/>
    <w:rsid w:val="00AC234D"/>
    <w:rsid w:val="00AD2E9A"/>
    <w:rsid w:val="00AD6E07"/>
    <w:rsid w:val="00AE41BE"/>
    <w:rsid w:val="00B057A5"/>
    <w:rsid w:val="00B23585"/>
    <w:rsid w:val="00B326C0"/>
    <w:rsid w:val="00B349DC"/>
    <w:rsid w:val="00B36052"/>
    <w:rsid w:val="00B567BC"/>
    <w:rsid w:val="00B57B91"/>
    <w:rsid w:val="00B6433B"/>
    <w:rsid w:val="00BA0A08"/>
    <w:rsid w:val="00BA488C"/>
    <w:rsid w:val="00BC5DCF"/>
    <w:rsid w:val="00BD1CA6"/>
    <w:rsid w:val="00BD7C3B"/>
    <w:rsid w:val="00BE71F0"/>
    <w:rsid w:val="00BF7F9C"/>
    <w:rsid w:val="00C00F70"/>
    <w:rsid w:val="00C128B4"/>
    <w:rsid w:val="00C14AA5"/>
    <w:rsid w:val="00C176A2"/>
    <w:rsid w:val="00C37985"/>
    <w:rsid w:val="00C41A84"/>
    <w:rsid w:val="00C4203E"/>
    <w:rsid w:val="00C646DD"/>
    <w:rsid w:val="00C70482"/>
    <w:rsid w:val="00C942BE"/>
    <w:rsid w:val="00C9585F"/>
    <w:rsid w:val="00CA0F2E"/>
    <w:rsid w:val="00CB13B6"/>
    <w:rsid w:val="00CB16BC"/>
    <w:rsid w:val="00CB1993"/>
    <w:rsid w:val="00CE69AD"/>
    <w:rsid w:val="00CF3A14"/>
    <w:rsid w:val="00CF54D5"/>
    <w:rsid w:val="00D04957"/>
    <w:rsid w:val="00D16CB8"/>
    <w:rsid w:val="00D25D16"/>
    <w:rsid w:val="00D32FF7"/>
    <w:rsid w:val="00D50062"/>
    <w:rsid w:val="00D51FE4"/>
    <w:rsid w:val="00D52BEF"/>
    <w:rsid w:val="00D54C20"/>
    <w:rsid w:val="00D56F12"/>
    <w:rsid w:val="00D746F5"/>
    <w:rsid w:val="00D9588E"/>
    <w:rsid w:val="00DA43E1"/>
    <w:rsid w:val="00DC573C"/>
    <w:rsid w:val="00DF20D6"/>
    <w:rsid w:val="00E14585"/>
    <w:rsid w:val="00E230A4"/>
    <w:rsid w:val="00E35BAE"/>
    <w:rsid w:val="00E548EC"/>
    <w:rsid w:val="00E743ED"/>
    <w:rsid w:val="00E76502"/>
    <w:rsid w:val="00E773BB"/>
    <w:rsid w:val="00E85BEF"/>
    <w:rsid w:val="00EB3AB0"/>
    <w:rsid w:val="00ED3C67"/>
    <w:rsid w:val="00ED7646"/>
    <w:rsid w:val="00EE312E"/>
    <w:rsid w:val="00EF31FC"/>
    <w:rsid w:val="00EF6016"/>
    <w:rsid w:val="00F12AA8"/>
    <w:rsid w:val="00F160AD"/>
    <w:rsid w:val="00F234E8"/>
    <w:rsid w:val="00F54FF1"/>
    <w:rsid w:val="00F64827"/>
    <w:rsid w:val="00F67DB3"/>
    <w:rsid w:val="00F75A60"/>
    <w:rsid w:val="00FA3708"/>
    <w:rsid w:val="00FA4E49"/>
    <w:rsid w:val="00FA76FD"/>
    <w:rsid w:val="00FD509B"/>
    <w:rsid w:val="00FD66ED"/>
    <w:rsid w:val="00FF3EC6"/>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FE78A"/>
  <w15:docId w15:val="{A690DA38-6363-4300-8796-263A5CA3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 w:type="paragraph" w:styleId="Revision">
    <w:name w:val="Revision"/>
    <w:hidden/>
    <w:uiPriority w:val="99"/>
    <w:semiHidden/>
    <w:rsid w:val="00D56F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 w:id="738481552">
      <w:bodyDiv w:val="1"/>
      <w:marLeft w:val="0"/>
      <w:marRight w:val="0"/>
      <w:marTop w:val="0"/>
      <w:marBottom w:val="0"/>
      <w:divBdr>
        <w:top w:val="none" w:sz="0" w:space="0" w:color="auto"/>
        <w:left w:val="none" w:sz="0" w:space="0" w:color="auto"/>
        <w:bottom w:val="none" w:sz="0" w:space="0" w:color="auto"/>
        <w:right w:val="none" w:sz="0" w:space="0" w:color="auto"/>
      </w:divBdr>
    </w:div>
    <w:div w:id="996300727">
      <w:bodyDiv w:val="1"/>
      <w:marLeft w:val="0"/>
      <w:marRight w:val="0"/>
      <w:marTop w:val="0"/>
      <w:marBottom w:val="0"/>
      <w:divBdr>
        <w:top w:val="none" w:sz="0" w:space="0" w:color="auto"/>
        <w:left w:val="none" w:sz="0" w:space="0" w:color="auto"/>
        <w:bottom w:val="none" w:sz="0" w:space="0" w:color="auto"/>
        <w:right w:val="none" w:sz="0" w:space="0" w:color="auto"/>
      </w:divBdr>
      <w:divsChild>
        <w:div w:id="1444303916">
          <w:marLeft w:val="0"/>
          <w:marRight w:val="0"/>
          <w:marTop w:val="0"/>
          <w:marBottom w:val="0"/>
          <w:divBdr>
            <w:top w:val="none" w:sz="0" w:space="0" w:color="auto"/>
            <w:left w:val="none" w:sz="0" w:space="0" w:color="auto"/>
            <w:bottom w:val="none" w:sz="0" w:space="0" w:color="auto"/>
            <w:right w:val="none" w:sz="0" w:space="0" w:color="auto"/>
          </w:divBdr>
        </w:div>
      </w:divsChild>
    </w:div>
    <w:div w:id="1236743944">
      <w:bodyDiv w:val="1"/>
      <w:marLeft w:val="0"/>
      <w:marRight w:val="0"/>
      <w:marTop w:val="0"/>
      <w:marBottom w:val="0"/>
      <w:divBdr>
        <w:top w:val="none" w:sz="0" w:space="0" w:color="auto"/>
        <w:left w:val="none" w:sz="0" w:space="0" w:color="auto"/>
        <w:bottom w:val="none" w:sz="0" w:space="0" w:color="auto"/>
        <w:right w:val="none" w:sz="0" w:space="0" w:color="auto"/>
      </w:divBdr>
      <w:divsChild>
        <w:div w:id="487673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E974-F2B8-40A6-9410-2876F35F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1214</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Weber, Sarah (DPH)</cp:lastModifiedBy>
  <cp:revision>15</cp:revision>
  <cp:lastPrinted>2023-01-25T16:40:00Z</cp:lastPrinted>
  <dcterms:created xsi:type="dcterms:W3CDTF">2025-03-10T20:27:00Z</dcterms:created>
  <dcterms:modified xsi:type="dcterms:W3CDTF">2025-03-27T15:32:00Z</dcterms:modified>
</cp:coreProperties>
</file>