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51A0" w14:textId="340D4378" w:rsidR="00E3380B" w:rsidRDefault="00E3380B" w:rsidP="00A42184">
      <w:pPr>
        <w:pStyle w:val="BodyText"/>
        <w:spacing w:before="160" w:line="249" w:lineRule="auto"/>
        <w:ind w:left="2194" w:right="1479" w:hanging="12"/>
        <w:jc w:val="center"/>
      </w:pPr>
      <w:r>
        <w:t xml:space="preserve">COMMONWEALTH OF MASSACHUSETTS </w:t>
      </w:r>
      <w:bookmarkStart w:id="0" w:name="Draft_Final_Decision_and_Order"/>
      <w:bookmarkEnd w:id="0"/>
      <w:r>
        <w:rPr>
          <w:w w:val="105"/>
        </w:rPr>
        <w:t>BOARD</w:t>
      </w:r>
      <w:r>
        <w:rPr>
          <w:spacing w:val="-13"/>
          <w:w w:val="105"/>
        </w:rPr>
        <w:t xml:space="preserve"> </w:t>
      </w:r>
      <w:r>
        <w:rPr>
          <w:w w:val="105"/>
        </w:rPr>
        <w:t>OF</w:t>
      </w:r>
      <w:r>
        <w:rPr>
          <w:spacing w:val="-15"/>
          <w:w w:val="105"/>
        </w:rPr>
        <w:t xml:space="preserve"> </w:t>
      </w:r>
      <w:r>
        <w:rPr>
          <w:w w:val="105"/>
        </w:rPr>
        <w:t>REGISTRATION</w:t>
      </w:r>
      <w:r>
        <w:rPr>
          <w:spacing w:val="5"/>
          <w:w w:val="105"/>
        </w:rPr>
        <w:t xml:space="preserve"> </w:t>
      </w:r>
      <w:r>
        <w:rPr>
          <w:w w:val="105"/>
        </w:rPr>
        <w:t>IN</w:t>
      </w:r>
      <w:r>
        <w:rPr>
          <w:spacing w:val="-12"/>
          <w:w w:val="105"/>
        </w:rPr>
        <w:t xml:space="preserve"> </w:t>
      </w:r>
      <w:r>
        <w:rPr>
          <w:spacing w:val="-2"/>
          <w:w w:val="105"/>
        </w:rPr>
        <w:t>MEDICINE</w:t>
      </w:r>
    </w:p>
    <w:p w14:paraId="0D2E1E93" w14:textId="77777777" w:rsidR="00E3380B" w:rsidRDefault="00E3380B" w:rsidP="00E3380B">
      <w:pPr>
        <w:pStyle w:val="BodyText"/>
        <w:spacing w:before="9"/>
        <w:rPr>
          <w:sz w:val="15"/>
        </w:rPr>
      </w:pPr>
    </w:p>
    <w:p w14:paraId="5FAB0CFC" w14:textId="7A8EA975" w:rsidR="00A42184" w:rsidRDefault="00A42184" w:rsidP="00F466BC">
      <w:pPr>
        <w:pStyle w:val="BodyText"/>
        <w:spacing w:before="95" w:line="242" w:lineRule="auto"/>
        <w:ind w:left="4477" w:right="1271" w:hanging="4325"/>
        <w:rPr>
          <w:spacing w:val="-15"/>
          <w:w w:val="105"/>
          <w:position w:val="1"/>
        </w:rPr>
      </w:pPr>
      <w:r>
        <w:rPr>
          <w:w w:val="105"/>
        </w:rPr>
        <w:t>M</w:t>
      </w:r>
      <w:r w:rsidR="00E3380B">
        <w:rPr>
          <w:w w:val="105"/>
        </w:rPr>
        <w:t>IDDLESEX, ss</w:t>
      </w:r>
      <w:r w:rsidR="00E3380B">
        <w:tab/>
      </w:r>
      <w:r w:rsidR="00E3380B">
        <w:rPr>
          <w:w w:val="105"/>
          <w:position w:val="1"/>
        </w:rPr>
        <w:t>Adjudicatory</w:t>
      </w:r>
      <w:r w:rsidR="00E3380B">
        <w:rPr>
          <w:spacing w:val="-4"/>
          <w:w w:val="105"/>
          <w:position w:val="1"/>
        </w:rPr>
        <w:t xml:space="preserve"> </w:t>
      </w:r>
      <w:r w:rsidR="00E3380B">
        <w:rPr>
          <w:w w:val="105"/>
          <w:position w:val="1"/>
        </w:rPr>
        <w:t>Case</w:t>
      </w:r>
      <w:r w:rsidR="00E3380B">
        <w:rPr>
          <w:spacing w:val="-15"/>
          <w:w w:val="105"/>
          <w:position w:val="1"/>
        </w:rPr>
        <w:t xml:space="preserve"> </w:t>
      </w:r>
      <w:r w:rsidR="00E3380B">
        <w:rPr>
          <w:w w:val="105"/>
          <w:position w:val="1"/>
        </w:rPr>
        <w:t>No.</w:t>
      </w:r>
      <w:r w:rsidR="00E3380B">
        <w:rPr>
          <w:spacing w:val="-15"/>
          <w:w w:val="105"/>
          <w:position w:val="1"/>
        </w:rPr>
        <w:t xml:space="preserve"> </w:t>
      </w:r>
      <w:r w:rsidR="00B82910">
        <w:rPr>
          <w:spacing w:val="-15"/>
          <w:w w:val="105"/>
          <w:position w:val="1"/>
        </w:rPr>
        <w:t>2022-005</w:t>
      </w:r>
    </w:p>
    <w:p w14:paraId="3D57B0C3" w14:textId="4E87B9AB" w:rsidR="00E3380B" w:rsidRDefault="00A42184" w:rsidP="00A42184">
      <w:pPr>
        <w:pStyle w:val="BodyText"/>
        <w:spacing w:before="95" w:line="242" w:lineRule="auto"/>
        <w:ind w:left="4477" w:right="1271" w:hanging="157"/>
        <w:rPr>
          <w:w w:val="105"/>
        </w:rPr>
      </w:pPr>
      <w:r>
        <w:rPr>
          <w:spacing w:val="-15"/>
          <w:w w:val="105"/>
          <w:position w:val="1"/>
        </w:rPr>
        <w:t xml:space="preserve">   </w:t>
      </w:r>
      <w:r w:rsidR="00E3380B">
        <w:rPr>
          <w:w w:val="105"/>
        </w:rPr>
        <w:t>(DALA No. RM-22-</w:t>
      </w:r>
      <w:r>
        <w:rPr>
          <w:w w:val="105"/>
        </w:rPr>
        <w:t>020</w:t>
      </w:r>
      <w:r w:rsidR="00E3380B">
        <w:rPr>
          <w:w w:val="105"/>
        </w:rPr>
        <w:t>)</w:t>
      </w:r>
    </w:p>
    <w:p w14:paraId="186B879E" w14:textId="566D3F4E" w:rsidR="00E3380B" w:rsidRPr="007A7BB8" w:rsidRDefault="00E3380B" w:rsidP="00F466BC">
      <w:pPr>
        <w:pStyle w:val="BodyText"/>
        <w:spacing w:line="20" w:lineRule="exact"/>
        <w:rPr>
          <w:sz w:val="2"/>
        </w:rPr>
      </w:pPr>
      <w:r>
        <w:rPr>
          <w:noProof/>
          <w:sz w:val="2"/>
        </w:rPr>
        <mc:AlternateContent>
          <mc:Choice Requires="wpg">
            <w:drawing>
              <wp:inline distT="0" distB="0" distL="0" distR="0" wp14:anchorId="717FE40B" wp14:editId="592816D1">
                <wp:extent cx="1851660" cy="9525"/>
                <wp:effectExtent l="10795" t="7620" r="1397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660" cy="9525"/>
                          <a:chOff x="0" y="0"/>
                          <a:chExt cx="2916" cy="15"/>
                        </a:xfrm>
                      </wpg:grpSpPr>
                      <wps:wsp>
                        <wps:cNvPr id="4" name="Line 5"/>
                        <wps:cNvCnPr>
                          <a:cxnSpLocks noChangeShapeType="1"/>
                        </wps:cNvCnPr>
                        <wps:spPr bwMode="auto">
                          <a:xfrm>
                            <a:off x="0" y="7"/>
                            <a:ext cx="2916"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xmlns:arto="http://schemas.microsoft.com/office/word/2006/arto">
            <w:pict>
              <v:group w14:anchorId="53F64620" id="Group 3" o:spid="_x0000_s1026" style="width:145.8pt;height:.75pt;mso-position-horizontal-relative:char;mso-position-vertical-relative:line" coordsize="2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">
                <v:line id="Line 5" o:spid="_x0000_s1027" style="position:absolute;visibility:visible;mso-wrap-style:square" from="0,7" to="29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" strokeweight=".25447mm"/>
                <w10:anchorlock/>
              </v:group>
            </w:pict>
          </mc:Fallback>
        </mc:AlternateContent>
      </w:r>
    </w:p>
    <w:p w14:paraId="703E8978" w14:textId="77777777" w:rsidR="00E3380B" w:rsidRDefault="00E3380B" w:rsidP="00CC65DD">
      <w:pPr>
        <w:pStyle w:val="BodyText"/>
        <w:tabs>
          <w:tab w:val="left" w:pos="2887"/>
        </w:tabs>
        <w:spacing w:before="19"/>
        <w:ind w:right="38"/>
        <w:rPr>
          <w:sz w:val="22"/>
        </w:rPr>
      </w:pPr>
      <w:r>
        <w:rPr>
          <w:w w:val="105"/>
        </w:rPr>
        <w:t>In</w:t>
      </w:r>
      <w:r>
        <w:rPr>
          <w:spacing w:val="-9"/>
          <w:w w:val="105"/>
        </w:rPr>
        <w:t xml:space="preserve"> </w:t>
      </w:r>
      <w:r>
        <w:rPr>
          <w:w w:val="105"/>
        </w:rPr>
        <w:t>the</w:t>
      </w:r>
      <w:r>
        <w:rPr>
          <w:spacing w:val="-7"/>
          <w:w w:val="105"/>
        </w:rPr>
        <w:t xml:space="preserve"> </w:t>
      </w:r>
      <w:r>
        <w:rPr>
          <w:w w:val="105"/>
        </w:rPr>
        <w:t>Matter</w:t>
      </w:r>
      <w:r>
        <w:rPr>
          <w:spacing w:val="-4"/>
          <w:w w:val="105"/>
        </w:rPr>
        <w:t xml:space="preserve"> </w:t>
      </w:r>
      <w:r>
        <w:rPr>
          <w:spacing w:val="-5"/>
          <w:w w:val="105"/>
        </w:rPr>
        <w:t>of</w:t>
      </w:r>
      <w:r>
        <w:tab/>
      </w:r>
      <w:r>
        <w:rPr>
          <w:spacing w:val="-10"/>
          <w:w w:val="105"/>
          <w:sz w:val="22"/>
        </w:rPr>
        <w:t>)</w:t>
      </w:r>
    </w:p>
    <w:p w14:paraId="2A2CAEF7" w14:textId="77777777" w:rsidR="00E3380B" w:rsidRDefault="00E3380B" w:rsidP="007A7BB8">
      <w:pPr>
        <w:spacing w:before="19"/>
        <w:ind w:left="2160" w:right="38" w:firstLine="720"/>
      </w:pPr>
      <w:r>
        <w:rPr>
          <w:w w:val="103"/>
        </w:rPr>
        <w:t>)</w:t>
      </w:r>
    </w:p>
    <w:p w14:paraId="37ABC312" w14:textId="0739DCEC" w:rsidR="00F466BC" w:rsidRPr="00F466BC" w:rsidRDefault="00A42184" w:rsidP="00CC65DD">
      <w:pPr>
        <w:pStyle w:val="BodyText"/>
        <w:tabs>
          <w:tab w:val="left" w:pos="2882"/>
        </w:tabs>
        <w:spacing w:before="19"/>
        <w:ind w:right="38"/>
      </w:pPr>
      <w:r>
        <w:rPr>
          <w:spacing w:val="-2"/>
          <w:w w:val="105"/>
        </w:rPr>
        <w:t>Ste</w:t>
      </w:r>
      <w:r w:rsidR="00325FAC">
        <w:rPr>
          <w:spacing w:val="-2"/>
          <w:w w:val="105"/>
        </w:rPr>
        <w:t xml:space="preserve">ven P.   </w:t>
      </w:r>
      <w:r>
        <w:rPr>
          <w:spacing w:val="-2"/>
          <w:w w:val="105"/>
        </w:rPr>
        <w:t>Cogswell, M</w:t>
      </w:r>
      <w:r w:rsidR="00E3380B" w:rsidRPr="00F466BC">
        <w:t>.</w:t>
      </w:r>
      <w:r>
        <w:t>D.</w:t>
      </w:r>
      <w:r w:rsidR="00F466BC">
        <w:t xml:space="preserve">     )</w:t>
      </w:r>
    </w:p>
    <w:p w14:paraId="176E2860" w14:textId="543EA4AC" w:rsidR="00654D84" w:rsidRPr="007A7BB8" w:rsidRDefault="00E3380B" w:rsidP="00CC65DD">
      <w:pPr>
        <w:pStyle w:val="BodyText"/>
        <w:tabs>
          <w:tab w:val="left" w:pos="2882"/>
        </w:tabs>
        <w:spacing w:before="19"/>
        <w:ind w:right="38"/>
        <w:rPr>
          <w:u w:val="single"/>
        </w:rPr>
      </w:pPr>
      <w:r w:rsidRPr="00654D84">
        <w:rPr>
          <w:u w:val="single"/>
        </w:rPr>
        <w:tab/>
      </w:r>
      <w:r w:rsidRPr="00654D84">
        <w:t>)</w:t>
      </w:r>
      <w:r w:rsidR="007A7BB8">
        <w:tab/>
      </w:r>
      <w:r w:rsidR="007A7BB8">
        <w:tab/>
      </w:r>
      <w:r w:rsidR="00A42184">
        <w:t xml:space="preserve">   </w:t>
      </w:r>
      <w:r w:rsidR="007A7BB8" w:rsidRPr="007A7BB8">
        <w:rPr>
          <w:u w:val="single"/>
        </w:rPr>
        <w:t xml:space="preserve">FINAL DECISION AND ORDER </w:t>
      </w:r>
    </w:p>
    <w:p w14:paraId="09B70866" w14:textId="77777777" w:rsidR="00654D84" w:rsidRDefault="00654D84" w:rsidP="00654D84">
      <w:pPr>
        <w:pStyle w:val="BodyText"/>
        <w:tabs>
          <w:tab w:val="left" w:pos="0"/>
        </w:tabs>
        <w:spacing w:before="19"/>
        <w:ind w:right="38"/>
        <w:jc w:val="right"/>
      </w:pPr>
    </w:p>
    <w:p w14:paraId="0DFD2EA7" w14:textId="0EC47C70" w:rsidR="0091307C" w:rsidRDefault="00EF0EBD" w:rsidP="00E3380B">
      <w:pPr>
        <w:pStyle w:val="BodyText"/>
        <w:ind w:left="150"/>
        <w:rPr>
          <w:spacing w:val="-2"/>
          <w:w w:val="105"/>
          <w:u w:val="thick"/>
        </w:rPr>
      </w:pPr>
      <w:r>
        <w:rPr>
          <w:spacing w:val="-2"/>
          <w:w w:val="105"/>
          <w:u w:val="thick"/>
        </w:rPr>
        <w:t xml:space="preserve"> </w:t>
      </w:r>
    </w:p>
    <w:p w14:paraId="02F0EEB1" w14:textId="058EC2CB" w:rsidR="00EF0EBD" w:rsidRDefault="00EF0EBD" w:rsidP="00EF0EBD">
      <w:pPr>
        <w:pStyle w:val="BodyText"/>
        <w:ind w:left="150"/>
        <w:jc w:val="center"/>
        <w:rPr>
          <w:spacing w:val="-2"/>
          <w:w w:val="105"/>
          <w:sz w:val="24"/>
          <w:szCs w:val="24"/>
          <w:u w:val="thick"/>
        </w:rPr>
      </w:pPr>
      <w:r w:rsidRPr="00A66FFC">
        <w:rPr>
          <w:spacing w:val="-2"/>
          <w:w w:val="105"/>
          <w:sz w:val="24"/>
          <w:szCs w:val="24"/>
          <w:u w:val="thick"/>
        </w:rPr>
        <w:t>Procedural History</w:t>
      </w:r>
    </w:p>
    <w:p w14:paraId="6AA6F904" w14:textId="77777777" w:rsidR="004A4E45" w:rsidRPr="00A66FFC" w:rsidRDefault="004A4E45" w:rsidP="00EF0EBD">
      <w:pPr>
        <w:pStyle w:val="BodyText"/>
        <w:ind w:left="150"/>
        <w:jc w:val="center"/>
        <w:rPr>
          <w:spacing w:val="-2"/>
          <w:w w:val="105"/>
          <w:sz w:val="24"/>
          <w:szCs w:val="24"/>
          <w:u w:val="thick"/>
        </w:rPr>
      </w:pPr>
    </w:p>
    <w:p w14:paraId="3DE8F28F" w14:textId="5D4A135F" w:rsidR="00A66FFC" w:rsidRDefault="009B38B1" w:rsidP="004A4E45">
      <w:pPr>
        <w:pStyle w:val="FootnoteText"/>
        <w:spacing w:line="360" w:lineRule="auto"/>
        <w:ind w:firstLine="720"/>
        <w:jc w:val="both"/>
        <w:rPr>
          <w:w w:val="105"/>
          <w:sz w:val="24"/>
          <w:szCs w:val="24"/>
        </w:rPr>
      </w:pPr>
      <w:r w:rsidRPr="00A66FFC">
        <w:rPr>
          <w:w w:val="105"/>
          <w:sz w:val="24"/>
          <w:szCs w:val="24"/>
        </w:rPr>
        <w:t xml:space="preserve">The Board initiated this matter by issuing a </w:t>
      </w:r>
      <w:r w:rsidR="004917CF" w:rsidRPr="00A66FFC">
        <w:rPr>
          <w:spacing w:val="-1"/>
          <w:w w:val="105"/>
          <w:sz w:val="24"/>
          <w:szCs w:val="24"/>
        </w:rPr>
        <w:t>January 2</w:t>
      </w:r>
      <w:r w:rsidR="008B744E" w:rsidRPr="00A66FFC">
        <w:rPr>
          <w:spacing w:val="-1"/>
          <w:w w:val="105"/>
          <w:sz w:val="24"/>
          <w:szCs w:val="24"/>
        </w:rPr>
        <w:t>0</w:t>
      </w:r>
      <w:r w:rsidR="004917CF" w:rsidRPr="00A66FFC">
        <w:rPr>
          <w:spacing w:val="-1"/>
          <w:w w:val="105"/>
          <w:sz w:val="24"/>
          <w:szCs w:val="24"/>
        </w:rPr>
        <w:t>, 2022</w:t>
      </w:r>
      <w:r w:rsidRPr="00A66FFC">
        <w:rPr>
          <w:spacing w:val="-1"/>
          <w:w w:val="105"/>
          <w:sz w:val="24"/>
          <w:szCs w:val="24"/>
        </w:rPr>
        <w:t xml:space="preserve"> </w:t>
      </w:r>
      <w:r w:rsidR="00E3380B" w:rsidRPr="00A66FFC">
        <w:rPr>
          <w:w w:val="105"/>
          <w:sz w:val="24"/>
          <w:szCs w:val="24"/>
        </w:rPr>
        <w:t xml:space="preserve">Statement of Allegations (SOA) </w:t>
      </w:r>
      <w:r w:rsidR="0034638D" w:rsidRPr="00A66FFC">
        <w:rPr>
          <w:w w:val="105"/>
          <w:sz w:val="24"/>
          <w:szCs w:val="24"/>
        </w:rPr>
        <w:t xml:space="preserve">charging </w:t>
      </w:r>
      <w:r w:rsidR="00313B1A" w:rsidRPr="00A66FFC">
        <w:rPr>
          <w:w w:val="105"/>
          <w:sz w:val="24"/>
          <w:szCs w:val="24"/>
        </w:rPr>
        <w:t xml:space="preserve">Steven </w:t>
      </w:r>
      <w:r w:rsidR="00A66FFC" w:rsidRPr="00A66FFC">
        <w:rPr>
          <w:w w:val="105"/>
          <w:sz w:val="24"/>
          <w:szCs w:val="24"/>
        </w:rPr>
        <w:t>C</w:t>
      </w:r>
      <w:r w:rsidR="00313B1A" w:rsidRPr="00A66FFC">
        <w:rPr>
          <w:w w:val="105"/>
          <w:sz w:val="24"/>
          <w:szCs w:val="24"/>
        </w:rPr>
        <w:t>ogswell, M.D. (Respondent)</w:t>
      </w:r>
      <w:r w:rsidR="0034638D" w:rsidRPr="00A66FFC">
        <w:rPr>
          <w:w w:val="105"/>
          <w:sz w:val="24"/>
          <w:szCs w:val="24"/>
        </w:rPr>
        <w:t xml:space="preserve"> with having </w:t>
      </w:r>
      <w:r w:rsidR="00A66FFC" w:rsidRPr="00A66FFC">
        <w:rPr>
          <w:w w:val="105"/>
          <w:sz w:val="24"/>
          <w:szCs w:val="24"/>
        </w:rPr>
        <w:t>been</w:t>
      </w:r>
      <w:r w:rsidR="00A66FFC" w:rsidRPr="007D557C">
        <w:rPr>
          <w:w w:val="105"/>
          <w:sz w:val="24"/>
          <w:szCs w:val="24"/>
        </w:rPr>
        <w:t xml:space="preserve"> </w:t>
      </w:r>
      <w:r w:rsidR="00B50D08">
        <w:rPr>
          <w:w w:val="105"/>
          <w:sz w:val="24"/>
          <w:szCs w:val="24"/>
        </w:rPr>
        <w:t xml:space="preserve">criminally convicted </w:t>
      </w:r>
      <w:r w:rsidR="00A66FFC">
        <w:rPr>
          <w:w w:val="105"/>
          <w:sz w:val="24"/>
          <w:szCs w:val="24"/>
        </w:rPr>
        <w:t xml:space="preserve">by a Clinton County Michigan District Court </w:t>
      </w:r>
      <w:r w:rsidR="004A4E45">
        <w:rPr>
          <w:w w:val="105"/>
          <w:sz w:val="24"/>
          <w:szCs w:val="24"/>
        </w:rPr>
        <w:t>jury</w:t>
      </w:r>
      <w:r w:rsidR="00A66FFC">
        <w:rPr>
          <w:w w:val="105"/>
          <w:sz w:val="24"/>
          <w:szCs w:val="24"/>
        </w:rPr>
        <w:t xml:space="preserve"> of second degree criminal sexual conduct with a county prisoner</w:t>
      </w:r>
      <w:r w:rsidR="00105A1E">
        <w:rPr>
          <w:rStyle w:val="FootnoteReference"/>
          <w:w w:val="105"/>
          <w:sz w:val="24"/>
          <w:szCs w:val="24"/>
        </w:rPr>
        <w:footnoteReference w:id="2"/>
      </w:r>
      <w:r w:rsidR="00F937CD">
        <w:rPr>
          <w:w w:val="105"/>
          <w:sz w:val="24"/>
          <w:szCs w:val="24"/>
        </w:rPr>
        <w:t xml:space="preserve"> </w:t>
      </w:r>
      <w:r w:rsidR="00153028">
        <w:rPr>
          <w:w w:val="105"/>
          <w:sz w:val="24"/>
          <w:szCs w:val="24"/>
        </w:rPr>
        <w:t>a</w:t>
      </w:r>
      <w:r w:rsidR="00A66FFC">
        <w:rPr>
          <w:w w:val="105"/>
          <w:sz w:val="24"/>
          <w:szCs w:val="24"/>
        </w:rPr>
        <w:t>nd having been disciplined by the Michigan Board of Medicine</w:t>
      </w:r>
      <w:r w:rsidR="003E2C76">
        <w:rPr>
          <w:w w:val="105"/>
          <w:sz w:val="24"/>
          <w:szCs w:val="24"/>
        </w:rPr>
        <w:t xml:space="preserve"> for reasons substantially similar to bases for discipline pursuant to the Board’s statute and regulations. </w:t>
      </w:r>
      <w:r w:rsidR="00A66FFC">
        <w:rPr>
          <w:w w:val="105"/>
          <w:sz w:val="24"/>
          <w:szCs w:val="24"/>
        </w:rPr>
        <w:t xml:space="preserve">The Board referred the SOA to the Division of Administrative Law Appeals (DALA) for further proceedings. </w:t>
      </w:r>
    </w:p>
    <w:p w14:paraId="25A8E1C5" w14:textId="64C1EB37" w:rsidR="003945EF" w:rsidRDefault="00AE7240" w:rsidP="004A4E45">
      <w:pPr>
        <w:pStyle w:val="FootnoteText"/>
        <w:spacing w:line="360" w:lineRule="auto"/>
        <w:ind w:firstLine="720"/>
        <w:jc w:val="both"/>
        <w:rPr>
          <w:w w:val="105"/>
          <w:sz w:val="24"/>
          <w:szCs w:val="24"/>
        </w:rPr>
      </w:pPr>
      <w:r>
        <w:rPr>
          <w:w w:val="105"/>
          <w:sz w:val="24"/>
          <w:szCs w:val="24"/>
        </w:rPr>
        <w:t>On January 27, 2022, DALA informed the Parties</w:t>
      </w:r>
      <w:r w:rsidR="000B4784">
        <w:rPr>
          <w:rStyle w:val="FootnoteReference"/>
          <w:w w:val="105"/>
          <w:sz w:val="24"/>
          <w:szCs w:val="24"/>
        </w:rPr>
        <w:footnoteReference w:id="3"/>
      </w:r>
      <w:r>
        <w:rPr>
          <w:w w:val="105"/>
          <w:sz w:val="24"/>
          <w:szCs w:val="24"/>
        </w:rPr>
        <w:t xml:space="preserve"> that a pre-hearing conference would be held on February 17, 2022. Complaint Counsel participated in the pre-hearing conference. The Respondent did not. </w:t>
      </w:r>
    </w:p>
    <w:p w14:paraId="46C6036F" w14:textId="7510AC90" w:rsidR="00AE7240" w:rsidRDefault="001E50CB" w:rsidP="001E50CB">
      <w:pPr>
        <w:pStyle w:val="FootnoteText"/>
        <w:spacing w:line="360" w:lineRule="auto"/>
        <w:ind w:firstLine="720"/>
        <w:jc w:val="both"/>
        <w:rPr>
          <w:w w:val="105"/>
          <w:sz w:val="24"/>
          <w:szCs w:val="24"/>
        </w:rPr>
      </w:pPr>
      <w:r w:rsidRPr="007D557C">
        <w:rPr>
          <w:w w:val="105"/>
          <w:sz w:val="24"/>
          <w:szCs w:val="24"/>
        </w:rPr>
        <w:t xml:space="preserve">On May 23, 2022, </w:t>
      </w:r>
      <w:r>
        <w:rPr>
          <w:w w:val="105"/>
          <w:sz w:val="24"/>
          <w:szCs w:val="24"/>
        </w:rPr>
        <w:t>Complaint Counsel filed a Motion for Summary Decision</w:t>
      </w:r>
      <w:r w:rsidR="00A2449A">
        <w:rPr>
          <w:rStyle w:val="FootnoteReference"/>
          <w:w w:val="105"/>
          <w:sz w:val="24"/>
          <w:szCs w:val="24"/>
        </w:rPr>
        <w:footnoteReference w:id="4"/>
      </w:r>
      <w:r>
        <w:rPr>
          <w:w w:val="105"/>
          <w:sz w:val="24"/>
          <w:szCs w:val="24"/>
        </w:rPr>
        <w:t xml:space="preserve"> </w:t>
      </w:r>
      <w:r w:rsidR="00AE7240">
        <w:rPr>
          <w:w w:val="105"/>
          <w:sz w:val="24"/>
          <w:szCs w:val="24"/>
        </w:rPr>
        <w:t xml:space="preserve">On August 2, 2023, </w:t>
      </w:r>
      <w:r w:rsidR="002F6D0D">
        <w:rPr>
          <w:w w:val="105"/>
          <w:sz w:val="24"/>
          <w:szCs w:val="24"/>
        </w:rPr>
        <w:t>DALA Magistrate Melissa Troy (</w:t>
      </w:r>
      <w:r w:rsidR="00AE7240">
        <w:rPr>
          <w:w w:val="105"/>
          <w:sz w:val="24"/>
          <w:szCs w:val="24"/>
        </w:rPr>
        <w:t>Magistrate</w:t>
      </w:r>
      <w:r w:rsidR="002F6D0D">
        <w:rPr>
          <w:w w:val="105"/>
          <w:sz w:val="24"/>
          <w:szCs w:val="24"/>
        </w:rPr>
        <w:t>)</w:t>
      </w:r>
      <w:r w:rsidR="00AE7240">
        <w:rPr>
          <w:w w:val="105"/>
          <w:sz w:val="24"/>
          <w:szCs w:val="24"/>
        </w:rPr>
        <w:t xml:space="preserve"> issued an Order directing the Respondent to file his opposition to the motion, if any, on or before September 1, 2023</w:t>
      </w:r>
      <w:r w:rsidR="005A5A72">
        <w:rPr>
          <w:w w:val="105"/>
          <w:sz w:val="24"/>
          <w:szCs w:val="24"/>
        </w:rPr>
        <w:t>. The Magistrate</w:t>
      </w:r>
      <w:r w:rsidR="00AE7240">
        <w:rPr>
          <w:w w:val="105"/>
          <w:sz w:val="24"/>
          <w:szCs w:val="24"/>
        </w:rPr>
        <w:t xml:space="preserve"> </w:t>
      </w:r>
      <w:r w:rsidR="0037599A">
        <w:rPr>
          <w:w w:val="105"/>
          <w:sz w:val="24"/>
          <w:szCs w:val="24"/>
        </w:rPr>
        <w:t>indicated to</w:t>
      </w:r>
      <w:r w:rsidR="00AE7240">
        <w:rPr>
          <w:w w:val="105"/>
          <w:sz w:val="24"/>
          <w:szCs w:val="24"/>
        </w:rPr>
        <w:t xml:space="preserve"> the Parties that</w:t>
      </w:r>
      <w:r w:rsidR="0084394F">
        <w:rPr>
          <w:w w:val="105"/>
          <w:sz w:val="24"/>
          <w:szCs w:val="24"/>
        </w:rPr>
        <w:t>,</w:t>
      </w:r>
      <w:r w:rsidR="00AE7240">
        <w:rPr>
          <w:w w:val="105"/>
          <w:sz w:val="24"/>
          <w:szCs w:val="24"/>
        </w:rPr>
        <w:t xml:space="preserve"> if no further documents were received by that date, DALA would decide the matter based on the evidence already in the record. DALA received no opposition to the Board’s motion. </w:t>
      </w:r>
    </w:p>
    <w:p w14:paraId="0D081F39" w14:textId="19FA8FE8" w:rsidR="00505A48" w:rsidRDefault="001E50CB" w:rsidP="00505A48">
      <w:pPr>
        <w:pStyle w:val="FootnoteText"/>
        <w:spacing w:line="360" w:lineRule="auto"/>
        <w:ind w:firstLine="720"/>
        <w:jc w:val="both"/>
        <w:rPr>
          <w:w w:val="105"/>
          <w:sz w:val="24"/>
          <w:szCs w:val="24"/>
        </w:rPr>
      </w:pPr>
      <w:r>
        <w:rPr>
          <w:w w:val="105"/>
          <w:sz w:val="24"/>
          <w:szCs w:val="24"/>
        </w:rPr>
        <w:t>On</w:t>
      </w:r>
      <w:r w:rsidRPr="007D557C">
        <w:rPr>
          <w:w w:val="105"/>
          <w:sz w:val="24"/>
          <w:szCs w:val="24"/>
        </w:rPr>
        <w:t xml:space="preserve"> November 1, 2023, DALA Magistrate Melissa Troy (Magistrate) issue</w:t>
      </w:r>
      <w:r>
        <w:rPr>
          <w:w w:val="105"/>
          <w:sz w:val="24"/>
          <w:szCs w:val="24"/>
        </w:rPr>
        <w:t>d</w:t>
      </w:r>
      <w:r w:rsidRPr="007D557C">
        <w:rPr>
          <w:w w:val="105"/>
          <w:sz w:val="24"/>
          <w:szCs w:val="24"/>
        </w:rPr>
        <w:t xml:space="preserve"> a</w:t>
      </w:r>
      <w:r w:rsidR="0084394F">
        <w:rPr>
          <w:w w:val="105"/>
          <w:sz w:val="24"/>
          <w:szCs w:val="24"/>
        </w:rPr>
        <w:t xml:space="preserve"> Recommended Decision on </w:t>
      </w:r>
      <w:r>
        <w:rPr>
          <w:w w:val="105"/>
          <w:sz w:val="24"/>
          <w:szCs w:val="24"/>
        </w:rPr>
        <w:t>Motion for Summary Decision</w:t>
      </w:r>
      <w:r w:rsidR="00331DD9">
        <w:rPr>
          <w:w w:val="105"/>
          <w:sz w:val="24"/>
          <w:szCs w:val="24"/>
        </w:rPr>
        <w:t>,</w:t>
      </w:r>
      <w:r>
        <w:rPr>
          <w:w w:val="105"/>
          <w:sz w:val="24"/>
          <w:szCs w:val="24"/>
        </w:rPr>
        <w:t xml:space="preserve"> ruled that there w</w:t>
      </w:r>
      <w:r w:rsidR="00331DD9">
        <w:rPr>
          <w:w w:val="105"/>
          <w:sz w:val="24"/>
          <w:szCs w:val="24"/>
        </w:rPr>
        <w:t>ere</w:t>
      </w:r>
      <w:r>
        <w:rPr>
          <w:w w:val="105"/>
          <w:sz w:val="24"/>
          <w:szCs w:val="24"/>
        </w:rPr>
        <w:t xml:space="preserve"> no genuine issue of fact</w:t>
      </w:r>
      <w:r w:rsidR="00331DD9">
        <w:rPr>
          <w:w w:val="105"/>
          <w:sz w:val="24"/>
          <w:szCs w:val="24"/>
        </w:rPr>
        <w:t xml:space="preserve"> in dispute</w:t>
      </w:r>
      <w:r w:rsidR="00CD6239">
        <w:rPr>
          <w:w w:val="105"/>
          <w:sz w:val="24"/>
          <w:szCs w:val="24"/>
        </w:rPr>
        <w:t xml:space="preserve"> </w:t>
      </w:r>
      <w:r>
        <w:rPr>
          <w:w w:val="105"/>
          <w:sz w:val="24"/>
          <w:szCs w:val="24"/>
        </w:rPr>
        <w:t xml:space="preserve">with respect to the Board’s </w:t>
      </w:r>
      <w:r w:rsidR="0084394F">
        <w:rPr>
          <w:w w:val="105"/>
          <w:sz w:val="24"/>
          <w:szCs w:val="24"/>
        </w:rPr>
        <w:t xml:space="preserve">allegations, and recommended that the </w:t>
      </w:r>
      <w:r w:rsidR="0084394F">
        <w:rPr>
          <w:w w:val="105"/>
          <w:sz w:val="24"/>
          <w:szCs w:val="24"/>
        </w:rPr>
        <w:lastRenderedPageBreak/>
        <w:t>Board allow the Motion and impose appropriate discipline.</w:t>
      </w:r>
      <w:r w:rsidR="000027B6">
        <w:rPr>
          <w:w w:val="105"/>
          <w:sz w:val="24"/>
          <w:szCs w:val="24"/>
        </w:rPr>
        <w:t xml:space="preserve"> The Recommended Decision </w:t>
      </w:r>
      <w:r>
        <w:rPr>
          <w:w w:val="105"/>
          <w:sz w:val="24"/>
          <w:szCs w:val="24"/>
        </w:rPr>
        <w:t xml:space="preserve"> </w:t>
      </w:r>
      <w:r w:rsidR="00505A48">
        <w:rPr>
          <w:w w:val="105"/>
          <w:sz w:val="24"/>
          <w:szCs w:val="24"/>
        </w:rPr>
        <w:t>is attached hereto and incorporated by reference. Neither Party filed Objections to the Recommended Decision. Neither Party filed Memoranda on Disposition.</w:t>
      </w:r>
    </w:p>
    <w:p w14:paraId="6BBB2BC1" w14:textId="313BD1B9" w:rsidR="004E4C11" w:rsidRDefault="004E4C11" w:rsidP="00505A48">
      <w:pPr>
        <w:pStyle w:val="FootnoteText"/>
        <w:spacing w:line="360" w:lineRule="auto"/>
        <w:ind w:firstLine="720"/>
        <w:jc w:val="both"/>
        <w:rPr>
          <w:w w:val="105"/>
          <w:sz w:val="24"/>
          <w:szCs w:val="24"/>
        </w:rPr>
      </w:pPr>
      <w:r>
        <w:rPr>
          <w:w w:val="105"/>
          <w:sz w:val="24"/>
          <w:szCs w:val="24"/>
        </w:rPr>
        <w:t xml:space="preserve">After full consideration of the Recommended Decision, the Board </w:t>
      </w:r>
      <w:r w:rsidR="00FA65E4">
        <w:rPr>
          <w:w w:val="105"/>
          <w:sz w:val="24"/>
          <w:szCs w:val="24"/>
        </w:rPr>
        <w:t>ADOPTS</w:t>
      </w:r>
      <w:r>
        <w:rPr>
          <w:w w:val="105"/>
          <w:sz w:val="24"/>
          <w:szCs w:val="24"/>
        </w:rPr>
        <w:t xml:space="preserve"> the November 1, 2023 Recommended Decision and incorporates it into this Final Decision and Order.  </w:t>
      </w:r>
    </w:p>
    <w:p w14:paraId="78A5DD58" w14:textId="685513B2" w:rsidR="00505A48" w:rsidRPr="00051B92" w:rsidRDefault="00EF0DD4" w:rsidP="00EF0DD4">
      <w:pPr>
        <w:pStyle w:val="FootnoteText"/>
        <w:spacing w:line="360" w:lineRule="auto"/>
        <w:ind w:firstLine="720"/>
        <w:jc w:val="center"/>
        <w:rPr>
          <w:w w:val="105"/>
          <w:sz w:val="24"/>
          <w:szCs w:val="24"/>
          <w:u w:val="single"/>
        </w:rPr>
      </w:pPr>
      <w:r w:rsidRPr="00051B92">
        <w:rPr>
          <w:w w:val="105"/>
          <w:sz w:val="24"/>
          <w:szCs w:val="24"/>
          <w:u w:val="single"/>
        </w:rPr>
        <w:t>Discussion</w:t>
      </w:r>
    </w:p>
    <w:p w14:paraId="3430F530" w14:textId="1BF6682A" w:rsidR="0005766A" w:rsidRDefault="00051B92" w:rsidP="00051B92">
      <w:pPr>
        <w:pStyle w:val="FootnoteText"/>
        <w:spacing w:line="360" w:lineRule="auto"/>
        <w:ind w:firstLine="720"/>
        <w:jc w:val="both"/>
        <w:rPr>
          <w:w w:val="105"/>
          <w:sz w:val="24"/>
          <w:szCs w:val="24"/>
        </w:rPr>
      </w:pPr>
      <w:r>
        <w:rPr>
          <w:w w:val="105"/>
          <w:sz w:val="24"/>
          <w:szCs w:val="24"/>
        </w:rPr>
        <w:t>The record indicates</w:t>
      </w:r>
      <w:r w:rsidR="0005766A">
        <w:rPr>
          <w:w w:val="105"/>
          <w:sz w:val="24"/>
          <w:szCs w:val="24"/>
        </w:rPr>
        <w:t xml:space="preserve"> the Respondent was licensed to practice medicine in Massachusetts from February 25, 1994 to May 25, 1999, when he failed to renew </w:t>
      </w:r>
      <w:r w:rsidR="00126F31">
        <w:rPr>
          <w:w w:val="105"/>
          <w:sz w:val="24"/>
          <w:szCs w:val="24"/>
        </w:rPr>
        <w:t>his license</w:t>
      </w:r>
      <w:r w:rsidR="0005766A">
        <w:rPr>
          <w:w w:val="105"/>
          <w:sz w:val="24"/>
          <w:szCs w:val="24"/>
        </w:rPr>
        <w:t>. The Respondent retains an inchoate right to renew his Massachusetts license.</w:t>
      </w:r>
    </w:p>
    <w:p w14:paraId="4E665B92" w14:textId="0961128A" w:rsidR="006507FA" w:rsidRDefault="0005766A" w:rsidP="00051B92">
      <w:pPr>
        <w:pStyle w:val="FootnoteText"/>
        <w:spacing w:line="360" w:lineRule="auto"/>
        <w:ind w:firstLine="720"/>
        <w:jc w:val="both"/>
        <w:rPr>
          <w:w w:val="105"/>
          <w:sz w:val="24"/>
          <w:szCs w:val="24"/>
        </w:rPr>
      </w:pPr>
      <w:r>
        <w:rPr>
          <w:w w:val="105"/>
          <w:sz w:val="24"/>
          <w:szCs w:val="24"/>
        </w:rPr>
        <w:t xml:space="preserve">The Respondent was </w:t>
      </w:r>
      <w:r w:rsidR="00126F31">
        <w:rPr>
          <w:w w:val="105"/>
          <w:sz w:val="24"/>
          <w:szCs w:val="24"/>
        </w:rPr>
        <w:t xml:space="preserve">also </w:t>
      </w:r>
      <w:r>
        <w:rPr>
          <w:w w:val="105"/>
          <w:sz w:val="24"/>
          <w:szCs w:val="24"/>
        </w:rPr>
        <w:t xml:space="preserve">licensed in Michigan. In 2018, he was employed at and provided treatment to female inmates at the Macomb County (Michigan) Jail. </w:t>
      </w:r>
      <w:r w:rsidR="00051B92">
        <w:rPr>
          <w:w w:val="105"/>
          <w:sz w:val="24"/>
          <w:szCs w:val="24"/>
        </w:rPr>
        <w:t xml:space="preserve"> </w:t>
      </w:r>
      <w:r w:rsidR="00126F31">
        <w:rPr>
          <w:w w:val="105"/>
          <w:sz w:val="24"/>
          <w:szCs w:val="24"/>
        </w:rPr>
        <w:t>O</w:t>
      </w:r>
      <w:r w:rsidR="00E26812">
        <w:rPr>
          <w:w w:val="105"/>
          <w:sz w:val="24"/>
          <w:szCs w:val="24"/>
        </w:rPr>
        <w:t xml:space="preserve">n </w:t>
      </w:r>
      <w:r w:rsidR="00B73A35">
        <w:rPr>
          <w:w w:val="105"/>
          <w:sz w:val="24"/>
          <w:szCs w:val="24"/>
        </w:rPr>
        <w:t>October 18, 20</w:t>
      </w:r>
      <w:r w:rsidR="006507FA">
        <w:rPr>
          <w:w w:val="105"/>
          <w:sz w:val="24"/>
          <w:szCs w:val="24"/>
        </w:rPr>
        <w:t xml:space="preserve">18, the Macomb County Prosecutor’s office charged the Respondent with six counts of violating MCL 750.520c of the Michigan Penal Code, a felony otherwise known as second-degree criminal sexual conduct. </w:t>
      </w:r>
    </w:p>
    <w:p w14:paraId="7E7FD139" w14:textId="2EE75856" w:rsidR="001E50CB" w:rsidRDefault="006507FA" w:rsidP="00051B92">
      <w:pPr>
        <w:pStyle w:val="FootnoteText"/>
        <w:spacing w:line="360" w:lineRule="auto"/>
        <w:ind w:firstLine="720"/>
        <w:jc w:val="both"/>
        <w:rPr>
          <w:w w:val="105"/>
          <w:sz w:val="24"/>
          <w:szCs w:val="24"/>
        </w:rPr>
      </w:pPr>
      <w:r>
        <w:rPr>
          <w:w w:val="105"/>
          <w:sz w:val="24"/>
          <w:szCs w:val="24"/>
        </w:rPr>
        <w:t xml:space="preserve">On January 15, 2020, </w:t>
      </w:r>
      <w:r w:rsidR="0027359A">
        <w:rPr>
          <w:w w:val="105"/>
          <w:sz w:val="24"/>
          <w:szCs w:val="24"/>
        </w:rPr>
        <w:t xml:space="preserve">following the </w:t>
      </w:r>
      <w:r>
        <w:rPr>
          <w:w w:val="105"/>
          <w:sz w:val="24"/>
          <w:szCs w:val="24"/>
        </w:rPr>
        <w:t xml:space="preserve"> jury trial</w:t>
      </w:r>
      <w:r w:rsidR="005F5D0B">
        <w:rPr>
          <w:w w:val="105"/>
          <w:sz w:val="24"/>
          <w:szCs w:val="24"/>
        </w:rPr>
        <w:t>,</w:t>
      </w:r>
      <w:r>
        <w:rPr>
          <w:w w:val="105"/>
          <w:sz w:val="24"/>
          <w:szCs w:val="24"/>
        </w:rPr>
        <w:t xml:space="preserve"> Respondent was convicted of one count of violating MCL 750.520c.</w:t>
      </w:r>
      <w:r w:rsidR="00FB11F0">
        <w:rPr>
          <w:w w:val="105"/>
          <w:sz w:val="24"/>
          <w:szCs w:val="24"/>
        </w:rPr>
        <w:t xml:space="preserve"> </w:t>
      </w:r>
      <w:r w:rsidR="00C3455E">
        <w:rPr>
          <w:w w:val="105"/>
          <w:sz w:val="24"/>
          <w:szCs w:val="24"/>
        </w:rPr>
        <w:t xml:space="preserve">On February 20, 2020, the Respondent was sentenced to 365 days in jail, with credit for time served, and to 5 years’ probation, and he was required to register as a sex offender. </w:t>
      </w:r>
    </w:p>
    <w:p w14:paraId="39AAA6B9" w14:textId="39102B97" w:rsidR="00512182" w:rsidRDefault="00A06083" w:rsidP="00051B92">
      <w:pPr>
        <w:pStyle w:val="FootnoteText"/>
        <w:spacing w:line="360" w:lineRule="auto"/>
        <w:ind w:firstLine="720"/>
        <w:jc w:val="both"/>
        <w:rPr>
          <w:sz w:val="24"/>
          <w:szCs w:val="24"/>
        </w:rPr>
      </w:pPr>
      <w:r>
        <w:rPr>
          <w:w w:val="105"/>
          <w:sz w:val="24"/>
          <w:szCs w:val="24"/>
        </w:rPr>
        <w:t xml:space="preserve">On </w:t>
      </w:r>
      <w:r w:rsidR="00C30B2F">
        <w:rPr>
          <w:w w:val="105"/>
          <w:sz w:val="24"/>
          <w:szCs w:val="24"/>
        </w:rPr>
        <w:t xml:space="preserve">January 20, 2021, </w:t>
      </w:r>
      <w:r>
        <w:rPr>
          <w:w w:val="105"/>
          <w:sz w:val="24"/>
          <w:szCs w:val="24"/>
        </w:rPr>
        <w:t xml:space="preserve">the Michigan Board revoked the Respondent’s license, based on </w:t>
      </w:r>
      <w:r w:rsidR="007D539B">
        <w:rPr>
          <w:w w:val="105"/>
          <w:sz w:val="24"/>
          <w:szCs w:val="24"/>
        </w:rPr>
        <w:t xml:space="preserve">conviction and related violations of </w:t>
      </w:r>
      <w:r w:rsidR="00512182">
        <w:rPr>
          <w:sz w:val="24"/>
          <w:szCs w:val="24"/>
        </w:rPr>
        <w:t xml:space="preserve">five </w:t>
      </w:r>
      <w:r w:rsidR="000A36EE">
        <w:rPr>
          <w:sz w:val="24"/>
          <w:szCs w:val="24"/>
        </w:rPr>
        <w:t xml:space="preserve">bases for discipline pursuant to </w:t>
      </w:r>
      <w:r w:rsidR="00512182">
        <w:rPr>
          <w:sz w:val="24"/>
          <w:szCs w:val="24"/>
        </w:rPr>
        <w:t>§16221</w:t>
      </w:r>
      <w:r w:rsidR="00512182" w:rsidRPr="007D557C">
        <w:rPr>
          <w:sz w:val="24"/>
          <w:szCs w:val="24"/>
        </w:rPr>
        <w:t xml:space="preserve"> of </w:t>
      </w:r>
      <w:r w:rsidR="005A790C">
        <w:rPr>
          <w:sz w:val="24"/>
          <w:szCs w:val="24"/>
        </w:rPr>
        <w:t xml:space="preserve">the </w:t>
      </w:r>
      <w:r w:rsidR="00512182" w:rsidRPr="007D557C">
        <w:rPr>
          <w:sz w:val="24"/>
          <w:szCs w:val="24"/>
        </w:rPr>
        <w:t xml:space="preserve">Michigan </w:t>
      </w:r>
      <w:r w:rsidR="005A790C">
        <w:rPr>
          <w:sz w:val="24"/>
          <w:szCs w:val="24"/>
        </w:rPr>
        <w:t>P</w:t>
      </w:r>
      <w:r w:rsidR="00512182" w:rsidRPr="007D557C">
        <w:rPr>
          <w:sz w:val="24"/>
          <w:szCs w:val="24"/>
        </w:rPr>
        <w:t xml:space="preserve">ublic </w:t>
      </w:r>
      <w:r w:rsidR="005A790C">
        <w:rPr>
          <w:sz w:val="24"/>
          <w:szCs w:val="24"/>
        </w:rPr>
        <w:t>H</w:t>
      </w:r>
      <w:r w:rsidR="00512182" w:rsidRPr="007D557C">
        <w:rPr>
          <w:sz w:val="24"/>
          <w:szCs w:val="24"/>
        </w:rPr>
        <w:t xml:space="preserve">ealth </w:t>
      </w:r>
      <w:r w:rsidR="005A790C">
        <w:rPr>
          <w:sz w:val="24"/>
          <w:szCs w:val="24"/>
        </w:rPr>
        <w:t>Code</w:t>
      </w:r>
      <w:r w:rsidR="00512182" w:rsidRPr="007D557C">
        <w:rPr>
          <w:sz w:val="24"/>
          <w:szCs w:val="24"/>
        </w:rPr>
        <w:t xml:space="preserve">, including: a) violation of general duty, consisting </w:t>
      </w:r>
      <w:r w:rsidR="00512182">
        <w:rPr>
          <w:sz w:val="24"/>
          <w:szCs w:val="24"/>
        </w:rPr>
        <w:t>in</w:t>
      </w:r>
      <w:r w:rsidR="00512182" w:rsidRPr="007D557C">
        <w:rPr>
          <w:sz w:val="24"/>
          <w:szCs w:val="24"/>
        </w:rPr>
        <w:t xml:space="preserve"> negligence or failure to exercise due care</w:t>
      </w:r>
      <w:r w:rsidR="005A790C">
        <w:rPr>
          <w:sz w:val="24"/>
          <w:szCs w:val="24"/>
        </w:rPr>
        <w:t xml:space="preserve"> (§16221(a))</w:t>
      </w:r>
      <w:r w:rsidR="00512182" w:rsidRPr="007D557C">
        <w:rPr>
          <w:sz w:val="24"/>
          <w:szCs w:val="24"/>
        </w:rPr>
        <w:t>; b) incompetence</w:t>
      </w:r>
      <w:r w:rsidR="00512182">
        <w:rPr>
          <w:sz w:val="24"/>
          <w:szCs w:val="24"/>
        </w:rPr>
        <w:t xml:space="preserve">, </w:t>
      </w:r>
      <w:r w:rsidR="00512182" w:rsidRPr="007D557C">
        <w:rPr>
          <w:sz w:val="24"/>
          <w:szCs w:val="24"/>
        </w:rPr>
        <w:t>a departure from</w:t>
      </w:r>
      <w:r w:rsidR="00512182">
        <w:rPr>
          <w:sz w:val="24"/>
          <w:szCs w:val="24"/>
        </w:rPr>
        <w:t xml:space="preserve"> m</w:t>
      </w:r>
      <w:r w:rsidR="00512182" w:rsidRPr="007D557C">
        <w:rPr>
          <w:sz w:val="24"/>
          <w:szCs w:val="24"/>
        </w:rPr>
        <w:t>inimal standards of acceptable</w:t>
      </w:r>
      <w:r w:rsidR="00512182">
        <w:rPr>
          <w:sz w:val="24"/>
          <w:szCs w:val="24"/>
        </w:rPr>
        <w:t xml:space="preserve"> practice</w:t>
      </w:r>
      <w:r w:rsidR="00A66DE4">
        <w:rPr>
          <w:sz w:val="24"/>
          <w:szCs w:val="24"/>
        </w:rPr>
        <w:t xml:space="preserve"> (§16221(b))</w:t>
      </w:r>
      <w:r w:rsidR="00512182" w:rsidRPr="007D557C">
        <w:rPr>
          <w:sz w:val="24"/>
          <w:szCs w:val="24"/>
        </w:rPr>
        <w:t>; c) lack of good moral character, the propensity</w:t>
      </w:r>
      <w:r w:rsidR="00512182">
        <w:rPr>
          <w:sz w:val="24"/>
          <w:szCs w:val="24"/>
        </w:rPr>
        <w:t xml:space="preserve"> </w:t>
      </w:r>
      <w:r w:rsidR="00512182" w:rsidRPr="007D557C">
        <w:rPr>
          <w:sz w:val="24"/>
          <w:szCs w:val="24"/>
        </w:rPr>
        <w:t>to serve the public</w:t>
      </w:r>
      <w:r w:rsidR="00512182">
        <w:rPr>
          <w:sz w:val="24"/>
          <w:szCs w:val="24"/>
        </w:rPr>
        <w:t xml:space="preserve"> </w:t>
      </w:r>
      <w:r w:rsidR="00512182" w:rsidRPr="007D557C">
        <w:rPr>
          <w:sz w:val="24"/>
          <w:szCs w:val="24"/>
        </w:rPr>
        <w:t>in a fair, honest, and open manner</w:t>
      </w:r>
      <w:r w:rsidR="00A66DE4">
        <w:rPr>
          <w:sz w:val="24"/>
          <w:szCs w:val="24"/>
        </w:rPr>
        <w:t xml:space="preserve"> (§16221(c))</w:t>
      </w:r>
      <w:r w:rsidR="00512182" w:rsidRPr="007D557C">
        <w:rPr>
          <w:sz w:val="24"/>
          <w:szCs w:val="24"/>
        </w:rPr>
        <w:t>; d)  conduct</w:t>
      </w:r>
      <w:r w:rsidR="00512182">
        <w:rPr>
          <w:sz w:val="24"/>
          <w:szCs w:val="24"/>
        </w:rPr>
        <w:t xml:space="preserve"> with a</w:t>
      </w:r>
      <w:r w:rsidR="00512182" w:rsidRPr="007D557C">
        <w:rPr>
          <w:sz w:val="24"/>
          <w:szCs w:val="24"/>
        </w:rPr>
        <w:t xml:space="preserve"> patient</w:t>
      </w:r>
      <w:r w:rsidR="00512182">
        <w:rPr>
          <w:sz w:val="24"/>
          <w:szCs w:val="24"/>
        </w:rPr>
        <w:t>,</w:t>
      </w:r>
      <w:r w:rsidR="00512182" w:rsidRPr="007D557C">
        <w:rPr>
          <w:sz w:val="24"/>
          <w:szCs w:val="24"/>
        </w:rPr>
        <w:t xml:space="preserve"> including conduct initiated by a patient or to which the patient consents, that is sexual or may reasonably be interpreted as sexu</w:t>
      </w:r>
      <w:r w:rsidR="00512182">
        <w:rPr>
          <w:sz w:val="24"/>
          <w:szCs w:val="24"/>
        </w:rPr>
        <w:t xml:space="preserve">al </w:t>
      </w:r>
      <w:r w:rsidR="00512182" w:rsidRPr="007D557C">
        <w:rPr>
          <w:sz w:val="24"/>
          <w:szCs w:val="24"/>
        </w:rPr>
        <w:t>for any purpose other than appropriate examination, treatment, or comfort</w:t>
      </w:r>
      <w:r w:rsidR="00A66DE4">
        <w:rPr>
          <w:sz w:val="24"/>
          <w:szCs w:val="24"/>
        </w:rPr>
        <w:t xml:space="preserve"> (16221(d))</w:t>
      </w:r>
      <w:r w:rsidR="00512182" w:rsidRPr="007D557C">
        <w:rPr>
          <w:sz w:val="24"/>
          <w:szCs w:val="24"/>
        </w:rPr>
        <w:t>;</w:t>
      </w:r>
      <w:r w:rsidR="00512182">
        <w:rPr>
          <w:sz w:val="24"/>
          <w:szCs w:val="24"/>
        </w:rPr>
        <w:t xml:space="preserve"> </w:t>
      </w:r>
      <w:r w:rsidR="00512182" w:rsidRPr="007D557C">
        <w:rPr>
          <w:sz w:val="24"/>
          <w:szCs w:val="24"/>
        </w:rPr>
        <w:t>and e) conviction of a criminal offense</w:t>
      </w:r>
      <w:r w:rsidR="00A66DE4">
        <w:rPr>
          <w:sz w:val="24"/>
          <w:szCs w:val="24"/>
        </w:rPr>
        <w:t xml:space="preserve"> (16221(e))</w:t>
      </w:r>
      <w:r w:rsidR="00512182" w:rsidRPr="007D557C">
        <w:rPr>
          <w:sz w:val="24"/>
          <w:szCs w:val="24"/>
        </w:rPr>
        <w:t>.</w:t>
      </w:r>
      <w:r w:rsidR="00EA3232">
        <w:rPr>
          <w:rStyle w:val="FootnoteReference"/>
          <w:sz w:val="24"/>
          <w:szCs w:val="24"/>
        </w:rPr>
        <w:footnoteReference w:id="5"/>
      </w:r>
    </w:p>
    <w:p w14:paraId="1243711D" w14:textId="3789484E" w:rsidR="00C95C5C" w:rsidRDefault="00634E1A" w:rsidP="00051B92">
      <w:pPr>
        <w:pStyle w:val="FootnoteText"/>
        <w:spacing w:line="360" w:lineRule="auto"/>
        <w:ind w:firstLine="720"/>
        <w:jc w:val="both"/>
        <w:rPr>
          <w:sz w:val="24"/>
          <w:szCs w:val="24"/>
        </w:rPr>
      </w:pPr>
      <w:r>
        <w:rPr>
          <w:sz w:val="24"/>
          <w:szCs w:val="24"/>
        </w:rPr>
        <w:lastRenderedPageBreak/>
        <w:t xml:space="preserve">The </w:t>
      </w:r>
      <w:r w:rsidR="00A8542E">
        <w:rPr>
          <w:sz w:val="24"/>
          <w:szCs w:val="24"/>
        </w:rPr>
        <w:t xml:space="preserve">Michigan </w:t>
      </w:r>
      <w:r w:rsidR="00C54933">
        <w:rPr>
          <w:sz w:val="24"/>
          <w:szCs w:val="24"/>
        </w:rPr>
        <w:t xml:space="preserve">Board’s </w:t>
      </w:r>
      <w:r>
        <w:rPr>
          <w:sz w:val="24"/>
          <w:szCs w:val="24"/>
        </w:rPr>
        <w:t xml:space="preserve">bases </w:t>
      </w:r>
      <w:r w:rsidR="00A8542E">
        <w:rPr>
          <w:sz w:val="24"/>
          <w:szCs w:val="24"/>
        </w:rPr>
        <w:t xml:space="preserve">for discipline </w:t>
      </w:r>
      <w:r>
        <w:rPr>
          <w:sz w:val="24"/>
          <w:szCs w:val="24"/>
        </w:rPr>
        <w:t xml:space="preserve">are substantially similar to this Board’s charges that the Respondent: </w:t>
      </w:r>
      <w:r w:rsidR="00526508">
        <w:rPr>
          <w:sz w:val="24"/>
          <w:szCs w:val="24"/>
        </w:rPr>
        <w:t>1</w:t>
      </w:r>
      <w:r>
        <w:rPr>
          <w:sz w:val="24"/>
          <w:szCs w:val="24"/>
        </w:rPr>
        <w:t xml:space="preserve">) </w:t>
      </w:r>
      <w:r w:rsidR="00CF17D1">
        <w:rPr>
          <w:sz w:val="24"/>
          <w:szCs w:val="24"/>
        </w:rPr>
        <w:t xml:space="preserve">was convicted of </w:t>
      </w:r>
      <w:r>
        <w:rPr>
          <w:sz w:val="24"/>
          <w:szCs w:val="24"/>
        </w:rPr>
        <w:t>a crim</w:t>
      </w:r>
      <w:r w:rsidR="00CF17D1">
        <w:rPr>
          <w:sz w:val="24"/>
          <w:szCs w:val="24"/>
        </w:rPr>
        <w:t>inal offense</w:t>
      </w:r>
      <w:r w:rsidR="00A8542E">
        <w:rPr>
          <w:sz w:val="24"/>
          <w:szCs w:val="24"/>
        </w:rPr>
        <w:t>;</w:t>
      </w:r>
      <w:r w:rsidR="00A8542E">
        <w:rPr>
          <w:rStyle w:val="FootnoteReference"/>
          <w:sz w:val="24"/>
          <w:szCs w:val="24"/>
        </w:rPr>
        <w:footnoteReference w:id="6"/>
      </w:r>
      <w:r>
        <w:rPr>
          <w:sz w:val="24"/>
          <w:szCs w:val="24"/>
        </w:rPr>
        <w:t xml:space="preserve"> </w:t>
      </w:r>
      <w:r w:rsidR="00215C79">
        <w:rPr>
          <w:sz w:val="24"/>
          <w:szCs w:val="24"/>
        </w:rPr>
        <w:t>2)</w:t>
      </w:r>
      <w:r>
        <w:rPr>
          <w:sz w:val="24"/>
          <w:szCs w:val="24"/>
        </w:rPr>
        <w:t xml:space="preserve"> </w:t>
      </w:r>
      <w:r w:rsidR="00CF17D1">
        <w:rPr>
          <w:sz w:val="24"/>
          <w:szCs w:val="24"/>
        </w:rPr>
        <w:t>engaged in conduct that placed into question his ability to practice medicine</w:t>
      </w:r>
      <w:r w:rsidR="00C95C5C">
        <w:rPr>
          <w:sz w:val="24"/>
          <w:szCs w:val="24"/>
        </w:rPr>
        <w:t>;</w:t>
      </w:r>
      <w:r w:rsidR="00C95C5C">
        <w:rPr>
          <w:rStyle w:val="FootnoteReference"/>
          <w:sz w:val="24"/>
          <w:szCs w:val="24"/>
        </w:rPr>
        <w:footnoteReference w:id="7"/>
      </w:r>
      <w:r w:rsidR="00CF17D1">
        <w:rPr>
          <w:sz w:val="24"/>
          <w:szCs w:val="24"/>
        </w:rPr>
        <w:t xml:space="preserve"> and </w:t>
      </w:r>
      <w:r w:rsidR="00215C79">
        <w:rPr>
          <w:sz w:val="24"/>
          <w:szCs w:val="24"/>
        </w:rPr>
        <w:t>3</w:t>
      </w:r>
      <w:r w:rsidR="00CF17D1">
        <w:rPr>
          <w:sz w:val="24"/>
          <w:szCs w:val="24"/>
        </w:rPr>
        <w:t>) was disciplined in another jurisdiction by the proper licensing authority for reasons substantially the same as those set forth in G.L. c. 112, § 5 or 243 CMR 1.03(5), spe</w:t>
      </w:r>
      <w:r w:rsidR="00A315EE">
        <w:rPr>
          <w:sz w:val="24"/>
          <w:szCs w:val="24"/>
        </w:rPr>
        <w:t>ci</w:t>
      </w:r>
      <w:r w:rsidR="00CF17D1">
        <w:rPr>
          <w:sz w:val="24"/>
          <w:szCs w:val="24"/>
        </w:rPr>
        <w:t xml:space="preserve">fically: </w:t>
      </w:r>
      <w:r w:rsidR="00215C79">
        <w:rPr>
          <w:sz w:val="24"/>
          <w:szCs w:val="24"/>
        </w:rPr>
        <w:t>a</w:t>
      </w:r>
      <w:r w:rsidR="00CF17D1">
        <w:rPr>
          <w:sz w:val="24"/>
          <w:szCs w:val="24"/>
        </w:rPr>
        <w:t xml:space="preserve">) engaging in conduct which places into question </w:t>
      </w:r>
      <w:r>
        <w:rPr>
          <w:sz w:val="24"/>
          <w:szCs w:val="24"/>
        </w:rPr>
        <w:t>the ability to practice medicine;</w:t>
      </w:r>
      <w:r>
        <w:rPr>
          <w:rStyle w:val="FootnoteReference"/>
          <w:sz w:val="24"/>
          <w:szCs w:val="24"/>
        </w:rPr>
        <w:footnoteReference w:id="8"/>
      </w:r>
      <w:r>
        <w:rPr>
          <w:sz w:val="24"/>
          <w:szCs w:val="24"/>
        </w:rPr>
        <w:t xml:space="preserve"> </w:t>
      </w:r>
      <w:r w:rsidR="00215C79">
        <w:rPr>
          <w:sz w:val="24"/>
          <w:szCs w:val="24"/>
        </w:rPr>
        <w:t>b</w:t>
      </w:r>
      <w:r>
        <w:rPr>
          <w:sz w:val="24"/>
          <w:szCs w:val="24"/>
        </w:rPr>
        <w:t>) committ</w:t>
      </w:r>
      <w:r w:rsidR="00C95C5C">
        <w:rPr>
          <w:sz w:val="24"/>
          <w:szCs w:val="24"/>
        </w:rPr>
        <w:t>ing</w:t>
      </w:r>
      <w:r>
        <w:rPr>
          <w:sz w:val="24"/>
          <w:szCs w:val="24"/>
        </w:rPr>
        <w:t xml:space="preserve"> misconduct in the practice of medicine;</w:t>
      </w:r>
      <w:r>
        <w:rPr>
          <w:rStyle w:val="FootnoteReference"/>
          <w:sz w:val="24"/>
          <w:szCs w:val="24"/>
        </w:rPr>
        <w:footnoteReference w:id="9"/>
      </w:r>
      <w:r>
        <w:rPr>
          <w:sz w:val="24"/>
          <w:szCs w:val="24"/>
        </w:rPr>
        <w:t xml:space="preserve"> </w:t>
      </w:r>
      <w:r w:rsidR="00215C79">
        <w:rPr>
          <w:sz w:val="24"/>
          <w:szCs w:val="24"/>
        </w:rPr>
        <w:t>c</w:t>
      </w:r>
      <w:r>
        <w:rPr>
          <w:sz w:val="24"/>
          <w:szCs w:val="24"/>
        </w:rPr>
        <w:t xml:space="preserve">) </w:t>
      </w:r>
      <w:r w:rsidR="005E2F4E">
        <w:rPr>
          <w:sz w:val="24"/>
          <w:szCs w:val="24"/>
        </w:rPr>
        <w:t>committing a crime</w:t>
      </w:r>
      <w:r>
        <w:rPr>
          <w:sz w:val="24"/>
          <w:szCs w:val="24"/>
        </w:rPr>
        <w:t>;</w:t>
      </w:r>
      <w:r>
        <w:rPr>
          <w:rStyle w:val="FootnoteReference"/>
          <w:sz w:val="24"/>
          <w:szCs w:val="24"/>
        </w:rPr>
        <w:footnoteReference w:id="10"/>
      </w:r>
      <w:r>
        <w:rPr>
          <w:sz w:val="24"/>
          <w:szCs w:val="24"/>
        </w:rPr>
        <w:t xml:space="preserve"> and </w:t>
      </w:r>
      <w:r w:rsidR="00215C79">
        <w:rPr>
          <w:sz w:val="24"/>
          <w:szCs w:val="24"/>
        </w:rPr>
        <w:t>d)</w:t>
      </w:r>
      <w:r w:rsidR="00280B94">
        <w:rPr>
          <w:sz w:val="24"/>
          <w:szCs w:val="24"/>
        </w:rPr>
        <w:t xml:space="preserve"> committing a crime that reasonably calls into question his ability to practice medicine;</w:t>
      </w:r>
      <w:r w:rsidR="00280B94">
        <w:rPr>
          <w:rStyle w:val="FootnoteReference"/>
          <w:sz w:val="24"/>
          <w:szCs w:val="24"/>
        </w:rPr>
        <w:footnoteReference w:id="11"/>
      </w:r>
      <w:r w:rsidR="00280B94">
        <w:rPr>
          <w:sz w:val="24"/>
          <w:szCs w:val="24"/>
        </w:rPr>
        <w:t xml:space="preserve"> and </w:t>
      </w:r>
      <w:r w:rsidR="00215C79">
        <w:rPr>
          <w:sz w:val="24"/>
          <w:szCs w:val="24"/>
        </w:rPr>
        <w:t>e)</w:t>
      </w:r>
      <w:r>
        <w:rPr>
          <w:sz w:val="24"/>
          <w:szCs w:val="24"/>
        </w:rPr>
        <w:t xml:space="preserve"> engag</w:t>
      </w:r>
      <w:r w:rsidR="00C95C5C">
        <w:rPr>
          <w:sz w:val="24"/>
          <w:szCs w:val="24"/>
        </w:rPr>
        <w:t>ing</w:t>
      </w:r>
      <w:r>
        <w:rPr>
          <w:sz w:val="24"/>
          <w:szCs w:val="24"/>
        </w:rPr>
        <w:t xml:space="preserve"> in conduct which undermines the public confidence in the integrity of the medical profession.</w:t>
      </w:r>
      <w:r>
        <w:rPr>
          <w:rStyle w:val="FootnoteReference"/>
          <w:sz w:val="24"/>
          <w:szCs w:val="24"/>
        </w:rPr>
        <w:footnoteReference w:id="12"/>
      </w:r>
      <w:r w:rsidR="00C95C5C">
        <w:rPr>
          <w:sz w:val="24"/>
          <w:szCs w:val="24"/>
        </w:rPr>
        <w:t xml:space="preserve"> </w:t>
      </w:r>
      <w:r w:rsidR="006445E6">
        <w:rPr>
          <w:sz w:val="24"/>
          <w:szCs w:val="24"/>
        </w:rPr>
        <w:t>The</w:t>
      </w:r>
      <w:r w:rsidR="00C54933">
        <w:rPr>
          <w:sz w:val="24"/>
          <w:szCs w:val="24"/>
        </w:rPr>
        <w:t>re</w:t>
      </w:r>
      <w:r w:rsidR="009040DB">
        <w:rPr>
          <w:sz w:val="24"/>
          <w:szCs w:val="24"/>
        </w:rPr>
        <w:t xml:space="preserve"> are no facts in dispute with respect to the three grounds and the Board</w:t>
      </w:r>
      <w:r w:rsidR="00C95C5C">
        <w:rPr>
          <w:sz w:val="24"/>
          <w:szCs w:val="24"/>
        </w:rPr>
        <w:t xml:space="preserve"> may impose discipline on each </w:t>
      </w:r>
      <w:r w:rsidR="009040DB">
        <w:rPr>
          <w:sz w:val="24"/>
          <w:szCs w:val="24"/>
        </w:rPr>
        <w:t>basis</w:t>
      </w:r>
      <w:r w:rsidR="00C95C5C">
        <w:rPr>
          <w:sz w:val="24"/>
          <w:szCs w:val="24"/>
        </w:rPr>
        <w:t>.</w:t>
      </w:r>
    </w:p>
    <w:p w14:paraId="77EB1CF4" w14:textId="3A9536E8" w:rsidR="006445E6" w:rsidRDefault="00117BA4" w:rsidP="00051B92">
      <w:pPr>
        <w:pStyle w:val="FootnoteText"/>
        <w:spacing w:line="360" w:lineRule="auto"/>
        <w:ind w:firstLine="720"/>
        <w:jc w:val="both"/>
        <w:rPr>
          <w:sz w:val="24"/>
          <w:szCs w:val="24"/>
        </w:rPr>
      </w:pPr>
      <w:r>
        <w:rPr>
          <w:sz w:val="24"/>
          <w:szCs w:val="24"/>
        </w:rPr>
        <w:t xml:space="preserve">In addition, the </w:t>
      </w:r>
      <w:r w:rsidR="006445E6">
        <w:rPr>
          <w:sz w:val="24"/>
          <w:szCs w:val="24"/>
        </w:rPr>
        <w:t>Respondent’s failure to file an answer</w:t>
      </w:r>
      <w:r w:rsidR="00374E94">
        <w:rPr>
          <w:sz w:val="24"/>
          <w:szCs w:val="24"/>
        </w:rPr>
        <w:t xml:space="preserve"> SOA</w:t>
      </w:r>
      <w:r w:rsidR="006445E6">
        <w:rPr>
          <w:sz w:val="24"/>
          <w:szCs w:val="24"/>
        </w:rPr>
        <w:t>, failure to appear for the pre-hearing conference and failure to respond to the Motion for Summary Decision</w:t>
      </w:r>
      <w:r w:rsidR="00374E94">
        <w:rPr>
          <w:sz w:val="24"/>
          <w:szCs w:val="24"/>
        </w:rPr>
        <w:t xml:space="preserve">, reflects the Respondent’s </w:t>
      </w:r>
      <w:r w:rsidR="006445E6">
        <w:rPr>
          <w:sz w:val="24"/>
          <w:szCs w:val="24"/>
        </w:rPr>
        <w:t>disregard of administrative directives</w:t>
      </w:r>
      <w:r w:rsidR="00105A1E">
        <w:rPr>
          <w:sz w:val="24"/>
          <w:szCs w:val="24"/>
        </w:rPr>
        <w:t>, for which the Board may discipline.</w:t>
      </w:r>
      <w:r w:rsidR="006445E6">
        <w:rPr>
          <w:rStyle w:val="FootnoteReference"/>
          <w:sz w:val="24"/>
          <w:szCs w:val="24"/>
        </w:rPr>
        <w:footnoteReference w:id="13"/>
      </w:r>
      <w:r w:rsidR="006445E6">
        <w:rPr>
          <w:sz w:val="24"/>
          <w:szCs w:val="24"/>
        </w:rPr>
        <w:t xml:space="preserve"> </w:t>
      </w:r>
    </w:p>
    <w:p w14:paraId="7D705326" w14:textId="1EDE97D7" w:rsidR="00DA7F3C" w:rsidRDefault="00DA7F3C" w:rsidP="00DA7F3C">
      <w:pPr>
        <w:pStyle w:val="FootnoteText"/>
        <w:spacing w:line="360" w:lineRule="auto"/>
        <w:ind w:firstLine="720"/>
        <w:jc w:val="center"/>
        <w:rPr>
          <w:sz w:val="24"/>
          <w:szCs w:val="24"/>
          <w:u w:val="single"/>
        </w:rPr>
      </w:pPr>
      <w:r w:rsidRPr="00DA7F3C">
        <w:rPr>
          <w:sz w:val="24"/>
          <w:szCs w:val="24"/>
          <w:u w:val="single"/>
        </w:rPr>
        <w:t>Sanction</w:t>
      </w:r>
    </w:p>
    <w:p w14:paraId="3A231B8C" w14:textId="77777777" w:rsidR="002E7931" w:rsidRDefault="00FA65E4" w:rsidP="00FE6D90">
      <w:pPr>
        <w:tabs>
          <w:tab w:val="left" w:pos="0"/>
        </w:tabs>
        <w:spacing w:line="360" w:lineRule="auto"/>
        <w:ind w:firstLine="720"/>
        <w:jc w:val="both"/>
        <w:rPr>
          <w:sz w:val="24"/>
          <w:szCs w:val="24"/>
        </w:rPr>
      </w:pPr>
      <w:r w:rsidRPr="004A20F0">
        <w:rPr>
          <w:w w:val="105"/>
          <w:sz w:val="24"/>
          <w:szCs w:val="24"/>
        </w:rPr>
        <w:t>“When determining the appropriate sanction…the Board takes into consideration the nature of the offense, whether the conduct</w:t>
      </w:r>
      <w:r w:rsidRPr="004A20F0">
        <w:rPr>
          <w:sz w:val="24"/>
          <w:szCs w:val="24"/>
        </w:rPr>
        <w:t xml:space="preserve">…was related to the practice of medicine…and any mitigating or aggravating factors.” </w:t>
      </w:r>
      <w:r w:rsidRPr="004A20F0">
        <w:rPr>
          <w:sz w:val="24"/>
          <w:szCs w:val="24"/>
          <w:u w:val="single"/>
        </w:rPr>
        <w:t>See</w:t>
      </w:r>
      <w:r w:rsidRPr="004A20F0">
        <w:rPr>
          <w:sz w:val="24"/>
          <w:szCs w:val="24"/>
        </w:rPr>
        <w:t xml:space="preserve"> </w:t>
      </w:r>
      <w:r w:rsidRPr="004A20F0">
        <w:rPr>
          <w:i/>
          <w:iCs/>
          <w:sz w:val="24"/>
          <w:szCs w:val="24"/>
        </w:rPr>
        <w:t>In the Matter of Ronald S. Grusd, M.D.,</w:t>
      </w:r>
      <w:r w:rsidRPr="004A20F0">
        <w:rPr>
          <w:sz w:val="24"/>
          <w:szCs w:val="24"/>
        </w:rPr>
        <w:t xml:space="preserve"> Board of Registration in Medicine, Adjudicatory Case. No. 2018-032) (Final Decision and Order, October 22, 2020). </w:t>
      </w:r>
    </w:p>
    <w:p w14:paraId="31351E07" w14:textId="15B28594" w:rsidR="002E7931" w:rsidRDefault="00FA65E4" w:rsidP="00FE6D90">
      <w:pPr>
        <w:tabs>
          <w:tab w:val="left" w:pos="0"/>
        </w:tabs>
        <w:spacing w:line="360" w:lineRule="auto"/>
        <w:ind w:firstLine="720"/>
        <w:jc w:val="both"/>
        <w:rPr>
          <w:w w:val="105"/>
          <w:sz w:val="24"/>
          <w:szCs w:val="24"/>
        </w:rPr>
      </w:pPr>
      <w:r w:rsidRPr="003E2ACD">
        <w:rPr>
          <w:w w:val="105"/>
          <w:sz w:val="24"/>
          <w:szCs w:val="24"/>
        </w:rPr>
        <w:t>The Board has stated, “[A]</w:t>
      </w:r>
      <w:proofErr w:type="spellStart"/>
      <w:r w:rsidRPr="003E2ACD">
        <w:rPr>
          <w:w w:val="105"/>
          <w:sz w:val="24"/>
          <w:szCs w:val="24"/>
        </w:rPr>
        <w:t>ny</w:t>
      </w:r>
      <w:proofErr w:type="spellEnd"/>
      <w:r w:rsidRPr="003E2ACD">
        <w:rPr>
          <w:w w:val="105"/>
          <w:sz w:val="24"/>
          <w:szCs w:val="24"/>
        </w:rPr>
        <w:t xml:space="preserve"> criminal behavior is antithetical to a commitment to preserve life, alleviate suffering, and restore health.”</w:t>
      </w:r>
      <w:r>
        <w:rPr>
          <w:rStyle w:val="FootnoteReference"/>
          <w:w w:val="105"/>
          <w:sz w:val="24"/>
          <w:szCs w:val="24"/>
        </w:rPr>
        <w:footnoteReference w:id="14"/>
      </w:r>
      <w:r w:rsidRPr="003E2ACD">
        <w:rPr>
          <w:w w:val="105"/>
          <w:sz w:val="24"/>
          <w:szCs w:val="24"/>
        </w:rPr>
        <w:t xml:space="preserve"> </w:t>
      </w:r>
      <w:r w:rsidRPr="001E7C2C">
        <w:rPr>
          <w:w w:val="105"/>
          <w:sz w:val="24"/>
          <w:szCs w:val="24"/>
        </w:rPr>
        <w:t>“The Board deals harshly with criminal</w:t>
      </w:r>
      <w:r w:rsidR="002E7931">
        <w:rPr>
          <w:w w:val="105"/>
          <w:sz w:val="24"/>
          <w:szCs w:val="24"/>
        </w:rPr>
        <w:t xml:space="preserve">                         </w:t>
      </w:r>
    </w:p>
    <w:p w14:paraId="4A31FDB4" w14:textId="7CBB3CA7" w:rsidR="00FA65E4" w:rsidRDefault="00FA65E4" w:rsidP="002E7931">
      <w:pPr>
        <w:tabs>
          <w:tab w:val="left" w:pos="0"/>
        </w:tabs>
        <w:spacing w:line="360" w:lineRule="auto"/>
        <w:jc w:val="both"/>
        <w:rPr>
          <w:w w:val="105"/>
          <w:sz w:val="24"/>
          <w:szCs w:val="24"/>
        </w:rPr>
      </w:pPr>
      <w:r w:rsidRPr="001E7C2C">
        <w:rPr>
          <w:w w:val="105"/>
          <w:sz w:val="24"/>
          <w:szCs w:val="24"/>
        </w:rPr>
        <w:lastRenderedPageBreak/>
        <w:t>convictions for sexual crimes</w:t>
      </w:r>
      <w:r w:rsidR="00977BC4">
        <w:rPr>
          <w:w w:val="105"/>
          <w:sz w:val="24"/>
          <w:szCs w:val="24"/>
        </w:rPr>
        <w:t>.</w:t>
      </w:r>
      <w:r w:rsidRPr="001E7C2C">
        <w:rPr>
          <w:w w:val="105"/>
          <w:sz w:val="24"/>
          <w:szCs w:val="24"/>
        </w:rPr>
        <w:t>”</w:t>
      </w:r>
      <w:r>
        <w:rPr>
          <w:rStyle w:val="FootnoteReference"/>
          <w:w w:val="105"/>
          <w:sz w:val="24"/>
          <w:szCs w:val="24"/>
        </w:rPr>
        <w:footnoteReference w:id="15"/>
      </w:r>
      <w:r>
        <w:rPr>
          <w:w w:val="105"/>
          <w:sz w:val="24"/>
          <w:szCs w:val="24"/>
        </w:rPr>
        <w:t xml:space="preserve"> </w:t>
      </w:r>
      <w:r w:rsidRPr="001E7C2C">
        <w:rPr>
          <w:w w:val="105"/>
          <w:sz w:val="24"/>
          <w:szCs w:val="24"/>
        </w:rPr>
        <w:t xml:space="preserve"> </w:t>
      </w:r>
    </w:p>
    <w:p w14:paraId="7ADEBC27" w14:textId="6A5D6440" w:rsidR="00FA65E4" w:rsidRDefault="00FA65E4" w:rsidP="0096400F">
      <w:pPr>
        <w:pStyle w:val="FootnoteText"/>
        <w:spacing w:line="360" w:lineRule="auto"/>
        <w:ind w:firstLine="720"/>
        <w:jc w:val="both"/>
        <w:rPr>
          <w:sz w:val="24"/>
          <w:szCs w:val="24"/>
        </w:rPr>
      </w:pPr>
      <w:r>
        <w:rPr>
          <w:w w:val="105"/>
          <w:sz w:val="24"/>
          <w:szCs w:val="24"/>
        </w:rPr>
        <w:t xml:space="preserve">The Board has imposed revocation of the inchoate right to renew a license as the sanction, where physicians have engaged in sexual contact with patients. In two cases, the Board has commented on patients’ vulnerability where physicians have commingled treatment with sexual contact. In one case, the Board commented on the physician’s taking </w:t>
      </w:r>
      <w:r>
        <w:rPr>
          <w:sz w:val="24"/>
          <w:szCs w:val="24"/>
        </w:rPr>
        <w:t xml:space="preserve">“advantage of </w:t>
      </w:r>
      <w:r w:rsidRPr="00E053FA">
        <w:rPr>
          <w:sz w:val="24"/>
          <w:szCs w:val="24"/>
        </w:rPr>
        <w:t>any vulnerability by simultaneously pursuing a sexual/romantic relationship while offering to treat</w:t>
      </w:r>
      <w:r>
        <w:rPr>
          <w:sz w:val="24"/>
          <w:szCs w:val="24"/>
        </w:rPr>
        <w:t>” the patient’s anxiety</w:t>
      </w:r>
      <w:r w:rsidRPr="00E053FA">
        <w:rPr>
          <w:sz w:val="24"/>
          <w:szCs w:val="24"/>
        </w:rPr>
        <w:t xml:space="preserve"> and relieve [the patient] of some of her anxiety.”</w:t>
      </w:r>
      <w:r>
        <w:rPr>
          <w:rStyle w:val="FootnoteReference"/>
          <w:sz w:val="24"/>
          <w:szCs w:val="24"/>
        </w:rPr>
        <w:footnoteReference w:id="16"/>
      </w:r>
      <w:r>
        <w:rPr>
          <w:sz w:val="24"/>
          <w:szCs w:val="24"/>
        </w:rPr>
        <w:t xml:space="preserve"> In another, the Board commented on the physician’s “absolute disregard” physician</w:t>
      </w:r>
      <w:bookmarkStart w:id="1" w:name="_Hlk158729245"/>
      <w:r>
        <w:rPr>
          <w:sz w:val="24"/>
          <w:szCs w:val="24"/>
        </w:rPr>
        <w:t>-patient boundaries and his taking advantage of the vulnerability of a patient for his personal pleasure.</w:t>
      </w:r>
      <w:r>
        <w:rPr>
          <w:rStyle w:val="FootnoteReference"/>
          <w:sz w:val="24"/>
          <w:szCs w:val="24"/>
        </w:rPr>
        <w:footnoteReference w:id="17"/>
      </w:r>
      <w:r>
        <w:rPr>
          <w:sz w:val="24"/>
          <w:szCs w:val="24"/>
        </w:rPr>
        <w:t xml:space="preserve"> </w:t>
      </w:r>
      <w:bookmarkEnd w:id="1"/>
      <w:r>
        <w:rPr>
          <w:sz w:val="24"/>
          <w:szCs w:val="24"/>
        </w:rPr>
        <w:t xml:space="preserve"> </w:t>
      </w:r>
    </w:p>
    <w:p w14:paraId="1D72628C" w14:textId="6DFDA05F" w:rsidR="00FE6D90" w:rsidRDefault="00FA65E4" w:rsidP="00FE6D90">
      <w:pPr>
        <w:pStyle w:val="FootnoteText"/>
        <w:spacing w:line="360" w:lineRule="auto"/>
        <w:ind w:firstLine="720"/>
        <w:jc w:val="both"/>
        <w:rPr>
          <w:sz w:val="24"/>
          <w:szCs w:val="24"/>
        </w:rPr>
      </w:pPr>
      <w:r>
        <w:rPr>
          <w:w w:val="105"/>
          <w:sz w:val="24"/>
          <w:szCs w:val="24"/>
        </w:rPr>
        <w:t>In this case, the Board considers, as an aggravating factor,</w:t>
      </w:r>
      <w:r w:rsidR="00FE6D90" w:rsidRPr="00FE6D90">
        <w:rPr>
          <w:rFonts w:eastAsiaTheme="minorHAnsi"/>
          <w:w w:val="105"/>
          <w:kern w:val="2"/>
          <w:sz w:val="24"/>
          <w:szCs w:val="24"/>
          <w14:ligatures w14:val="standardContextual"/>
        </w:rPr>
        <w:t xml:space="preserve"> that </w:t>
      </w:r>
      <w:r w:rsidR="00FE6D90" w:rsidRPr="00FE6D90">
        <w:rPr>
          <w:sz w:val="24"/>
          <w:szCs w:val="24"/>
        </w:rPr>
        <w:t>the patient in question was incarcerated in the correctional facility in which the Respondent worked. The Respondent took advantage of the patient’s lack of freedom generally and lack of freedom to choose a medical provider, and he exploited the power differential between himself and the patient for his own personal gratification.</w:t>
      </w:r>
      <w:r w:rsidR="00FE6D90" w:rsidRPr="00FE6D90">
        <w:rPr>
          <w:sz w:val="24"/>
          <w:szCs w:val="24"/>
          <w:vertAlign w:val="superscript"/>
        </w:rPr>
        <w:footnoteReference w:id="18"/>
      </w:r>
    </w:p>
    <w:p w14:paraId="226D4A64" w14:textId="2E226AD6" w:rsidR="00FA65E4" w:rsidRDefault="008E21B1" w:rsidP="0096400F">
      <w:pPr>
        <w:pStyle w:val="FootnoteText"/>
        <w:spacing w:line="360" w:lineRule="auto"/>
        <w:ind w:firstLine="720"/>
        <w:jc w:val="both"/>
        <w:rPr>
          <w:sz w:val="24"/>
          <w:szCs w:val="24"/>
        </w:rPr>
      </w:pPr>
      <w:r>
        <w:rPr>
          <w:sz w:val="24"/>
          <w:szCs w:val="24"/>
        </w:rPr>
        <w:t xml:space="preserve">In light of the </w:t>
      </w:r>
      <w:r w:rsidR="00FA65E4">
        <w:rPr>
          <w:sz w:val="24"/>
          <w:szCs w:val="24"/>
        </w:rPr>
        <w:t>Respondent’s criminal conviction</w:t>
      </w:r>
      <w:r w:rsidR="00DA65C6">
        <w:rPr>
          <w:sz w:val="24"/>
          <w:szCs w:val="24"/>
        </w:rPr>
        <w:t xml:space="preserve">, </w:t>
      </w:r>
      <w:r w:rsidR="00B02936">
        <w:rPr>
          <w:sz w:val="24"/>
          <w:szCs w:val="24"/>
        </w:rPr>
        <w:t xml:space="preserve">discipline by the Michigan Board, </w:t>
      </w:r>
      <w:r w:rsidR="00FA65E4">
        <w:rPr>
          <w:sz w:val="24"/>
          <w:szCs w:val="24"/>
        </w:rPr>
        <w:t xml:space="preserve">sexual misconduct that took place in the context of the physician-patient relationship, the particular vulnerability of the Respondent’s patient, and the Respondent’s complete disregard for the authority of the Board, the Board </w:t>
      </w:r>
      <w:r w:rsidR="009D540E">
        <w:rPr>
          <w:sz w:val="24"/>
          <w:szCs w:val="24"/>
        </w:rPr>
        <w:t>REVOKES</w:t>
      </w:r>
      <w:r w:rsidR="00FA65E4">
        <w:rPr>
          <w:sz w:val="24"/>
          <w:szCs w:val="24"/>
        </w:rPr>
        <w:t xml:space="preserve"> the Respondent’s inchoate right to renew his license. </w:t>
      </w:r>
    </w:p>
    <w:p w14:paraId="48892E9A" w14:textId="30E34177" w:rsidR="00E3380B" w:rsidRDefault="00E3380B" w:rsidP="004007D2">
      <w:pPr>
        <w:pStyle w:val="BodyText"/>
        <w:spacing w:line="360" w:lineRule="auto"/>
        <w:ind w:left="154" w:right="106" w:firstLine="716"/>
        <w:jc w:val="both"/>
        <w:rPr>
          <w:sz w:val="24"/>
        </w:rPr>
      </w:pPr>
      <w:r>
        <w:rPr>
          <w:w w:val="105"/>
        </w:rPr>
        <w:t>The Respondent shall provide a complete copy of</w:t>
      </w:r>
      <w:r>
        <w:rPr>
          <w:spacing w:val="-1"/>
          <w:w w:val="105"/>
        </w:rPr>
        <w:t xml:space="preserve"> </w:t>
      </w:r>
      <w:r>
        <w:rPr>
          <w:w w:val="105"/>
        </w:rPr>
        <w:t>this Final Decision and Order, with all exhibits and attachments within ten (10) days by certified mail, return receipt requested,</w:t>
      </w:r>
      <w:r>
        <w:rPr>
          <w:spacing w:val="-7"/>
          <w:w w:val="105"/>
        </w:rPr>
        <w:t xml:space="preserve"> </w:t>
      </w:r>
      <w:r>
        <w:rPr>
          <w:w w:val="105"/>
        </w:rPr>
        <w:t>or by</w:t>
      </w:r>
      <w:r>
        <w:rPr>
          <w:spacing w:val="-3"/>
          <w:w w:val="105"/>
        </w:rPr>
        <w:t xml:space="preserve"> </w:t>
      </w:r>
      <w:r>
        <w:rPr>
          <w:w w:val="105"/>
        </w:rPr>
        <w:t>hand</w:t>
      </w:r>
      <w:r>
        <w:rPr>
          <w:spacing w:val="-2"/>
          <w:w w:val="105"/>
        </w:rPr>
        <w:t xml:space="preserve"> </w:t>
      </w:r>
      <w:r>
        <w:rPr>
          <w:w w:val="105"/>
        </w:rPr>
        <w:t>delivery to</w:t>
      </w:r>
      <w:r>
        <w:rPr>
          <w:spacing w:val="-16"/>
          <w:w w:val="105"/>
        </w:rPr>
        <w:t xml:space="preserve"> </w:t>
      </w:r>
      <w:r>
        <w:rPr>
          <w:w w:val="105"/>
        </w:rPr>
        <w:t>the</w:t>
      </w:r>
      <w:r>
        <w:rPr>
          <w:spacing w:val="-14"/>
          <w:w w:val="105"/>
        </w:rPr>
        <w:t xml:space="preserve"> </w:t>
      </w:r>
      <w:r>
        <w:rPr>
          <w:w w:val="105"/>
        </w:rPr>
        <w:t>following designated entities:</w:t>
      </w:r>
      <w:r>
        <w:rPr>
          <w:spacing w:val="40"/>
          <w:w w:val="105"/>
        </w:rPr>
        <w:t xml:space="preserve"> </w:t>
      </w:r>
      <w:r>
        <w:rPr>
          <w:w w:val="105"/>
        </w:rPr>
        <w:t>any</w:t>
      </w:r>
      <w:r>
        <w:rPr>
          <w:spacing w:val="-6"/>
          <w:w w:val="105"/>
        </w:rPr>
        <w:t xml:space="preserve"> </w:t>
      </w:r>
      <w:r>
        <w:rPr>
          <w:w w:val="105"/>
        </w:rPr>
        <w:t>in-</w:t>
      </w:r>
      <w:r>
        <w:rPr>
          <w:spacing w:val="-9"/>
          <w:w w:val="105"/>
        </w:rPr>
        <w:t xml:space="preserve"> </w:t>
      </w:r>
      <w:r>
        <w:rPr>
          <w:w w:val="105"/>
        </w:rPr>
        <w:t>or</w:t>
      </w:r>
      <w:r>
        <w:rPr>
          <w:spacing w:val="-14"/>
          <w:w w:val="105"/>
        </w:rPr>
        <w:t xml:space="preserve"> </w:t>
      </w:r>
      <w:r>
        <w:rPr>
          <w:w w:val="105"/>
        </w:rPr>
        <w:t>out-of-state hospital, nursing home, clinic, other licensed facility, or municipal, state, or federal facility</w:t>
      </w:r>
      <w:r>
        <w:rPr>
          <w:spacing w:val="65"/>
          <w:w w:val="105"/>
        </w:rPr>
        <w:t xml:space="preserve"> </w:t>
      </w:r>
      <w:r>
        <w:rPr>
          <w:w w:val="105"/>
        </w:rPr>
        <w:t>at</w:t>
      </w:r>
      <w:r>
        <w:rPr>
          <w:spacing w:val="60"/>
          <w:w w:val="105"/>
        </w:rPr>
        <w:t xml:space="preserve"> </w:t>
      </w:r>
      <w:r>
        <w:rPr>
          <w:w w:val="105"/>
        </w:rPr>
        <w:t>which</w:t>
      </w:r>
      <w:r>
        <w:rPr>
          <w:spacing w:val="64"/>
          <w:w w:val="105"/>
        </w:rPr>
        <w:t xml:space="preserve"> </w:t>
      </w:r>
      <w:r>
        <w:rPr>
          <w:w w:val="105"/>
        </w:rPr>
        <w:t>he</w:t>
      </w:r>
      <w:r>
        <w:rPr>
          <w:spacing w:val="63"/>
          <w:w w:val="105"/>
        </w:rPr>
        <w:t xml:space="preserve"> </w:t>
      </w:r>
      <w:r>
        <w:rPr>
          <w:w w:val="105"/>
        </w:rPr>
        <w:t>practices</w:t>
      </w:r>
      <w:r>
        <w:rPr>
          <w:spacing w:val="70"/>
          <w:w w:val="105"/>
        </w:rPr>
        <w:t xml:space="preserve"> </w:t>
      </w:r>
      <w:r>
        <w:rPr>
          <w:w w:val="105"/>
        </w:rPr>
        <w:t>medicine;</w:t>
      </w:r>
      <w:r>
        <w:rPr>
          <w:spacing w:val="69"/>
          <w:w w:val="105"/>
        </w:rPr>
        <w:t xml:space="preserve"> </w:t>
      </w:r>
      <w:r>
        <w:rPr>
          <w:w w:val="105"/>
        </w:rPr>
        <w:t>any</w:t>
      </w:r>
      <w:r>
        <w:rPr>
          <w:spacing w:val="70"/>
          <w:w w:val="105"/>
        </w:rPr>
        <w:t xml:space="preserve"> </w:t>
      </w:r>
      <w:r>
        <w:rPr>
          <w:w w:val="105"/>
        </w:rPr>
        <w:t>in-</w:t>
      </w:r>
      <w:r>
        <w:rPr>
          <w:spacing w:val="61"/>
          <w:w w:val="105"/>
        </w:rPr>
        <w:t xml:space="preserve"> </w:t>
      </w:r>
      <w:r>
        <w:rPr>
          <w:w w:val="105"/>
        </w:rPr>
        <w:t>or</w:t>
      </w:r>
      <w:r>
        <w:rPr>
          <w:spacing w:val="40"/>
          <w:w w:val="105"/>
        </w:rPr>
        <w:t xml:space="preserve"> </w:t>
      </w:r>
      <w:r>
        <w:rPr>
          <w:w w:val="105"/>
        </w:rPr>
        <w:t>out-of-state</w:t>
      </w:r>
      <w:r>
        <w:rPr>
          <w:spacing w:val="80"/>
          <w:w w:val="105"/>
        </w:rPr>
        <w:t xml:space="preserve"> </w:t>
      </w:r>
      <w:r>
        <w:rPr>
          <w:w w:val="105"/>
        </w:rPr>
        <w:t>health</w:t>
      </w:r>
      <w:r>
        <w:rPr>
          <w:spacing w:val="65"/>
          <w:w w:val="105"/>
        </w:rPr>
        <w:t xml:space="preserve"> </w:t>
      </w:r>
      <w:r>
        <w:rPr>
          <w:w w:val="105"/>
        </w:rPr>
        <w:t>maintenance</w:t>
      </w:r>
      <w:r w:rsidR="00D7112B">
        <w:rPr>
          <w:w w:val="105"/>
        </w:rPr>
        <w:t xml:space="preserve"> o</w:t>
      </w:r>
      <w:r>
        <w:rPr>
          <w:sz w:val="24"/>
        </w:rPr>
        <w:t xml:space="preserve">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w:t>
      </w:r>
      <w:r>
        <w:rPr>
          <w:sz w:val="24"/>
        </w:rPr>
        <w:lastRenderedPageBreak/>
        <w:t>practice medicine; the Drug Enforcement Administration - Boston Diversion Group; and the Massachusetts Department of Public Health Drug Control Program.</w:t>
      </w:r>
      <w:r>
        <w:rPr>
          <w:spacing w:val="40"/>
          <w:sz w:val="24"/>
        </w:rPr>
        <w:t xml:space="preserve"> </w:t>
      </w:r>
      <w:r>
        <w:rPr>
          <w:sz w:val="24"/>
        </w:rPr>
        <w:t>The Respondent shall also provide this</w:t>
      </w:r>
      <w:r>
        <w:rPr>
          <w:spacing w:val="-1"/>
          <w:sz w:val="24"/>
        </w:rPr>
        <w:t xml:space="preserve"> </w:t>
      </w:r>
      <w:r>
        <w:rPr>
          <w:sz w:val="24"/>
        </w:rPr>
        <w:t>notification to</w:t>
      </w:r>
      <w:r>
        <w:rPr>
          <w:spacing w:val="-3"/>
          <w:sz w:val="24"/>
        </w:rPr>
        <w:t xml:space="preserve"> </w:t>
      </w:r>
      <w:r>
        <w:rPr>
          <w:sz w:val="24"/>
        </w:rPr>
        <w:t>any such designated entities with which he becomes associated for the duration of this revocation.</w:t>
      </w:r>
      <w:r>
        <w:rPr>
          <w:spacing w:val="40"/>
          <w:sz w:val="24"/>
        </w:rPr>
        <w:t xml:space="preserve"> </w:t>
      </w:r>
      <w:r>
        <w:rPr>
          <w:sz w:val="24"/>
        </w:rPr>
        <w:t>The Respondent is further directed to certify to the Board within ten (10) days that he has complied with this directive.</w:t>
      </w:r>
      <w:r>
        <w:rPr>
          <w:spacing w:val="80"/>
          <w:sz w:val="24"/>
        </w:rPr>
        <w:t xml:space="preserve"> </w:t>
      </w:r>
      <w:r>
        <w:rPr>
          <w:sz w:val="24"/>
        </w:rPr>
        <w:t>The Board expressly reserves the authority to independently notify, at any time, any of the entities designated above, or any other affected entity, of any action it has taken. The Respondent</w:t>
      </w:r>
      <w:r>
        <w:rPr>
          <w:spacing w:val="40"/>
          <w:sz w:val="24"/>
        </w:rPr>
        <w:t xml:space="preserve"> </w:t>
      </w:r>
      <w:r>
        <w:rPr>
          <w:sz w:val="24"/>
        </w:rPr>
        <w:t>has the right to appeal this Final Decision and Order within thirty (30) days, pursuant to G.L. c. 30A, §§14 and 15, and G.L. c. 112, § 64.</w:t>
      </w:r>
    </w:p>
    <w:p w14:paraId="51CD9B2B" w14:textId="77777777" w:rsidR="00E3380B" w:rsidRDefault="00E3380B" w:rsidP="003B7D65">
      <w:pPr>
        <w:pStyle w:val="BodyText"/>
        <w:spacing w:line="360" w:lineRule="auto"/>
        <w:jc w:val="both"/>
        <w:rPr>
          <w:sz w:val="26"/>
        </w:rPr>
      </w:pPr>
    </w:p>
    <w:p w14:paraId="57C69690" w14:textId="77777777" w:rsidR="00E3380B" w:rsidRDefault="00E3380B" w:rsidP="003B7D65">
      <w:pPr>
        <w:pStyle w:val="BodyText"/>
        <w:spacing w:line="360" w:lineRule="auto"/>
        <w:rPr>
          <w:sz w:val="26"/>
        </w:rPr>
      </w:pPr>
    </w:p>
    <w:p w14:paraId="788AF943" w14:textId="66456CCB" w:rsidR="00E3380B" w:rsidRDefault="00E3380B" w:rsidP="00E3380B">
      <w:pPr>
        <w:tabs>
          <w:tab w:val="left" w:pos="865"/>
          <w:tab w:val="left" w:pos="3735"/>
          <w:tab w:val="left" w:pos="7305"/>
        </w:tabs>
        <w:spacing w:before="217" w:line="271" w:lineRule="exact"/>
        <w:ind w:left="145"/>
        <w:rPr>
          <w:sz w:val="24"/>
        </w:rPr>
      </w:pPr>
      <w:r>
        <w:rPr>
          <w:spacing w:val="-2"/>
          <w:sz w:val="24"/>
        </w:rPr>
        <w:t>Date:</w:t>
      </w:r>
      <w:r>
        <w:rPr>
          <w:sz w:val="24"/>
        </w:rPr>
        <w:tab/>
      </w:r>
      <w:r w:rsidR="003444EE">
        <w:rPr>
          <w:sz w:val="24"/>
        </w:rPr>
        <w:t>February 2</w:t>
      </w:r>
      <w:r w:rsidR="00AE3519">
        <w:rPr>
          <w:sz w:val="24"/>
        </w:rPr>
        <w:t>9</w:t>
      </w:r>
      <w:r w:rsidR="003444EE">
        <w:rPr>
          <w:sz w:val="24"/>
        </w:rPr>
        <w:t>,</w:t>
      </w:r>
      <w:r>
        <w:rPr>
          <w:spacing w:val="-15"/>
          <w:sz w:val="24"/>
        </w:rPr>
        <w:t xml:space="preserve"> </w:t>
      </w:r>
      <w:r>
        <w:rPr>
          <w:spacing w:val="-4"/>
          <w:sz w:val="24"/>
        </w:rPr>
        <w:t>202</w:t>
      </w:r>
      <w:r w:rsidR="00B04CC9">
        <w:rPr>
          <w:spacing w:val="-4"/>
          <w:sz w:val="24"/>
        </w:rPr>
        <w:t>4</w:t>
      </w:r>
      <w:r>
        <w:rPr>
          <w:sz w:val="24"/>
        </w:rPr>
        <w:tab/>
      </w:r>
      <w:r w:rsidR="00BD116C">
        <w:rPr>
          <w:sz w:val="24"/>
          <w:u w:val="single"/>
        </w:rPr>
        <w:t>Signed by Booker T. Bush, M.D.</w:t>
      </w:r>
      <w:r w:rsidR="00BD116C">
        <w:rPr>
          <w:sz w:val="24"/>
          <w:u w:val="single"/>
        </w:rPr>
        <w:tab/>
      </w:r>
    </w:p>
    <w:p w14:paraId="06896F36" w14:textId="0A46405C" w:rsidR="00E3380B" w:rsidRDefault="00B538F8" w:rsidP="00E3380B">
      <w:pPr>
        <w:spacing w:line="244" w:lineRule="auto"/>
        <w:ind w:left="3756" w:right="2517" w:hanging="4"/>
        <w:rPr>
          <w:sz w:val="24"/>
        </w:rPr>
      </w:pPr>
      <w:r>
        <w:rPr>
          <w:sz w:val="24"/>
        </w:rPr>
        <w:t xml:space="preserve">Booker </w:t>
      </w:r>
      <w:r w:rsidR="0022485D">
        <w:rPr>
          <w:sz w:val="24"/>
        </w:rPr>
        <w:t xml:space="preserve">T. </w:t>
      </w:r>
      <w:r>
        <w:rPr>
          <w:sz w:val="24"/>
        </w:rPr>
        <w:t>Bush,</w:t>
      </w:r>
      <w:r w:rsidR="00E3380B">
        <w:rPr>
          <w:spacing w:val="-8"/>
          <w:sz w:val="24"/>
        </w:rPr>
        <w:t xml:space="preserve"> </w:t>
      </w:r>
      <w:r w:rsidR="00E3380B">
        <w:rPr>
          <w:sz w:val="24"/>
        </w:rPr>
        <w:t>M.D.</w:t>
      </w:r>
      <w:r w:rsidR="00D472CE">
        <w:rPr>
          <w:sz w:val="24"/>
        </w:rPr>
        <w:t>,</w:t>
      </w:r>
      <w:r w:rsidR="00E3380B">
        <w:rPr>
          <w:sz w:val="24"/>
        </w:rPr>
        <w:t xml:space="preserve"> </w:t>
      </w:r>
      <w:r w:rsidR="00E3380B">
        <w:rPr>
          <w:spacing w:val="-4"/>
          <w:sz w:val="24"/>
        </w:rPr>
        <w:t>Chair</w:t>
      </w:r>
    </w:p>
    <w:p w14:paraId="617C256F" w14:textId="38BE38C8" w:rsidR="00E3380B" w:rsidRDefault="00E3380B" w:rsidP="00E3380B">
      <w:pPr>
        <w:spacing w:line="268" w:lineRule="exact"/>
        <w:ind w:left="3753"/>
        <w:rPr>
          <w:spacing w:val="-2"/>
          <w:sz w:val="24"/>
        </w:rPr>
      </w:pPr>
      <w:r>
        <w:rPr>
          <w:sz w:val="24"/>
        </w:rPr>
        <w:t>Board of</w:t>
      </w:r>
      <w:r>
        <w:rPr>
          <w:spacing w:val="-6"/>
          <w:sz w:val="24"/>
        </w:rPr>
        <w:t xml:space="preserve"> </w:t>
      </w:r>
      <w:r>
        <w:rPr>
          <w:sz w:val="24"/>
        </w:rPr>
        <w:t>Registration</w:t>
      </w:r>
      <w:r>
        <w:rPr>
          <w:spacing w:val="10"/>
          <w:sz w:val="24"/>
        </w:rPr>
        <w:t xml:space="preserve"> </w:t>
      </w:r>
      <w:r>
        <w:rPr>
          <w:sz w:val="24"/>
        </w:rPr>
        <w:t>in</w:t>
      </w:r>
      <w:r>
        <w:rPr>
          <w:spacing w:val="-11"/>
          <w:sz w:val="24"/>
        </w:rPr>
        <w:t xml:space="preserve"> </w:t>
      </w:r>
      <w:r>
        <w:rPr>
          <w:spacing w:val="-2"/>
          <w:sz w:val="24"/>
        </w:rPr>
        <w:t>Medicine</w:t>
      </w:r>
    </w:p>
    <w:p w14:paraId="749529D1" w14:textId="77777777" w:rsidR="00622C11" w:rsidRDefault="00622C11" w:rsidP="00E3380B">
      <w:pPr>
        <w:spacing w:line="268" w:lineRule="exact"/>
        <w:ind w:left="3753"/>
        <w:rPr>
          <w:sz w:val="24"/>
        </w:rPr>
      </w:pPr>
    </w:p>
    <w:p w14:paraId="25633A3B" w14:textId="77777777" w:rsidR="00D447AD" w:rsidRDefault="00D447AD"/>
    <w:sectPr w:rsidR="00D447AD" w:rsidSect="00B04CC9">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5890" w14:textId="77777777" w:rsidR="00B318F5" w:rsidRDefault="00B318F5" w:rsidP="003834A2">
      <w:r>
        <w:separator/>
      </w:r>
    </w:p>
  </w:endnote>
  <w:endnote w:type="continuationSeparator" w:id="0">
    <w:p w14:paraId="4AEC12FF" w14:textId="77777777" w:rsidR="00B318F5" w:rsidRDefault="00B318F5" w:rsidP="003834A2">
      <w:r>
        <w:continuationSeparator/>
      </w:r>
    </w:p>
  </w:endnote>
  <w:endnote w:type="continuationNotice" w:id="1">
    <w:p w14:paraId="1ED4E7C9" w14:textId="77777777" w:rsidR="00B318F5" w:rsidRDefault="00B31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79384"/>
      <w:docPartObj>
        <w:docPartGallery w:val="Page Numbers (Bottom of Page)"/>
        <w:docPartUnique/>
      </w:docPartObj>
    </w:sdtPr>
    <w:sdtEndPr>
      <w:rPr>
        <w:noProof/>
      </w:rPr>
    </w:sdtEndPr>
    <w:sdtContent>
      <w:p w14:paraId="592C4122" w14:textId="4B43A553" w:rsidR="00D14622" w:rsidRDefault="00D14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B57ED" w14:textId="0358C3F8" w:rsidR="00375AB0" w:rsidRDefault="00375AB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257073"/>
      <w:docPartObj>
        <w:docPartGallery w:val="Page Numbers (Bottom of Page)"/>
        <w:docPartUnique/>
      </w:docPartObj>
    </w:sdtPr>
    <w:sdtEndPr>
      <w:rPr>
        <w:noProof/>
      </w:rPr>
    </w:sdtEndPr>
    <w:sdtContent>
      <w:p w14:paraId="2499B4A8" w14:textId="19C64020" w:rsidR="00EA4821" w:rsidRDefault="00EA48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A346A" w14:textId="77777777" w:rsidR="00EA4821" w:rsidRDefault="00EA4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3E10" w14:textId="77777777" w:rsidR="00B318F5" w:rsidRDefault="00B318F5" w:rsidP="003834A2">
      <w:r>
        <w:separator/>
      </w:r>
    </w:p>
  </w:footnote>
  <w:footnote w:type="continuationSeparator" w:id="0">
    <w:p w14:paraId="715FA999" w14:textId="77777777" w:rsidR="00B318F5" w:rsidRDefault="00B318F5" w:rsidP="003834A2">
      <w:r>
        <w:continuationSeparator/>
      </w:r>
    </w:p>
  </w:footnote>
  <w:footnote w:type="continuationNotice" w:id="1">
    <w:p w14:paraId="02B1EF89" w14:textId="77777777" w:rsidR="00B318F5" w:rsidRDefault="00B318F5"/>
  </w:footnote>
  <w:footnote w:id="2">
    <w:p w14:paraId="7DD601D8" w14:textId="3DA7AACB" w:rsidR="00105A1E" w:rsidRDefault="00105A1E">
      <w:pPr>
        <w:pStyle w:val="FootnoteText"/>
      </w:pPr>
      <w:r>
        <w:rPr>
          <w:rStyle w:val="FootnoteReference"/>
        </w:rPr>
        <w:footnoteRef/>
      </w:r>
      <w:r>
        <w:t xml:space="preserve"> The criminal docket is appended to the Recommended Decision as Attachment B.</w:t>
      </w:r>
    </w:p>
  </w:footnote>
  <w:footnote w:id="3">
    <w:p w14:paraId="7E699A08" w14:textId="71D7315E" w:rsidR="000B4784" w:rsidRDefault="000B4784">
      <w:pPr>
        <w:pStyle w:val="FootnoteText"/>
      </w:pPr>
      <w:r>
        <w:rPr>
          <w:rStyle w:val="FootnoteReference"/>
        </w:rPr>
        <w:footnoteRef/>
      </w:r>
      <w:r>
        <w:t xml:space="preserve"> Complaint Counsel Darina Griffin represents the Board</w:t>
      </w:r>
      <w:r w:rsidR="0037599A">
        <w:t xml:space="preserve">. </w:t>
      </w:r>
      <w:r>
        <w:t xml:space="preserve">The Respondent is </w:t>
      </w:r>
      <w:r w:rsidRPr="000B4784">
        <w:rPr>
          <w:u w:val="single"/>
        </w:rPr>
        <w:t>pro</w:t>
      </w:r>
      <w:r>
        <w:t xml:space="preserve"> </w:t>
      </w:r>
      <w:r w:rsidRPr="000B4784">
        <w:rPr>
          <w:u w:val="single"/>
        </w:rPr>
        <w:t>se</w:t>
      </w:r>
      <w:r w:rsidR="008741D6">
        <w:rPr>
          <w:u w:val="single"/>
        </w:rPr>
        <w:t>.</w:t>
      </w:r>
    </w:p>
  </w:footnote>
  <w:footnote w:id="4">
    <w:p w14:paraId="7A0A0D6E" w14:textId="34213493" w:rsidR="00A2449A" w:rsidRDefault="00A2449A">
      <w:pPr>
        <w:pStyle w:val="FootnoteText"/>
      </w:pPr>
      <w:r>
        <w:rPr>
          <w:rStyle w:val="FootnoteReference"/>
        </w:rPr>
        <w:footnoteRef/>
      </w:r>
      <w:r>
        <w:t xml:space="preserve"> When a Party is of the opinion that there is no genuine issue of fact relating to one or more of the claims, he may move for summary decision as to the claim(s). 801 CMR 1.01(7)(h). </w:t>
      </w:r>
    </w:p>
  </w:footnote>
  <w:footnote w:id="5">
    <w:p w14:paraId="3C650803" w14:textId="08E7C4AB" w:rsidR="00EA3232" w:rsidRDefault="00EA3232">
      <w:pPr>
        <w:pStyle w:val="FootnoteText"/>
      </w:pPr>
      <w:r>
        <w:rPr>
          <w:rStyle w:val="FootnoteReference"/>
        </w:rPr>
        <w:footnoteRef/>
      </w:r>
      <w:r>
        <w:t xml:space="preserve"> Documents relating to the Michigan Board discipline are appended to the Recommended Decision as Attachment C. </w:t>
      </w:r>
    </w:p>
  </w:footnote>
  <w:footnote w:id="6">
    <w:p w14:paraId="7D514439" w14:textId="40E1AF22" w:rsidR="00A8542E" w:rsidRDefault="00A8542E">
      <w:pPr>
        <w:pStyle w:val="FootnoteText"/>
      </w:pPr>
      <w:r>
        <w:rPr>
          <w:rStyle w:val="FootnoteReference"/>
        </w:rPr>
        <w:footnoteRef/>
      </w:r>
      <w:r>
        <w:t xml:space="preserve"> </w:t>
      </w:r>
      <w:r w:rsidR="00C95C5C" w:rsidRPr="00C95C5C">
        <w:t>243 CMR 1.03(5)(a)7</w:t>
      </w:r>
      <w:r w:rsidR="00C95C5C">
        <w:t>.</w:t>
      </w:r>
    </w:p>
  </w:footnote>
  <w:footnote w:id="7">
    <w:p w14:paraId="6CEF66C8" w14:textId="222D696D" w:rsidR="00C95C5C" w:rsidRDefault="00C95C5C">
      <w:pPr>
        <w:pStyle w:val="FootnoteText"/>
      </w:pPr>
      <w:r>
        <w:rPr>
          <w:rStyle w:val="FootnoteReference"/>
        </w:rPr>
        <w:footnoteRef/>
      </w:r>
      <w:r>
        <w:t xml:space="preserve"> </w:t>
      </w:r>
      <w:r w:rsidRPr="00C95C5C">
        <w:t>G.L. c. 112, § 5, ninth para. (g)</w:t>
      </w:r>
      <w:r>
        <w:t>.</w:t>
      </w:r>
    </w:p>
  </w:footnote>
  <w:footnote w:id="8">
    <w:p w14:paraId="55A8F1DE" w14:textId="0B0E4569" w:rsidR="00634E1A" w:rsidRDefault="00634E1A">
      <w:pPr>
        <w:pStyle w:val="FootnoteText"/>
      </w:pPr>
      <w:r>
        <w:rPr>
          <w:rStyle w:val="FootnoteReference"/>
        </w:rPr>
        <w:footnoteRef/>
      </w:r>
      <w:r w:rsidR="00CF17D1">
        <w:t>243 CMR 1.03(</w:t>
      </w:r>
      <w:r w:rsidR="00A315EE">
        <w:t>5)(a)3.</w:t>
      </w:r>
      <w:r>
        <w:t xml:space="preserve"> </w:t>
      </w:r>
    </w:p>
  </w:footnote>
  <w:footnote w:id="9">
    <w:p w14:paraId="50E2BAAA" w14:textId="73B80B88" w:rsidR="00634E1A" w:rsidRDefault="00634E1A">
      <w:pPr>
        <w:pStyle w:val="FootnoteText"/>
      </w:pPr>
      <w:r>
        <w:rPr>
          <w:rStyle w:val="FootnoteReference"/>
        </w:rPr>
        <w:footnoteRef/>
      </w:r>
      <w:r>
        <w:t xml:space="preserve"> </w:t>
      </w:r>
      <w:r w:rsidR="00A315EE">
        <w:t>243 CMR 1.03(5)(a)18.</w:t>
      </w:r>
    </w:p>
  </w:footnote>
  <w:footnote w:id="10">
    <w:p w14:paraId="3FFFCD5C" w14:textId="5B258E0C" w:rsidR="00634E1A" w:rsidRDefault="00634E1A">
      <w:pPr>
        <w:pStyle w:val="FootnoteText"/>
      </w:pPr>
      <w:r>
        <w:rPr>
          <w:rStyle w:val="FootnoteReference"/>
        </w:rPr>
        <w:footnoteRef/>
      </w:r>
      <w:r>
        <w:t xml:space="preserve"> </w:t>
      </w:r>
      <w:r w:rsidR="00A315EE">
        <w:t>243 CMR 1.03(5)(a)7.</w:t>
      </w:r>
    </w:p>
  </w:footnote>
  <w:footnote w:id="11">
    <w:p w14:paraId="4C959DD8" w14:textId="0C26B220" w:rsidR="00280B94" w:rsidRDefault="00280B94">
      <w:pPr>
        <w:pStyle w:val="FootnoteText"/>
      </w:pPr>
      <w:r>
        <w:rPr>
          <w:rStyle w:val="FootnoteReference"/>
        </w:rPr>
        <w:footnoteRef/>
      </w:r>
      <w:r>
        <w:t xml:space="preserve"> G.L. c. 112, § 5, ninth para. (g)</w:t>
      </w:r>
    </w:p>
  </w:footnote>
  <w:footnote w:id="12">
    <w:p w14:paraId="513BCBF4" w14:textId="4FDE5CB4" w:rsidR="00634E1A" w:rsidRDefault="00634E1A">
      <w:pPr>
        <w:pStyle w:val="FootnoteText"/>
      </w:pPr>
      <w:r>
        <w:rPr>
          <w:rStyle w:val="FootnoteReference"/>
        </w:rPr>
        <w:footnoteRef/>
      </w:r>
      <w:r w:rsidR="00280B94" w:rsidRPr="00280B94">
        <w:rPr>
          <w:i/>
          <w:iCs/>
        </w:rPr>
        <w:t>Raymond v. Board of Registration in Medicine</w:t>
      </w:r>
      <w:r w:rsidR="00280B94">
        <w:t xml:space="preserve">, 387 Mass. 708 (1982). </w:t>
      </w:r>
      <w:r>
        <w:t xml:space="preserve"> </w:t>
      </w:r>
    </w:p>
  </w:footnote>
  <w:footnote w:id="13">
    <w:p w14:paraId="60A96A29" w14:textId="77B39417" w:rsidR="006445E6" w:rsidRDefault="006445E6" w:rsidP="00105A1E">
      <w:pPr>
        <w:pStyle w:val="FootnoteText"/>
        <w:jc w:val="both"/>
      </w:pPr>
      <w:r>
        <w:rPr>
          <w:rStyle w:val="FootnoteReference"/>
        </w:rPr>
        <w:footnoteRef/>
      </w:r>
      <w:r>
        <w:t xml:space="preserve"> </w:t>
      </w:r>
      <w:r w:rsidR="00105A1E" w:rsidRPr="00105A1E">
        <w:rPr>
          <w:u w:val="single"/>
        </w:rPr>
        <w:t>See</w:t>
      </w:r>
      <w:r w:rsidR="00105A1E" w:rsidRPr="00105A1E">
        <w:t xml:space="preserve"> </w:t>
      </w:r>
      <w:r w:rsidR="00105A1E" w:rsidRPr="00105A1E">
        <w:rPr>
          <w:u w:val="single"/>
        </w:rPr>
        <w:t>e.g</w:t>
      </w:r>
      <w:r w:rsidR="00105A1E" w:rsidRPr="00105A1E">
        <w:t xml:space="preserve">., </w:t>
      </w:r>
      <w:r w:rsidRPr="000A70BA">
        <w:rPr>
          <w:i/>
          <w:iCs/>
        </w:rPr>
        <w:t xml:space="preserve">In the Matter of Kowalski, </w:t>
      </w:r>
      <w:r w:rsidRPr="00105A1E">
        <w:t>Board of Registration in Medicine</w:t>
      </w:r>
      <w:r>
        <w:t xml:space="preserve">, Adjudicatory Case No. 97-16-DALA (Final Decision and Order, April 1, 1998); </w:t>
      </w:r>
      <w:r w:rsidRPr="000A70BA">
        <w:rPr>
          <w:i/>
          <w:iCs/>
        </w:rPr>
        <w:t>In the Matter of Kucharski</w:t>
      </w:r>
      <w:r>
        <w:t xml:space="preserve">, Board of Registration in Medicine, Adjudicatory Case No. </w:t>
      </w:r>
      <w:r w:rsidR="000A70BA">
        <w:t xml:space="preserve">2008-048 (Final Decision and Order, April 14, 2010); and </w:t>
      </w:r>
      <w:r w:rsidR="000A70BA" w:rsidRPr="005A6E56">
        <w:rPr>
          <w:i/>
          <w:iCs/>
        </w:rPr>
        <w:t>In the Matter of Katzenberg</w:t>
      </w:r>
      <w:r w:rsidR="000A70BA">
        <w:t xml:space="preserve">, Board of Registration in Medicine, Adjudicatory Case No. </w:t>
      </w:r>
      <w:r>
        <w:t xml:space="preserve">2017-044 (Final Decision and Order, August 9, </w:t>
      </w:r>
      <w:r w:rsidR="000A70BA">
        <w:t>2018).</w:t>
      </w:r>
    </w:p>
  </w:footnote>
  <w:footnote w:id="14">
    <w:p w14:paraId="55CB98EC" w14:textId="77777777" w:rsidR="00FA65E4" w:rsidRDefault="00FA65E4" w:rsidP="00FA65E4">
      <w:pPr>
        <w:pStyle w:val="FootnoteText"/>
      </w:pPr>
      <w:r>
        <w:rPr>
          <w:rStyle w:val="FootnoteReference"/>
        </w:rPr>
        <w:footnoteRef/>
      </w:r>
      <w:r>
        <w:t xml:space="preserve"> </w:t>
      </w:r>
      <w:r w:rsidRPr="000F6025">
        <w:rPr>
          <w:w w:val="105"/>
          <w:u w:val="single"/>
        </w:rPr>
        <w:t>See</w:t>
      </w:r>
      <w:r w:rsidRPr="000F6025">
        <w:rPr>
          <w:w w:val="105"/>
        </w:rPr>
        <w:t xml:space="preserve"> </w:t>
      </w:r>
      <w:r w:rsidRPr="000F6025">
        <w:rPr>
          <w:i/>
          <w:iCs/>
          <w:w w:val="105"/>
        </w:rPr>
        <w:t>In the Matter of John J. Diggins, M.D.</w:t>
      </w:r>
      <w:r w:rsidRPr="000F6025">
        <w:rPr>
          <w:w w:val="105"/>
        </w:rPr>
        <w:t>, Board of Registration in Medicine, Adjudicatory Case No. 2021-021 (RM-21-175)(DALA Recommended Decision at p. 10, January 21, 2022).</w:t>
      </w:r>
    </w:p>
  </w:footnote>
  <w:footnote w:id="15">
    <w:p w14:paraId="7EB67138" w14:textId="77777777" w:rsidR="00FA65E4" w:rsidRDefault="00FA65E4" w:rsidP="00FA65E4">
      <w:pPr>
        <w:pStyle w:val="FootnoteText"/>
        <w:jc w:val="both"/>
      </w:pPr>
      <w:r>
        <w:rPr>
          <w:rStyle w:val="FootnoteReference"/>
        </w:rPr>
        <w:footnoteRef/>
      </w:r>
      <w:r>
        <w:t xml:space="preserve"> </w:t>
      </w:r>
      <w:r w:rsidRPr="00137CCA">
        <w:rPr>
          <w:w w:val="105"/>
          <w:u w:val="single"/>
        </w:rPr>
        <w:t>See</w:t>
      </w:r>
      <w:r w:rsidRPr="00137CCA">
        <w:rPr>
          <w:w w:val="105"/>
        </w:rPr>
        <w:t xml:space="preserve"> </w:t>
      </w:r>
      <w:r w:rsidRPr="00137CCA">
        <w:rPr>
          <w:i/>
          <w:iCs/>
          <w:w w:val="105"/>
        </w:rPr>
        <w:t xml:space="preserve">In the Matter of Moutaz </w:t>
      </w:r>
      <w:proofErr w:type="spellStart"/>
      <w:r w:rsidRPr="00137CCA">
        <w:rPr>
          <w:i/>
          <w:iCs/>
          <w:w w:val="105"/>
        </w:rPr>
        <w:t>Almawaldi</w:t>
      </w:r>
      <w:proofErr w:type="spellEnd"/>
      <w:r w:rsidRPr="00137CCA">
        <w:rPr>
          <w:i/>
          <w:iCs/>
          <w:w w:val="105"/>
        </w:rPr>
        <w:t>, M.D.,</w:t>
      </w:r>
      <w:r w:rsidRPr="00137CCA">
        <w:rPr>
          <w:w w:val="105"/>
        </w:rPr>
        <w:t xml:space="preserve"> Board of Registration in Medicine, Adjudicatory Case No. 2020-019 (Final Decision and Order, January 14, 2021)(</w:t>
      </w:r>
      <w:r>
        <w:rPr>
          <w:w w:val="105"/>
        </w:rPr>
        <w:t>Board revoked</w:t>
      </w:r>
      <w:r w:rsidRPr="00137CCA">
        <w:rPr>
          <w:w w:val="105"/>
        </w:rPr>
        <w:t xml:space="preserve"> physician’s inchoate right to renew</w:t>
      </w:r>
      <w:r>
        <w:rPr>
          <w:w w:val="105"/>
        </w:rPr>
        <w:t xml:space="preserve"> his</w:t>
      </w:r>
      <w:r w:rsidRPr="00137CCA">
        <w:rPr>
          <w:w w:val="105"/>
        </w:rPr>
        <w:t xml:space="preserve"> license </w:t>
      </w:r>
      <w:r>
        <w:rPr>
          <w:w w:val="105"/>
        </w:rPr>
        <w:t xml:space="preserve">for </w:t>
      </w:r>
      <w:r w:rsidRPr="00137CCA">
        <w:rPr>
          <w:w w:val="105"/>
        </w:rPr>
        <w:t>convicted for sexual battery involving a worker in his office).</w:t>
      </w:r>
    </w:p>
  </w:footnote>
  <w:footnote w:id="16">
    <w:p w14:paraId="3822693B" w14:textId="77777777" w:rsidR="00FA65E4" w:rsidRDefault="00FA65E4" w:rsidP="00FA65E4">
      <w:pPr>
        <w:pStyle w:val="FootnoteText"/>
        <w:jc w:val="both"/>
      </w:pPr>
      <w:r>
        <w:rPr>
          <w:rStyle w:val="FootnoteReference"/>
        </w:rPr>
        <w:footnoteRef/>
      </w:r>
      <w:r>
        <w:t xml:space="preserve"> </w:t>
      </w:r>
      <w:r w:rsidRPr="007455CB">
        <w:rPr>
          <w:u w:val="single"/>
        </w:rPr>
        <w:t>See</w:t>
      </w:r>
      <w:r w:rsidRPr="007455CB">
        <w:t xml:space="preserve"> </w:t>
      </w:r>
      <w:r w:rsidRPr="00E053FA">
        <w:rPr>
          <w:i/>
          <w:iCs/>
        </w:rPr>
        <w:t>In the Matter of Luis Santiago-Cruz</w:t>
      </w:r>
      <w:r w:rsidRPr="00E053FA">
        <w:t>, Board of Registration in Medicine, Adjudicatory Case No. 2013-055 (</w:t>
      </w:r>
      <w:r w:rsidRPr="007455CB">
        <w:t xml:space="preserve">Final Decision and Order, </w:t>
      </w:r>
      <w:r w:rsidRPr="00E053FA">
        <w:t>April 2, 2015)</w:t>
      </w:r>
      <w:r>
        <w:t>.</w:t>
      </w:r>
    </w:p>
  </w:footnote>
  <w:footnote w:id="17">
    <w:p w14:paraId="1B2BC7E4" w14:textId="77777777" w:rsidR="00FA65E4" w:rsidRDefault="00FA65E4" w:rsidP="00FA65E4">
      <w:pPr>
        <w:pStyle w:val="FootnoteText"/>
        <w:jc w:val="both"/>
      </w:pPr>
      <w:r>
        <w:rPr>
          <w:rStyle w:val="FootnoteReference"/>
        </w:rPr>
        <w:footnoteRef/>
      </w:r>
      <w:r w:rsidRPr="000F6025">
        <w:rPr>
          <w:i/>
          <w:iCs/>
        </w:rPr>
        <w:t>In the Matter of Faulhaber</w:t>
      </w:r>
      <w:r w:rsidRPr="000F6025">
        <w:t>, Board of Registration in Medicine, Adjudicatory Case No. 2013-041 (Final Decision and Order, July 2, 2015)</w:t>
      </w:r>
      <w:r>
        <w:t xml:space="preserve">. </w:t>
      </w:r>
    </w:p>
  </w:footnote>
  <w:footnote w:id="18">
    <w:p w14:paraId="7592D7DC" w14:textId="77777777" w:rsidR="00FE6D90" w:rsidRDefault="00FE6D90" w:rsidP="00FE6D90">
      <w:pPr>
        <w:pStyle w:val="FootnoteText"/>
      </w:pPr>
      <w:r>
        <w:rPr>
          <w:rStyle w:val="FootnoteReference"/>
        </w:rPr>
        <w:footnoteRef/>
      </w:r>
      <w:r w:rsidRPr="005722FD">
        <w:rPr>
          <w:u w:val="single"/>
        </w:rPr>
        <w:t>See</w:t>
      </w:r>
      <w:r w:rsidRPr="005722FD">
        <w:t xml:space="preserve"> Recommended Decision at Tab 4, p. 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revisionView w:markup="0" w:insDel="0"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0B"/>
    <w:rsid w:val="00001303"/>
    <w:rsid w:val="000027B6"/>
    <w:rsid w:val="00002AA1"/>
    <w:rsid w:val="00004AC9"/>
    <w:rsid w:val="00010E19"/>
    <w:rsid w:val="0001363D"/>
    <w:rsid w:val="00016820"/>
    <w:rsid w:val="00035E52"/>
    <w:rsid w:val="00042DF0"/>
    <w:rsid w:val="00051B92"/>
    <w:rsid w:val="0005766A"/>
    <w:rsid w:val="00061668"/>
    <w:rsid w:val="00065158"/>
    <w:rsid w:val="000668FA"/>
    <w:rsid w:val="0007370B"/>
    <w:rsid w:val="00085264"/>
    <w:rsid w:val="000940E9"/>
    <w:rsid w:val="000A36EE"/>
    <w:rsid w:val="000A6C26"/>
    <w:rsid w:val="000A70BA"/>
    <w:rsid w:val="000B4784"/>
    <w:rsid w:val="000C59D5"/>
    <w:rsid w:val="000C5D11"/>
    <w:rsid w:val="000D1103"/>
    <w:rsid w:val="000E0821"/>
    <w:rsid w:val="000E0BDA"/>
    <w:rsid w:val="000E2459"/>
    <w:rsid w:val="000E7201"/>
    <w:rsid w:val="001048B2"/>
    <w:rsid w:val="00105A1E"/>
    <w:rsid w:val="00117BA4"/>
    <w:rsid w:val="00126F31"/>
    <w:rsid w:val="001360FF"/>
    <w:rsid w:val="00141798"/>
    <w:rsid w:val="00153028"/>
    <w:rsid w:val="001548F0"/>
    <w:rsid w:val="00157C89"/>
    <w:rsid w:val="00174342"/>
    <w:rsid w:val="0017787B"/>
    <w:rsid w:val="00183CB1"/>
    <w:rsid w:val="00194E35"/>
    <w:rsid w:val="00194E8E"/>
    <w:rsid w:val="0019618B"/>
    <w:rsid w:val="001A526F"/>
    <w:rsid w:val="001B09C9"/>
    <w:rsid w:val="001C4B8F"/>
    <w:rsid w:val="001D2AB8"/>
    <w:rsid w:val="001D35E4"/>
    <w:rsid w:val="001E50CB"/>
    <w:rsid w:val="001E768D"/>
    <w:rsid w:val="001F1595"/>
    <w:rsid w:val="001F4B9C"/>
    <w:rsid w:val="001F610D"/>
    <w:rsid w:val="00202461"/>
    <w:rsid w:val="00202D31"/>
    <w:rsid w:val="00202FE4"/>
    <w:rsid w:val="00215C79"/>
    <w:rsid w:val="00224844"/>
    <w:rsid w:val="0022485D"/>
    <w:rsid w:val="00232502"/>
    <w:rsid w:val="00247383"/>
    <w:rsid w:val="0027359A"/>
    <w:rsid w:val="00280B94"/>
    <w:rsid w:val="002900C6"/>
    <w:rsid w:val="002B203E"/>
    <w:rsid w:val="002B2408"/>
    <w:rsid w:val="002B7349"/>
    <w:rsid w:val="002C2BD4"/>
    <w:rsid w:val="002C429C"/>
    <w:rsid w:val="002C7587"/>
    <w:rsid w:val="002D1D57"/>
    <w:rsid w:val="002E7931"/>
    <w:rsid w:val="002E79F7"/>
    <w:rsid w:val="002F54A0"/>
    <w:rsid w:val="002F6D0D"/>
    <w:rsid w:val="00300A0E"/>
    <w:rsid w:val="00305487"/>
    <w:rsid w:val="00313B1A"/>
    <w:rsid w:val="00324045"/>
    <w:rsid w:val="00325FAC"/>
    <w:rsid w:val="003313AA"/>
    <w:rsid w:val="00331DD9"/>
    <w:rsid w:val="003444EE"/>
    <w:rsid w:val="0034638D"/>
    <w:rsid w:val="003469A6"/>
    <w:rsid w:val="00356D4D"/>
    <w:rsid w:val="0036223F"/>
    <w:rsid w:val="0036444A"/>
    <w:rsid w:val="00374E94"/>
    <w:rsid w:val="0037599A"/>
    <w:rsid w:val="00375AB0"/>
    <w:rsid w:val="00380DF9"/>
    <w:rsid w:val="003834A2"/>
    <w:rsid w:val="003878B4"/>
    <w:rsid w:val="003945EF"/>
    <w:rsid w:val="00394FA4"/>
    <w:rsid w:val="003A4829"/>
    <w:rsid w:val="003B0DF5"/>
    <w:rsid w:val="003B6413"/>
    <w:rsid w:val="003B7D65"/>
    <w:rsid w:val="003B7EBE"/>
    <w:rsid w:val="003C0A0C"/>
    <w:rsid w:val="003C636C"/>
    <w:rsid w:val="003E0DF7"/>
    <w:rsid w:val="003E2C76"/>
    <w:rsid w:val="004007D2"/>
    <w:rsid w:val="00413154"/>
    <w:rsid w:val="00426678"/>
    <w:rsid w:val="00430EAB"/>
    <w:rsid w:val="00433560"/>
    <w:rsid w:val="00442656"/>
    <w:rsid w:val="00446C76"/>
    <w:rsid w:val="004511B4"/>
    <w:rsid w:val="00454A7D"/>
    <w:rsid w:val="00465E7A"/>
    <w:rsid w:val="00466A9A"/>
    <w:rsid w:val="00472F59"/>
    <w:rsid w:val="004753CB"/>
    <w:rsid w:val="00485119"/>
    <w:rsid w:val="00486A3F"/>
    <w:rsid w:val="004902FE"/>
    <w:rsid w:val="004917CF"/>
    <w:rsid w:val="004946A9"/>
    <w:rsid w:val="00495325"/>
    <w:rsid w:val="004A15F5"/>
    <w:rsid w:val="004A2C7E"/>
    <w:rsid w:val="004A4E45"/>
    <w:rsid w:val="004B541F"/>
    <w:rsid w:val="004C3A4F"/>
    <w:rsid w:val="004C674D"/>
    <w:rsid w:val="004D6CC0"/>
    <w:rsid w:val="004E4C11"/>
    <w:rsid w:val="004F4583"/>
    <w:rsid w:val="00505A48"/>
    <w:rsid w:val="00506C03"/>
    <w:rsid w:val="00510343"/>
    <w:rsid w:val="00512182"/>
    <w:rsid w:val="00513039"/>
    <w:rsid w:val="005177F3"/>
    <w:rsid w:val="00526508"/>
    <w:rsid w:val="00535405"/>
    <w:rsid w:val="0055602A"/>
    <w:rsid w:val="00561EB8"/>
    <w:rsid w:val="0058179F"/>
    <w:rsid w:val="00591348"/>
    <w:rsid w:val="005A352A"/>
    <w:rsid w:val="005A5A72"/>
    <w:rsid w:val="005A6E56"/>
    <w:rsid w:val="005A7364"/>
    <w:rsid w:val="005A790C"/>
    <w:rsid w:val="005B4993"/>
    <w:rsid w:val="005C2E62"/>
    <w:rsid w:val="005C4145"/>
    <w:rsid w:val="005C724E"/>
    <w:rsid w:val="005D0243"/>
    <w:rsid w:val="005D1222"/>
    <w:rsid w:val="005E021C"/>
    <w:rsid w:val="005E22D7"/>
    <w:rsid w:val="005E2F4E"/>
    <w:rsid w:val="005E325E"/>
    <w:rsid w:val="005E6ECB"/>
    <w:rsid w:val="005F36F2"/>
    <w:rsid w:val="005F49BA"/>
    <w:rsid w:val="005F5D0B"/>
    <w:rsid w:val="00621201"/>
    <w:rsid w:val="00622C11"/>
    <w:rsid w:val="00634E1A"/>
    <w:rsid w:val="006445E6"/>
    <w:rsid w:val="006458B2"/>
    <w:rsid w:val="006507FA"/>
    <w:rsid w:val="00654D84"/>
    <w:rsid w:val="00683B0A"/>
    <w:rsid w:val="00683E19"/>
    <w:rsid w:val="006A33D2"/>
    <w:rsid w:val="006A5AB5"/>
    <w:rsid w:val="006A7244"/>
    <w:rsid w:val="006B3857"/>
    <w:rsid w:val="006D20FF"/>
    <w:rsid w:val="006D6042"/>
    <w:rsid w:val="006E6F26"/>
    <w:rsid w:val="0071141F"/>
    <w:rsid w:val="007143F7"/>
    <w:rsid w:val="00723342"/>
    <w:rsid w:val="007505AE"/>
    <w:rsid w:val="007520A8"/>
    <w:rsid w:val="00754884"/>
    <w:rsid w:val="00761692"/>
    <w:rsid w:val="00767A9C"/>
    <w:rsid w:val="00770DFA"/>
    <w:rsid w:val="007720D2"/>
    <w:rsid w:val="00793448"/>
    <w:rsid w:val="00793742"/>
    <w:rsid w:val="007A677D"/>
    <w:rsid w:val="007A7BB8"/>
    <w:rsid w:val="007B574C"/>
    <w:rsid w:val="007B6552"/>
    <w:rsid w:val="007D0339"/>
    <w:rsid w:val="007D539B"/>
    <w:rsid w:val="007D557C"/>
    <w:rsid w:val="007D70ED"/>
    <w:rsid w:val="007D7969"/>
    <w:rsid w:val="007E0F62"/>
    <w:rsid w:val="007E1FE1"/>
    <w:rsid w:val="007E4EDD"/>
    <w:rsid w:val="007F0B79"/>
    <w:rsid w:val="007F6C76"/>
    <w:rsid w:val="00804696"/>
    <w:rsid w:val="008128E1"/>
    <w:rsid w:val="008157EA"/>
    <w:rsid w:val="00815EC8"/>
    <w:rsid w:val="0082395C"/>
    <w:rsid w:val="008273BC"/>
    <w:rsid w:val="00835B6F"/>
    <w:rsid w:val="00841C3A"/>
    <w:rsid w:val="0084394F"/>
    <w:rsid w:val="008553F8"/>
    <w:rsid w:val="008649A6"/>
    <w:rsid w:val="00867EEE"/>
    <w:rsid w:val="008707A6"/>
    <w:rsid w:val="008741D6"/>
    <w:rsid w:val="00874433"/>
    <w:rsid w:val="00874BB9"/>
    <w:rsid w:val="00893377"/>
    <w:rsid w:val="008B744E"/>
    <w:rsid w:val="008C3B65"/>
    <w:rsid w:val="008D04C3"/>
    <w:rsid w:val="008D38F7"/>
    <w:rsid w:val="008E21B1"/>
    <w:rsid w:val="008E56F6"/>
    <w:rsid w:val="008F3CB6"/>
    <w:rsid w:val="008F5ADE"/>
    <w:rsid w:val="008F61E1"/>
    <w:rsid w:val="009040DB"/>
    <w:rsid w:val="0091307C"/>
    <w:rsid w:val="00914FAF"/>
    <w:rsid w:val="00952EC2"/>
    <w:rsid w:val="0096400F"/>
    <w:rsid w:val="00972C77"/>
    <w:rsid w:val="009740A8"/>
    <w:rsid w:val="00975F4B"/>
    <w:rsid w:val="00977BC4"/>
    <w:rsid w:val="00982FA8"/>
    <w:rsid w:val="00996DCD"/>
    <w:rsid w:val="009B38B1"/>
    <w:rsid w:val="009B5B7C"/>
    <w:rsid w:val="009D540E"/>
    <w:rsid w:val="009E2C7D"/>
    <w:rsid w:val="009F1A2B"/>
    <w:rsid w:val="00A01BE4"/>
    <w:rsid w:val="00A06083"/>
    <w:rsid w:val="00A0648B"/>
    <w:rsid w:val="00A13394"/>
    <w:rsid w:val="00A14CC2"/>
    <w:rsid w:val="00A23594"/>
    <w:rsid w:val="00A2449A"/>
    <w:rsid w:val="00A315EE"/>
    <w:rsid w:val="00A370EB"/>
    <w:rsid w:val="00A37A41"/>
    <w:rsid w:val="00A42184"/>
    <w:rsid w:val="00A43EED"/>
    <w:rsid w:val="00A60BD0"/>
    <w:rsid w:val="00A6373D"/>
    <w:rsid w:val="00A64BB2"/>
    <w:rsid w:val="00A66A5B"/>
    <w:rsid w:val="00A66DE4"/>
    <w:rsid w:val="00A66FFC"/>
    <w:rsid w:val="00A71D96"/>
    <w:rsid w:val="00A77015"/>
    <w:rsid w:val="00A8542E"/>
    <w:rsid w:val="00A91562"/>
    <w:rsid w:val="00AA1C58"/>
    <w:rsid w:val="00AA2B33"/>
    <w:rsid w:val="00AC2F1B"/>
    <w:rsid w:val="00AC4C09"/>
    <w:rsid w:val="00AC68D9"/>
    <w:rsid w:val="00AE3519"/>
    <w:rsid w:val="00AE4A4A"/>
    <w:rsid w:val="00AE7240"/>
    <w:rsid w:val="00AF7C25"/>
    <w:rsid w:val="00B01149"/>
    <w:rsid w:val="00B02936"/>
    <w:rsid w:val="00B04CC9"/>
    <w:rsid w:val="00B1706E"/>
    <w:rsid w:val="00B22F48"/>
    <w:rsid w:val="00B318F5"/>
    <w:rsid w:val="00B50D08"/>
    <w:rsid w:val="00B51F74"/>
    <w:rsid w:val="00B538F8"/>
    <w:rsid w:val="00B61AA5"/>
    <w:rsid w:val="00B66AF5"/>
    <w:rsid w:val="00B73A35"/>
    <w:rsid w:val="00B750B9"/>
    <w:rsid w:val="00B82910"/>
    <w:rsid w:val="00B84ECB"/>
    <w:rsid w:val="00B85BA7"/>
    <w:rsid w:val="00B86886"/>
    <w:rsid w:val="00B919B9"/>
    <w:rsid w:val="00BB604F"/>
    <w:rsid w:val="00BC48DF"/>
    <w:rsid w:val="00BC7A83"/>
    <w:rsid w:val="00BD0A04"/>
    <w:rsid w:val="00BD0B07"/>
    <w:rsid w:val="00BD116C"/>
    <w:rsid w:val="00BE2C5D"/>
    <w:rsid w:val="00BE381B"/>
    <w:rsid w:val="00C06374"/>
    <w:rsid w:val="00C0686A"/>
    <w:rsid w:val="00C105AE"/>
    <w:rsid w:val="00C1458B"/>
    <w:rsid w:val="00C30B2F"/>
    <w:rsid w:val="00C3455E"/>
    <w:rsid w:val="00C4070F"/>
    <w:rsid w:val="00C4350D"/>
    <w:rsid w:val="00C43720"/>
    <w:rsid w:val="00C46D86"/>
    <w:rsid w:val="00C516A5"/>
    <w:rsid w:val="00C51812"/>
    <w:rsid w:val="00C54933"/>
    <w:rsid w:val="00C61930"/>
    <w:rsid w:val="00C62B22"/>
    <w:rsid w:val="00C67E03"/>
    <w:rsid w:val="00C72414"/>
    <w:rsid w:val="00C74A3B"/>
    <w:rsid w:val="00C74F5A"/>
    <w:rsid w:val="00C751C7"/>
    <w:rsid w:val="00C81EB4"/>
    <w:rsid w:val="00C87AE2"/>
    <w:rsid w:val="00C912D9"/>
    <w:rsid w:val="00C93E6C"/>
    <w:rsid w:val="00C9580A"/>
    <w:rsid w:val="00C95C5C"/>
    <w:rsid w:val="00CA0653"/>
    <w:rsid w:val="00CA3C99"/>
    <w:rsid w:val="00CB0597"/>
    <w:rsid w:val="00CC4F69"/>
    <w:rsid w:val="00CC65DD"/>
    <w:rsid w:val="00CC6773"/>
    <w:rsid w:val="00CD5BB4"/>
    <w:rsid w:val="00CD6239"/>
    <w:rsid w:val="00CE6FEE"/>
    <w:rsid w:val="00CF17D1"/>
    <w:rsid w:val="00CF4370"/>
    <w:rsid w:val="00CF6B1A"/>
    <w:rsid w:val="00D010EA"/>
    <w:rsid w:val="00D0454E"/>
    <w:rsid w:val="00D14622"/>
    <w:rsid w:val="00D14A7D"/>
    <w:rsid w:val="00D14C3F"/>
    <w:rsid w:val="00D2265C"/>
    <w:rsid w:val="00D27074"/>
    <w:rsid w:val="00D33C25"/>
    <w:rsid w:val="00D40F92"/>
    <w:rsid w:val="00D447AD"/>
    <w:rsid w:val="00D472CE"/>
    <w:rsid w:val="00D53876"/>
    <w:rsid w:val="00D63C81"/>
    <w:rsid w:val="00D64087"/>
    <w:rsid w:val="00D7112B"/>
    <w:rsid w:val="00D75F8B"/>
    <w:rsid w:val="00D77E21"/>
    <w:rsid w:val="00D8191F"/>
    <w:rsid w:val="00D91861"/>
    <w:rsid w:val="00D9756D"/>
    <w:rsid w:val="00DA65C6"/>
    <w:rsid w:val="00DA7F3C"/>
    <w:rsid w:val="00DB6AE2"/>
    <w:rsid w:val="00DC1AE2"/>
    <w:rsid w:val="00DC5849"/>
    <w:rsid w:val="00DD421D"/>
    <w:rsid w:val="00DD59F2"/>
    <w:rsid w:val="00DD65C3"/>
    <w:rsid w:val="00DF24F3"/>
    <w:rsid w:val="00DF6EC2"/>
    <w:rsid w:val="00E05767"/>
    <w:rsid w:val="00E127F6"/>
    <w:rsid w:val="00E15C0B"/>
    <w:rsid w:val="00E23375"/>
    <w:rsid w:val="00E235A2"/>
    <w:rsid w:val="00E24194"/>
    <w:rsid w:val="00E26812"/>
    <w:rsid w:val="00E3380B"/>
    <w:rsid w:val="00E54FD4"/>
    <w:rsid w:val="00E61D3A"/>
    <w:rsid w:val="00E62723"/>
    <w:rsid w:val="00E6332C"/>
    <w:rsid w:val="00E6354D"/>
    <w:rsid w:val="00E654AD"/>
    <w:rsid w:val="00E73A74"/>
    <w:rsid w:val="00E74086"/>
    <w:rsid w:val="00E84C53"/>
    <w:rsid w:val="00E90DE6"/>
    <w:rsid w:val="00E95168"/>
    <w:rsid w:val="00EA2C33"/>
    <w:rsid w:val="00EA3232"/>
    <w:rsid w:val="00EA4821"/>
    <w:rsid w:val="00EA56CA"/>
    <w:rsid w:val="00EB4685"/>
    <w:rsid w:val="00EB581D"/>
    <w:rsid w:val="00EB6BCF"/>
    <w:rsid w:val="00EC325B"/>
    <w:rsid w:val="00ED41AF"/>
    <w:rsid w:val="00EE2568"/>
    <w:rsid w:val="00EE3D9D"/>
    <w:rsid w:val="00EF0DD4"/>
    <w:rsid w:val="00EF0EBD"/>
    <w:rsid w:val="00EF50CF"/>
    <w:rsid w:val="00F11C29"/>
    <w:rsid w:val="00F131D0"/>
    <w:rsid w:val="00F264B6"/>
    <w:rsid w:val="00F3026A"/>
    <w:rsid w:val="00F466BC"/>
    <w:rsid w:val="00F56B7A"/>
    <w:rsid w:val="00F57CD9"/>
    <w:rsid w:val="00F61348"/>
    <w:rsid w:val="00F733C5"/>
    <w:rsid w:val="00F930AC"/>
    <w:rsid w:val="00F937CD"/>
    <w:rsid w:val="00FA2999"/>
    <w:rsid w:val="00FA54D3"/>
    <w:rsid w:val="00FA65E4"/>
    <w:rsid w:val="00FB11F0"/>
    <w:rsid w:val="00FB24CA"/>
    <w:rsid w:val="00FB5AA9"/>
    <w:rsid w:val="00FC3E93"/>
    <w:rsid w:val="00FD08FE"/>
    <w:rsid w:val="00FD2016"/>
    <w:rsid w:val="00FE6D90"/>
    <w:rsid w:val="00FF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9E8F3"/>
  <w15:chartTrackingRefBased/>
  <w15:docId w15:val="{0F4CEF0F-23B1-4624-8BE5-F46D921D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380B"/>
    <w:rPr>
      <w:sz w:val="23"/>
      <w:szCs w:val="23"/>
    </w:rPr>
  </w:style>
  <w:style w:type="character" w:customStyle="1" w:styleId="BodyTextChar">
    <w:name w:val="Body Text Char"/>
    <w:basedOn w:val="DefaultParagraphFont"/>
    <w:link w:val="BodyText"/>
    <w:uiPriority w:val="1"/>
    <w:rsid w:val="00E3380B"/>
    <w:rPr>
      <w:rFonts w:ascii="Times New Roman" w:eastAsia="Times New Roman" w:hAnsi="Times New Roman" w:cs="Times New Roman"/>
      <w:sz w:val="23"/>
      <w:szCs w:val="23"/>
    </w:rPr>
  </w:style>
  <w:style w:type="paragraph" w:styleId="FootnoteText">
    <w:name w:val="footnote text"/>
    <w:basedOn w:val="Normal"/>
    <w:link w:val="FootnoteTextChar"/>
    <w:uiPriority w:val="99"/>
    <w:unhideWhenUsed/>
    <w:rsid w:val="003834A2"/>
    <w:rPr>
      <w:sz w:val="20"/>
      <w:szCs w:val="20"/>
    </w:rPr>
  </w:style>
  <w:style w:type="character" w:customStyle="1" w:styleId="FootnoteTextChar">
    <w:name w:val="Footnote Text Char"/>
    <w:basedOn w:val="DefaultParagraphFont"/>
    <w:link w:val="FootnoteText"/>
    <w:uiPriority w:val="99"/>
    <w:rsid w:val="003834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34A2"/>
    <w:rPr>
      <w:vertAlign w:val="superscript"/>
    </w:rPr>
  </w:style>
  <w:style w:type="paragraph" w:styleId="Header">
    <w:name w:val="header"/>
    <w:basedOn w:val="Normal"/>
    <w:link w:val="HeaderChar"/>
    <w:uiPriority w:val="99"/>
    <w:unhideWhenUsed/>
    <w:rsid w:val="00157C89"/>
    <w:pPr>
      <w:tabs>
        <w:tab w:val="center" w:pos="4680"/>
        <w:tab w:val="right" w:pos="9360"/>
      </w:tabs>
    </w:pPr>
  </w:style>
  <w:style w:type="character" w:customStyle="1" w:styleId="HeaderChar">
    <w:name w:val="Header Char"/>
    <w:basedOn w:val="DefaultParagraphFont"/>
    <w:link w:val="Header"/>
    <w:uiPriority w:val="99"/>
    <w:rsid w:val="00157C89"/>
    <w:rPr>
      <w:rFonts w:ascii="Times New Roman" w:eastAsia="Times New Roman" w:hAnsi="Times New Roman" w:cs="Times New Roman"/>
    </w:rPr>
  </w:style>
  <w:style w:type="paragraph" w:styleId="Footer">
    <w:name w:val="footer"/>
    <w:basedOn w:val="Normal"/>
    <w:link w:val="FooterChar"/>
    <w:uiPriority w:val="99"/>
    <w:unhideWhenUsed/>
    <w:rsid w:val="00157C89"/>
    <w:pPr>
      <w:tabs>
        <w:tab w:val="center" w:pos="4680"/>
        <w:tab w:val="right" w:pos="9360"/>
      </w:tabs>
    </w:pPr>
  </w:style>
  <w:style w:type="character" w:customStyle="1" w:styleId="FooterChar">
    <w:name w:val="Footer Char"/>
    <w:basedOn w:val="DefaultParagraphFont"/>
    <w:link w:val="Footer"/>
    <w:uiPriority w:val="99"/>
    <w:rsid w:val="00157C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8140A-B2B7-4009-903B-AEFAD6F9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Rebecca (DPH)</dc:creator>
  <cp:keywords/>
  <dc:description/>
  <cp:lastModifiedBy>LaPointe, Donald (DPH)</cp:lastModifiedBy>
  <cp:revision>219</cp:revision>
  <cp:lastPrinted>2024-02-14T16:18:00Z</cp:lastPrinted>
  <dcterms:created xsi:type="dcterms:W3CDTF">2024-02-12T01:02:00Z</dcterms:created>
  <dcterms:modified xsi:type="dcterms:W3CDTF">2024-03-04T19:09:00Z</dcterms:modified>
</cp:coreProperties>
</file>