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64" w:rsidRDefault="00CC3664" w:rsidP="00CC366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C3664" w:rsidRDefault="00CC3664" w:rsidP="00CC3664">
      <w:pPr>
        <w:jc w:val="center"/>
      </w:pPr>
      <w:r>
        <w:t>BOARD OF REGISTRATION IN MEDICINE</w:t>
      </w:r>
    </w:p>
    <w:p w:rsidR="00CC3664" w:rsidRDefault="00CC3664" w:rsidP="00CC3664">
      <w:pPr>
        <w:jc w:val="center"/>
      </w:pPr>
    </w:p>
    <w:p w:rsidR="00CC3664" w:rsidRDefault="00CC3664" w:rsidP="00CC3664">
      <w:r>
        <w:t>MIDDLESEX, SS.</w:t>
      </w:r>
      <w:r>
        <w:tab/>
      </w:r>
      <w:r>
        <w:tab/>
      </w:r>
      <w:r>
        <w:tab/>
      </w:r>
      <w:r>
        <w:tab/>
        <w:t>Adjudicatory Case No. 20</w:t>
      </w:r>
      <w:r w:rsidR="00B82C88">
        <w:t>16</w:t>
      </w:r>
      <w:r>
        <w:t>-0</w:t>
      </w:r>
      <w:r w:rsidR="00B82C88">
        <w:t>40</w:t>
      </w:r>
      <w:r>
        <w:t xml:space="preserve">   </w:t>
      </w:r>
    </w:p>
    <w:p w:rsidR="00CC3664" w:rsidRDefault="00CC3664" w:rsidP="00CC3664">
      <w:r>
        <w:tab/>
      </w:r>
      <w:r>
        <w:tab/>
      </w:r>
      <w:r>
        <w:tab/>
      </w:r>
      <w:r>
        <w:tab/>
      </w:r>
      <w:r>
        <w:tab/>
      </w:r>
      <w:r w:rsidR="009F1F2C">
        <w:tab/>
      </w:r>
      <w:r w:rsidR="009571A3">
        <w:t>(</w:t>
      </w:r>
      <w:r w:rsidR="009F1F2C">
        <w:t>RM-1</w:t>
      </w:r>
      <w:r w:rsidR="00B82C88">
        <w:t>6</w:t>
      </w:r>
      <w:r w:rsidR="009F1F2C">
        <w:t>-45</w:t>
      </w:r>
      <w:r w:rsidR="00B82C88">
        <w:t>9</w:t>
      </w:r>
      <w:r w:rsidR="009571A3">
        <w:t>)</w:t>
      </w:r>
    </w:p>
    <w:p w:rsidR="00CC3664" w:rsidRDefault="00CC3664" w:rsidP="00CC3664"/>
    <w:p w:rsidR="00CC3664" w:rsidRDefault="00CC3664" w:rsidP="00CC3664">
      <w:r>
        <w:t xml:space="preserve">________________________   </w:t>
      </w:r>
    </w:p>
    <w:p w:rsidR="00CC3664" w:rsidRDefault="00CC3664" w:rsidP="00CC3664">
      <w:r>
        <w:tab/>
      </w:r>
      <w:r>
        <w:tab/>
      </w:r>
      <w:r>
        <w:tab/>
      </w:r>
      <w:r>
        <w:tab/>
        <w:t>)</w:t>
      </w:r>
    </w:p>
    <w:p w:rsidR="00CC3664" w:rsidRDefault="00CC3664" w:rsidP="00CC3664">
      <w:r>
        <w:t xml:space="preserve">In the Matter of </w:t>
      </w:r>
      <w:r>
        <w:tab/>
      </w:r>
      <w:r>
        <w:tab/>
        <w:t>)</w:t>
      </w:r>
      <w:r>
        <w:tab/>
      </w:r>
      <w:r>
        <w:tab/>
        <w:t>FINAL DECISION AND ORDER</w:t>
      </w:r>
      <w:r>
        <w:tab/>
      </w:r>
      <w:r>
        <w:tab/>
      </w:r>
      <w:r>
        <w:tab/>
      </w:r>
      <w:r>
        <w:tab/>
      </w:r>
      <w:r>
        <w:tab/>
      </w:r>
      <w:r>
        <w:tab/>
        <w:t>)</w:t>
      </w:r>
      <w:r>
        <w:tab/>
      </w:r>
      <w:r>
        <w:tab/>
      </w:r>
      <w:r>
        <w:tab/>
      </w:r>
    </w:p>
    <w:p w:rsidR="00CC3664" w:rsidRDefault="00B82C88" w:rsidP="00CC3664">
      <w:r>
        <w:t>Idris Z. Dahod</w:t>
      </w:r>
      <w:r w:rsidR="00CC3664">
        <w:t>, M.D.</w:t>
      </w:r>
      <w:r w:rsidR="00CC3664">
        <w:tab/>
      </w:r>
      <w:r w:rsidR="00CC3664">
        <w:tab/>
        <w:t>)</w:t>
      </w:r>
    </w:p>
    <w:p w:rsidR="00CC3664" w:rsidRDefault="00CC3664" w:rsidP="00CC3664">
      <w:r>
        <w:t>________________________)</w:t>
      </w:r>
    </w:p>
    <w:p w:rsidR="00CC3664" w:rsidRDefault="00CC3664" w:rsidP="00CC3664">
      <w:pPr>
        <w:jc w:val="both"/>
      </w:pPr>
    </w:p>
    <w:p w:rsidR="00CC3664" w:rsidRDefault="00CC3664" w:rsidP="00CC3664">
      <w:pPr>
        <w:jc w:val="both"/>
      </w:pPr>
      <w:r>
        <w:tab/>
      </w:r>
    </w:p>
    <w:p w:rsidR="00CC3664" w:rsidRDefault="00CC3664" w:rsidP="00CC3664">
      <w:pPr>
        <w:spacing w:line="360" w:lineRule="auto"/>
        <w:jc w:val="both"/>
      </w:pPr>
      <w:r>
        <w:tab/>
        <w:t xml:space="preserve">This matter came before the Board for final disposition on the basis of the  </w:t>
      </w:r>
      <w:r w:rsidR="00B82C88">
        <w:t xml:space="preserve">Division of Administrative Law Appeal’s March 19, 2018 Recommended Decision (“Recommended Decision”), which is attached hereto and incorporated by reference. </w:t>
      </w:r>
      <w:r w:rsidR="0015502F">
        <w:t>The Board has</w:t>
      </w:r>
      <w:r>
        <w:t xml:space="preserve"> full</w:t>
      </w:r>
      <w:r w:rsidR="0015502F">
        <w:t>y</w:t>
      </w:r>
      <w:r>
        <w:t xml:space="preserve"> consider</w:t>
      </w:r>
      <w:r w:rsidR="0015502F">
        <w:t>ed</w:t>
      </w:r>
      <w:r>
        <w:t xml:space="preserve"> the </w:t>
      </w:r>
      <w:r w:rsidR="00B82C88">
        <w:t xml:space="preserve">Recommended Decision, the Parties’ Objections to the Recommended Decision, </w:t>
      </w:r>
      <w:r w:rsidR="00960ECC">
        <w:t xml:space="preserve">and </w:t>
      </w:r>
      <w:r>
        <w:t>the Memoranda on Disposition</w:t>
      </w:r>
      <w:r w:rsidR="00960ECC">
        <w:t xml:space="preserve">. </w:t>
      </w:r>
      <w:r w:rsidR="00A33405">
        <w:t xml:space="preserve">The Board </w:t>
      </w:r>
      <w:r w:rsidR="00235EB9">
        <w:t>rejects the Petitioner’s objection as to the Magistrate’s decision to narrow the</w:t>
      </w:r>
      <w:r w:rsidR="0015502F">
        <w:t xml:space="preserve"> scope of the </w:t>
      </w:r>
      <w:r w:rsidR="00235EB9">
        <w:t>proceeding to consideration of the allegations as to Patients J and A. T</w:t>
      </w:r>
      <w:r>
        <w:t>he Board</w:t>
      </w:r>
      <w:r w:rsidR="00B82C88">
        <w:t xml:space="preserve"> adopts the Recommended Decision, as amended</w:t>
      </w:r>
      <w:r w:rsidR="00624901">
        <w:t xml:space="preserve"> to</w:t>
      </w:r>
      <w:r w:rsidR="00235EB9">
        <w:t>:</w:t>
      </w:r>
      <w:r w:rsidR="00624901">
        <w:t xml:space="preserve"> correct scrivener’s errors</w:t>
      </w:r>
      <w:r w:rsidR="007F739D">
        <w:t xml:space="preserve"> </w:t>
      </w:r>
      <w:r w:rsidR="00624901">
        <w:t>and to impose a sanction</w:t>
      </w:r>
      <w:r w:rsidR="00235EB9">
        <w:t>.</w:t>
      </w:r>
      <w:r>
        <w:t xml:space="preserve"> </w:t>
      </w:r>
    </w:p>
    <w:p w:rsidR="00CC3664" w:rsidRDefault="00CC3664" w:rsidP="00CC3664">
      <w:pPr>
        <w:jc w:val="center"/>
        <w:rPr>
          <w:u w:val="single"/>
        </w:rPr>
      </w:pPr>
      <w:r w:rsidRPr="00887088">
        <w:rPr>
          <w:u w:val="single"/>
        </w:rPr>
        <w:t>S</w:t>
      </w:r>
      <w:r w:rsidR="00B82C88">
        <w:rPr>
          <w:u w:val="single"/>
        </w:rPr>
        <w:t>crivener’s Errors</w:t>
      </w:r>
    </w:p>
    <w:p w:rsidR="00624901" w:rsidRDefault="00624901" w:rsidP="00CC3664">
      <w:pPr>
        <w:jc w:val="center"/>
        <w:rPr>
          <w:u w:val="single"/>
        </w:rPr>
      </w:pPr>
    </w:p>
    <w:p w:rsidR="00624901" w:rsidRDefault="00624901" w:rsidP="00624901">
      <w:pPr>
        <w:spacing w:line="360" w:lineRule="auto"/>
        <w:jc w:val="both"/>
      </w:pPr>
      <w:r>
        <w:tab/>
        <w:t xml:space="preserve">Correcting scrivener’s errors, the Board: </w:t>
      </w:r>
    </w:p>
    <w:p w:rsidR="00624901" w:rsidRDefault="00624901" w:rsidP="00624901">
      <w:pPr>
        <w:numPr>
          <w:ilvl w:val="0"/>
          <w:numId w:val="1"/>
        </w:numPr>
        <w:spacing w:line="360" w:lineRule="auto"/>
        <w:ind w:left="1440"/>
        <w:jc w:val="both"/>
      </w:pPr>
      <w:r>
        <w:t>on page 2, line 3 of the Recommended Decision, strikes “Order of Temporary Suspension;</w:t>
      </w:r>
      <w:r w:rsidR="0015502F">
        <w:t>”</w:t>
      </w:r>
    </w:p>
    <w:p w:rsidR="00624901" w:rsidRDefault="00624901" w:rsidP="00624901">
      <w:pPr>
        <w:numPr>
          <w:ilvl w:val="0"/>
          <w:numId w:val="1"/>
        </w:numPr>
        <w:spacing w:line="360" w:lineRule="auto"/>
        <w:ind w:left="1440"/>
        <w:jc w:val="both"/>
      </w:pPr>
      <w:r>
        <w:t>on page 6, paragraph 22, substitutes “Petitioner’s” for “Respondent’s”;</w:t>
      </w:r>
    </w:p>
    <w:p w:rsidR="00624901" w:rsidRDefault="00624901" w:rsidP="00624901">
      <w:pPr>
        <w:numPr>
          <w:ilvl w:val="0"/>
          <w:numId w:val="1"/>
        </w:numPr>
        <w:spacing w:line="360" w:lineRule="auto"/>
        <w:ind w:left="1440"/>
        <w:jc w:val="both"/>
      </w:pPr>
      <w:r>
        <w:t>on page 13, line 16, inserts “kissed” between “and” and “her”; and</w:t>
      </w:r>
    </w:p>
    <w:p w:rsidR="00624901" w:rsidRDefault="00624901" w:rsidP="00C26685">
      <w:pPr>
        <w:numPr>
          <w:ilvl w:val="0"/>
          <w:numId w:val="1"/>
        </w:numPr>
        <w:spacing w:line="360" w:lineRule="auto"/>
        <w:ind w:left="1440"/>
        <w:jc w:val="both"/>
      </w:pPr>
      <w:r>
        <w:t xml:space="preserve">on page 16, line 16, substitutes “Respondent” for “Petitioner.” </w:t>
      </w:r>
    </w:p>
    <w:p w:rsidR="00C26685" w:rsidRDefault="00C26685" w:rsidP="00C26685">
      <w:pPr>
        <w:spacing w:line="360" w:lineRule="auto"/>
        <w:ind w:left="720"/>
        <w:jc w:val="both"/>
      </w:pPr>
    </w:p>
    <w:p w:rsidR="00624901" w:rsidRDefault="00A33405" w:rsidP="00C26685">
      <w:pPr>
        <w:spacing w:line="360" w:lineRule="auto"/>
        <w:jc w:val="center"/>
        <w:rPr>
          <w:u w:val="single"/>
        </w:rPr>
      </w:pPr>
      <w:r>
        <w:rPr>
          <w:u w:val="single"/>
        </w:rPr>
        <w:t>Sanction</w:t>
      </w:r>
    </w:p>
    <w:p w:rsidR="00C26685" w:rsidRDefault="007F739D" w:rsidP="00C26685">
      <w:pPr>
        <w:spacing w:line="360" w:lineRule="auto"/>
        <w:jc w:val="both"/>
      </w:pPr>
      <w:r>
        <w:tab/>
      </w:r>
      <w:r w:rsidR="00CC3664">
        <w:t>The record demonstrates that</w:t>
      </w:r>
      <w:r w:rsidR="00D269EF">
        <w:t xml:space="preserve"> </w:t>
      </w:r>
      <w:r w:rsidR="00CC3664">
        <w:t xml:space="preserve">the Respondent </w:t>
      </w:r>
      <w:r w:rsidRPr="009557A2">
        <w:t>kissed Patient A</w:t>
      </w:r>
      <w:r>
        <w:t xml:space="preserve"> on the lips prior to a</w:t>
      </w:r>
      <w:r w:rsidR="00C26685">
        <w:t>n</w:t>
      </w:r>
      <w:r>
        <w:t xml:space="preserve"> examination</w:t>
      </w:r>
      <w:r w:rsidR="000B730A">
        <w:t xml:space="preserve">. </w:t>
      </w:r>
      <w:r w:rsidR="003058F9">
        <w:t xml:space="preserve">The examination, without a chaperone present, was a follow-up to an endoscopy and colonoscopy a week earlier and involved his unbuttoning her pants to </w:t>
      </w:r>
      <w:r w:rsidR="003058F9">
        <w:lastRenderedPageBreak/>
        <w:t xml:space="preserve">examine her abdomen. The Respondent kissed Patient A again when she left the appointment. </w:t>
      </w:r>
    </w:p>
    <w:p w:rsidR="007F739D" w:rsidRDefault="007F739D" w:rsidP="007F739D">
      <w:pPr>
        <w:spacing w:line="360" w:lineRule="auto"/>
        <w:ind w:firstLine="720"/>
        <w:jc w:val="both"/>
      </w:pPr>
      <w:r>
        <w:t xml:space="preserve">The Respondent engaged in conduct placing into question his competence to practice medicine, committed misconduct in the practice of medicine, engaged in conduct that undermines the public confidence in the integrity of the medical profession, and failed to adhere to the ethical protocols set forth in the American Medical Association’s Code of Medical Ethics, Opinion 8.14. Therefore, it is proper for the Board to impose sanction.  </w:t>
      </w:r>
      <w:r w:rsidRPr="00A47366">
        <w:rPr>
          <w:iCs/>
          <w:u w:val="single"/>
        </w:rPr>
        <w:t>See</w:t>
      </w:r>
      <w:r>
        <w:rPr>
          <w:i/>
          <w:iCs/>
        </w:rPr>
        <w:t xml:space="preserve"> </w:t>
      </w:r>
      <w:r w:rsidRPr="00942033">
        <w:rPr>
          <w:i/>
          <w:iCs/>
        </w:rPr>
        <w:t>Raymond v. Board of Registration in Medicine</w:t>
      </w:r>
      <w:r>
        <w:t xml:space="preserve">, 387 </w:t>
      </w:r>
      <w:smartTag w:uri="urn:schemas-microsoft-com:office:smarttags" w:element="State">
        <w:r>
          <w:t>Mass.</w:t>
        </w:r>
      </w:smartTag>
      <w:r>
        <w:t xml:space="preserve"> 708 (1982); </w:t>
      </w:r>
      <w:r w:rsidRPr="00942033">
        <w:rPr>
          <w:i/>
          <w:iCs/>
        </w:rPr>
        <w:t>Levy v. Board of Registration in Medicine</w:t>
      </w:r>
      <w:r w:rsidRPr="00942033">
        <w:rPr>
          <w:i/>
        </w:rPr>
        <w:t xml:space="preserve">, </w:t>
      </w:r>
      <w:r>
        <w:t xml:space="preserve">378 </w:t>
      </w:r>
      <w:smartTag w:uri="urn:schemas-microsoft-com:office:smarttags" w:element="place">
        <w:smartTag w:uri="urn:schemas-microsoft-com:office:smarttags" w:element="State">
          <w:r>
            <w:t>Mass.</w:t>
          </w:r>
        </w:smartTag>
      </w:smartTag>
      <w:r>
        <w:t xml:space="preserve"> 519 (1979).</w:t>
      </w:r>
    </w:p>
    <w:p w:rsidR="007F739D" w:rsidRDefault="007F739D" w:rsidP="007F739D">
      <w:pPr>
        <w:spacing w:line="360" w:lineRule="auto"/>
        <w:ind w:firstLine="720"/>
        <w:jc w:val="both"/>
      </w:pPr>
      <w:r>
        <w:t>More than thirty years ago, the Board pronounced:</w:t>
      </w:r>
    </w:p>
    <w:p w:rsidR="007F739D" w:rsidRDefault="007F739D" w:rsidP="007F739D">
      <w:pPr>
        <w:spacing w:line="360" w:lineRule="auto"/>
        <w:ind w:left="1440" w:right="720"/>
        <w:jc w:val="both"/>
      </w:pPr>
      <w:r>
        <w:t xml:space="preserve">The physician-patient relationship requires sound professional judgment, an acute sensitivity to the trust that is placed in the physician, and a high degree of integrity. </w:t>
      </w:r>
      <w:r w:rsidRPr="00E71AEB">
        <w:rPr>
          <w:i/>
        </w:rPr>
        <w:t>In the Matter of Donald M. Allen, M.D.</w:t>
      </w:r>
      <w:r>
        <w:t xml:space="preserve">, Board of Registration in Medicine, Adjudicatory Case No. 407 (Final Decision and Order, December 19, 1980.) </w:t>
      </w:r>
    </w:p>
    <w:p w:rsidR="00C26685" w:rsidRDefault="00C26685" w:rsidP="00C26685">
      <w:pPr>
        <w:spacing w:line="360" w:lineRule="auto"/>
        <w:jc w:val="both"/>
      </w:pPr>
      <w:r>
        <w:tab/>
        <w:t xml:space="preserve">The Respondent has violated an ethical principle of the American Medical Association’s Code of Medical Ethics, Opinion 8.14, since kissing Patient A constituted either “[s]exual contact that occur[red] concurrent with the patient–physician relationship” or “non-sexual contact with a patient [that] may be perceived as or may lead to sexual contact.” </w:t>
      </w:r>
      <w:r w:rsidRPr="00601336">
        <w:rPr>
          <w:u w:val="single"/>
        </w:rPr>
        <w:t>In the Matter of Jason Faulhaber, M.D.</w:t>
      </w:r>
      <w:r>
        <w:t>, Board of Registration in Medicine, Adjudicatory Case No. 2013-041 (Final Decision and Order, July 2, 2015).</w:t>
      </w:r>
    </w:p>
    <w:p w:rsidR="00E13435" w:rsidRDefault="009F1F2C" w:rsidP="009F1F2C">
      <w:pPr>
        <w:spacing w:line="360" w:lineRule="auto"/>
        <w:ind w:firstLine="720"/>
        <w:jc w:val="both"/>
      </w:pPr>
      <w:r>
        <w:t xml:space="preserve">In this case, the Respondent failed to </w:t>
      </w:r>
      <w:r w:rsidR="00DB5DE2">
        <w:t>demonstrate sound professional judgment an</w:t>
      </w:r>
      <w:r w:rsidR="00601336">
        <w:t xml:space="preserve">d </w:t>
      </w:r>
      <w:r w:rsidR="00DB5DE2">
        <w:t xml:space="preserve">an acute sensitivity to the trust that is place in him as a physician. </w:t>
      </w:r>
      <w:r w:rsidR="006758E0">
        <w:t>The Board is trouble</w:t>
      </w:r>
      <w:r w:rsidR="00960ECC">
        <w:t>d</w:t>
      </w:r>
      <w:r w:rsidR="006758E0">
        <w:t xml:space="preserve"> that t</w:t>
      </w:r>
      <w:r w:rsidR="00601336">
        <w:t xml:space="preserve">his conduct took place after: </w:t>
      </w:r>
    </w:p>
    <w:p w:rsidR="00E13435" w:rsidRDefault="00601336" w:rsidP="00E13435">
      <w:pPr>
        <w:numPr>
          <w:ilvl w:val="0"/>
          <w:numId w:val="2"/>
        </w:numPr>
        <w:spacing w:line="360" w:lineRule="auto"/>
        <w:ind w:left="1440"/>
        <w:jc w:val="both"/>
      </w:pPr>
      <w:r>
        <w:t>in 2005, Saint Vincent</w:t>
      </w:r>
      <w:r w:rsidR="00E13435">
        <w:t>’s</w:t>
      </w:r>
      <w:r>
        <w:t xml:space="preserve"> Hospital implemented a non-disciplinary corrective action plan in response to </w:t>
      </w:r>
      <w:r w:rsidR="00E13435">
        <w:t xml:space="preserve">staff </w:t>
      </w:r>
      <w:r>
        <w:t xml:space="preserve">concerns about his patient contacts during endoscopic procedures; </w:t>
      </w:r>
    </w:p>
    <w:p w:rsidR="00E13435" w:rsidRDefault="00601336" w:rsidP="00E13435">
      <w:pPr>
        <w:numPr>
          <w:ilvl w:val="0"/>
          <w:numId w:val="2"/>
        </w:numPr>
        <w:spacing w:line="360" w:lineRule="auto"/>
        <w:ind w:left="1440"/>
        <w:jc w:val="both"/>
      </w:pPr>
      <w:r>
        <w:t>in 2006</w:t>
      </w:r>
      <w:r w:rsidR="00E13435">
        <w:t>, the Board’s Complaint Committee issued a non-disciplinary Letter of Warning to the Respondent to “maintain appropriate boundaries with patients at all times” and stating, “[I]t is important to use chaperones for all examinations when a parent is not present;” and</w:t>
      </w:r>
    </w:p>
    <w:p w:rsidR="00601336" w:rsidRDefault="00E13435" w:rsidP="00E13435">
      <w:pPr>
        <w:numPr>
          <w:ilvl w:val="0"/>
          <w:numId w:val="2"/>
        </w:numPr>
        <w:spacing w:line="360" w:lineRule="auto"/>
        <w:ind w:left="1440"/>
        <w:jc w:val="both"/>
      </w:pPr>
      <w:r>
        <w:lastRenderedPageBreak/>
        <w:t>in 2011, Saint Vincent’s Hospital wrote a non-disciplinary letter to the Respondent, following staff concerns about his patient contacts during endoscopic procedures, stating, “In accordance with the 2006 [Board] ruling you must continue to have a chaperone in the room at all times during any patient exam or procedure. You must maintain appropriate boundaries with all patient at all times….”</w:t>
      </w:r>
    </w:p>
    <w:p w:rsidR="00C84294" w:rsidRDefault="00E13435" w:rsidP="009F1F2C">
      <w:pPr>
        <w:spacing w:line="360" w:lineRule="auto"/>
        <w:ind w:firstLine="720"/>
        <w:jc w:val="both"/>
      </w:pPr>
      <w:r>
        <w:t xml:space="preserve">In determining an appropriate sanction, the Board acknowledges the Respondent’s entry into a 2014 non-disciplinary Voluntary Agreement to Practice and </w:t>
      </w:r>
      <w:r w:rsidR="00821B34">
        <w:t xml:space="preserve">the significant education, coaching and counseling he has completed with respect to physician-patient boundaries and interactions. </w:t>
      </w:r>
      <w:r w:rsidR="007F739D">
        <w:t>However, t</w:t>
      </w:r>
      <w:r w:rsidR="00821B34">
        <w:t xml:space="preserve">he Board </w:t>
      </w:r>
      <w:r w:rsidR="007F739D">
        <w:t xml:space="preserve">also </w:t>
      </w:r>
      <w:r w:rsidR="00821B34">
        <w:t>acknowledges</w:t>
      </w:r>
      <w:r w:rsidR="007F739D">
        <w:t xml:space="preserve"> </w:t>
      </w:r>
      <w:r w:rsidR="00821B34">
        <w:t>its mission to ensure public safety</w:t>
      </w:r>
      <w:r w:rsidR="007F739D">
        <w:t xml:space="preserve"> and</w:t>
      </w:r>
      <w:r w:rsidR="00821B34">
        <w:t xml:space="preserve"> determines that the only way to ensure that the Respondent </w:t>
      </w:r>
      <w:r w:rsidR="006758E0">
        <w:t xml:space="preserve">consistently and effectively </w:t>
      </w:r>
      <w:r w:rsidR="00821B34">
        <w:t>implement</w:t>
      </w:r>
      <w:r w:rsidR="006758E0">
        <w:t>s</w:t>
      </w:r>
      <w:r w:rsidR="00821B34">
        <w:t xml:space="preserve"> his education</w:t>
      </w:r>
      <w:r w:rsidR="007F739D">
        <w:t>, coaching and counseling i</w:t>
      </w:r>
      <w:r w:rsidR="00821B34">
        <w:t xml:space="preserve">nto </w:t>
      </w:r>
      <w:r w:rsidR="007F739D">
        <w:t>his</w:t>
      </w:r>
      <w:r w:rsidR="00821B34">
        <w:t xml:space="preserve"> practice of medicine is to permit resumed practice subject to monitoring</w:t>
      </w:r>
      <w:r w:rsidR="006758E0">
        <w:t xml:space="preserve"> by the Board</w:t>
      </w:r>
      <w:r w:rsidR="00821B34">
        <w:t>.</w:t>
      </w:r>
    </w:p>
    <w:p w:rsidR="00B67C3E" w:rsidRPr="00783325" w:rsidRDefault="00C84294" w:rsidP="00B67C3E">
      <w:pPr>
        <w:spacing w:line="360" w:lineRule="auto"/>
        <w:ind w:firstLine="720"/>
        <w:jc w:val="both"/>
      </w:pPr>
      <w:r>
        <w:t>T</w:t>
      </w:r>
      <w:r w:rsidR="00D24EBD">
        <w:t>he Board hereby imposes an INDEFINITE SUSPENSION of the Respondent’s license to practice medicine</w:t>
      </w:r>
      <w:r>
        <w:t xml:space="preserve">. The Board will consider </w:t>
      </w:r>
      <w:r w:rsidR="006758E0">
        <w:t>a</w:t>
      </w:r>
      <w:r>
        <w:t xml:space="preserve"> stay of the indefinite suspension upon the Respondent’s entry into a </w:t>
      </w:r>
      <w:r w:rsidR="006758E0">
        <w:t xml:space="preserve">five-year </w:t>
      </w:r>
      <w:r>
        <w:t xml:space="preserve">Probation Agreement </w:t>
      </w:r>
      <w:r w:rsidR="006758E0">
        <w:t>with standard terms and also</w:t>
      </w:r>
      <w:r>
        <w:t xml:space="preserve"> </w:t>
      </w:r>
      <w:r w:rsidR="007F739D">
        <w:t xml:space="preserve">will </w:t>
      </w:r>
      <w:r w:rsidR="00D24EBD">
        <w:t>require</w:t>
      </w:r>
      <w:r>
        <w:t xml:space="preserve">: i) a Board-approved practice plan; </w:t>
      </w:r>
      <w:r w:rsidR="000334AD">
        <w:t>i</w:t>
      </w:r>
      <w:r>
        <w:t xml:space="preserve">i) documented use of Board-approved chaperones throughout all examinations and consultations with female patients; iii) the Respondent’s </w:t>
      </w:r>
      <w:r w:rsidR="006758E0">
        <w:t>offering a gown and changing area to each patient whose torso he may examine;</w:t>
      </w:r>
      <w:r>
        <w:t xml:space="preserve"> </w:t>
      </w:r>
      <w:r w:rsidR="006758E0">
        <w:t xml:space="preserve">and iv) such other terms as the Board may require. </w:t>
      </w:r>
      <w:r w:rsidR="00B67C3E" w:rsidRPr="00783325">
        <w:t>The sanction is imposed for each violation of the law, and not a combination of any or all of them.</w:t>
      </w:r>
    </w:p>
    <w:p w:rsidR="00B67C3E" w:rsidRPr="000A15F7" w:rsidRDefault="00B67C3E" w:rsidP="00B67C3E">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w:t>
      </w:r>
      <w:r>
        <w:lastRenderedPageBreak/>
        <w:t xml:space="preserve">Department of Public Health Drug Control Program.  The Respondent shall also provide this notification to any such designated entities with which he becomes </w:t>
      </w:r>
      <w:r w:rsidR="0049305B">
        <w:t>affiliated</w:t>
      </w:r>
      <w:r>
        <w:t xml:space="preserve"> for the</w:t>
      </w:r>
      <w:r w:rsidR="001E4A94">
        <w:t xml:space="preserve"> duration of the suspension. </w:t>
      </w:r>
      <w:r>
        <w:t>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Pr="000A15F7">
        <w:t xml:space="preserve">he Respondent has the right to appeal this Final Decision and Order within thirty (30) days, pursuant to G.L. c. 30A, §§14 and 15, and G.L. c. 112, § 64.      </w:t>
      </w:r>
    </w:p>
    <w:p w:rsidR="00B67C3E" w:rsidRDefault="00B67C3E" w:rsidP="00B67C3E">
      <w:pPr>
        <w:pStyle w:val="BodyText"/>
        <w:rPr>
          <w:color w:val="000000"/>
        </w:rPr>
      </w:pPr>
    </w:p>
    <w:p w:rsidR="00B67C3E" w:rsidRDefault="00B67C3E" w:rsidP="00B67C3E">
      <w:pPr>
        <w:pStyle w:val="BodyText"/>
        <w:rPr>
          <w:color w:val="000000"/>
        </w:rPr>
      </w:pPr>
    </w:p>
    <w:p w:rsidR="00B67C3E" w:rsidRDefault="00B67C3E" w:rsidP="00B67C3E">
      <w:pPr>
        <w:pStyle w:val="BodyText"/>
        <w:rPr>
          <w:color w:val="000000"/>
        </w:rPr>
      </w:pPr>
      <w:r w:rsidRPr="000A15F7">
        <w:rPr>
          <w:color w:val="000000"/>
        </w:rPr>
        <w:t>DATE:</w:t>
      </w:r>
      <w:r>
        <w:rPr>
          <w:color w:val="000000"/>
        </w:rPr>
        <w:t xml:space="preserve"> </w:t>
      </w:r>
      <w:r w:rsidR="006758E0">
        <w:rPr>
          <w:color w:val="000000"/>
        </w:rPr>
        <w:t>October 11, 2018</w:t>
      </w:r>
      <w:r>
        <w:rPr>
          <w:color w:val="000000"/>
        </w:rPr>
        <w:t xml:space="preserve">  </w:t>
      </w:r>
      <w:r>
        <w:rPr>
          <w:color w:val="000000"/>
        </w:rPr>
        <w:tab/>
      </w:r>
      <w:r>
        <w:rPr>
          <w:color w:val="000000"/>
        </w:rPr>
        <w:tab/>
        <w:t xml:space="preserve"> </w:t>
      </w:r>
      <w:r w:rsidR="00C51CD7">
        <w:rPr>
          <w:color w:val="000000"/>
          <w:u w:val="single"/>
        </w:rPr>
        <w:t>Signed by Candace Lapidus Sloane, M.D.</w:t>
      </w:r>
      <w:bookmarkStart w:id="0" w:name="_GoBack"/>
      <w:bookmarkEnd w:id="0"/>
    </w:p>
    <w:p w:rsidR="00B67C3E" w:rsidRDefault="00B67C3E" w:rsidP="00B67C3E">
      <w:pPr>
        <w:pStyle w:val="BodyText"/>
        <w:ind w:left="2880" w:firstLine="720"/>
      </w:pPr>
      <w:r>
        <w:t xml:space="preserve"> Candace Lapidus Sloane, M.D., </w:t>
      </w:r>
    </w:p>
    <w:p w:rsidR="00B67C3E" w:rsidRPr="00887088" w:rsidRDefault="00B67C3E" w:rsidP="00B67C3E">
      <w:pPr>
        <w:ind w:left="2880" w:firstLine="720"/>
        <w:rPr>
          <w:u w:val="single"/>
        </w:rPr>
      </w:pPr>
      <w:r>
        <w:t xml:space="preserve"> Board Chair</w:t>
      </w:r>
    </w:p>
    <w:p w:rsidR="00B67C3E" w:rsidRDefault="00B67C3E" w:rsidP="00B67C3E"/>
    <w:p w:rsidR="00D269EF" w:rsidRDefault="00D24EBD" w:rsidP="00D269EF">
      <w:pPr>
        <w:spacing w:line="360" w:lineRule="auto"/>
        <w:ind w:firstLine="720"/>
        <w:jc w:val="both"/>
      </w:pPr>
      <w:r>
        <w:t xml:space="preserve">    </w:t>
      </w:r>
      <w:r w:rsidR="00D269EF">
        <w:t xml:space="preserve"> </w:t>
      </w:r>
    </w:p>
    <w:p w:rsidR="00E84127" w:rsidRDefault="00E84127" w:rsidP="00D269EF">
      <w:pPr>
        <w:spacing w:line="360" w:lineRule="auto"/>
        <w:ind w:firstLine="720"/>
        <w:jc w:val="both"/>
      </w:pPr>
    </w:p>
    <w:p w:rsidR="00E84127" w:rsidRDefault="00E84127" w:rsidP="00E84127">
      <w:pPr>
        <w:spacing w:line="360" w:lineRule="auto"/>
        <w:ind w:firstLine="720"/>
        <w:jc w:val="both"/>
      </w:pPr>
    </w:p>
    <w:p w:rsidR="00E84127" w:rsidRDefault="00E84127" w:rsidP="00E84127">
      <w:pPr>
        <w:spacing w:line="360" w:lineRule="auto"/>
        <w:jc w:val="both"/>
      </w:pPr>
    </w:p>
    <w:p w:rsidR="00E71AEB" w:rsidRDefault="00E84127" w:rsidP="00E71AEB">
      <w:pPr>
        <w:spacing w:line="360" w:lineRule="auto"/>
        <w:ind w:left="720" w:right="720"/>
        <w:jc w:val="both"/>
      </w:pPr>
      <w:r>
        <w:t xml:space="preserve"> </w:t>
      </w:r>
    </w:p>
    <w:p w:rsidR="00E71AEB" w:rsidRDefault="00E71AEB" w:rsidP="00CC3664">
      <w:pPr>
        <w:spacing w:line="360" w:lineRule="auto"/>
        <w:ind w:firstLine="720"/>
        <w:jc w:val="both"/>
      </w:pPr>
    </w:p>
    <w:sectPr w:rsidR="00E71AEB" w:rsidSect="00B67C3E">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DC" w:rsidRDefault="004153DC">
      <w:r>
        <w:separator/>
      </w:r>
    </w:p>
  </w:endnote>
  <w:endnote w:type="continuationSeparator" w:id="0">
    <w:p w:rsidR="004153DC" w:rsidRDefault="0041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98" w:rsidRDefault="003D4298" w:rsidP="00EC4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4298" w:rsidRDefault="003D4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98" w:rsidRDefault="003D4298" w:rsidP="00EC4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CD7">
      <w:rPr>
        <w:rStyle w:val="PageNumber"/>
        <w:noProof/>
      </w:rPr>
      <w:t>4</w:t>
    </w:r>
    <w:r>
      <w:rPr>
        <w:rStyle w:val="PageNumber"/>
      </w:rPr>
      <w:fldChar w:fldCharType="end"/>
    </w:r>
  </w:p>
  <w:p w:rsidR="003D4298" w:rsidRDefault="003D4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DC" w:rsidRDefault="004153DC">
      <w:r>
        <w:separator/>
      </w:r>
    </w:p>
  </w:footnote>
  <w:footnote w:type="continuationSeparator" w:id="0">
    <w:p w:rsidR="004153DC" w:rsidRDefault="00415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1BFD"/>
    <w:multiLevelType w:val="hybridMultilevel"/>
    <w:tmpl w:val="64EA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6171D"/>
    <w:multiLevelType w:val="hybridMultilevel"/>
    <w:tmpl w:val="DDD4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64"/>
    <w:rsid w:val="000334AD"/>
    <w:rsid w:val="0003656E"/>
    <w:rsid w:val="00045935"/>
    <w:rsid w:val="000632AC"/>
    <w:rsid w:val="000B48B7"/>
    <w:rsid w:val="000B730A"/>
    <w:rsid w:val="000C666D"/>
    <w:rsid w:val="000D3009"/>
    <w:rsid w:val="0015502F"/>
    <w:rsid w:val="001B79DC"/>
    <w:rsid w:val="001C2281"/>
    <w:rsid w:val="001E4A94"/>
    <w:rsid w:val="001F3987"/>
    <w:rsid w:val="00235EB9"/>
    <w:rsid w:val="002E04DC"/>
    <w:rsid w:val="003058F9"/>
    <w:rsid w:val="00320216"/>
    <w:rsid w:val="00345371"/>
    <w:rsid w:val="003772FE"/>
    <w:rsid w:val="003B3666"/>
    <w:rsid w:val="003D4298"/>
    <w:rsid w:val="004153DC"/>
    <w:rsid w:val="0042458B"/>
    <w:rsid w:val="00471E46"/>
    <w:rsid w:val="0049305B"/>
    <w:rsid w:val="004F163C"/>
    <w:rsid w:val="00543F69"/>
    <w:rsid w:val="00545954"/>
    <w:rsid w:val="005B61AA"/>
    <w:rsid w:val="00601336"/>
    <w:rsid w:val="00624901"/>
    <w:rsid w:val="006758E0"/>
    <w:rsid w:val="006C5254"/>
    <w:rsid w:val="006E4C51"/>
    <w:rsid w:val="006F4881"/>
    <w:rsid w:val="00783325"/>
    <w:rsid w:val="00797FF5"/>
    <w:rsid w:val="007D5E3D"/>
    <w:rsid w:val="007F739D"/>
    <w:rsid w:val="00821B34"/>
    <w:rsid w:val="008610F0"/>
    <w:rsid w:val="00875A69"/>
    <w:rsid w:val="008C4CC2"/>
    <w:rsid w:val="008D5E6A"/>
    <w:rsid w:val="00900B92"/>
    <w:rsid w:val="00912AD3"/>
    <w:rsid w:val="009557A2"/>
    <w:rsid w:val="009571A3"/>
    <w:rsid w:val="00960ECC"/>
    <w:rsid w:val="009A62AD"/>
    <w:rsid w:val="009F1F2C"/>
    <w:rsid w:val="00A33405"/>
    <w:rsid w:val="00A64C4D"/>
    <w:rsid w:val="00AE0411"/>
    <w:rsid w:val="00B0184D"/>
    <w:rsid w:val="00B4108E"/>
    <w:rsid w:val="00B67C3E"/>
    <w:rsid w:val="00B82C88"/>
    <w:rsid w:val="00B92562"/>
    <w:rsid w:val="00C26685"/>
    <w:rsid w:val="00C51CD7"/>
    <w:rsid w:val="00C84294"/>
    <w:rsid w:val="00CC3664"/>
    <w:rsid w:val="00D24EBD"/>
    <w:rsid w:val="00D269EF"/>
    <w:rsid w:val="00D93728"/>
    <w:rsid w:val="00DB58CD"/>
    <w:rsid w:val="00DB5DE2"/>
    <w:rsid w:val="00DF20FB"/>
    <w:rsid w:val="00E13435"/>
    <w:rsid w:val="00E43CDB"/>
    <w:rsid w:val="00E71AEB"/>
    <w:rsid w:val="00E84127"/>
    <w:rsid w:val="00EC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66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C3E"/>
    <w:rPr>
      <w:szCs w:val="20"/>
    </w:rPr>
  </w:style>
  <w:style w:type="paragraph" w:styleId="Footer">
    <w:name w:val="footer"/>
    <w:basedOn w:val="Normal"/>
    <w:rsid w:val="00B67C3E"/>
    <w:pPr>
      <w:tabs>
        <w:tab w:val="center" w:pos="4320"/>
        <w:tab w:val="right" w:pos="8640"/>
      </w:tabs>
    </w:pPr>
  </w:style>
  <w:style w:type="character" w:styleId="PageNumber">
    <w:name w:val="page number"/>
    <w:basedOn w:val="DefaultParagraphFont"/>
    <w:rsid w:val="00B67C3E"/>
  </w:style>
  <w:style w:type="paragraph" w:styleId="BalloonText">
    <w:name w:val="Balloon Text"/>
    <w:basedOn w:val="Normal"/>
    <w:link w:val="BalloonTextChar"/>
    <w:rsid w:val="002E04DC"/>
    <w:rPr>
      <w:rFonts w:ascii="Tahoma" w:hAnsi="Tahoma" w:cs="Tahoma"/>
      <w:sz w:val="16"/>
      <w:szCs w:val="16"/>
    </w:rPr>
  </w:style>
  <w:style w:type="character" w:customStyle="1" w:styleId="BalloonTextChar">
    <w:name w:val="Balloon Text Char"/>
    <w:link w:val="BalloonText"/>
    <w:rsid w:val="002E0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66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C3E"/>
    <w:rPr>
      <w:szCs w:val="20"/>
    </w:rPr>
  </w:style>
  <w:style w:type="paragraph" w:styleId="Footer">
    <w:name w:val="footer"/>
    <w:basedOn w:val="Normal"/>
    <w:rsid w:val="00B67C3E"/>
    <w:pPr>
      <w:tabs>
        <w:tab w:val="center" w:pos="4320"/>
        <w:tab w:val="right" w:pos="8640"/>
      </w:tabs>
    </w:pPr>
  </w:style>
  <w:style w:type="character" w:styleId="PageNumber">
    <w:name w:val="page number"/>
    <w:basedOn w:val="DefaultParagraphFont"/>
    <w:rsid w:val="00B67C3E"/>
  </w:style>
  <w:style w:type="paragraph" w:styleId="BalloonText">
    <w:name w:val="Balloon Text"/>
    <w:basedOn w:val="Normal"/>
    <w:link w:val="BalloonTextChar"/>
    <w:rsid w:val="002E04DC"/>
    <w:rPr>
      <w:rFonts w:ascii="Tahoma" w:hAnsi="Tahoma" w:cs="Tahoma"/>
      <w:sz w:val="16"/>
      <w:szCs w:val="16"/>
    </w:rPr>
  </w:style>
  <w:style w:type="character" w:customStyle="1" w:styleId="BalloonTextChar">
    <w:name w:val="Balloon Text Char"/>
    <w:link w:val="BalloonText"/>
    <w:rsid w:val="002E0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 </cp:lastModifiedBy>
  <cp:revision>3</cp:revision>
  <cp:lastPrinted>2018-10-03T14:36:00Z</cp:lastPrinted>
  <dcterms:created xsi:type="dcterms:W3CDTF">2018-10-16T15:29:00Z</dcterms:created>
  <dcterms:modified xsi:type="dcterms:W3CDTF">2018-10-16T15:30:00Z</dcterms:modified>
</cp:coreProperties>
</file>