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ACF0" w14:textId="77777777" w:rsidR="00FD1B30" w:rsidRDefault="00FD1B30">
      <w:pPr>
        <w:pStyle w:val="Title"/>
      </w:pPr>
      <w:r>
        <w:t>COMMONWEALTH OF MASSACHUSETTS</w:t>
      </w:r>
    </w:p>
    <w:p w14:paraId="2BD0C22A" w14:textId="77777777" w:rsidR="00FD1B30" w:rsidRDefault="00FD1B30">
      <w:pPr>
        <w:jc w:val="center"/>
        <w:rPr>
          <w:b/>
          <w:sz w:val="24"/>
        </w:rPr>
      </w:pPr>
      <w:r>
        <w:rPr>
          <w:b/>
          <w:sz w:val="24"/>
        </w:rPr>
        <w:t>BOARD OF REGISTRATION IN MEDICINE</w:t>
      </w:r>
    </w:p>
    <w:p w14:paraId="672A6659" w14:textId="77777777" w:rsidR="00FD1B30" w:rsidRDefault="00FD1B30">
      <w:pPr>
        <w:rPr>
          <w:sz w:val="24"/>
        </w:rPr>
      </w:pPr>
    </w:p>
    <w:p w14:paraId="0B72DF87" w14:textId="5DF51573" w:rsidR="00FD1B30" w:rsidRDefault="00FD1B30" w:rsidP="399FBD1B">
      <w:pPr>
        <w:rPr>
          <w:sz w:val="24"/>
          <w:szCs w:val="24"/>
        </w:rPr>
      </w:pPr>
      <w:r w:rsidRPr="76D46868">
        <w:rPr>
          <w:sz w:val="24"/>
          <w:szCs w:val="24"/>
        </w:rP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D46868">
        <w:rPr>
          <w:sz w:val="24"/>
          <w:szCs w:val="24"/>
        </w:rPr>
        <w:t>Adjudicatory Case No.</w:t>
      </w:r>
      <w:r w:rsidR="0022116E" w:rsidRPr="76D46868">
        <w:rPr>
          <w:sz w:val="24"/>
          <w:szCs w:val="24"/>
        </w:rPr>
        <w:t xml:space="preserve"> </w:t>
      </w:r>
      <w:r w:rsidR="00063F91" w:rsidRPr="76D46868">
        <w:rPr>
          <w:sz w:val="24"/>
          <w:szCs w:val="24"/>
        </w:rPr>
        <w:t>201</w:t>
      </w:r>
      <w:r w:rsidR="00321BDA">
        <w:rPr>
          <w:sz w:val="24"/>
          <w:szCs w:val="24"/>
        </w:rPr>
        <w:t>7</w:t>
      </w:r>
      <w:r w:rsidR="00063F91" w:rsidRPr="76D46868">
        <w:rPr>
          <w:sz w:val="24"/>
          <w:szCs w:val="24"/>
        </w:rPr>
        <w:t>-0</w:t>
      </w:r>
      <w:r w:rsidR="00321BDA">
        <w:rPr>
          <w:sz w:val="24"/>
          <w:szCs w:val="24"/>
        </w:rPr>
        <w:t>27</w:t>
      </w:r>
    </w:p>
    <w:p w14:paraId="6CB0FEDE" w14:textId="1EE9F05D" w:rsidR="00FD1B30" w:rsidRDefault="399FBD1B" w:rsidP="76D46868">
      <w:pPr>
        <w:ind w:left="5040" w:firstLine="720"/>
        <w:rPr>
          <w:sz w:val="24"/>
          <w:szCs w:val="24"/>
        </w:rPr>
      </w:pPr>
      <w:r w:rsidRPr="76D46868">
        <w:rPr>
          <w:sz w:val="24"/>
          <w:szCs w:val="24"/>
        </w:rPr>
        <w:t>(RM-1</w:t>
      </w:r>
      <w:r w:rsidR="00321BDA">
        <w:rPr>
          <w:sz w:val="24"/>
          <w:szCs w:val="24"/>
        </w:rPr>
        <w:t>7</w:t>
      </w:r>
      <w:r w:rsidRPr="76D46868">
        <w:rPr>
          <w:sz w:val="24"/>
          <w:szCs w:val="24"/>
        </w:rPr>
        <w:t>-</w:t>
      </w:r>
      <w:r w:rsidR="00321BDA">
        <w:rPr>
          <w:sz w:val="24"/>
          <w:szCs w:val="24"/>
        </w:rPr>
        <w:t>656</w:t>
      </w:r>
      <w:r w:rsidRPr="76D46868">
        <w:rPr>
          <w:sz w:val="24"/>
          <w:szCs w:val="24"/>
        </w:rPr>
        <w:t>)</w:t>
      </w:r>
    </w:p>
    <w:p w14:paraId="5DAB6C7B" w14:textId="77777777" w:rsidR="00FD1B30" w:rsidRDefault="00FD1B30" w:rsidP="76D46868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D49DFA7" w14:textId="4D570F57" w:rsidR="00FD1B30" w:rsidRDefault="00FD1B30" w:rsidP="399FBD1B">
      <w:pPr>
        <w:rPr>
          <w:sz w:val="24"/>
          <w:szCs w:val="24"/>
        </w:rPr>
      </w:pPr>
      <w:r w:rsidRPr="399FBD1B">
        <w:rPr>
          <w:sz w:val="24"/>
          <w:szCs w:val="24"/>
        </w:rPr>
        <w:t>____________________________</w:t>
      </w:r>
    </w:p>
    <w:p w14:paraId="2CEAEE8A" w14:textId="77777777" w:rsidR="00FD1B30" w:rsidRDefault="00FD1B3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6BD5E67" w14:textId="77777777" w:rsidR="00FD1B30" w:rsidRDefault="00FD1B30">
      <w:pPr>
        <w:rPr>
          <w:sz w:val="24"/>
        </w:rPr>
      </w:pPr>
      <w:r>
        <w:rPr>
          <w:sz w:val="24"/>
        </w:rPr>
        <w:t xml:space="preserve">In the Matter of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E17111D" w14:textId="7FA1E0F9" w:rsidR="00FD1B30" w:rsidRDefault="00FD1B30" w:rsidP="399FBD1B">
      <w:pPr>
        <w:rPr>
          <w:b/>
          <w:bCs/>
          <w:sz w:val="24"/>
          <w:szCs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399FBD1B">
        <w:rPr>
          <w:sz w:val="24"/>
          <w:szCs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 w:rsidR="399FBD1B" w:rsidRPr="399FBD1B">
        <w:rPr>
          <w:b/>
          <w:bCs/>
          <w:sz w:val="24"/>
          <w:szCs w:val="24"/>
          <w:u w:val="single"/>
        </w:rPr>
        <w:t>FINAL DECISION AND ORDER</w:t>
      </w:r>
    </w:p>
    <w:p w14:paraId="4B42A2A9" w14:textId="0BB3B725" w:rsidR="00FD1B30" w:rsidRDefault="00D70BC0" w:rsidP="399FBD1B">
      <w:pPr>
        <w:rPr>
          <w:sz w:val="24"/>
          <w:szCs w:val="24"/>
        </w:rPr>
      </w:pPr>
      <w:r>
        <w:rPr>
          <w:sz w:val="24"/>
          <w:szCs w:val="24"/>
        </w:rPr>
        <w:t xml:space="preserve">Adel M. </w:t>
      </w:r>
      <w:proofErr w:type="spellStart"/>
      <w:r>
        <w:rPr>
          <w:sz w:val="24"/>
          <w:szCs w:val="24"/>
        </w:rPr>
        <w:t>Elkbuli</w:t>
      </w:r>
      <w:proofErr w:type="spellEnd"/>
      <w:r w:rsidR="00063F91" w:rsidRPr="399FBD1B">
        <w:rPr>
          <w:sz w:val="24"/>
          <w:szCs w:val="24"/>
        </w:rPr>
        <w:t>, M.D.</w:t>
      </w:r>
      <w:r>
        <w:rPr>
          <w:sz w:val="24"/>
          <w:szCs w:val="24"/>
        </w:rPr>
        <w:tab/>
      </w:r>
      <w:r w:rsidR="00FD1B30">
        <w:tab/>
      </w:r>
      <w:r w:rsidR="00FD1B30" w:rsidRPr="399FBD1B">
        <w:rPr>
          <w:sz w:val="24"/>
          <w:szCs w:val="24"/>
        </w:rPr>
        <w:t>)</w:t>
      </w:r>
    </w:p>
    <w:p w14:paraId="58284364" w14:textId="77777777" w:rsidR="00FD1B30" w:rsidRDefault="00FD1B30">
      <w:pPr>
        <w:rPr>
          <w:sz w:val="24"/>
        </w:rPr>
      </w:pPr>
      <w:r>
        <w:rPr>
          <w:sz w:val="24"/>
        </w:rPr>
        <w:t>_____________________________  )</w:t>
      </w:r>
    </w:p>
    <w:p w14:paraId="1CA0D57E" w14:textId="15F13D19" w:rsidR="76D46868" w:rsidRDefault="76D46868" w:rsidP="76D46868">
      <w:pPr>
        <w:rPr>
          <w:sz w:val="24"/>
          <w:szCs w:val="24"/>
        </w:rPr>
      </w:pPr>
    </w:p>
    <w:p w14:paraId="55C7DD66" w14:textId="37221474" w:rsidR="00FD1B30" w:rsidRDefault="76D46868" w:rsidP="76D46868">
      <w:pPr>
        <w:jc w:val="center"/>
        <w:rPr>
          <w:b/>
          <w:bCs/>
          <w:sz w:val="24"/>
          <w:szCs w:val="24"/>
          <w:u w:val="single"/>
        </w:rPr>
      </w:pPr>
      <w:r w:rsidRPr="76D46868">
        <w:rPr>
          <w:b/>
          <w:bCs/>
          <w:sz w:val="24"/>
          <w:szCs w:val="24"/>
          <w:u w:val="single"/>
        </w:rPr>
        <w:t>Procedural History</w:t>
      </w:r>
    </w:p>
    <w:p w14:paraId="61989E18" w14:textId="34CF2205" w:rsidR="00FD1B30" w:rsidRDefault="00FD1B30" w:rsidP="76D46868"/>
    <w:p w14:paraId="6476EC49" w14:textId="010C1725" w:rsidR="00471AB6" w:rsidRDefault="76D46868" w:rsidP="008318CF">
      <w:pPr>
        <w:spacing w:line="480" w:lineRule="auto"/>
        <w:ind w:firstLine="720"/>
        <w:rPr>
          <w:sz w:val="24"/>
          <w:szCs w:val="24"/>
        </w:rPr>
      </w:pPr>
      <w:r w:rsidRPr="76D46868">
        <w:rPr>
          <w:sz w:val="24"/>
          <w:szCs w:val="24"/>
        </w:rPr>
        <w:t xml:space="preserve">The Board initiated this matter by issuing a Statement of Allegations (SOA) against the Respondent on </w:t>
      </w:r>
      <w:r w:rsidR="00D70BC0">
        <w:rPr>
          <w:sz w:val="24"/>
          <w:szCs w:val="24"/>
        </w:rPr>
        <w:t xml:space="preserve">August 3, 2017 </w:t>
      </w:r>
      <w:r w:rsidRPr="76D46868">
        <w:rPr>
          <w:sz w:val="24"/>
          <w:szCs w:val="24"/>
        </w:rPr>
        <w:t xml:space="preserve">and referring the matter to the Division of Administrative Law Appeals (DALA). </w:t>
      </w:r>
      <w:r w:rsidR="008318CF">
        <w:rPr>
          <w:sz w:val="24"/>
          <w:szCs w:val="24"/>
        </w:rPr>
        <w:t xml:space="preserve"> </w:t>
      </w:r>
    </w:p>
    <w:p w14:paraId="4F19FC97" w14:textId="6DED0FA2" w:rsidR="0012135A" w:rsidRDefault="0012135A" w:rsidP="007800E1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On October 5, 2023, Complaint Counsel filed a Motion to Dismiss the Statement of Allegations. Following the Respondent’s assent to this motion, the DALA Magistrate </w:t>
      </w:r>
      <w:r w:rsidR="00E34DA3">
        <w:rPr>
          <w:sz w:val="24"/>
          <w:szCs w:val="24"/>
        </w:rPr>
        <w:t>issued a Recommended Order of Dismissal.</w:t>
      </w:r>
    </w:p>
    <w:p w14:paraId="4EA8072B" w14:textId="196244F5" w:rsidR="007800E1" w:rsidRDefault="007800E1" w:rsidP="007800E1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7800E1">
        <w:rPr>
          <w:b/>
          <w:bCs/>
          <w:sz w:val="24"/>
          <w:szCs w:val="24"/>
          <w:u w:val="single"/>
        </w:rPr>
        <w:t>Discussion</w:t>
      </w:r>
    </w:p>
    <w:p w14:paraId="1A1979B8" w14:textId="03D3AADF" w:rsidR="00420EF7" w:rsidRPr="00420EF7" w:rsidRDefault="007800E1" w:rsidP="00B20B8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20EF7" w:rsidRPr="00420EF7">
        <w:rPr>
          <w:sz w:val="24"/>
          <w:szCs w:val="24"/>
        </w:rPr>
        <w:t xml:space="preserve">This matter came before the Board for disposition </w:t>
      </w:r>
      <w:proofErr w:type="gramStart"/>
      <w:r w:rsidR="00420EF7" w:rsidRPr="00420EF7">
        <w:rPr>
          <w:sz w:val="24"/>
          <w:szCs w:val="24"/>
        </w:rPr>
        <w:t>on the basis of</w:t>
      </w:r>
      <w:proofErr w:type="gramEnd"/>
      <w:r w:rsidR="00420EF7" w:rsidRPr="00420EF7">
        <w:rPr>
          <w:sz w:val="24"/>
          <w:szCs w:val="24"/>
        </w:rPr>
        <w:t xml:space="preserve"> the Administrative Magistrate’s Recommended </w:t>
      </w:r>
      <w:r w:rsidR="00420EF7">
        <w:rPr>
          <w:sz w:val="24"/>
          <w:szCs w:val="24"/>
        </w:rPr>
        <w:t>Order of Dismissal</w:t>
      </w:r>
      <w:r w:rsidR="00420EF7" w:rsidRPr="00420EF7">
        <w:rPr>
          <w:sz w:val="24"/>
          <w:szCs w:val="24"/>
        </w:rPr>
        <w:t xml:space="preserve">, dated </w:t>
      </w:r>
      <w:r w:rsidR="00420EF7">
        <w:rPr>
          <w:sz w:val="24"/>
          <w:szCs w:val="24"/>
        </w:rPr>
        <w:t>October</w:t>
      </w:r>
      <w:r w:rsidR="00420EF7" w:rsidRPr="00420EF7">
        <w:rPr>
          <w:sz w:val="24"/>
          <w:szCs w:val="24"/>
        </w:rPr>
        <w:t xml:space="preserve"> 6, 2023, which is attached hereto and incorporated by reference.  After full consideration of the Recommended </w:t>
      </w:r>
      <w:r w:rsidR="0091050D">
        <w:rPr>
          <w:sz w:val="24"/>
          <w:szCs w:val="24"/>
        </w:rPr>
        <w:t>Order</w:t>
      </w:r>
      <w:r w:rsidR="00420EF7" w:rsidRPr="00420EF7">
        <w:rPr>
          <w:sz w:val="24"/>
          <w:szCs w:val="24"/>
        </w:rPr>
        <w:t xml:space="preserve">, the Board ADOPTS so much of the Recommended </w:t>
      </w:r>
      <w:r w:rsidR="00014FD0">
        <w:rPr>
          <w:sz w:val="24"/>
          <w:szCs w:val="24"/>
        </w:rPr>
        <w:t>O</w:t>
      </w:r>
      <w:r w:rsidR="00FA7D8B">
        <w:rPr>
          <w:sz w:val="24"/>
          <w:szCs w:val="24"/>
        </w:rPr>
        <w:t>rder</w:t>
      </w:r>
      <w:r w:rsidR="00420EF7" w:rsidRPr="00420EF7">
        <w:rPr>
          <w:sz w:val="24"/>
          <w:szCs w:val="24"/>
        </w:rPr>
        <w:t xml:space="preserve"> as finds that the Board has not proven by a preponderance of the evidence</w:t>
      </w:r>
      <w:r w:rsidR="00FA7D8B">
        <w:rPr>
          <w:sz w:val="24"/>
          <w:szCs w:val="24"/>
        </w:rPr>
        <w:t xml:space="preserve"> the allegations of the Statement of </w:t>
      </w:r>
      <w:r w:rsidR="00014FD0">
        <w:rPr>
          <w:sz w:val="24"/>
          <w:szCs w:val="24"/>
        </w:rPr>
        <w:t>A</w:t>
      </w:r>
      <w:r w:rsidR="00FA7D8B">
        <w:rPr>
          <w:sz w:val="24"/>
          <w:szCs w:val="24"/>
        </w:rPr>
        <w:t>llegations, namely,</w:t>
      </w:r>
      <w:r w:rsidR="00420EF7" w:rsidRPr="00420EF7">
        <w:rPr>
          <w:sz w:val="24"/>
          <w:szCs w:val="24"/>
        </w:rPr>
        <w:t xml:space="preserve"> that the Respondent</w:t>
      </w:r>
      <w:r w:rsidR="00420EF7">
        <w:rPr>
          <w:sz w:val="24"/>
          <w:szCs w:val="24"/>
        </w:rPr>
        <w:t>’s medication error</w:t>
      </w:r>
      <w:r w:rsidR="0091050D">
        <w:rPr>
          <w:sz w:val="24"/>
          <w:szCs w:val="24"/>
        </w:rPr>
        <w:t xml:space="preserve"> </w:t>
      </w:r>
      <w:r w:rsidR="00FA7D8B">
        <w:rPr>
          <w:sz w:val="24"/>
          <w:szCs w:val="24"/>
        </w:rPr>
        <w:t xml:space="preserve">involving a pediatric patient </w:t>
      </w:r>
      <w:r w:rsidR="0091050D">
        <w:rPr>
          <w:sz w:val="24"/>
          <w:szCs w:val="24"/>
        </w:rPr>
        <w:t>constituted</w:t>
      </w:r>
      <w:r w:rsidR="00FA7D8B">
        <w:rPr>
          <w:sz w:val="24"/>
          <w:szCs w:val="24"/>
        </w:rPr>
        <w:t xml:space="preserve">; </w:t>
      </w:r>
      <w:r w:rsidR="0091050D">
        <w:rPr>
          <w:sz w:val="24"/>
          <w:szCs w:val="24"/>
        </w:rPr>
        <w:t>misconduct</w:t>
      </w:r>
      <w:r w:rsidR="00FA7D8B">
        <w:rPr>
          <w:sz w:val="24"/>
          <w:szCs w:val="24"/>
        </w:rPr>
        <w:t xml:space="preserve">; </w:t>
      </w:r>
      <w:r w:rsidR="0091050D">
        <w:rPr>
          <w:sz w:val="24"/>
          <w:szCs w:val="24"/>
        </w:rPr>
        <w:t>conduct which calls into question the Respondent’s competence to practice medicine</w:t>
      </w:r>
      <w:r w:rsidR="00FA7D8B">
        <w:rPr>
          <w:sz w:val="24"/>
          <w:szCs w:val="24"/>
        </w:rPr>
        <w:t>; a lack of good moral character; or conduct that undermines the public confidence in the integrity of the profession.</w:t>
      </w:r>
    </w:p>
    <w:p w14:paraId="0E27B00A" w14:textId="619C2F98" w:rsidR="00FD1B30" w:rsidRPr="003503E2" w:rsidRDefault="00420EF7" w:rsidP="00B20B81">
      <w:pPr>
        <w:spacing w:line="480" w:lineRule="auto"/>
        <w:ind w:firstLine="720"/>
        <w:rPr>
          <w:sz w:val="24"/>
          <w:szCs w:val="24"/>
        </w:rPr>
      </w:pPr>
      <w:r w:rsidRPr="00420EF7">
        <w:rPr>
          <w:sz w:val="24"/>
          <w:szCs w:val="24"/>
        </w:rPr>
        <w:lastRenderedPageBreak/>
        <w:t xml:space="preserve">As such, the Board hereby </w:t>
      </w:r>
      <w:r w:rsidRPr="003C07AE">
        <w:rPr>
          <w:b/>
          <w:bCs/>
          <w:sz w:val="24"/>
          <w:szCs w:val="24"/>
        </w:rPr>
        <w:t>DISMISSES</w:t>
      </w:r>
      <w:r w:rsidRPr="00420EF7">
        <w:rPr>
          <w:sz w:val="24"/>
          <w:szCs w:val="24"/>
        </w:rPr>
        <w:t xml:space="preserve"> the Statement of Allegations</w:t>
      </w:r>
      <w:r w:rsidR="003C07AE">
        <w:rPr>
          <w:sz w:val="24"/>
          <w:szCs w:val="24"/>
        </w:rPr>
        <w:t xml:space="preserve">, </w:t>
      </w:r>
      <w:r w:rsidR="003C07AE" w:rsidRPr="003C07AE">
        <w:rPr>
          <w:b/>
          <w:bCs/>
          <w:sz w:val="24"/>
          <w:szCs w:val="24"/>
        </w:rPr>
        <w:t>WITH PREJUDICE</w:t>
      </w:r>
      <w:r w:rsidR="003C07AE">
        <w:rPr>
          <w:sz w:val="24"/>
          <w:szCs w:val="24"/>
        </w:rPr>
        <w:t xml:space="preserve">, </w:t>
      </w:r>
      <w:r w:rsidRPr="00420EF7">
        <w:rPr>
          <w:sz w:val="24"/>
          <w:szCs w:val="24"/>
        </w:rPr>
        <w:t xml:space="preserve">on the basis that the Board did not sustain its burden of proving the Respondent’s conduct </w:t>
      </w:r>
      <w:r w:rsidR="00FA7D8B">
        <w:rPr>
          <w:sz w:val="24"/>
          <w:szCs w:val="24"/>
        </w:rPr>
        <w:t>constituted; misconduct; conduct which calls into question the Respondent’s competence to practice medicine; a lack of good moral character; or conduct that undermines the public confidence in the integrity of the professio</w:t>
      </w:r>
      <w:r w:rsidR="003503E2">
        <w:rPr>
          <w:sz w:val="24"/>
          <w:szCs w:val="24"/>
        </w:rPr>
        <w:t xml:space="preserve">n, </w:t>
      </w:r>
      <w:r w:rsidRPr="00420EF7">
        <w:rPr>
          <w:sz w:val="24"/>
          <w:szCs w:val="24"/>
        </w:rPr>
        <w:t xml:space="preserve">and, in accordance with M.G.L. c. 112, </w:t>
      </w:r>
      <w:r w:rsidRPr="00420EF7">
        <w:rPr>
          <w:rFonts w:cs="Calibri"/>
          <w:sz w:val="24"/>
          <w:szCs w:val="24"/>
        </w:rPr>
        <w:t>§</w:t>
      </w:r>
      <w:r w:rsidRPr="00420EF7">
        <w:rPr>
          <w:sz w:val="24"/>
          <w:szCs w:val="24"/>
        </w:rPr>
        <w:t xml:space="preserve"> 5, exonerates the Respondent.</w:t>
      </w:r>
    </w:p>
    <w:p w14:paraId="60061E4C" w14:textId="77777777" w:rsidR="00FD1B30" w:rsidRDefault="00FD1B30">
      <w:pPr>
        <w:rPr>
          <w:sz w:val="24"/>
        </w:rPr>
      </w:pPr>
    </w:p>
    <w:p w14:paraId="595CE0CF" w14:textId="1958D0B7" w:rsidR="00063F91" w:rsidRPr="00063F91" w:rsidRDefault="00FD1B30" w:rsidP="399FBD1B">
      <w:pPr>
        <w:ind w:right="-480"/>
        <w:rPr>
          <w:sz w:val="24"/>
          <w:szCs w:val="24"/>
        </w:rPr>
      </w:pPr>
      <w:r w:rsidRPr="399FBD1B">
        <w:rPr>
          <w:sz w:val="24"/>
          <w:szCs w:val="24"/>
        </w:rPr>
        <w:t>Date:</w:t>
      </w:r>
      <w:r w:rsidR="00570DF2" w:rsidRPr="399FBD1B">
        <w:rPr>
          <w:sz w:val="24"/>
          <w:szCs w:val="24"/>
        </w:rPr>
        <w:t xml:space="preserve"> </w:t>
      </w:r>
      <w:r w:rsidR="004626CF">
        <w:rPr>
          <w:sz w:val="24"/>
          <w:szCs w:val="24"/>
        </w:rPr>
        <w:t>November 2, 2023</w:t>
      </w:r>
      <w:r w:rsidR="004626CF">
        <w:rPr>
          <w:sz w:val="24"/>
          <w:szCs w:val="24"/>
        </w:rPr>
        <w:tab/>
      </w:r>
      <w:r>
        <w:tab/>
      </w:r>
      <w:r>
        <w:tab/>
      </w:r>
      <w:r w:rsidR="004626CF">
        <w:rPr>
          <w:sz w:val="24"/>
          <w:szCs w:val="24"/>
          <w:u w:val="single"/>
        </w:rPr>
        <w:t>Signed by Julian N. Robinson, M.D.</w:t>
      </w:r>
      <w:r w:rsidR="004626CF">
        <w:rPr>
          <w:sz w:val="24"/>
          <w:szCs w:val="24"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0566" w:rsidRPr="399FBD1B">
        <w:rPr>
          <w:sz w:val="24"/>
          <w:szCs w:val="24"/>
        </w:rPr>
        <w:t>Julian N. Robinson, M.D.</w:t>
      </w:r>
    </w:p>
    <w:p w14:paraId="2951D096" w14:textId="77777777" w:rsidR="00FD1B30" w:rsidRDefault="00063F91" w:rsidP="00063F91">
      <w:pPr>
        <w:ind w:right="-480"/>
        <w:rPr>
          <w:sz w:val="24"/>
        </w:rPr>
      </w:pP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</w:r>
      <w:r w:rsidRPr="00063F91">
        <w:rPr>
          <w:sz w:val="24"/>
        </w:rPr>
        <w:tab/>
        <w:t>Board Chair</w:t>
      </w:r>
    </w:p>
    <w:p w14:paraId="44EAFD9C" w14:textId="77777777" w:rsidR="00FD1B30" w:rsidRDefault="00FD1B30">
      <w:pPr>
        <w:rPr>
          <w:sz w:val="24"/>
        </w:rPr>
      </w:pPr>
    </w:p>
    <w:p w14:paraId="7B10AD6F" w14:textId="77777777" w:rsidR="00420EF7" w:rsidRDefault="00420EF7">
      <w:pPr>
        <w:rPr>
          <w:sz w:val="24"/>
        </w:rPr>
      </w:pPr>
    </w:p>
    <w:sectPr w:rsidR="00420EF7" w:rsidSect="00C9488C">
      <w:pgSz w:w="12240" w:h="15840" w:code="1"/>
      <w:pgMar w:top="1440" w:right="1170" w:bottom="1440" w:left="1800" w:header="720" w:footer="720" w:gutter="0"/>
      <w:paperSrc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2E73" w14:textId="77777777" w:rsidR="00617FA2" w:rsidRDefault="00617FA2" w:rsidP="00617FA2">
      <w:r>
        <w:separator/>
      </w:r>
    </w:p>
  </w:endnote>
  <w:endnote w:type="continuationSeparator" w:id="0">
    <w:p w14:paraId="56E75568" w14:textId="77777777" w:rsidR="00617FA2" w:rsidRDefault="00617FA2" w:rsidP="0061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92AB" w14:textId="77777777" w:rsidR="00617FA2" w:rsidRDefault="00617FA2" w:rsidP="00617FA2">
      <w:r>
        <w:separator/>
      </w:r>
    </w:p>
  </w:footnote>
  <w:footnote w:type="continuationSeparator" w:id="0">
    <w:p w14:paraId="5DCCB8D1" w14:textId="77777777" w:rsidR="00617FA2" w:rsidRDefault="00617FA2" w:rsidP="00617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sDel="0"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7E"/>
    <w:rsid w:val="00014FD0"/>
    <w:rsid w:val="00063F91"/>
    <w:rsid w:val="00077B9C"/>
    <w:rsid w:val="000C701B"/>
    <w:rsid w:val="00107994"/>
    <w:rsid w:val="0012135A"/>
    <w:rsid w:val="0020231F"/>
    <w:rsid w:val="0022116E"/>
    <w:rsid w:val="002B781B"/>
    <w:rsid w:val="002D52D5"/>
    <w:rsid w:val="00321263"/>
    <w:rsid w:val="00321AE9"/>
    <w:rsid w:val="00321BDA"/>
    <w:rsid w:val="003228F0"/>
    <w:rsid w:val="003503E2"/>
    <w:rsid w:val="0037473A"/>
    <w:rsid w:val="003755A1"/>
    <w:rsid w:val="003C07AE"/>
    <w:rsid w:val="00420EF7"/>
    <w:rsid w:val="00433A40"/>
    <w:rsid w:val="004423E6"/>
    <w:rsid w:val="004626CF"/>
    <w:rsid w:val="00471AB6"/>
    <w:rsid w:val="004B2311"/>
    <w:rsid w:val="004D1262"/>
    <w:rsid w:val="005341CE"/>
    <w:rsid w:val="00540A9A"/>
    <w:rsid w:val="00570DF2"/>
    <w:rsid w:val="005A5C6D"/>
    <w:rsid w:val="005B7403"/>
    <w:rsid w:val="00610566"/>
    <w:rsid w:val="00617FA2"/>
    <w:rsid w:val="00640DDC"/>
    <w:rsid w:val="00670C36"/>
    <w:rsid w:val="00723CAD"/>
    <w:rsid w:val="00753A42"/>
    <w:rsid w:val="007669B0"/>
    <w:rsid w:val="007800E1"/>
    <w:rsid w:val="008318CF"/>
    <w:rsid w:val="0083625C"/>
    <w:rsid w:val="008D7854"/>
    <w:rsid w:val="0091050D"/>
    <w:rsid w:val="0097747E"/>
    <w:rsid w:val="009C2802"/>
    <w:rsid w:val="009E4E37"/>
    <w:rsid w:val="009F672E"/>
    <w:rsid w:val="00A22560"/>
    <w:rsid w:val="00B20B81"/>
    <w:rsid w:val="00B30256"/>
    <w:rsid w:val="00B70B8B"/>
    <w:rsid w:val="00B73B86"/>
    <w:rsid w:val="00BF6353"/>
    <w:rsid w:val="00C668BC"/>
    <w:rsid w:val="00C92DE5"/>
    <w:rsid w:val="00C9488C"/>
    <w:rsid w:val="00CB6750"/>
    <w:rsid w:val="00D579BE"/>
    <w:rsid w:val="00D70BC0"/>
    <w:rsid w:val="00D7695F"/>
    <w:rsid w:val="00DE60B4"/>
    <w:rsid w:val="00E224C9"/>
    <w:rsid w:val="00E34DA3"/>
    <w:rsid w:val="00EB7A71"/>
    <w:rsid w:val="00F36D6C"/>
    <w:rsid w:val="00F43DEB"/>
    <w:rsid w:val="00F70E9E"/>
    <w:rsid w:val="00F93C3A"/>
    <w:rsid w:val="00FA7D8B"/>
    <w:rsid w:val="00FD1B30"/>
    <w:rsid w:val="0262391D"/>
    <w:rsid w:val="04707BCF"/>
    <w:rsid w:val="11205485"/>
    <w:rsid w:val="1352F77D"/>
    <w:rsid w:val="16FD0A90"/>
    <w:rsid w:val="1A34AB52"/>
    <w:rsid w:val="22A7E57C"/>
    <w:rsid w:val="245CDE3A"/>
    <w:rsid w:val="2AB2F761"/>
    <w:rsid w:val="2C67F01F"/>
    <w:rsid w:val="30A8D5C9"/>
    <w:rsid w:val="33E0768B"/>
    <w:rsid w:val="362C41E0"/>
    <w:rsid w:val="399FBD1B"/>
    <w:rsid w:val="3A85EAA4"/>
    <w:rsid w:val="3C21BB05"/>
    <w:rsid w:val="3DD0CA0E"/>
    <w:rsid w:val="407726E4"/>
    <w:rsid w:val="45FA92FB"/>
    <w:rsid w:val="51C4D5A0"/>
    <w:rsid w:val="636999A4"/>
    <w:rsid w:val="66A13A66"/>
    <w:rsid w:val="67017525"/>
    <w:rsid w:val="68B66DE3"/>
    <w:rsid w:val="6D107BEA"/>
    <w:rsid w:val="6D89DF06"/>
    <w:rsid w:val="6F0C870A"/>
    <w:rsid w:val="724427CC"/>
    <w:rsid w:val="76D46868"/>
    <w:rsid w:val="771798EF"/>
    <w:rsid w:val="771F8675"/>
    <w:rsid w:val="780B5BE2"/>
    <w:rsid w:val="792DC927"/>
    <w:rsid w:val="7E5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444B2"/>
  <w15:docId w15:val="{6A1C4BE1-1365-4981-9B70-5FA80C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="480" w:lineRule="auto"/>
    </w:pPr>
    <w:rPr>
      <w:sz w:val="24"/>
    </w:rPr>
  </w:style>
  <w:style w:type="paragraph" w:styleId="FootnoteText">
    <w:name w:val="footnote text"/>
    <w:semiHidden/>
    <w:pPr>
      <w:spacing w:before="60" w:line="240" w:lineRule="exact"/>
    </w:pPr>
    <w:rPr>
      <w:rFonts w:ascii="Courier" w:hAnsi="Courier"/>
      <w:sz w:val="24"/>
    </w:rPr>
  </w:style>
  <w:style w:type="paragraph" w:styleId="Header">
    <w:name w:val="header"/>
    <w:basedOn w:val="Normal"/>
    <w:link w:val="HeaderChar"/>
    <w:unhideWhenUsed/>
    <w:rsid w:val="00617F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7FA2"/>
  </w:style>
  <w:style w:type="paragraph" w:styleId="Footer">
    <w:name w:val="footer"/>
    <w:basedOn w:val="Normal"/>
    <w:link w:val="FooterChar"/>
    <w:unhideWhenUsed/>
    <w:rsid w:val="00617F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sdonnelly</dc:creator>
  <cp:lastModifiedBy>LaPointe, Donald (DPH)</cp:lastModifiedBy>
  <cp:revision>5</cp:revision>
  <cp:lastPrinted>2016-09-07T18:07:00Z</cp:lastPrinted>
  <dcterms:created xsi:type="dcterms:W3CDTF">2023-10-25T19:19:00Z</dcterms:created>
  <dcterms:modified xsi:type="dcterms:W3CDTF">2023-11-06T14:25:00Z</dcterms:modified>
</cp:coreProperties>
</file>