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050" w:rsidRDefault="00470050" w:rsidP="00470050">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470050" w:rsidRDefault="00470050" w:rsidP="00470050">
      <w:pPr>
        <w:jc w:val="center"/>
      </w:pPr>
      <w:r>
        <w:t>BOARD OF REGISTRATION IN MEDICINE</w:t>
      </w:r>
    </w:p>
    <w:p w:rsidR="00470050" w:rsidRDefault="00470050" w:rsidP="00470050">
      <w:pPr>
        <w:jc w:val="center"/>
      </w:pPr>
    </w:p>
    <w:p w:rsidR="00470050" w:rsidRDefault="00470050" w:rsidP="00470050">
      <w:r>
        <w:t>MIDDLESEX, ss</w:t>
      </w:r>
      <w:r>
        <w:tab/>
      </w:r>
      <w:r>
        <w:tab/>
      </w:r>
      <w:r>
        <w:tab/>
      </w:r>
      <w:r>
        <w:tab/>
      </w:r>
      <w:r>
        <w:tab/>
        <w:t>Adjudicatory Case No. 201</w:t>
      </w:r>
      <w:r w:rsidR="00844156">
        <w:t>6-012</w:t>
      </w:r>
    </w:p>
    <w:p w:rsidR="00470050" w:rsidRDefault="00470050" w:rsidP="00470050">
      <w:r>
        <w:tab/>
      </w:r>
      <w:r>
        <w:tab/>
      </w:r>
      <w:r>
        <w:tab/>
      </w:r>
      <w:r>
        <w:tab/>
      </w:r>
      <w:r>
        <w:tab/>
      </w:r>
      <w:r>
        <w:tab/>
      </w:r>
      <w:r>
        <w:tab/>
      </w:r>
      <w:r w:rsidR="004E3EF5">
        <w:tab/>
      </w:r>
      <w:r>
        <w:t>(RM-1</w:t>
      </w:r>
      <w:r w:rsidR="00C223E1">
        <w:t>6</w:t>
      </w:r>
      <w:r>
        <w:t>-</w:t>
      </w:r>
      <w:r w:rsidR="00C223E1">
        <w:t>131</w:t>
      </w:r>
      <w:r>
        <w:t>)</w:t>
      </w:r>
    </w:p>
    <w:p w:rsidR="00470050" w:rsidRDefault="00470050" w:rsidP="00470050">
      <w:pPr>
        <w:jc w:val="both"/>
      </w:pPr>
      <w:r>
        <w:t>________________________</w:t>
      </w:r>
    </w:p>
    <w:p w:rsidR="00470050" w:rsidRDefault="00470050" w:rsidP="00470050">
      <w:pPr>
        <w:jc w:val="both"/>
      </w:pPr>
      <w:r>
        <w:tab/>
      </w:r>
      <w:r>
        <w:tab/>
      </w:r>
      <w:r>
        <w:tab/>
      </w:r>
      <w:r>
        <w:tab/>
        <w:t>)</w:t>
      </w:r>
    </w:p>
    <w:p w:rsidR="00470050" w:rsidRDefault="00470050" w:rsidP="00470050">
      <w:pPr>
        <w:jc w:val="both"/>
      </w:pPr>
      <w:r>
        <w:t xml:space="preserve">In the Matter of </w:t>
      </w:r>
      <w:r>
        <w:tab/>
      </w:r>
      <w:r>
        <w:tab/>
        <w:t>)</w:t>
      </w:r>
    </w:p>
    <w:p w:rsidR="00470050" w:rsidRDefault="00470050" w:rsidP="00470050">
      <w:pPr>
        <w:jc w:val="both"/>
      </w:pPr>
      <w:r>
        <w:tab/>
      </w:r>
      <w:r>
        <w:tab/>
      </w:r>
      <w:r>
        <w:tab/>
      </w:r>
      <w:r>
        <w:tab/>
        <w:t>)</w:t>
      </w:r>
      <w:r>
        <w:tab/>
      </w:r>
      <w:r w:rsidR="003B5244">
        <w:tab/>
      </w:r>
      <w:r w:rsidR="003B5244">
        <w:tab/>
      </w:r>
      <w:r>
        <w:rPr>
          <w:u w:val="single"/>
        </w:rPr>
        <w:t>FINAL DECISION AND ORDER</w:t>
      </w:r>
    </w:p>
    <w:p w:rsidR="00470050" w:rsidRDefault="00844156" w:rsidP="00470050">
      <w:pPr>
        <w:jc w:val="both"/>
      </w:pPr>
      <w:r>
        <w:t>Joseph Knight</w:t>
      </w:r>
      <w:r w:rsidR="006F42C2">
        <w:t xml:space="preserve">, </w:t>
      </w:r>
      <w:r w:rsidR="00470050">
        <w:t>M.D.</w:t>
      </w:r>
      <w:r w:rsidR="006F42C2">
        <w:tab/>
      </w:r>
      <w:r w:rsidR="00470050">
        <w:tab/>
        <w:t>)</w:t>
      </w:r>
    </w:p>
    <w:p w:rsidR="00470050" w:rsidRDefault="00470050" w:rsidP="00470050">
      <w:pPr>
        <w:jc w:val="both"/>
      </w:pPr>
      <w:r>
        <w:t>________________________)</w:t>
      </w:r>
    </w:p>
    <w:p w:rsidR="00470050" w:rsidRDefault="00470050" w:rsidP="00470050">
      <w:pPr>
        <w:jc w:val="both"/>
      </w:pPr>
    </w:p>
    <w:p w:rsidR="00703965" w:rsidRDefault="00470050" w:rsidP="00C223E1">
      <w:pPr>
        <w:spacing w:line="360" w:lineRule="auto"/>
      </w:pPr>
      <w:r>
        <w:tab/>
      </w:r>
    </w:p>
    <w:p w:rsidR="00F71658" w:rsidRDefault="00470050" w:rsidP="00703965">
      <w:pPr>
        <w:spacing w:line="360" w:lineRule="auto"/>
        <w:ind w:firstLine="720"/>
      </w:pPr>
      <w:r>
        <w:t>This matter came before the Board for disposition on the basis of the Administrative Magistrate’s</w:t>
      </w:r>
      <w:r w:rsidR="006F42C2">
        <w:t xml:space="preserve"> </w:t>
      </w:r>
      <w:r w:rsidR="00C223E1">
        <w:t>May 8</w:t>
      </w:r>
      <w:r w:rsidR="006F42C2">
        <w:t>, 201</w:t>
      </w:r>
      <w:r w:rsidR="00C223E1">
        <w:t>9</w:t>
      </w:r>
      <w:r>
        <w:t xml:space="preserve"> Recommended Decision, </w:t>
      </w:r>
      <w:r w:rsidR="006F42C2">
        <w:t>the Respondent’s Objection</w:t>
      </w:r>
      <w:r w:rsidR="00C223E1">
        <w:t>s</w:t>
      </w:r>
      <w:r w:rsidR="006F42C2">
        <w:t xml:space="preserve"> to the Administrative Magistrate’s Recommended Decision (Respondent’s Objection</w:t>
      </w:r>
      <w:r w:rsidR="00C223E1">
        <w:t>s</w:t>
      </w:r>
      <w:r w:rsidR="006F42C2">
        <w:t xml:space="preserve">), </w:t>
      </w:r>
      <w:r w:rsidR="0009058B">
        <w:t>and the Parties</w:t>
      </w:r>
      <w:r w:rsidR="003B5244">
        <w:t>’</w:t>
      </w:r>
      <w:r w:rsidR="0009058B">
        <w:t xml:space="preserve"> Memoranda on Disposition.</w:t>
      </w:r>
      <w:r w:rsidR="00D94ABE">
        <w:t xml:space="preserve"> </w:t>
      </w:r>
      <w:r>
        <w:t>After full considerati</w:t>
      </w:r>
      <w:r w:rsidR="00D94ABE">
        <w:t xml:space="preserve">on of the Recommended Decision, which is attached hereto and incorporated by reference, </w:t>
      </w:r>
      <w:r w:rsidR="00A84A26">
        <w:t xml:space="preserve">and all additional submissions, </w:t>
      </w:r>
      <w:r>
        <w:t>the Board adopts the Recommended Decision</w:t>
      </w:r>
      <w:r w:rsidR="00F9376A">
        <w:t>, making the following correction: In the Magistrate’s “Summary of Recommended Decision” she writes that the Respondent “failed to comply with Massachusetts tax laws,” however, in her decision the Magistrate concludes that the Board did not meet its burden in proving this allegation</w:t>
      </w:r>
      <w:r w:rsidR="00C223E1">
        <w:t>.</w:t>
      </w:r>
      <w:r w:rsidR="00F9376A">
        <w:t xml:space="preserve"> Therefore, </w:t>
      </w:r>
      <w:r w:rsidR="00AD63AE">
        <w:t>the Board strikes that clause f</w:t>
      </w:r>
      <w:r w:rsidR="00F9376A">
        <w:t>r</w:t>
      </w:r>
      <w:r w:rsidR="00AD63AE">
        <w:t>o</w:t>
      </w:r>
      <w:r w:rsidR="00F9376A">
        <w:t>m the “Summary of Recommended Decision.”</w:t>
      </w:r>
    </w:p>
    <w:p w:rsidR="00703965" w:rsidRDefault="00557375" w:rsidP="006D208C">
      <w:pPr>
        <w:pStyle w:val="le-normal-32-level"/>
        <w:spacing w:line="360" w:lineRule="auto"/>
        <w:jc w:val="both"/>
      </w:pPr>
      <w:r>
        <w:tab/>
      </w:r>
    </w:p>
    <w:p w:rsidR="00557375" w:rsidRDefault="00557375" w:rsidP="00703965">
      <w:pPr>
        <w:pStyle w:val="le-normal-32-level"/>
        <w:spacing w:line="360" w:lineRule="auto"/>
        <w:ind w:firstLine="720"/>
        <w:jc w:val="both"/>
      </w:pPr>
      <w:r w:rsidRPr="00664457">
        <w:rPr>
          <w:rFonts w:ascii="Times New Roman" w:hAnsi="Times New Roman" w:cs="Times New Roman"/>
          <w:sz w:val="24"/>
          <w:szCs w:val="24"/>
        </w:rPr>
        <w:t>The Board hereby rejects the Respondent’s Objections. In doing so, the Board notes that the Respondent’s primary argument is that he was not disciplined in the State of Oklahoma and that the Order Accepting Voluntary Submission to Jurisdiction, which he entered into with the</w:t>
      </w:r>
      <w:r w:rsidR="00664457" w:rsidRPr="00664457">
        <w:rPr>
          <w:rFonts w:ascii="Times New Roman" w:hAnsi="Times New Roman" w:cs="Times New Roman"/>
          <w:sz w:val="24"/>
          <w:szCs w:val="24"/>
        </w:rPr>
        <w:t xml:space="preserve"> </w:t>
      </w:r>
      <w:r w:rsidRPr="00664457">
        <w:rPr>
          <w:rFonts w:ascii="Times New Roman" w:hAnsi="Times New Roman" w:cs="Times New Roman"/>
          <w:sz w:val="24"/>
          <w:szCs w:val="24"/>
        </w:rPr>
        <w:t xml:space="preserve">Oklahoma State Board of Medicine (Oklahoma Board) on April 4, 2014, is not a disciplinary action. </w:t>
      </w:r>
      <w:r w:rsidR="00332C1D">
        <w:rPr>
          <w:rFonts w:ascii="Times New Roman" w:hAnsi="Times New Roman" w:cs="Times New Roman"/>
          <w:sz w:val="24"/>
          <w:szCs w:val="24"/>
        </w:rPr>
        <w:t xml:space="preserve">The </w:t>
      </w:r>
      <w:r w:rsidR="00664457">
        <w:rPr>
          <w:rFonts w:ascii="Times New Roman" w:eastAsia="Calibri" w:hAnsi="Times New Roman" w:cs="Times New Roman"/>
          <w:sz w:val="24"/>
          <w:szCs w:val="24"/>
        </w:rPr>
        <w:t xml:space="preserve">Voluntary Submittal to Jurisdiction </w:t>
      </w:r>
      <w:r w:rsidR="00332C1D">
        <w:rPr>
          <w:rFonts w:ascii="Times New Roman" w:eastAsia="Calibri" w:hAnsi="Times New Roman" w:cs="Times New Roman"/>
          <w:sz w:val="24"/>
          <w:szCs w:val="24"/>
        </w:rPr>
        <w:t>i</w:t>
      </w:r>
      <w:r w:rsidR="00664457" w:rsidRPr="00664457">
        <w:rPr>
          <w:rFonts w:ascii="Times New Roman" w:eastAsia="Calibri" w:hAnsi="Times New Roman" w:cs="Times New Roman"/>
          <w:sz w:val="24"/>
          <w:szCs w:val="24"/>
        </w:rPr>
        <w:t xml:space="preserve">s a disciplinary action and thus the Respondent was disciplined by the </w:t>
      </w:r>
      <w:r w:rsidRPr="00664457">
        <w:rPr>
          <w:rFonts w:ascii="Times New Roman" w:eastAsia="Calibri" w:hAnsi="Times New Roman" w:cs="Times New Roman"/>
          <w:sz w:val="24"/>
          <w:szCs w:val="24"/>
        </w:rPr>
        <w:t>Oklahoma Board</w:t>
      </w:r>
      <w:r w:rsidR="00664457" w:rsidRPr="00664457">
        <w:rPr>
          <w:rFonts w:ascii="Times New Roman" w:eastAsia="Calibri" w:hAnsi="Times New Roman" w:cs="Times New Roman"/>
          <w:sz w:val="24"/>
          <w:szCs w:val="24"/>
        </w:rPr>
        <w:t>. In regard to the Respondent’s Objection that he did not fraudulently procure or renew his Massachusetts medical license, as set forth below,</w:t>
      </w:r>
      <w:r w:rsidR="00664457">
        <w:rPr>
          <w:rFonts w:eastAsia="Calibri"/>
        </w:rPr>
        <w:t xml:space="preserve"> </w:t>
      </w:r>
      <w:r w:rsidR="00664457">
        <w:rPr>
          <w:rFonts w:ascii="Times New Roman" w:hAnsi="Times New Roman" w:cs="Times New Roman"/>
          <w:sz w:val="24"/>
          <w:szCs w:val="24"/>
        </w:rPr>
        <w:t xml:space="preserve">the Board need only show that the Respondent knowingly made a false statement and that statement was susceptible of actual knowledge. </w:t>
      </w:r>
      <w:r w:rsidR="00664457" w:rsidRPr="00E01CDC">
        <w:rPr>
          <w:rFonts w:ascii="Times New Roman" w:hAnsi="Times New Roman" w:cs="Times New Roman"/>
          <w:i/>
          <w:sz w:val="24"/>
          <w:szCs w:val="24"/>
        </w:rPr>
        <w:t>See</w:t>
      </w:r>
      <w:r w:rsidR="00664457">
        <w:rPr>
          <w:rFonts w:ascii="Times New Roman" w:hAnsi="Times New Roman" w:cs="Times New Roman"/>
          <w:sz w:val="24"/>
          <w:szCs w:val="24"/>
        </w:rPr>
        <w:t xml:space="preserve"> </w:t>
      </w:r>
      <w:r w:rsidR="00664457" w:rsidRPr="00E01CDC">
        <w:rPr>
          <w:rFonts w:ascii="Times New Roman" w:hAnsi="Times New Roman" w:cs="Times New Roman"/>
          <w:i/>
          <w:sz w:val="24"/>
          <w:szCs w:val="24"/>
        </w:rPr>
        <w:t>Fisch v. Board of Registration in Medicine</w:t>
      </w:r>
      <w:r w:rsidR="00664457">
        <w:rPr>
          <w:rFonts w:ascii="Times New Roman" w:hAnsi="Times New Roman" w:cs="Times New Roman"/>
          <w:sz w:val="24"/>
          <w:szCs w:val="24"/>
        </w:rPr>
        <w:t xml:space="preserve">, 437 Mass. 128, 139 (2002)(citations omitted).  </w:t>
      </w:r>
      <w:r>
        <w:t xml:space="preserve"> </w:t>
      </w:r>
    </w:p>
    <w:p w:rsidR="00703965" w:rsidRDefault="00703965" w:rsidP="00703965">
      <w:pPr>
        <w:pStyle w:val="le-normal-32-level"/>
        <w:spacing w:line="360" w:lineRule="auto"/>
        <w:ind w:firstLine="720"/>
        <w:jc w:val="both"/>
      </w:pPr>
    </w:p>
    <w:p w:rsidR="00F71658" w:rsidRPr="001B66E8" w:rsidRDefault="00F71658" w:rsidP="008C3369">
      <w:pPr>
        <w:spacing w:line="360" w:lineRule="auto"/>
        <w:ind w:firstLine="720"/>
        <w:jc w:val="center"/>
        <w:rPr>
          <w:u w:val="single"/>
        </w:rPr>
      </w:pPr>
      <w:r w:rsidRPr="001B66E8">
        <w:rPr>
          <w:u w:val="single"/>
        </w:rPr>
        <w:lastRenderedPageBreak/>
        <w:t>Sanction</w:t>
      </w:r>
    </w:p>
    <w:p w:rsidR="00703965" w:rsidRDefault="005C0524" w:rsidP="008A000E">
      <w:pPr>
        <w:autoSpaceDE w:val="0"/>
        <w:autoSpaceDN w:val="0"/>
        <w:adjustRightInd w:val="0"/>
        <w:spacing w:line="360" w:lineRule="auto"/>
        <w:jc w:val="both"/>
      </w:pPr>
      <w:r>
        <w:tab/>
      </w:r>
    </w:p>
    <w:p w:rsidR="008A000E" w:rsidRDefault="008C3369" w:rsidP="00703965">
      <w:pPr>
        <w:autoSpaceDE w:val="0"/>
        <w:autoSpaceDN w:val="0"/>
        <w:adjustRightInd w:val="0"/>
        <w:spacing w:line="360" w:lineRule="auto"/>
        <w:ind w:firstLine="720"/>
        <w:jc w:val="both"/>
      </w:pPr>
      <w:r>
        <w:t xml:space="preserve">As a function of this Board’s obligation to protect the public health, safety, and welfare, it is proper for the Board to discipline the Respondent. </w:t>
      </w:r>
      <w:r w:rsidRPr="00E01CDC">
        <w:rPr>
          <w:i/>
        </w:rPr>
        <w:t xml:space="preserve">See </w:t>
      </w:r>
      <w:r w:rsidRPr="004E3EF5">
        <w:rPr>
          <w:i/>
        </w:rPr>
        <w:t>Levy v. Board of Registration in Medicine</w:t>
      </w:r>
      <w:r>
        <w:t xml:space="preserve">, 378 Mass. 519 (1979). </w:t>
      </w:r>
      <w:r w:rsidR="00F71658">
        <w:t>Pursuant to 243 CMR 1.03(5)(a)12, the Board has the authori</w:t>
      </w:r>
      <w:r w:rsidR="00742A76">
        <w:t>t</w:t>
      </w:r>
      <w:r w:rsidR="00F71658">
        <w:t xml:space="preserve">y to discipline a physician who has been “disciplined in another jurisdiction in any way by the proper licensing authority for reasons substantially the same as those set forth in G.L. c. 112, §5 or 243 CMR 1.03(5).” </w:t>
      </w:r>
      <w:r w:rsidR="005C0524">
        <w:t xml:space="preserve">The Board may impose discipline based on another state’s disciplinary action, without re-litigating the underlying facts. </w:t>
      </w:r>
      <w:r w:rsidR="005C0524" w:rsidRPr="00E01CDC">
        <w:rPr>
          <w:i/>
        </w:rPr>
        <w:t xml:space="preserve">See </w:t>
      </w:r>
      <w:r w:rsidR="005C0524" w:rsidRPr="004E3EF5">
        <w:rPr>
          <w:i/>
        </w:rPr>
        <w:t>In the Matter of Randolph Ramirez</w:t>
      </w:r>
      <w:r w:rsidR="005C0524">
        <w:t>, M.D. 441 Mass. 479 (2004).</w:t>
      </w:r>
      <w:r w:rsidR="00C75EA3">
        <w:t xml:space="preserve"> </w:t>
      </w:r>
      <w:r w:rsidR="00FE280B">
        <w:t xml:space="preserve">When the Board imposes reciprocal discipline, the Board </w:t>
      </w:r>
      <w:r w:rsidR="00FE280B" w:rsidRPr="004E3EF5">
        <w:t xml:space="preserve">may impose any sanction consistent with its policies and precedent and based on out-of-state facts, not the out-of-state sanction. </w:t>
      </w:r>
      <w:r w:rsidR="00FE280B" w:rsidRPr="00E01CDC">
        <w:rPr>
          <w:i/>
        </w:rPr>
        <w:t>See</w:t>
      </w:r>
      <w:r w:rsidR="00FE280B" w:rsidRPr="004E3EF5">
        <w:rPr>
          <w:i/>
        </w:rPr>
        <w:t xml:space="preserve"> In the Matter of Robert Schlossman, M.D.</w:t>
      </w:r>
      <w:r w:rsidR="00FE280B" w:rsidRPr="004E3EF5">
        <w:t>, Board of Registration in Medicine, Adjudicatory Case No. 85-12-RO (Final Decision and Order, November 5, 1986) (Board noted that the fact that another state stayed its sanction did not require same outcome in Massachusetts).</w:t>
      </w:r>
      <w:r w:rsidR="004E3EF5">
        <w:tab/>
      </w:r>
    </w:p>
    <w:p w:rsidR="00703965" w:rsidRDefault="00417A5F" w:rsidP="008C3369">
      <w:pPr>
        <w:pStyle w:val="le-normal-32-level"/>
        <w:spacing w:line="360" w:lineRule="auto"/>
        <w:jc w:val="both"/>
      </w:pPr>
      <w:r>
        <w:tab/>
      </w:r>
    </w:p>
    <w:p w:rsidR="007D7A4E" w:rsidRDefault="00417A5F" w:rsidP="00703965">
      <w:pPr>
        <w:pStyle w:val="le-normal-32-level"/>
        <w:spacing w:line="360" w:lineRule="auto"/>
        <w:ind w:firstLine="720"/>
        <w:jc w:val="both"/>
        <w:rPr>
          <w:rFonts w:ascii="Times New Roman" w:hAnsi="Times New Roman" w:cs="Times New Roman"/>
          <w:sz w:val="24"/>
          <w:szCs w:val="24"/>
        </w:rPr>
      </w:pPr>
      <w:r w:rsidRPr="008A000E">
        <w:rPr>
          <w:rFonts w:ascii="Times New Roman" w:hAnsi="Times New Roman" w:cs="Times New Roman"/>
          <w:sz w:val="24"/>
          <w:szCs w:val="24"/>
        </w:rPr>
        <w:t>The Board’s regulations include, as a basis for discipline, “</w:t>
      </w:r>
      <w:r w:rsidR="006E2B7F" w:rsidRPr="008A000E">
        <w:rPr>
          <w:rFonts w:ascii="Times New Roman" w:hAnsi="Times New Roman" w:cs="Times New Roman"/>
          <w:sz w:val="24"/>
          <w:szCs w:val="24"/>
        </w:rPr>
        <w:t>[</w:t>
      </w:r>
      <w:r w:rsidRPr="008A000E">
        <w:rPr>
          <w:rFonts w:ascii="Times New Roman" w:hAnsi="Times New Roman" w:cs="Times New Roman"/>
          <w:sz w:val="24"/>
          <w:szCs w:val="24"/>
        </w:rPr>
        <w:t>m</w:t>
      </w:r>
      <w:r w:rsidR="006E2B7F" w:rsidRPr="008A000E">
        <w:rPr>
          <w:rFonts w:ascii="Times New Roman" w:hAnsi="Times New Roman" w:cs="Times New Roman"/>
          <w:sz w:val="24"/>
          <w:szCs w:val="24"/>
        </w:rPr>
        <w:t>]</w:t>
      </w:r>
      <w:r w:rsidRPr="008A000E">
        <w:rPr>
          <w:rFonts w:ascii="Times New Roman" w:hAnsi="Times New Roman" w:cs="Times New Roman"/>
          <w:sz w:val="24"/>
          <w:szCs w:val="24"/>
        </w:rPr>
        <w:t xml:space="preserve">isconduct in the practice.” 243 CMR 1.03(5)(a)(18). </w:t>
      </w:r>
      <w:r w:rsidR="001813CD">
        <w:rPr>
          <w:rFonts w:ascii="Times New Roman" w:hAnsi="Times New Roman" w:cs="Times New Roman"/>
          <w:sz w:val="24"/>
          <w:szCs w:val="24"/>
        </w:rPr>
        <w:t>In addition, the record reflects that the Respondent fraudulently procured his initial full license, as well as fraudulently renewed it in</w:t>
      </w:r>
      <w:r w:rsidR="00673614">
        <w:rPr>
          <w:rFonts w:ascii="Times New Roman" w:hAnsi="Times New Roman" w:cs="Times New Roman"/>
          <w:sz w:val="24"/>
          <w:szCs w:val="24"/>
        </w:rPr>
        <w:t xml:space="preserve"> 2012 and</w:t>
      </w:r>
      <w:r w:rsidR="001813CD">
        <w:rPr>
          <w:rFonts w:ascii="Times New Roman" w:hAnsi="Times New Roman" w:cs="Times New Roman"/>
          <w:sz w:val="24"/>
          <w:szCs w:val="24"/>
        </w:rPr>
        <w:t xml:space="preserve"> 2014.</w:t>
      </w:r>
      <w:r w:rsidR="00673614">
        <w:rPr>
          <w:rFonts w:ascii="Times New Roman" w:hAnsi="Times New Roman" w:cs="Times New Roman"/>
          <w:sz w:val="24"/>
          <w:szCs w:val="24"/>
        </w:rPr>
        <w:t xml:space="preserve"> The Board’s regulations allow for the Board to impose discipline on a physician for “</w:t>
      </w:r>
      <w:r w:rsidR="006E2B7F">
        <w:rPr>
          <w:rFonts w:ascii="Times New Roman" w:hAnsi="Times New Roman" w:cs="Times New Roman"/>
          <w:sz w:val="24"/>
          <w:szCs w:val="24"/>
        </w:rPr>
        <w:t>[</w:t>
      </w:r>
      <w:r w:rsidR="00673614">
        <w:rPr>
          <w:rFonts w:ascii="Times New Roman" w:hAnsi="Times New Roman" w:cs="Times New Roman"/>
          <w:sz w:val="24"/>
          <w:szCs w:val="24"/>
        </w:rPr>
        <w:t>f</w:t>
      </w:r>
      <w:r w:rsidR="006E2B7F">
        <w:rPr>
          <w:rFonts w:ascii="Times New Roman" w:hAnsi="Times New Roman" w:cs="Times New Roman"/>
          <w:sz w:val="24"/>
          <w:szCs w:val="24"/>
        </w:rPr>
        <w:t>]</w:t>
      </w:r>
      <w:r w:rsidR="00673614">
        <w:rPr>
          <w:rFonts w:ascii="Times New Roman" w:hAnsi="Times New Roman" w:cs="Times New Roman"/>
          <w:sz w:val="24"/>
          <w:szCs w:val="24"/>
        </w:rPr>
        <w:t>raudulent procurement of his or her certificate or registration or renewal.” 243 CMR 1.03(5(a)(1).</w:t>
      </w:r>
      <w:r w:rsidR="00AA1F8E">
        <w:rPr>
          <w:rFonts w:ascii="Times New Roman" w:hAnsi="Times New Roman" w:cs="Times New Roman"/>
          <w:sz w:val="24"/>
          <w:szCs w:val="24"/>
        </w:rPr>
        <w:t xml:space="preserve"> </w:t>
      </w:r>
      <w:r w:rsidR="00512DF8" w:rsidRPr="004E3EF5">
        <w:rPr>
          <w:rFonts w:ascii="Times New Roman" w:hAnsi="Times New Roman" w:cs="Times New Roman"/>
          <w:sz w:val="24"/>
          <w:szCs w:val="24"/>
        </w:rPr>
        <w:t xml:space="preserve">When a physician falsely answers a question on a licensing application, the physician deprives the Board of the opportunity to review his or her record and determine whether he or she should be licensed to practice medicine in Massachusetts. </w:t>
      </w:r>
      <w:r w:rsidR="00512DF8" w:rsidRPr="008C3369">
        <w:rPr>
          <w:rFonts w:ascii="Times New Roman" w:hAnsi="Times New Roman" w:cs="Times New Roman"/>
          <w:i/>
          <w:sz w:val="24"/>
          <w:szCs w:val="24"/>
        </w:rPr>
        <w:t>In the Matter of Irina Z. Agronin, M.D.</w:t>
      </w:r>
      <w:r w:rsidR="00512DF8" w:rsidRPr="004E3EF5">
        <w:rPr>
          <w:rFonts w:ascii="Times New Roman" w:hAnsi="Times New Roman" w:cs="Times New Roman"/>
          <w:sz w:val="24"/>
          <w:szCs w:val="24"/>
        </w:rPr>
        <w:t>, Board of Registration in Medicine, Adjudicatory Case No. 02-06-DALA (Final Decision and Order, August 21, 2002).</w:t>
      </w:r>
      <w:r w:rsidR="00E01CDC">
        <w:rPr>
          <w:rFonts w:ascii="Times New Roman" w:hAnsi="Times New Roman" w:cs="Times New Roman"/>
          <w:sz w:val="24"/>
          <w:szCs w:val="24"/>
        </w:rPr>
        <w:t xml:space="preserve"> The Board need not prove fraudulent intent; the Board need only show that the Respondent knowingly made a false statement and that statement was susceptible of actual knowledge. </w:t>
      </w:r>
      <w:r w:rsidR="00E01CDC" w:rsidRPr="00E01CDC">
        <w:rPr>
          <w:rFonts w:ascii="Times New Roman" w:hAnsi="Times New Roman" w:cs="Times New Roman"/>
          <w:i/>
          <w:sz w:val="24"/>
          <w:szCs w:val="24"/>
        </w:rPr>
        <w:t>See</w:t>
      </w:r>
      <w:r w:rsidR="00E01CDC">
        <w:rPr>
          <w:rFonts w:ascii="Times New Roman" w:hAnsi="Times New Roman" w:cs="Times New Roman"/>
          <w:sz w:val="24"/>
          <w:szCs w:val="24"/>
        </w:rPr>
        <w:t xml:space="preserve"> </w:t>
      </w:r>
      <w:r w:rsidR="00E01CDC" w:rsidRPr="00E01CDC">
        <w:rPr>
          <w:rFonts w:ascii="Times New Roman" w:hAnsi="Times New Roman" w:cs="Times New Roman"/>
          <w:i/>
          <w:sz w:val="24"/>
          <w:szCs w:val="24"/>
        </w:rPr>
        <w:t>Fisch v. Board of Registration in Medicine</w:t>
      </w:r>
      <w:r w:rsidR="00E01CDC">
        <w:rPr>
          <w:rFonts w:ascii="Times New Roman" w:hAnsi="Times New Roman" w:cs="Times New Roman"/>
          <w:sz w:val="24"/>
          <w:szCs w:val="24"/>
        </w:rPr>
        <w:t xml:space="preserve">, 437 Mass. 128, 139 (2002)(citations omitted).  </w:t>
      </w:r>
    </w:p>
    <w:p w:rsidR="00703965" w:rsidRDefault="007D7A4E" w:rsidP="00703965">
      <w:pPr>
        <w:pStyle w:val="FootnoteText"/>
        <w:spacing w:line="360" w:lineRule="auto"/>
        <w:rPr>
          <w:sz w:val="24"/>
          <w:szCs w:val="24"/>
        </w:rPr>
      </w:pPr>
      <w:r>
        <w:rPr>
          <w:sz w:val="24"/>
          <w:szCs w:val="24"/>
        </w:rPr>
        <w:tab/>
      </w:r>
    </w:p>
    <w:p w:rsidR="00703965" w:rsidRPr="00F07417" w:rsidRDefault="007D7A4E" w:rsidP="00703965">
      <w:pPr>
        <w:pStyle w:val="FootnoteText"/>
        <w:spacing w:line="360" w:lineRule="auto"/>
        <w:ind w:firstLine="720"/>
        <w:rPr>
          <w:sz w:val="24"/>
          <w:szCs w:val="24"/>
        </w:rPr>
      </w:pPr>
      <w:r>
        <w:rPr>
          <w:sz w:val="24"/>
          <w:szCs w:val="24"/>
        </w:rPr>
        <w:lastRenderedPageBreak/>
        <w:t>The record also reflects that the Respondent practiced medicine while impaired, which is a basis for sanction, pursuant to 243 CMR 1.03(5)(a)(4).</w:t>
      </w:r>
      <w:r w:rsidR="00186C5F">
        <w:rPr>
          <w:sz w:val="24"/>
          <w:szCs w:val="24"/>
        </w:rPr>
        <w:t xml:space="preserve"> </w:t>
      </w:r>
      <w:r w:rsidR="00703965" w:rsidRPr="0075280A">
        <w:rPr>
          <w:i/>
          <w:sz w:val="24"/>
          <w:szCs w:val="24"/>
        </w:rPr>
        <w:t>See</w:t>
      </w:r>
      <w:r w:rsidR="00703965">
        <w:rPr>
          <w:i/>
          <w:sz w:val="24"/>
          <w:szCs w:val="24"/>
        </w:rPr>
        <w:t xml:space="preserve"> Also</w:t>
      </w:r>
      <w:r w:rsidR="00703965" w:rsidRPr="0075280A">
        <w:rPr>
          <w:i/>
          <w:sz w:val="24"/>
          <w:szCs w:val="24"/>
        </w:rPr>
        <w:t xml:space="preserve"> In the Matter of Alexander Kim, M.D.</w:t>
      </w:r>
      <w:r w:rsidR="00703965" w:rsidRPr="00F07417">
        <w:rPr>
          <w:sz w:val="24"/>
          <w:szCs w:val="24"/>
        </w:rPr>
        <w:t>, Board of Registration in Medicine, Adjudicatory Case No. 2018-048 (Consent Order, October 25, 2018).</w:t>
      </w:r>
      <w:r w:rsidR="00186C5F">
        <w:rPr>
          <w:sz w:val="24"/>
          <w:szCs w:val="24"/>
        </w:rPr>
        <w:t xml:space="preserve"> Specifically, on </w:t>
      </w:r>
      <w:r w:rsidR="00186C5F">
        <w:rPr>
          <w:rFonts w:eastAsia="Calibri"/>
          <w:sz w:val="24"/>
          <w:szCs w:val="24"/>
        </w:rPr>
        <w:t>September 5, 2012, the Respondent was removed from work at Harvard Street Neighborhood Health when his colleagues observed him to be unwell</w:t>
      </w:r>
    </w:p>
    <w:p w:rsidR="00703965" w:rsidRDefault="00703965" w:rsidP="008C3369">
      <w:pPr>
        <w:pStyle w:val="le-normal-32-level"/>
        <w:spacing w:line="360" w:lineRule="auto"/>
        <w:jc w:val="both"/>
        <w:rPr>
          <w:rFonts w:ascii="Times New Roman" w:hAnsi="Times New Roman" w:cs="Times New Roman"/>
          <w:sz w:val="24"/>
          <w:szCs w:val="24"/>
        </w:rPr>
      </w:pPr>
    </w:p>
    <w:p w:rsidR="004E3EF5" w:rsidRPr="00703965" w:rsidRDefault="007D7A4E" w:rsidP="00703965">
      <w:pPr>
        <w:pStyle w:val="le-normal-32-level"/>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the record also reflects that the Respondent violated 243 CMR 1.03(5)(11) (“[v]iolation of any rule or regulation of the board”). Specifically, the record reflects that the Respondent violated 243 CMR 2.07(8) and 243 CMR 2.04(12(b), in that he failed to report in writing to the Board changes in registration information that occur during the licensing term within 30 days of the date that the change occurred; the Respondent failed to timely notify the Board of the Drug Enforcement Administration’s action taken against him, the temporary suspension of his Illinois medical license, and the Oklahoma Board’s disciplinary action.</w:t>
      </w:r>
      <w:r w:rsidR="00703965">
        <w:rPr>
          <w:rFonts w:ascii="Times New Roman" w:hAnsi="Times New Roman" w:cs="Times New Roman"/>
          <w:sz w:val="24"/>
          <w:szCs w:val="24"/>
        </w:rPr>
        <w:t xml:space="preserve"> </w:t>
      </w:r>
      <w:r w:rsidR="008A000E" w:rsidRPr="00703965">
        <w:rPr>
          <w:rFonts w:ascii="Times New Roman" w:hAnsi="Times New Roman" w:cs="Times New Roman"/>
          <w:sz w:val="24"/>
          <w:szCs w:val="24"/>
        </w:rPr>
        <w:t>The Board has also imposed discipline on physicians who failed to disclose information on their applications.</w:t>
      </w:r>
      <w:r w:rsidR="00B12D81" w:rsidRPr="00703965">
        <w:rPr>
          <w:rFonts w:ascii="Times New Roman" w:hAnsi="Times New Roman" w:cs="Times New Roman"/>
          <w:sz w:val="24"/>
          <w:szCs w:val="24"/>
        </w:rPr>
        <w:t xml:space="preserve"> </w:t>
      </w:r>
      <w:r w:rsidR="00B12D81" w:rsidRPr="00703965">
        <w:rPr>
          <w:rFonts w:ascii="Times New Roman" w:hAnsi="Times New Roman" w:cs="Times New Roman"/>
          <w:i/>
          <w:sz w:val="24"/>
          <w:szCs w:val="24"/>
        </w:rPr>
        <w:t>See</w:t>
      </w:r>
      <w:r w:rsidR="00B12D81" w:rsidRPr="00703965">
        <w:rPr>
          <w:rFonts w:ascii="Times New Roman" w:hAnsi="Times New Roman" w:cs="Times New Roman"/>
          <w:sz w:val="24"/>
          <w:szCs w:val="24"/>
        </w:rPr>
        <w:t xml:space="preserve"> </w:t>
      </w:r>
      <w:r w:rsidR="0075280A" w:rsidRPr="00703965">
        <w:rPr>
          <w:rFonts w:ascii="Times New Roman" w:hAnsi="Times New Roman" w:cs="Times New Roman"/>
          <w:i/>
          <w:sz w:val="24"/>
          <w:szCs w:val="24"/>
        </w:rPr>
        <w:t>In the Matter of Peter Gherardi, M.D.</w:t>
      </w:r>
      <w:r w:rsidR="0075280A" w:rsidRPr="00703965">
        <w:rPr>
          <w:rFonts w:ascii="Times New Roman" w:hAnsi="Times New Roman" w:cs="Times New Roman"/>
          <w:sz w:val="24"/>
          <w:szCs w:val="24"/>
        </w:rPr>
        <w:t>, Board of Registration in Medicine, Adjudicatory Case No. 2008-030 (Consent Order, August 20, 2008) (physician reprimanded and fined $5,000 for failing to disclose an arrest on his limited license application and his initial full license application, and for failing to disclose a subsequent arrest on a renewal application).</w:t>
      </w:r>
    </w:p>
    <w:p w:rsidR="00703965" w:rsidRDefault="0075280A" w:rsidP="008A676A">
      <w:pPr>
        <w:spacing w:line="360" w:lineRule="auto"/>
        <w:jc w:val="both"/>
      </w:pPr>
      <w:r>
        <w:tab/>
      </w:r>
    </w:p>
    <w:p w:rsidR="0075280A" w:rsidRPr="003B5244" w:rsidRDefault="0075280A" w:rsidP="00703965">
      <w:pPr>
        <w:spacing w:line="360" w:lineRule="auto"/>
        <w:ind w:firstLine="720"/>
        <w:jc w:val="both"/>
      </w:pPr>
      <w:r>
        <w:t>Taking into consideration all of the</w:t>
      </w:r>
      <w:r w:rsidR="008A000E">
        <w:t xml:space="preserve"> above,</w:t>
      </w:r>
      <w:r>
        <w:t xml:space="preserve"> </w:t>
      </w:r>
      <w:r w:rsidR="008A000E">
        <w:t>t</w:t>
      </w:r>
      <w:r>
        <w:t xml:space="preserve">he Board hereby </w:t>
      </w:r>
      <w:r w:rsidR="006D208C">
        <w:t>REVOKES</w:t>
      </w:r>
      <w:r w:rsidR="00096A4F">
        <w:t xml:space="preserve"> </w:t>
      </w:r>
      <w:r>
        <w:t xml:space="preserve">the Respondent’s inchoate right to renew his medical license. </w:t>
      </w:r>
      <w:r w:rsidR="006D208C">
        <w:t>This sanction is imposed for each violation separately</w:t>
      </w:r>
      <w:r w:rsidR="008A000E">
        <w:t xml:space="preserve"> and not for a combination of them</w:t>
      </w:r>
      <w:r w:rsidR="006D208C">
        <w:t>.</w:t>
      </w:r>
    </w:p>
    <w:p w:rsidR="00703965" w:rsidRDefault="003B5244" w:rsidP="0075280A">
      <w:pPr>
        <w:spacing w:line="360" w:lineRule="auto"/>
        <w:jc w:val="both"/>
        <w:rPr>
          <w:rFonts w:eastAsiaTheme="minorHAnsi"/>
        </w:rPr>
      </w:pPr>
      <w:r>
        <w:rPr>
          <w:rFonts w:eastAsiaTheme="minorHAnsi"/>
        </w:rPr>
        <w:tab/>
      </w:r>
    </w:p>
    <w:p w:rsidR="00A76D34" w:rsidRDefault="00A76D34" w:rsidP="00703965">
      <w:pPr>
        <w:spacing w:line="360" w:lineRule="auto"/>
        <w:ind w:firstLine="720"/>
        <w:jc w:val="both"/>
      </w:pPr>
      <w:r w:rsidRPr="003B5244">
        <w:t>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w:t>
      </w:r>
      <w:r>
        <w:t xml:space="preserve">,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and the state licensing boards of all states in which he has any kind of license.  The Respondent shall also provide this notification to any such designated entities with which he becomes associated </w:t>
      </w:r>
      <w:r w:rsidR="00AE4CB8">
        <w:t>during the</w:t>
      </w:r>
      <w:r w:rsidR="006D208C">
        <w:t xml:space="preserve"> duration of this revocation</w:t>
      </w:r>
      <w:r w:rsidR="00AE4CB8">
        <w:t xml:space="preserve">. </w:t>
      </w:r>
      <w:r>
        <w:t>The Respondent is further directed to certify to the Board within ten (10) days that he has complied with this directive.</w:t>
      </w:r>
    </w:p>
    <w:p w:rsidR="00703965" w:rsidRDefault="00703965" w:rsidP="008C3369">
      <w:pPr>
        <w:spacing w:line="360" w:lineRule="auto"/>
        <w:ind w:firstLine="720"/>
        <w:jc w:val="both"/>
      </w:pPr>
    </w:p>
    <w:p w:rsidR="00470050" w:rsidRPr="004E3EF5" w:rsidRDefault="00470050" w:rsidP="00703965">
      <w:pPr>
        <w:spacing w:line="360" w:lineRule="auto"/>
        <w:ind w:firstLine="720"/>
        <w:jc w:val="both"/>
      </w:pPr>
      <w:r w:rsidRPr="004E3EF5">
        <w:t>The Board expressly reserves the authority to independently notify, at any time, any of the entities designated above, or any other affected entity, of any action it has taken.</w:t>
      </w:r>
      <w:r w:rsidR="009829D7" w:rsidRPr="004E3EF5">
        <w:t xml:space="preserve"> The Respondent has the right to appeal this Final </w:t>
      </w:r>
      <w:r w:rsidR="00A76D34">
        <w:t>D</w:t>
      </w:r>
      <w:r w:rsidR="009829D7" w:rsidRPr="004E3EF5">
        <w:t>ecision and Order within (30) days, pursuant to G.L. c. 30A, §§14 and 15, and G.L. c.112, §64.</w:t>
      </w:r>
    </w:p>
    <w:p w:rsidR="00470050" w:rsidRDefault="00470050" w:rsidP="00470050">
      <w:pPr>
        <w:spacing w:line="360" w:lineRule="auto"/>
        <w:jc w:val="both"/>
      </w:pPr>
    </w:p>
    <w:p w:rsidR="00703965" w:rsidRDefault="00703965" w:rsidP="00470050">
      <w:pPr>
        <w:spacing w:line="360" w:lineRule="auto"/>
        <w:jc w:val="both"/>
      </w:pPr>
    </w:p>
    <w:p w:rsidR="00703965" w:rsidRPr="004E3EF5" w:rsidRDefault="00703965" w:rsidP="00470050">
      <w:pPr>
        <w:spacing w:line="360" w:lineRule="auto"/>
        <w:jc w:val="both"/>
      </w:pPr>
    </w:p>
    <w:p w:rsidR="00470050" w:rsidRPr="004E3EF5" w:rsidRDefault="00470050" w:rsidP="00470050"/>
    <w:p w:rsidR="00470050" w:rsidRPr="004E3EF5" w:rsidRDefault="00470050" w:rsidP="00470050">
      <w:r w:rsidRPr="004E3EF5">
        <w:t>Date:</w:t>
      </w:r>
      <w:r w:rsidRPr="004E3EF5">
        <w:tab/>
      </w:r>
      <w:r w:rsidR="00FA6934">
        <w:t>November 7</w:t>
      </w:r>
      <w:r w:rsidR="009D07A6">
        <w:t>, 2019</w:t>
      </w:r>
      <w:r w:rsidR="00DF6DB1" w:rsidRPr="004E3EF5">
        <w:tab/>
      </w:r>
      <w:r w:rsidR="00DF6DB1" w:rsidRPr="004E3EF5">
        <w:tab/>
      </w:r>
      <w:r w:rsidR="00DF6DB1" w:rsidRPr="004E3EF5">
        <w:tab/>
      </w:r>
      <w:r w:rsidR="009D07A6">
        <w:tab/>
      </w:r>
      <w:r w:rsidR="00277629">
        <w:rPr>
          <w:u w:val="single"/>
        </w:rPr>
        <w:t>Signed by Candace Lapidus Sloane, M.D.</w:t>
      </w:r>
      <w:bookmarkStart w:id="0" w:name="_GoBack"/>
      <w:bookmarkEnd w:id="0"/>
    </w:p>
    <w:p w:rsidR="00470050" w:rsidRPr="004E3EF5" w:rsidRDefault="00470050" w:rsidP="00470050">
      <w:r w:rsidRPr="004E3EF5">
        <w:tab/>
      </w:r>
      <w:r w:rsidRPr="004E3EF5">
        <w:tab/>
      </w:r>
      <w:r w:rsidRPr="004E3EF5">
        <w:tab/>
      </w:r>
      <w:r w:rsidRPr="004E3EF5">
        <w:tab/>
      </w:r>
      <w:r w:rsidRPr="004E3EF5">
        <w:tab/>
      </w:r>
      <w:r w:rsidR="00DF6DB1" w:rsidRPr="004E3EF5">
        <w:tab/>
      </w:r>
      <w:r w:rsidR="00DF6DB1" w:rsidRPr="004E3EF5">
        <w:tab/>
      </w:r>
      <w:r w:rsidR="009D07A6">
        <w:rPr>
          <w:rStyle w:val="Strong"/>
          <w:b w:val="0"/>
          <w:lang w:val="en"/>
        </w:rPr>
        <w:t>Candace Lapidus Sloane, M.D.</w:t>
      </w:r>
    </w:p>
    <w:p w:rsidR="007D56F9" w:rsidRPr="004E3EF5" w:rsidRDefault="00470050">
      <w:r w:rsidRPr="004E3EF5">
        <w:tab/>
      </w:r>
      <w:r w:rsidRPr="004E3EF5">
        <w:tab/>
      </w:r>
      <w:r w:rsidRPr="004E3EF5">
        <w:tab/>
      </w:r>
      <w:r w:rsidRPr="004E3EF5">
        <w:tab/>
      </w:r>
      <w:r w:rsidRPr="004E3EF5">
        <w:tab/>
      </w:r>
      <w:r w:rsidR="00DF6DB1" w:rsidRPr="004E3EF5">
        <w:tab/>
      </w:r>
      <w:r w:rsidR="00DF6DB1" w:rsidRPr="004E3EF5">
        <w:tab/>
        <w:t xml:space="preserve">Board </w:t>
      </w:r>
      <w:r w:rsidRPr="004E3EF5">
        <w:t>Chair</w:t>
      </w:r>
    </w:p>
    <w:p w:rsidR="00DF6DB1" w:rsidRDefault="00DF6DB1">
      <w:r w:rsidRPr="004E3EF5">
        <w:tab/>
      </w:r>
      <w:r w:rsidRPr="004E3EF5">
        <w:tab/>
      </w:r>
      <w:r w:rsidRPr="004E3EF5">
        <w:tab/>
      </w:r>
      <w:r w:rsidRPr="004E3EF5">
        <w:tab/>
      </w:r>
      <w:r w:rsidRPr="004E3EF5">
        <w:tab/>
      </w:r>
      <w:r>
        <w:tab/>
      </w:r>
      <w:r>
        <w:tab/>
        <w:t>Board of Registration in Medicine</w:t>
      </w:r>
      <w:r w:rsidR="008E6D60">
        <w:t xml:space="preserve"> </w:t>
      </w:r>
    </w:p>
    <w:sectPr w:rsidR="00DF6DB1" w:rsidSect="002B727F">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27F" w:rsidRDefault="002B727F" w:rsidP="002B727F">
      <w:r>
        <w:separator/>
      </w:r>
    </w:p>
  </w:endnote>
  <w:endnote w:type="continuationSeparator" w:id="0">
    <w:p w:rsidR="002B727F" w:rsidRDefault="002B727F" w:rsidP="002B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40578"/>
      <w:docPartObj>
        <w:docPartGallery w:val="Page Numbers (Bottom of Page)"/>
        <w:docPartUnique/>
      </w:docPartObj>
    </w:sdtPr>
    <w:sdtEndPr>
      <w:rPr>
        <w:noProof/>
      </w:rPr>
    </w:sdtEndPr>
    <w:sdtContent>
      <w:p w:rsidR="009D07A6" w:rsidRDefault="009D07A6">
        <w:pPr>
          <w:pStyle w:val="Footer"/>
          <w:jc w:val="center"/>
        </w:pPr>
        <w:r>
          <w:fldChar w:fldCharType="begin"/>
        </w:r>
        <w:r>
          <w:instrText xml:space="preserve"> PAGE   \* MERGEFORMAT </w:instrText>
        </w:r>
        <w:r>
          <w:fldChar w:fldCharType="separate"/>
        </w:r>
        <w:r w:rsidR="00277629">
          <w:rPr>
            <w:noProof/>
          </w:rPr>
          <w:t>4</w:t>
        </w:r>
        <w:r>
          <w:rPr>
            <w:noProof/>
          </w:rPr>
          <w:fldChar w:fldCharType="end"/>
        </w:r>
      </w:p>
    </w:sdtContent>
  </w:sdt>
  <w:p w:rsidR="002B727F" w:rsidRDefault="002B7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27F" w:rsidRDefault="002B727F" w:rsidP="002B727F">
      <w:r>
        <w:separator/>
      </w:r>
    </w:p>
  </w:footnote>
  <w:footnote w:type="continuationSeparator" w:id="0">
    <w:p w:rsidR="002B727F" w:rsidRDefault="002B727F" w:rsidP="002B72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42929"/>
    <w:multiLevelType w:val="hybridMultilevel"/>
    <w:tmpl w:val="AD6A44F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050"/>
    <w:rsid w:val="0009058B"/>
    <w:rsid w:val="00096A4F"/>
    <w:rsid w:val="00145043"/>
    <w:rsid w:val="001813CD"/>
    <w:rsid w:val="00186C5F"/>
    <w:rsid w:val="00190510"/>
    <w:rsid w:val="001A7958"/>
    <w:rsid w:val="001B4E43"/>
    <w:rsid w:val="001B66E8"/>
    <w:rsid w:val="0021708C"/>
    <w:rsid w:val="00226FAB"/>
    <w:rsid w:val="00241588"/>
    <w:rsid w:val="00277629"/>
    <w:rsid w:val="002B727F"/>
    <w:rsid w:val="002D206E"/>
    <w:rsid w:val="00320C80"/>
    <w:rsid w:val="00326D23"/>
    <w:rsid w:val="00332C1D"/>
    <w:rsid w:val="00335813"/>
    <w:rsid w:val="00356DFE"/>
    <w:rsid w:val="00373C80"/>
    <w:rsid w:val="003B5244"/>
    <w:rsid w:val="003C45BF"/>
    <w:rsid w:val="00417A5F"/>
    <w:rsid w:val="00470050"/>
    <w:rsid w:val="004B5DFF"/>
    <w:rsid w:val="004E3EF5"/>
    <w:rsid w:val="00512DF8"/>
    <w:rsid w:val="00544C72"/>
    <w:rsid w:val="00557375"/>
    <w:rsid w:val="005704F0"/>
    <w:rsid w:val="005C0524"/>
    <w:rsid w:val="006356BE"/>
    <w:rsid w:val="00664457"/>
    <w:rsid w:val="00673614"/>
    <w:rsid w:val="00685317"/>
    <w:rsid w:val="006D0333"/>
    <w:rsid w:val="006D208C"/>
    <w:rsid w:val="006E2B7F"/>
    <w:rsid w:val="006F42C2"/>
    <w:rsid w:val="006F4DB1"/>
    <w:rsid w:val="00703965"/>
    <w:rsid w:val="00742A76"/>
    <w:rsid w:val="0075280A"/>
    <w:rsid w:val="00770CAF"/>
    <w:rsid w:val="007A0B98"/>
    <w:rsid w:val="007D1C13"/>
    <w:rsid w:val="007D56F9"/>
    <w:rsid w:val="007D7A4E"/>
    <w:rsid w:val="007F310A"/>
    <w:rsid w:val="00835225"/>
    <w:rsid w:val="00844156"/>
    <w:rsid w:val="00844313"/>
    <w:rsid w:val="008730F7"/>
    <w:rsid w:val="008871C4"/>
    <w:rsid w:val="008A000E"/>
    <w:rsid w:val="008A676A"/>
    <w:rsid w:val="008C3369"/>
    <w:rsid w:val="008D265F"/>
    <w:rsid w:val="008E6D60"/>
    <w:rsid w:val="009829D7"/>
    <w:rsid w:val="009A519A"/>
    <w:rsid w:val="009C2547"/>
    <w:rsid w:val="009D07A6"/>
    <w:rsid w:val="009D0958"/>
    <w:rsid w:val="00A23F47"/>
    <w:rsid w:val="00A25277"/>
    <w:rsid w:val="00A76D34"/>
    <w:rsid w:val="00A84A26"/>
    <w:rsid w:val="00AA1F8E"/>
    <w:rsid w:val="00AB0F1F"/>
    <w:rsid w:val="00AC620F"/>
    <w:rsid w:val="00AD63AE"/>
    <w:rsid w:val="00AE4CB8"/>
    <w:rsid w:val="00B118B6"/>
    <w:rsid w:val="00B12D81"/>
    <w:rsid w:val="00B37FC9"/>
    <w:rsid w:val="00B86E28"/>
    <w:rsid w:val="00C223E1"/>
    <w:rsid w:val="00C75EA3"/>
    <w:rsid w:val="00CD309A"/>
    <w:rsid w:val="00D453B0"/>
    <w:rsid w:val="00D94912"/>
    <w:rsid w:val="00D94ABE"/>
    <w:rsid w:val="00DD74BA"/>
    <w:rsid w:val="00DE27B2"/>
    <w:rsid w:val="00DF6DB1"/>
    <w:rsid w:val="00E01CDC"/>
    <w:rsid w:val="00E930E9"/>
    <w:rsid w:val="00F01C73"/>
    <w:rsid w:val="00F07417"/>
    <w:rsid w:val="00F47B8A"/>
    <w:rsid w:val="00F678DD"/>
    <w:rsid w:val="00F71658"/>
    <w:rsid w:val="00F9376A"/>
    <w:rsid w:val="00FA6934"/>
    <w:rsid w:val="00FE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0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brm-normal-32-level">
    <w:name w:val="le-brm-normal-32-level"/>
    <w:basedOn w:val="Normal"/>
    <w:rsid w:val="00470050"/>
    <w:pPr>
      <w:spacing w:before="20" w:after="20"/>
    </w:pPr>
    <w:rPr>
      <w:rFonts w:ascii="Courier New" w:hAnsi="Courier New" w:cs="Courier New"/>
      <w:color w:val="000000"/>
      <w:sz w:val="20"/>
      <w:szCs w:val="20"/>
    </w:rPr>
  </w:style>
  <w:style w:type="paragraph" w:styleId="Header">
    <w:name w:val="header"/>
    <w:basedOn w:val="Normal"/>
    <w:link w:val="HeaderChar"/>
    <w:uiPriority w:val="99"/>
    <w:unhideWhenUsed/>
    <w:rsid w:val="002B727F"/>
    <w:pPr>
      <w:tabs>
        <w:tab w:val="center" w:pos="4680"/>
        <w:tab w:val="right" w:pos="9360"/>
      </w:tabs>
    </w:pPr>
  </w:style>
  <w:style w:type="character" w:customStyle="1" w:styleId="HeaderChar">
    <w:name w:val="Header Char"/>
    <w:basedOn w:val="DefaultParagraphFont"/>
    <w:link w:val="Header"/>
    <w:uiPriority w:val="99"/>
    <w:rsid w:val="002B72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727F"/>
    <w:pPr>
      <w:tabs>
        <w:tab w:val="center" w:pos="4680"/>
        <w:tab w:val="right" w:pos="9360"/>
      </w:tabs>
    </w:pPr>
  </w:style>
  <w:style w:type="character" w:customStyle="1" w:styleId="FooterChar">
    <w:name w:val="Footer Char"/>
    <w:basedOn w:val="DefaultParagraphFont"/>
    <w:link w:val="Footer"/>
    <w:uiPriority w:val="99"/>
    <w:rsid w:val="002B727F"/>
    <w:rPr>
      <w:rFonts w:ascii="Times New Roman" w:eastAsia="Times New Roman" w:hAnsi="Times New Roman" w:cs="Times New Roman"/>
      <w:sz w:val="24"/>
      <w:szCs w:val="24"/>
    </w:rPr>
  </w:style>
  <w:style w:type="character" w:customStyle="1" w:styleId="BodyTextChar">
    <w:name w:val="Body Text Char"/>
    <w:link w:val="BodyText"/>
    <w:locked/>
    <w:rsid w:val="00835225"/>
    <w:rPr>
      <w:sz w:val="24"/>
    </w:rPr>
  </w:style>
  <w:style w:type="paragraph" w:styleId="BodyText">
    <w:name w:val="Body Text"/>
    <w:basedOn w:val="Normal"/>
    <w:link w:val="BodyTextChar"/>
    <w:rsid w:val="00835225"/>
    <w:rPr>
      <w:rFonts w:asciiTheme="minorHAnsi" w:eastAsiaTheme="minorHAnsi" w:hAnsiTheme="minorHAnsi" w:cstheme="minorBidi"/>
      <w:szCs w:val="22"/>
    </w:rPr>
  </w:style>
  <w:style w:type="character" w:customStyle="1" w:styleId="BodyTextChar1">
    <w:name w:val="Body Text Char1"/>
    <w:basedOn w:val="DefaultParagraphFont"/>
    <w:uiPriority w:val="99"/>
    <w:semiHidden/>
    <w:rsid w:val="00835225"/>
    <w:rPr>
      <w:rFonts w:ascii="Times New Roman" w:eastAsia="Times New Roman" w:hAnsi="Times New Roman" w:cs="Times New Roman"/>
      <w:sz w:val="24"/>
      <w:szCs w:val="24"/>
    </w:rPr>
  </w:style>
  <w:style w:type="character" w:styleId="Strong">
    <w:name w:val="Strong"/>
    <w:basedOn w:val="DefaultParagraphFont"/>
    <w:uiPriority w:val="22"/>
    <w:qFormat/>
    <w:rsid w:val="00145043"/>
    <w:rPr>
      <w:b/>
      <w:bCs/>
    </w:rPr>
  </w:style>
  <w:style w:type="paragraph" w:styleId="BalloonText">
    <w:name w:val="Balloon Text"/>
    <w:basedOn w:val="Normal"/>
    <w:link w:val="BalloonTextChar"/>
    <w:uiPriority w:val="99"/>
    <w:semiHidden/>
    <w:unhideWhenUsed/>
    <w:rsid w:val="00145043"/>
    <w:rPr>
      <w:rFonts w:ascii="Tahoma" w:hAnsi="Tahoma" w:cs="Tahoma"/>
      <w:sz w:val="16"/>
      <w:szCs w:val="16"/>
    </w:rPr>
  </w:style>
  <w:style w:type="character" w:customStyle="1" w:styleId="BalloonTextChar">
    <w:name w:val="Balloon Text Char"/>
    <w:basedOn w:val="DefaultParagraphFont"/>
    <w:link w:val="BalloonText"/>
    <w:uiPriority w:val="99"/>
    <w:semiHidden/>
    <w:rsid w:val="00145043"/>
    <w:rPr>
      <w:rFonts w:ascii="Tahoma" w:eastAsia="Times New Roman" w:hAnsi="Tahoma" w:cs="Tahoma"/>
      <w:sz w:val="16"/>
      <w:szCs w:val="16"/>
    </w:rPr>
  </w:style>
  <w:style w:type="paragraph" w:styleId="ListParagraph">
    <w:name w:val="List Paragraph"/>
    <w:basedOn w:val="Normal"/>
    <w:uiPriority w:val="34"/>
    <w:qFormat/>
    <w:rsid w:val="00D453B0"/>
    <w:pPr>
      <w:spacing w:after="200" w:line="276" w:lineRule="auto"/>
      <w:ind w:left="720"/>
      <w:contextualSpacing/>
    </w:pPr>
    <w:rPr>
      <w:rFonts w:asciiTheme="minorHAnsi" w:eastAsiaTheme="minorHAnsi" w:hAnsiTheme="minorHAnsi" w:cstheme="minorBidi"/>
      <w:sz w:val="22"/>
      <w:szCs w:val="22"/>
    </w:rPr>
  </w:style>
  <w:style w:type="paragraph" w:customStyle="1" w:styleId="le-normal-32-level">
    <w:name w:val="le-normal-32-level"/>
    <w:basedOn w:val="Normal"/>
    <w:rsid w:val="004E3EF5"/>
    <w:pPr>
      <w:spacing w:before="20" w:after="20"/>
    </w:pPr>
    <w:rPr>
      <w:rFonts w:ascii="Courier New" w:hAnsi="Courier New" w:cs="Courier New"/>
      <w:color w:val="000000"/>
      <w:sz w:val="20"/>
      <w:szCs w:val="20"/>
    </w:rPr>
  </w:style>
  <w:style w:type="paragraph" w:styleId="FootnoteText">
    <w:name w:val="footnote text"/>
    <w:basedOn w:val="Normal"/>
    <w:link w:val="FootnoteTextChar"/>
    <w:semiHidden/>
    <w:rsid w:val="00F07417"/>
    <w:rPr>
      <w:sz w:val="20"/>
      <w:szCs w:val="20"/>
    </w:rPr>
  </w:style>
  <w:style w:type="character" w:customStyle="1" w:styleId="FootnoteTextChar">
    <w:name w:val="Footnote Text Char"/>
    <w:basedOn w:val="DefaultParagraphFont"/>
    <w:link w:val="FootnoteText"/>
    <w:semiHidden/>
    <w:rsid w:val="00F07417"/>
    <w:rPr>
      <w:rFonts w:ascii="Times New Roman" w:eastAsia="Times New Roman" w:hAnsi="Times New Roman" w:cs="Times New Roman"/>
      <w:sz w:val="20"/>
      <w:szCs w:val="20"/>
    </w:rPr>
  </w:style>
  <w:style w:type="character" w:styleId="FootnoteReference">
    <w:name w:val="footnote reference"/>
    <w:semiHidden/>
    <w:rsid w:val="006644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0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brm-normal-32-level">
    <w:name w:val="le-brm-normal-32-level"/>
    <w:basedOn w:val="Normal"/>
    <w:rsid w:val="00470050"/>
    <w:pPr>
      <w:spacing w:before="20" w:after="20"/>
    </w:pPr>
    <w:rPr>
      <w:rFonts w:ascii="Courier New" w:hAnsi="Courier New" w:cs="Courier New"/>
      <w:color w:val="000000"/>
      <w:sz w:val="20"/>
      <w:szCs w:val="20"/>
    </w:rPr>
  </w:style>
  <w:style w:type="paragraph" w:styleId="Header">
    <w:name w:val="header"/>
    <w:basedOn w:val="Normal"/>
    <w:link w:val="HeaderChar"/>
    <w:uiPriority w:val="99"/>
    <w:unhideWhenUsed/>
    <w:rsid w:val="002B727F"/>
    <w:pPr>
      <w:tabs>
        <w:tab w:val="center" w:pos="4680"/>
        <w:tab w:val="right" w:pos="9360"/>
      </w:tabs>
    </w:pPr>
  </w:style>
  <w:style w:type="character" w:customStyle="1" w:styleId="HeaderChar">
    <w:name w:val="Header Char"/>
    <w:basedOn w:val="DefaultParagraphFont"/>
    <w:link w:val="Header"/>
    <w:uiPriority w:val="99"/>
    <w:rsid w:val="002B72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727F"/>
    <w:pPr>
      <w:tabs>
        <w:tab w:val="center" w:pos="4680"/>
        <w:tab w:val="right" w:pos="9360"/>
      </w:tabs>
    </w:pPr>
  </w:style>
  <w:style w:type="character" w:customStyle="1" w:styleId="FooterChar">
    <w:name w:val="Footer Char"/>
    <w:basedOn w:val="DefaultParagraphFont"/>
    <w:link w:val="Footer"/>
    <w:uiPriority w:val="99"/>
    <w:rsid w:val="002B727F"/>
    <w:rPr>
      <w:rFonts w:ascii="Times New Roman" w:eastAsia="Times New Roman" w:hAnsi="Times New Roman" w:cs="Times New Roman"/>
      <w:sz w:val="24"/>
      <w:szCs w:val="24"/>
    </w:rPr>
  </w:style>
  <w:style w:type="character" w:customStyle="1" w:styleId="BodyTextChar">
    <w:name w:val="Body Text Char"/>
    <w:link w:val="BodyText"/>
    <w:locked/>
    <w:rsid w:val="00835225"/>
    <w:rPr>
      <w:sz w:val="24"/>
    </w:rPr>
  </w:style>
  <w:style w:type="paragraph" w:styleId="BodyText">
    <w:name w:val="Body Text"/>
    <w:basedOn w:val="Normal"/>
    <w:link w:val="BodyTextChar"/>
    <w:rsid w:val="00835225"/>
    <w:rPr>
      <w:rFonts w:asciiTheme="minorHAnsi" w:eastAsiaTheme="minorHAnsi" w:hAnsiTheme="minorHAnsi" w:cstheme="minorBidi"/>
      <w:szCs w:val="22"/>
    </w:rPr>
  </w:style>
  <w:style w:type="character" w:customStyle="1" w:styleId="BodyTextChar1">
    <w:name w:val="Body Text Char1"/>
    <w:basedOn w:val="DefaultParagraphFont"/>
    <w:uiPriority w:val="99"/>
    <w:semiHidden/>
    <w:rsid w:val="00835225"/>
    <w:rPr>
      <w:rFonts w:ascii="Times New Roman" w:eastAsia="Times New Roman" w:hAnsi="Times New Roman" w:cs="Times New Roman"/>
      <w:sz w:val="24"/>
      <w:szCs w:val="24"/>
    </w:rPr>
  </w:style>
  <w:style w:type="character" w:styleId="Strong">
    <w:name w:val="Strong"/>
    <w:basedOn w:val="DefaultParagraphFont"/>
    <w:uiPriority w:val="22"/>
    <w:qFormat/>
    <w:rsid w:val="00145043"/>
    <w:rPr>
      <w:b/>
      <w:bCs/>
    </w:rPr>
  </w:style>
  <w:style w:type="paragraph" w:styleId="BalloonText">
    <w:name w:val="Balloon Text"/>
    <w:basedOn w:val="Normal"/>
    <w:link w:val="BalloonTextChar"/>
    <w:uiPriority w:val="99"/>
    <w:semiHidden/>
    <w:unhideWhenUsed/>
    <w:rsid w:val="00145043"/>
    <w:rPr>
      <w:rFonts w:ascii="Tahoma" w:hAnsi="Tahoma" w:cs="Tahoma"/>
      <w:sz w:val="16"/>
      <w:szCs w:val="16"/>
    </w:rPr>
  </w:style>
  <w:style w:type="character" w:customStyle="1" w:styleId="BalloonTextChar">
    <w:name w:val="Balloon Text Char"/>
    <w:basedOn w:val="DefaultParagraphFont"/>
    <w:link w:val="BalloonText"/>
    <w:uiPriority w:val="99"/>
    <w:semiHidden/>
    <w:rsid w:val="00145043"/>
    <w:rPr>
      <w:rFonts w:ascii="Tahoma" w:eastAsia="Times New Roman" w:hAnsi="Tahoma" w:cs="Tahoma"/>
      <w:sz w:val="16"/>
      <w:szCs w:val="16"/>
    </w:rPr>
  </w:style>
  <w:style w:type="paragraph" w:styleId="ListParagraph">
    <w:name w:val="List Paragraph"/>
    <w:basedOn w:val="Normal"/>
    <w:uiPriority w:val="34"/>
    <w:qFormat/>
    <w:rsid w:val="00D453B0"/>
    <w:pPr>
      <w:spacing w:after="200" w:line="276" w:lineRule="auto"/>
      <w:ind w:left="720"/>
      <w:contextualSpacing/>
    </w:pPr>
    <w:rPr>
      <w:rFonts w:asciiTheme="minorHAnsi" w:eastAsiaTheme="minorHAnsi" w:hAnsiTheme="minorHAnsi" w:cstheme="minorBidi"/>
      <w:sz w:val="22"/>
      <w:szCs w:val="22"/>
    </w:rPr>
  </w:style>
  <w:style w:type="paragraph" w:customStyle="1" w:styleId="le-normal-32-level">
    <w:name w:val="le-normal-32-level"/>
    <w:basedOn w:val="Normal"/>
    <w:rsid w:val="004E3EF5"/>
    <w:pPr>
      <w:spacing w:before="20" w:after="20"/>
    </w:pPr>
    <w:rPr>
      <w:rFonts w:ascii="Courier New" w:hAnsi="Courier New" w:cs="Courier New"/>
      <w:color w:val="000000"/>
      <w:sz w:val="20"/>
      <w:szCs w:val="20"/>
    </w:rPr>
  </w:style>
  <w:style w:type="paragraph" w:styleId="FootnoteText">
    <w:name w:val="footnote text"/>
    <w:basedOn w:val="Normal"/>
    <w:link w:val="FootnoteTextChar"/>
    <w:semiHidden/>
    <w:rsid w:val="00F07417"/>
    <w:rPr>
      <w:sz w:val="20"/>
      <w:szCs w:val="20"/>
    </w:rPr>
  </w:style>
  <w:style w:type="character" w:customStyle="1" w:styleId="FootnoteTextChar">
    <w:name w:val="Footnote Text Char"/>
    <w:basedOn w:val="DefaultParagraphFont"/>
    <w:link w:val="FootnoteText"/>
    <w:semiHidden/>
    <w:rsid w:val="00F07417"/>
    <w:rPr>
      <w:rFonts w:ascii="Times New Roman" w:eastAsia="Times New Roman" w:hAnsi="Times New Roman" w:cs="Times New Roman"/>
      <w:sz w:val="20"/>
      <w:szCs w:val="20"/>
    </w:rPr>
  </w:style>
  <w:style w:type="character" w:styleId="FootnoteReference">
    <w:name w:val="footnote reference"/>
    <w:semiHidden/>
    <w:rsid w:val="006644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127092">
      <w:bodyDiv w:val="1"/>
      <w:marLeft w:val="0"/>
      <w:marRight w:val="0"/>
      <w:marTop w:val="0"/>
      <w:marBottom w:val="0"/>
      <w:divBdr>
        <w:top w:val="none" w:sz="0" w:space="0" w:color="auto"/>
        <w:left w:val="none" w:sz="0" w:space="0" w:color="auto"/>
        <w:bottom w:val="none" w:sz="0" w:space="0" w:color="auto"/>
        <w:right w:val="none" w:sz="0" w:space="0" w:color="auto"/>
      </w:divBdr>
    </w:div>
    <w:div w:id="21029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6C609-25F9-4164-926F-DDCE9FF8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Starrett, Nicole (MED)</dc:creator>
  <cp:lastModifiedBy> </cp:lastModifiedBy>
  <cp:revision>3</cp:revision>
  <cp:lastPrinted>2019-08-12T14:19:00Z</cp:lastPrinted>
  <dcterms:created xsi:type="dcterms:W3CDTF">2019-11-18T18:27:00Z</dcterms:created>
  <dcterms:modified xsi:type="dcterms:W3CDTF">2019-11-18T18:27:00Z</dcterms:modified>
</cp:coreProperties>
</file>