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BB73" w14:textId="77777777" w:rsidR="00EA2650" w:rsidRPr="004A05E5" w:rsidRDefault="007A677D" w:rsidP="00546872">
      <w:pPr>
        <w:pStyle w:val="BodyText"/>
        <w:spacing w:before="160" w:line="249" w:lineRule="auto"/>
        <w:ind w:left="2194" w:right="1479" w:hanging="12"/>
        <w:rPr>
          <w:sz w:val="22"/>
          <w:szCs w:val="22"/>
        </w:rPr>
      </w:pPr>
      <w:r w:rsidRPr="00840D24">
        <w:rPr>
          <w:sz w:val="22"/>
          <w:szCs w:val="22"/>
        </w:rPr>
        <w:t xml:space="preserve">     </w:t>
      </w:r>
      <w:r w:rsidR="00E3380B" w:rsidRPr="00840D24">
        <w:rPr>
          <w:sz w:val="22"/>
          <w:szCs w:val="22"/>
        </w:rPr>
        <w:t>COMMONWEALTH OF MASSACHUSETTS</w:t>
      </w:r>
    </w:p>
    <w:p w14:paraId="131E51A0" w14:textId="09474467" w:rsidR="00E3380B" w:rsidRPr="00840D24" w:rsidRDefault="00E3380B">
      <w:pPr>
        <w:pStyle w:val="BodyText"/>
        <w:spacing w:before="160" w:line="249" w:lineRule="auto"/>
        <w:ind w:left="2194" w:right="1479" w:hanging="12"/>
        <w:rPr>
          <w:sz w:val="22"/>
          <w:szCs w:val="22"/>
        </w:rPr>
      </w:pPr>
      <w:bookmarkStart w:id="0" w:name="Draft_Final_Decision_and_Order"/>
      <w:bookmarkEnd w:id="0"/>
      <w:r w:rsidRPr="00840D24">
        <w:rPr>
          <w:w w:val="105"/>
          <w:sz w:val="22"/>
          <w:szCs w:val="22"/>
        </w:rPr>
        <w:t>BOARD</w:t>
      </w:r>
      <w:r w:rsidRPr="00840D24">
        <w:rPr>
          <w:spacing w:val="-13"/>
          <w:w w:val="105"/>
          <w:sz w:val="22"/>
          <w:szCs w:val="22"/>
        </w:rPr>
        <w:t xml:space="preserve"> </w:t>
      </w:r>
      <w:r w:rsidRPr="00840D24">
        <w:rPr>
          <w:w w:val="105"/>
          <w:sz w:val="22"/>
          <w:szCs w:val="22"/>
        </w:rPr>
        <w:t>OF</w:t>
      </w:r>
      <w:r w:rsidRPr="00840D24">
        <w:rPr>
          <w:spacing w:val="-15"/>
          <w:w w:val="105"/>
          <w:sz w:val="22"/>
          <w:szCs w:val="22"/>
        </w:rPr>
        <w:t xml:space="preserve"> </w:t>
      </w:r>
      <w:r w:rsidRPr="00840D24">
        <w:rPr>
          <w:w w:val="105"/>
          <w:sz w:val="22"/>
          <w:szCs w:val="22"/>
        </w:rPr>
        <w:t>REGISTRATION</w:t>
      </w:r>
      <w:r w:rsidRPr="00840D24">
        <w:rPr>
          <w:spacing w:val="5"/>
          <w:w w:val="105"/>
          <w:sz w:val="22"/>
          <w:szCs w:val="22"/>
        </w:rPr>
        <w:t xml:space="preserve"> </w:t>
      </w:r>
      <w:r w:rsidRPr="00840D24">
        <w:rPr>
          <w:w w:val="105"/>
          <w:sz w:val="22"/>
          <w:szCs w:val="22"/>
        </w:rPr>
        <w:t>IN</w:t>
      </w:r>
      <w:r w:rsidRPr="00840D24">
        <w:rPr>
          <w:spacing w:val="-12"/>
          <w:w w:val="105"/>
          <w:sz w:val="22"/>
          <w:szCs w:val="22"/>
        </w:rPr>
        <w:t xml:space="preserve"> </w:t>
      </w:r>
      <w:r w:rsidRPr="00840D24">
        <w:rPr>
          <w:spacing w:val="-2"/>
          <w:w w:val="105"/>
          <w:sz w:val="22"/>
          <w:szCs w:val="22"/>
        </w:rPr>
        <w:t>MEDICINE</w:t>
      </w:r>
    </w:p>
    <w:p w14:paraId="0D2E1E93" w14:textId="77777777" w:rsidR="00E3380B" w:rsidRPr="00840D24" w:rsidRDefault="00E3380B" w:rsidP="00546872">
      <w:pPr>
        <w:pStyle w:val="BodyText"/>
        <w:spacing w:before="9"/>
        <w:jc w:val="both"/>
        <w:rPr>
          <w:sz w:val="22"/>
          <w:szCs w:val="22"/>
        </w:rPr>
      </w:pPr>
    </w:p>
    <w:p w14:paraId="33B016DF" w14:textId="0E17C8D0" w:rsidR="00C5256D" w:rsidRPr="00840D24" w:rsidRDefault="00E3380B" w:rsidP="00F466BC">
      <w:pPr>
        <w:pStyle w:val="BodyText"/>
        <w:spacing w:before="95" w:line="242" w:lineRule="auto"/>
        <w:ind w:left="4477" w:right="1271" w:hanging="4325"/>
        <w:rPr>
          <w:w w:val="105"/>
          <w:position w:val="1"/>
          <w:sz w:val="22"/>
          <w:szCs w:val="22"/>
        </w:rPr>
      </w:pPr>
      <w:r w:rsidRPr="00840D24">
        <w:rPr>
          <w:w w:val="105"/>
          <w:sz w:val="22"/>
          <w:szCs w:val="22"/>
        </w:rPr>
        <w:t>MIDDLESEX, ss</w:t>
      </w:r>
      <w:r w:rsidRPr="00840D24">
        <w:rPr>
          <w:sz w:val="22"/>
          <w:szCs w:val="22"/>
        </w:rPr>
        <w:tab/>
      </w:r>
      <w:r w:rsidRPr="00840D24">
        <w:rPr>
          <w:w w:val="105"/>
          <w:position w:val="1"/>
          <w:sz w:val="22"/>
          <w:szCs w:val="22"/>
        </w:rPr>
        <w:t>Adjudicatory</w:t>
      </w:r>
      <w:r w:rsidRPr="00840D24">
        <w:rPr>
          <w:spacing w:val="-4"/>
          <w:w w:val="105"/>
          <w:position w:val="1"/>
          <w:sz w:val="22"/>
          <w:szCs w:val="22"/>
        </w:rPr>
        <w:t xml:space="preserve"> </w:t>
      </w:r>
      <w:r w:rsidRPr="00840D24">
        <w:rPr>
          <w:w w:val="105"/>
          <w:position w:val="1"/>
          <w:sz w:val="22"/>
          <w:szCs w:val="22"/>
        </w:rPr>
        <w:t>Case</w:t>
      </w:r>
      <w:r w:rsidRPr="00840D24">
        <w:rPr>
          <w:spacing w:val="-15"/>
          <w:w w:val="105"/>
          <w:position w:val="1"/>
          <w:sz w:val="22"/>
          <w:szCs w:val="22"/>
        </w:rPr>
        <w:t xml:space="preserve"> </w:t>
      </w:r>
      <w:r w:rsidRPr="00840D24">
        <w:rPr>
          <w:w w:val="105"/>
          <w:position w:val="1"/>
          <w:sz w:val="22"/>
          <w:szCs w:val="22"/>
        </w:rPr>
        <w:t>No.</w:t>
      </w:r>
      <w:r w:rsidRPr="00840D24">
        <w:rPr>
          <w:spacing w:val="-15"/>
          <w:w w:val="105"/>
          <w:position w:val="1"/>
          <w:sz w:val="22"/>
          <w:szCs w:val="22"/>
        </w:rPr>
        <w:t xml:space="preserve"> </w:t>
      </w:r>
      <w:r w:rsidRPr="00840D24">
        <w:rPr>
          <w:w w:val="105"/>
          <w:position w:val="1"/>
          <w:sz w:val="22"/>
          <w:szCs w:val="22"/>
        </w:rPr>
        <w:t>202</w:t>
      </w:r>
      <w:r w:rsidR="00860337" w:rsidRPr="00840D24">
        <w:rPr>
          <w:w w:val="105"/>
          <w:position w:val="1"/>
          <w:sz w:val="22"/>
          <w:szCs w:val="22"/>
        </w:rPr>
        <w:t>3-010</w:t>
      </w:r>
    </w:p>
    <w:p w14:paraId="3D57B0C3" w14:textId="2B3B6FF4" w:rsidR="00E3380B" w:rsidRPr="00840D24" w:rsidRDefault="00E3380B" w:rsidP="00C5256D">
      <w:pPr>
        <w:pStyle w:val="BodyText"/>
        <w:spacing w:before="95" w:line="242" w:lineRule="auto"/>
        <w:ind w:left="4477" w:right="1271"/>
        <w:rPr>
          <w:w w:val="105"/>
          <w:sz w:val="22"/>
          <w:szCs w:val="22"/>
        </w:rPr>
      </w:pPr>
      <w:r w:rsidRPr="00840D24">
        <w:rPr>
          <w:w w:val="105"/>
          <w:sz w:val="22"/>
          <w:szCs w:val="22"/>
        </w:rPr>
        <w:t>(RM-2</w:t>
      </w:r>
      <w:r w:rsidR="005A258F" w:rsidRPr="00840D24">
        <w:rPr>
          <w:w w:val="105"/>
          <w:sz w:val="22"/>
          <w:szCs w:val="22"/>
        </w:rPr>
        <w:t>3-0085</w:t>
      </w:r>
      <w:r w:rsidRPr="00840D24">
        <w:rPr>
          <w:w w:val="105"/>
          <w:sz w:val="22"/>
          <w:szCs w:val="22"/>
        </w:rPr>
        <w:t>)</w:t>
      </w:r>
    </w:p>
    <w:p w14:paraId="186B879E" w14:textId="566D3F4E" w:rsidR="00E3380B" w:rsidRPr="00840D24" w:rsidRDefault="00E3380B" w:rsidP="00F466BC">
      <w:pPr>
        <w:pStyle w:val="BodyText"/>
        <w:spacing w:line="20" w:lineRule="exact"/>
        <w:rPr>
          <w:sz w:val="22"/>
          <w:szCs w:val="22"/>
        </w:rPr>
      </w:pPr>
      <w:r w:rsidRPr="00840D24">
        <w:rPr>
          <w:noProof/>
          <w:sz w:val="22"/>
          <w:szCs w:val="22"/>
        </w:rPr>
        <mc:AlternateContent>
          <mc:Choice Requires="wpg">
            <w:drawing>
              <wp:inline distT="0" distB="0" distL="0" distR="0" wp14:anchorId="717FE40B" wp14:editId="592816D1">
                <wp:extent cx="1851660" cy="9525"/>
                <wp:effectExtent l="10795" t="7620" r="1397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9525"/>
                          <a:chOff x="0" y="0"/>
                          <a:chExt cx="2916" cy="15"/>
                        </a:xfrm>
                      </wpg:grpSpPr>
                      <wps:wsp>
                        <wps:cNvPr id="4" name="Line 5"/>
                        <wps:cNvCnPr>
                          <a:cxnSpLocks noChangeShapeType="1"/>
                        </wps:cNvCnPr>
                        <wps:spPr bwMode="auto">
                          <a:xfrm>
                            <a:off x="0" y="7"/>
                            <a:ext cx="291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du="http://schemas.microsoft.com/office/word/2023/wordml/word16du">
            <w:pict>
              <v:group w14:anchorId="735CD7E3" id="Group 3" o:spid="_x0000_s1026" style="width:145.8pt;height:.75pt;mso-position-horizontal-relative:char;mso-position-vertical-relative:line" coordsize="2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">
                <v:line id="Line 5" o:spid="_x0000_s1027" style="position:absolute;visibility:visible;mso-wrap-style:square" from="0,7" to="2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" strokeweight=".25447mm"/>
                <w10:anchorlock/>
              </v:group>
            </w:pict>
          </mc:Fallback>
        </mc:AlternateContent>
      </w:r>
    </w:p>
    <w:p w14:paraId="703E8978" w14:textId="77777777" w:rsidR="00E3380B" w:rsidRPr="00840D24" w:rsidRDefault="00E3380B" w:rsidP="00CC65DD">
      <w:pPr>
        <w:pStyle w:val="BodyText"/>
        <w:tabs>
          <w:tab w:val="left" w:pos="2887"/>
        </w:tabs>
        <w:spacing w:before="19"/>
        <w:ind w:right="38"/>
        <w:rPr>
          <w:sz w:val="22"/>
          <w:szCs w:val="22"/>
        </w:rPr>
      </w:pPr>
      <w:r w:rsidRPr="00840D24">
        <w:rPr>
          <w:w w:val="105"/>
          <w:sz w:val="22"/>
          <w:szCs w:val="22"/>
        </w:rPr>
        <w:t>In</w:t>
      </w:r>
      <w:r w:rsidRPr="00840D24">
        <w:rPr>
          <w:spacing w:val="-9"/>
          <w:w w:val="105"/>
          <w:sz w:val="22"/>
          <w:szCs w:val="22"/>
        </w:rPr>
        <w:t xml:space="preserve"> </w:t>
      </w:r>
      <w:r w:rsidRPr="00840D24">
        <w:rPr>
          <w:w w:val="105"/>
          <w:sz w:val="22"/>
          <w:szCs w:val="22"/>
        </w:rPr>
        <w:t>the</w:t>
      </w:r>
      <w:r w:rsidRPr="00840D24">
        <w:rPr>
          <w:spacing w:val="-7"/>
          <w:w w:val="105"/>
          <w:sz w:val="22"/>
          <w:szCs w:val="22"/>
        </w:rPr>
        <w:t xml:space="preserve"> </w:t>
      </w:r>
      <w:r w:rsidRPr="00840D24">
        <w:rPr>
          <w:w w:val="105"/>
          <w:sz w:val="22"/>
          <w:szCs w:val="22"/>
        </w:rPr>
        <w:t>Matter</w:t>
      </w:r>
      <w:r w:rsidRPr="00840D24">
        <w:rPr>
          <w:spacing w:val="-4"/>
          <w:w w:val="105"/>
          <w:sz w:val="22"/>
          <w:szCs w:val="22"/>
        </w:rPr>
        <w:t xml:space="preserve"> </w:t>
      </w:r>
      <w:r w:rsidRPr="00840D24">
        <w:rPr>
          <w:spacing w:val="-5"/>
          <w:w w:val="105"/>
          <w:sz w:val="22"/>
          <w:szCs w:val="22"/>
        </w:rPr>
        <w:t>of</w:t>
      </w:r>
      <w:r w:rsidRPr="00840D24">
        <w:rPr>
          <w:sz w:val="22"/>
          <w:szCs w:val="22"/>
        </w:rPr>
        <w:tab/>
      </w:r>
      <w:r w:rsidRPr="00840D24">
        <w:rPr>
          <w:spacing w:val="-10"/>
          <w:w w:val="105"/>
          <w:sz w:val="22"/>
          <w:szCs w:val="22"/>
        </w:rPr>
        <w:t>)</w:t>
      </w:r>
    </w:p>
    <w:p w14:paraId="2A2CAEF7" w14:textId="77777777" w:rsidR="00E3380B" w:rsidRPr="00840D24" w:rsidRDefault="00E3380B" w:rsidP="007A7BB8">
      <w:pPr>
        <w:spacing w:before="19"/>
        <w:ind w:left="2160" w:right="38" w:firstLine="720"/>
      </w:pPr>
      <w:r w:rsidRPr="00840D24">
        <w:rPr>
          <w:w w:val="103"/>
        </w:rPr>
        <w:t>)</w:t>
      </w:r>
    </w:p>
    <w:p w14:paraId="37ABC312" w14:textId="34CD7B02" w:rsidR="00F466BC" w:rsidRPr="00840D24" w:rsidRDefault="005A258F" w:rsidP="00CC65DD">
      <w:pPr>
        <w:pStyle w:val="BodyText"/>
        <w:tabs>
          <w:tab w:val="left" w:pos="2882"/>
        </w:tabs>
        <w:spacing w:before="19"/>
        <w:ind w:right="38"/>
        <w:rPr>
          <w:sz w:val="22"/>
          <w:szCs w:val="22"/>
        </w:rPr>
      </w:pPr>
      <w:r w:rsidRPr="00840D24">
        <w:rPr>
          <w:spacing w:val="-2"/>
          <w:w w:val="105"/>
          <w:sz w:val="22"/>
          <w:szCs w:val="22"/>
        </w:rPr>
        <w:t xml:space="preserve">Christopher J. Kovanda, </w:t>
      </w:r>
      <w:r w:rsidR="00E3380B" w:rsidRPr="00840D24">
        <w:rPr>
          <w:sz w:val="22"/>
          <w:szCs w:val="22"/>
        </w:rPr>
        <w:t>M.D</w:t>
      </w:r>
      <w:r w:rsidRPr="00840D24">
        <w:rPr>
          <w:sz w:val="22"/>
          <w:szCs w:val="22"/>
        </w:rPr>
        <w:t>.</w:t>
      </w:r>
      <w:r w:rsidR="00F466BC" w:rsidRPr="00840D24">
        <w:rPr>
          <w:sz w:val="22"/>
          <w:szCs w:val="22"/>
        </w:rPr>
        <w:t xml:space="preserve"> </w:t>
      </w:r>
      <w:r w:rsidR="00C83CF1" w:rsidRPr="00840D24">
        <w:rPr>
          <w:sz w:val="22"/>
          <w:szCs w:val="22"/>
        </w:rPr>
        <w:t xml:space="preserve">  </w:t>
      </w:r>
      <w:r w:rsidR="00F466BC" w:rsidRPr="00840D24">
        <w:rPr>
          <w:sz w:val="22"/>
          <w:szCs w:val="22"/>
        </w:rPr>
        <w:t>)</w:t>
      </w:r>
    </w:p>
    <w:p w14:paraId="176E2860" w14:textId="49F4C0E3" w:rsidR="00654D84" w:rsidRPr="00840D24" w:rsidRDefault="00E3380B" w:rsidP="00CC65DD">
      <w:pPr>
        <w:pStyle w:val="BodyText"/>
        <w:tabs>
          <w:tab w:val="left" w:pos="2882"/>
        </w:tabs>
        <w:spacing w:before="19"/>
        <w:ind w:right="38"/>
        <w:rPr>
          <w:sz w:val="22"/>
          <w:szCs w:val="22"/>
          <w:u w:val="single"/>
        </w:rPr>
      </w:pPr>
      <w:r w:rsidRPr="00840D24">
        <w:rPr>
          <w:sz w:val="22"/>
          <w:szCs w:val="22"/>
          <w:u w:val="single"/>
        </w:rPr>
        <w:tab/>
      </w:r>
      <w:r w:rsidRPr="00840D24">
        <w:rPr>
          <w:sz w:val="22"/>
          <w:szCs w:val="22"/>
        </w:rPr>
        <w:t>)</w:t>
      </w:r>
      <w:r w:rsidR="007A7BB8" w:rsidRPr="00840D24">
        <w:rPr>
          <w:sz w:val="22"/>
          <w:szCs w:val="22"/>
        </w:rPr>
        <w:tab/>
      </w:r>
      <w:r w:rsidR="007A7BB8" w:rsidRPr="00840D24">
        <w:rPr>
          <w:sz w:val="22"/>
          <w:szCs w:val="22"/>
        </w:rPr>
        <w:tab/>
      </w:r>
      <w:r w:rsidR="006B3C57" w:rsidRPr="00840D24">
        <w:rPr>
          <w:sz w:val="22"/>
          <w:szCs w:val="22"/>
        </w:rPr>
        <w:t xml:space="preserve">  </w:t>
      </w:r>
      <w:r w:rsidR="007A7BB8" w:rsidRPr="00840D24">
        <w:rPr>
          <w:sz w:val="22"/>
          <w:szCs w:val="22"/>
          <w:u w:val="single"/>
        </w:rPr>
        <w:t xml:space="preserve">FINAL DECISION AND ORDER </w:t>
      </w:r>
    </w:p>
    <w:p w14:paraId="09B70866" w14:textId="77777777" w:rsidR="00654D84" w:rsidRPr="00840D24" w:rsidRDefault="00654D84" w:rsidP="00654D84">
      <w:pPr>
        <w:pStyle w:val="BodyText"/>
        <w:tabs>
          <w:tab w:val="left" w:pos="0"/>
        </w:tabs>
        <w:spacing w:before="19"/>
        <w:ind w:right="38"/>
        <w:jc w:val="right"/>
        <w:rPr>
          <w:sz w:val="22"/>
          <w:szCs w:val="22"/>
        </w:rPr>
      </w:pPr>
    </w:p>
    <w:p w14:paraId="0DFD2EA7" w14:textId="0EC47C70" w:rsidR="0091307C" w:rsidRPr="00840D24" w:rsidRDefault="00EF0EBD" w:rsidP="00546872">
      <w:pPr>
        <w:pStyle w:val="BodyText"/>
        <w:spacing w:line="360" w:lineRule="auto"/>
        <w:ind w:left="150"/>
        <w:rPr>
          <w:spacing w:val="-2"/>
          <w:w w:val="105"/>
          <w:sz w:val="22"/>
          <w:szCs w:val="22"/>
          <w:u w:val="thick"/>
        </w:rPr>
      </w:pPr>
      <w:r w:rsidRPr="00840D24">
        <w:rPr>
          <w:spacing w:val="-2"/>
          <w:w w:val="105"/>
          <w:sz w:val="22"/>
          <w:szCs w:val="22"/>
          <w:u w:val="thick"/>
        </w:rPr>
        <w:t xml:space="preserve"> </w:t>
      </w:r>
    </w:p>
    <w:p w14:paraId="02F0EEB1" w14:textId="4C46B773" w:rsidR="00EF0EBD" w:rsidRPr="00546872" w:rsidRDefault="00EF0EBD" w:rsidP="00546872">
      <w:pPr>
        <w:pStyle w:val="BodyText"/>
        <w:spacing w:line="360" w:lineRule="auto"/>
        <w:ind w:left="150"/>
        <w:jc w:val="center"/>
        <w:rPr>
          <w:spacing w:val="-2"/>
          <w:w w:val="105"/>
          <w:sz w:val="22"/>
          <w:szCs w:val="22"/>
          <w:u w:val="thick"/>
        </w:rPr>
      </w:pPr>
      <w:r w:rsidRPr="00546872">
        <w:rPr>
          <w:spacing w:val="-2"/>
          <w:w w:val="105"/>
          <w:sz w:val="22"/>
          <w:szCs w:val="22"/>
          <w:u w:val="thick"/>
        </w:rPr>
        <w:t>Procedural History</w:t>
      </w:r>
    </w:p>
    <w:p w14:paraId="047D0E68" w14:textId="2A61546F" w:rsidR="00A031C2" w:rsidRPr="00546872" w:rsidRDefault="00E06548" w:rsidP="00546872">
      <w:pPr>
        <w:pStyle w:val="BodyText"/>
        <w:spacing w:before="154" w:line="360" w:lineRule="auto"/>
        <w:jc w:val="both"/>
        <w:rPr>
          <w:w w:val="105"/>
          <w:sz w:val="22"/>
          <w:szCs w:val="22"/>
        </w:rPr>
      </w:pPr>
      <w:r w:rsidRPr="00546872">
        <w:rPr>
          <w:spacing w:val="-2"/>
          <w:w w:val="105"/>
          <w:sz w:val="22"/>
          <w:szCs w:val="22"/>
        </w:rPr>
        <w:tab/>
      </w:r>
      <w:r w:rsidR="0091396E" w:rsidRPr="00546872">
        <w:rPr>
          <w:spacing w:val="-2"/>
          <w:w w:val="105"/>
          <w:sz w:val="22"/>
          <w:szCs w:val="22"/>
        </w:rPr>
        <w:t>This case</w:t>
      </w:r>
      <w:r w:rsidR="00561750" w:rsidRPr="00546872">
        <w:rPr>
          <w:spacing w:val="-2"/>
          <w:w w:val="105"/>
          <w:sz w:val="22"/>
          <w:szCs w:val="22"/>
        </w:rPr>
        <w:t xml:space="preserve"> arose from the </w:t>
      </w:r>
      <w:r w:rsidR="000B547B" w:rsidRPr="00546872">
        <w:rPr>
          <w:w w:val="105"/>
          <w:sz w:val="22"/>
          <w:szCs w:val="22"/>
        </w:rPr>
        <w:t>Minneso</w:t>
      </w:r>
      <w:r w:rsidR="000748FF" w:rsidRPr="00546872">
        <w:rPr>
          <w:w w:val="105"/>
          <w:sz w:val="22"/>
          <w:szCs w:val="22"/>
        </w:rPr>
        <w:t>ta Board of Medical Practice</w:t>
      </w:r>
      <w:r w:rsidR="00264CFD" w:rsidRPr="00546872">
        <w:rPr>
          <w:w w:val="105"/>
          <w:sz w:val="22"/>
          <w:szCs w:val="22"/>
        </w:rPr>
        <w:t>’s</w:t>
      </w:r>
      <w:r w:rsidR="00900755" w:rsidRPr="00546872">
        <w:rPr>
          <w:w w:val="105"/>
          <w:sz w:val="22"/>
          <w:szCs w:val="22"/>
        </w:rPr>
        <w:t xml:space="preserve"> (Minnesota Board)</w:t>
      </w:r>
      <w:r w:rsidR="00264CFD" w:rsidRPr="00546872">
        <w:rPr>
          <w:w w:val="105"/>
          <w:sz w:val="22"/>
          <w:szCs w:val="22"/>
        </w:rPr>
        <w:t xml:space="preserve"> </w:t>
      </w:r>
      <w:r w:rsidR="009E27EF" w:rsidRPr="00546872">
        <w:rPr>
          <w:w w:val="105"/>
          <w:sz w:val="22"/>
          <w:szCs w:val="22"/>
        </w:rPr>
        <w:t xml:space="preserve">August 4, 2022 </w:t>
      </w:r>
      <w:r w:rsidR="00DF7B28" w:rsidRPr="00546872">
        <w:rPr>
          <w:w w:val="105"/>
          <w:sz w:val="22"/>
          <w:szCs w:val="22"/>
        </w:rPr>
        <w:t xml:space="preserve">discipline </w:t>
      </w:r>
      <w:r w:rsidR="00DE175A" w:rsidRPr="00546872">
        <w:rPr>
          <w:w w:val="105"/>
          <w:sz w:val="22"/>
          <w:szCs w:val="22"/>
        </w:rPr>
        <w:t xml:space="preserve">of </w:t>
      </w:r>
      <w:r w:rsidR="00B3671B" w:rsidRPr="00546872">
        <w:rPr>
          <w:w w:val="105"/>
          <w:sz w:val="22"/>
          <w:szCs w:val="22"/>
        </w:rPr>
        <w:t xml:space="preserve">Christopher J. Kovanda, M.D., </w:t>
      </w:r>
      <w:r w:rsidR="000F305A" w:rsidRPr="00546872">
        <w:rPr>
          <w:w w:val="105"/>
          <w:sz w:val="22"/>
          <w:szCs w:val="22"/>
        </w:rPr>
        <w:t>(</w:t>
      </w:r>
      <w:r w:rsidR="007179EC" w:rsidRPr="00546872">
        <w:rPr>
          <w:w w:val="105"/>
          <w:sz w:val="22"/>
          <w:szCs w:val="22"/>
        </w:rPr>
        <w:t>Respondent)</w:t>
      </w:r>
      <w:r w:rsidR="00DE175A" w:rsidRPr="00546872">
        <w:rPr>
          <w:w w:val="105"/>
          <w:sz w:val="22"/>
          <w:szCs w:val="22"/>
        </w:rPr>
        <w:t xml:space="preserve">, who holds a lapsed </w:t>
      </w:r>
      <w:r w:rsidR="00C967F3" w:rsidRPr="00546872">
        <w:rPr>
          <w:w w:val="105"/>
          <w:sz w:val="22"/>
          <w:szCs w:val="22"/>
        </w:rPr>
        <w:t xml:space="preserve">Massachusetts license. </w:t>
      </w:r>
      <w:r w:rsidR="00C854A5" w:rsidRPr="00546872">
        <w:rPr>
          <w:w w:val="105"/>
          <w:sz w:val="22"/>
          <w:szCs w:val="22"/>
        </w:rPr>
        <w:t xml:space="preserve">After a five-day hearing, </w:t>
      </w:r>
      <w:r w:rsidR="00BA691C" w:rsidRPr="00546872">
        <w:rPr>
          <w:w w:val="105"/>
          <w:sz w:val="22"/>
          <w:szCs w:val="22"/>
        </w:rPr>
        <w:t>t</w:t>
      </w:r>
      <w:r w:rsidR="00C967F3" w:rsidRPr="00546872">
        <w:rPr>
          <w:w w:val="105"/>
          <w:sz w:val="22"/>
          <w:szCs w:val="22"/>
        </w:rPr>
        <w:t>he Minnesota Board</w:t>
      </w:r>
      <w:r w:rsidR="00BA691C" w:rsidRPr="00546872">
        <w:rPr>
          <w:w w:val="105"/>
          <w:sz w:val="22"/>
          <w:szCs w:val="22"/>
        </w:rPr>
        <w:t xml:space="preserve"> revoked the Respondent’s license</w:t>
      </w:r>
      <w:r w:rsidR="00C967F3" w:rsidRPr="00546872">
        <w:rPr>
          <w:w w:val="105"/>
          <w:sz w:val="22"/>
          <w:szCs w:val="22"/>
        </w:rPr>
        <w:t xml:space="preserve"> </w:t>
      </w:r>
      <w:r w:rsidR="00E1680B" w:rsidRPr="00546872">
        <w:rPr>
          <w:w w:val="105"/>
          <w:sz w:val="22"/>
          <w:szCs w:val="22"/>
        </w:rPr>
        <w:t>and assessed a $15,360.00 civil penalty</w:t>
      </w:r>
      <w:r w:rsidR="00780763" w:rsidRPr="00546872">
        <w:rPr>
          <w:w w:val="105"/>
          <w:sz w:val="22"/>
          <w:szCs w:val="22"/>
        </w:rPr>
        <w:t xml:space="preserve"> </w:t>
      </w:r>
      <w:r w:rsidR="004E3E76" w:rsidRPr="00546872">
        <w:rPr>
          <w:w w:val="105"/>
          <w:sz w:val="22"/>
          <w:szCs w:val="22"/>
        </w:rPr>
        <w:t>based on</w:t>
      </w:r>
      <w:r w:rsidR="002C78E7" w:rsidRPr="00546872">
        <w:rPr>
          <w:w w:val="105"/>
          <w:sz w:val="22"/>
          <w:szCs w:val="22"/>
        </w:rPr>
        <w:t xml:space="preserve"> his</w:t>
      </w:r>
      <w:r w:rsidR="00780763" w:rsidRPr="00546872">
        <w:rPr>
          <w:w w:val="105"/>
          <w:sz w:val="22"/>
          <w:szCs w:val="22"/>
        </w:rPr>
        <w:t xml:space="preserve"> </w:t>
      </w:r>
      <w:r w:rsidR="008749D7" w:rsidRPr="00546872">
        <w:rPr>
          <w:w w:val="105"/>
          <w:sz w:val="22"/>
          <w:szCs w:val="22"/>
        </w:rPr>
        <w:t xml:space="preserve">engaging in sexual misconduct with </w:t>
      </w:r>
      <w:r w:rsidR="001F662B" w:rsidRPr="00546872">
        <w:rPr>
          <w:w w:val="105"/>
          <w:sz w:val="22"/>
          <w:szCs w:val="22"/>
        </w:rPr>
        <w:t xml:space="preserve">two patients. </w:t>
      </w:r>
      <w:r w:rsidR="00E1680B" w:rsidRPr="00546872">
        <w:rPr>
          <w:w w:val="105"/>
          <w:sz w:val="22"/>
          <w:szCs w:val="22"/>
        </w:rPr>
        <w:t xml:space="preserve"> </w:t>
      </w:r>
      <w:r w:rsidR="005062DD" w:rsidRPr="00546872">
        <w:rPr>
          <w:w w:val="105"/>
          <w:sz w:val="22"/>
          <w:szCs w:val="22"/>
        </w:rPr>
        <w:t>On May 22, 2023</w:t>
      </w:r>
      <w:r w:rsidR="00547B5B" w:rsidRPr="00546872">
        <w:rPr>
          <w:w w:val="105"/>
          <w:sz w:val="22"/>
          <w:szCs w:val="22"/>
        </w:rPr>
        <w:t>, the Minnesota Court of Appeals affirmed the Minnesota Board’s decision.</w:t>
      </w:r>
      <w:r w:rsidR="005062DD" w:rsidRPr="00546872">
        <w:rPr>
          <w:w w:val="105"/>
          <w:sz w:val="22"/>
          <w:szCs w:val="22"/>
        </w:rPr>
        <w:t xml:space="preserve"> </w:t>
      </w:r>
    </w:p>
    <w:p w14:paraId="58291FB5" w14:textId="1FD17D43" w:rsidR="009A7FEB" w:rsidRPr="00840D24" w:rsidRDefault="00E3380B" w:rsidP="00546872">
      <w:pPr>
        <w:spacing w:line="360" w:lineRule="auto"/>
        <w:ind w:firstLine="720"/>
        <w:jc w:val="both"/>
      </w:pPr>
      <w:r w:rsidRPr="00840D24">
        <w:rPr>
          <w:w w:val="105"/>
        </w:rPr>
        <w:t>On</w:t>
      </w:r>
      <w:r w:rsidRPr="00840D24">
        <w:rPr>
          <w:spacing w:val="-1"/>
          <w:w w:val="105"/>
        </w:rPr>
        <w:t xml:space="preserve"> </w:t>
      </w:r>
      <w:r w:rsidR="00877642" w:rsidRPr="00840D24">
        <w:rPr>
          <w:spacing w:val="-1"/>
          <w:w w:val="105"/>
        </w:rPr>
        <w:t xml:space="preserve">February </w:t>
      </w:r>
      <w:r w:rsidR="0055563B" w:rsidRPr="00840D24">
        <w:rPr>
          <w:spacing w:val="-1"/>
          <w:w w:val="105"/>
        </w:rPr>
        <w:t>2</w:t>
      </w:r>
      <w:r w:rsidR="00877642" w:rsidRPr="00840D24">
        <w:rPr>
          <w:spacing w:val="-1"/>
          <w:w w:val="105"/>
        </w:rPr>
        <w:t>, 202</w:t>
      </w:r>
      <w:r w:rsidR="0055563B" w:rsidRPr="00840D24">
        <w:rPr>
          <w:spacing w:val="-1"/>
          <w:w w:val="105"/>
        </w:rPr>
        <w:t>3</w:t>
      </w:r>
      <w:r w:rsidRPr="00840D24">
        <w:rPr>
          <w:w w:val="105"/>
        </w:rPr>
        <w:t xml:space="preserve">, </w:t>
      </w:r>
      <w:r w:rsidR="00BA22AD" w:rsidRPr="00840D24">
        <w:rPr>
          <w:w w:val="105"/>
        </w:rPr>
        <w:t xml:space="preserve">this </w:t>
      </w:r>
      <w:r w:rsidRPr="00840D24">
        <w:rPr>
          <w:w w:val="105"/>
        </w:rPr>
        <w:t xml:space="preserve">Board issued </w:t>
      </w:r>
      <w:r w:rsidR="00D17C36" w:rsidRPr="00840D24">
        <w:rPr>
          <w:w w:val="105"/>
        </w:rPr>
        <w:t xml:space="preserve">a </w:t>
      </w:r>
      <w:r w:rsidRPr="00840D24">
        <w:rPr>
          <w:w w:val="105"/>
        </w:rPr>
        <w:t xml:space="preserve">Statement of Allegations (SOA) charging </w:t>
      </w:r>
      <w:r w:rsidR="00F75A03" w:rsidRPr="00840D24">
        <w:rPr>
          <w:w w:val="105"/>
        </w:rPr>
        <w:t>t</w:t>
      </w:r>
      <w:r w:rsidRPr="00840D24">
        <w:rPr>
          <w:w w:val="105"/>
        </w:rPr>
        <w:t>he Respondent</w:t>
      </w:r>
      <w:r w:rsidR="00F75A03" w:rsidRPr="00840D24">
        <w:rPr>
          <w:w w:val="105"/>
        </w:rPr>
        <w:t xml:space="preserve"> </w:t>
      </w:r>
      <w:r w:rsidRPr="00840D24">
        <w:rPr>
          <w:w w:val="105"/>
        </w:rPr>
        <w:t>with</w:t>
      </w:r>
      <w:r w:rsidR="00F466BC" w:rsidRPr="00840D24">
        <w:rPr>
          <w:w w:val="105"/>
        </w:rPr>
        <w:t xml:space="preserve"> </w:t>
      </w:r>
      <w:r w:rsidR="0033720F" w:rsidRPr="00840D24">
        <w:rPr>
          <w:w w:val="105"/>
        </w:rPr>
        <w:t xml:space="preserve">having been disciplined in Minnesota for reasons substantially the same as </w:t>
      </w:r>
      <w:r w:rsidR="007C21F6" w:rsidRPr="00840D24">
        <w:rPr>
          <w:w w:val="105"/>
        </w:rPr>
        <w:t xml:space="preserve">bases for </w:t>
      </w:r>
      <w:r w:rsidR="00B52A95" w:rsidRPr="00840D24">
        <w:rPr>
          <w:w w:val="105"/>
        </w:rPr>
        <w:t xml:space="preserve">Massachusetts </w:t>
      </w:r>
      <w:r w:rsidR="007C21F6" w:rsidRPr="00840D24">
        <w:rPr>
          <w:w w:val="105"/>
        </w:rPr>
        <w:t>discipline</w:t>
      </w:r>
      <w:r w:rsidR="00B52A95" w:rsidRPr="00840D24">
        <w:rPr>
          <w:w w:val="105"/>
        </w:rPr>
        <w:t>, as</w:t>
      </w:r>
      <w:r w:rsidR="0033720F" w:rsidRPr="00840D24">
        <w:rPr>
          <w:w w:val="105"/>
        </w:rPr>
        <w:t xml:space="preserve"> set forth in M.G.L</w:t>
      </w:r>
      <w:r w:rsidR="002272B8" w:rsidRPr="00840D24">
        <w:t xml:space="preserve">. </w:t>
      </w:r>
      <w:r w:rsidR="009A7FEB" w:rsidRPr="00840D24">
        <w:t>c. 112, §5 or 243 CMR 1.03(5)</w:t>
      </w:r>
      <w:r w:rsidR="00464A01" w:rsidRPr="00840D24">
        <w:t>.</w:t>
      </w:r>
      <w:r w:rsidR="00C727AC" w:rsidRPr="00840D24">
        <w:t xml:space="preserve"> </w:t>
      </w:r>
    </w:p>
    <w:p w14:paraId="7CE0CF69" w14:textId="5B49286D" w:rsidR="005964B3" w:rsidRPr="00840D24" w:rsidRDefault="00D60BA4" w:rsidP="00546872">
      <w:pPr>
        <w:spacing w:line="360" w:lineRule="auto"/>
        <w:ind w:firstLine="720"/>
        <w:jc w:val="both"/>
      </w:pPr>
      <w:r w:rsidRPr="00840D24">
        <w:t xml:space="preserve">The Respondent did not </w:t>
      </w:r>
      <w:r w:rsidR="00E61608" w:rsidRPr="00840D24">
        <w:t xml:space="preserve">file an Answer to the SOA as required </w:t>
      </w:r>
      <w:r w:rsidR="006C761A" w:rsidRPr="00840D24">
        <w:t xml:space="preserve">by </w:t>
      </w:r>
      <w:r w:rsidR="00E61608" w:rsidRPr="00840D24">
        <w:t>801 CMR 1.01(6)(d)(2).</w:t>
      </w:r>
      <w:r w:rsidR="00373DC1" w:rsidRPr="00840D24">
        <w:t xml:space="preserve"> </w:t>
      </w:r>
      <w:r w:rsidR="006A3436" w:rsidRPr="00840D24">
        <w:t>On March 30, 3023, the Parties appeared telephonically for a prehearing conference with the Division of Administrative Law Appeals (DALA)</w:t>
      </w:r>
      <w:r w:rsidR="00B6149F" w:rsidRPr="00840D24">
        <w:t xml:space="preserve">. </w:t>
      </w:r>
      <w:r w:rsidR="00E01A3A" w:rsidRPr="00840D24">
        <w:t>The Respondent indicated a willingness to execute a resignation form</w:t>
      </w:r>
      <w:r w:rsidR="00302D6F" w:rsidRPr="00840D24">
        <w:t xml:space="preserve"> but did not do so.</w:t>
      </w:r>
      <w:r w:rsidR="001E30F9" w:rsidRPr="00840D24">
        <w:t xml:space="preserve"> </w:t>
      </w:r>
    </w:p>
    <w:p w14:paraId="2E94CD47" w14:textId="3BFD3B42" w:rsidR="00720597" w:rsidRPr="00840D24" w:rsidRDefault="00085E0C" w:rsidP="00546872">
      <w:pPr>
        <w:spacing w:line="360" w:lineRule="auto"/>
        <w:ind w:firstLine="720"/>
        <w:jc w:val="both"/>
      </w:pPr>
      <w:r w:rsidRPr="00840D24">
        <w:t xml:space="preserve">On May 24, 2023, </w:t>
      </w:r>
      <w:r w:rsidR="00302D6F" w:rsidRPr="00840D24">
        <w:t>Complaint Counsel filed a Motion for Summary Decision</w:t>
      </w:r>
      <w:r w:rsidR="00996E4C" w:rsidRPr="00840D24">
        <w:t xml:space="preserve"> relying on the </w:t>
      </w:r>
      <w:r w:rsidR="009E6EB4" w:rsidRPr="00840D24">
        <w:t>Minnesota Board Order</w:t>
      </w:r>
      <w:r w:rsidR="00302D6F" w:rsidRPr="00840D24">
        <w:t>.</w:t>
      </w:r>
      <w:r w:rsidR="00DC266A" w:rsidRPr="00840D24">
        <w:rPr>
          <w:rStyle w:val="FootnoteReference"/>
        </w:rPr>
        <w:footnoteReference w:id="2"/>
      </w:r>
      <w:r w:rsidR="00302D6F" w:rsidRPr="00840D24">
        <w:t xml:space="preserve"> </w:t>
      </w:r>
      <w:r w:rsidR="008043EA" w:rsidRPr="00840D24">
        <w:t>The Respondent did not file an Opposition to the Motio</w:t>
      </w:r>
      <w:r w:rsidR="00720597" w:rsidRPr="00840D24">
        <w:t>n.</w:t>
      </w:r>
    </w:p>
    <w:p w14:paraId="1C43D39E" w14:textId="17911B4D" w:rsidR="005C1B18" w:rsidRPr="00546872" w:rsidRDefault="005964B3" w:rsidP="00546872">
      <w:pPr>
        <w:pStyle w:val="BodyText"/>
        <w:spacing w:before="154" w:line="360" w:lineRule="auto"/>
        <w:ind w:firstLine="730"/>
        <w:jc w:val="both"/>
        <w:rPr>
          <w:w w:val="105"/>
          <w:sz w:val="22"/>
          <w:szCs w:val="22"/>
        </w:rPr>
      </w:pPr>
      <w:r w:rsidRPr="00546872">
        <w:rPr>
          <w:w w:val="105"/>
          <w:sz w:val="22"/>
          <w:szCs w:val="22"/>
        </w:rPr>
        <w:t>O</w:t>
      </w:r>
      <w:r w:rsidR="00A7320F" w:rsidRPr="00546872">
        <w:rPr>
          <w:w w:val="105"/>
          <w:sz w:val="22"/>
          <w:szCs w:val="22"/>
        </w:rPr>
        <w:t xml:space="preserve">n </w:t>
      </w:r>
      <w:r w:rsidR="00C17179" w:rsidRPr="00546872">
        <w:rPr>
          <w:w w:val="105"/>
          <w:sz w:val="22"/>
          <w:szCs w:val="22"/>
        </w:rPr>
        <w:t>August 21, 2023</w:t>
      </w:r>
      <w:r w:rsidR="00A7320F" w:rsidRPr="00546872">
        <w:rPr>
          <w:w w:val="105"/>
          <w:sz w:val="22"/>
          <w:szCs w:val="22"/>
        </w:rPr>
        <w:t xml:space="preserve">, </w:t>
      </w:r>
      <w:r w:rsidR="00B45382" w:rsidRPr="00840D24">
        <w:rPr>
          <w:w w:val="105"/>
          <w:sz w:val="22"/>
          <w:szCs w:val="22"/>
        </w:rPr>
        <w:t xml:space="preserve">DALA </w:t>
      </w:r>
      <w:r w:rsidR="00C5256D" w:rsidRPr="00546872">
        <w:rPr>
          <w:w w:val="105"/>
          <w:sz w:val="22"/>
          <w:szCs w:val="22"/>
        </w:rPr>
        <w:t xml:space="preserve">Administrative </w:t>
      </w:r>
      <w:r w:rsidR="00FA78B8" w:rsidRPr="00546872">
        <w:rPr>
          <w:w w:val="105"/>
          <w:sz w:val="22"/>
          <w:szCs w:val="22"/>
        </w:rPr>
        <w:t>Magistrate</w:t>
      </w:r>
      <w:r w:rsidR="00C5256D" w:rsidRPr="00546872">
        <w:rPr>
          <w:w w:val="105"/>
          <w:sz w:val="22"/>
          <w:szCs w:val="22"/>
        </w:rPr>
        <w:t xml:space="preserve"> </w:t>
      </w:r>
      <w:r w:rsidR="00C17179" w:rsidRPr="00546872">
        <w:rPr>
          <w:w w:val="105"/>
          <w:sz w:val="22"/>
          <w:szCs w:val="22"/>
        </w:rPr>
        <w:t>John G. Wheatley</w:t>
      </w:r>
      <w:r w:rsidR="00C5256D" w:rsidRPr="00546872">
        <w:rPr>
          <w:w w:val="105"/>
          <w:sz w:val="22"/>
          <w:szCs w:val="22"/>
        </w:rPr>
        <w:t xml:space="preserve"> (Magistrate)</w:t>
      </w:r>
      <w:r w:rsidR="00FA78B8" w:rsidRPr="00546872">
        <w:rPr>
          <w:w w:val="105"/>
          <w:sz w:val="22"/>
          <w:szCs w:val="22"/>
        </w:rPr>
        <w:t xml:space="preserve"> issued a Recommended Decision</w:t>
      </w:r>
      <w:r w:rsidR="00804864" w:rsidRPr="00546872">
        <w:rPr>
          <w:w w:val="105"/>
          <w:sz w:val="22"/>
          <w:szCs w:val="22"/>
        </w:rPr>
        <w:t xml:space="preserve"> </w:t>
      </w:r>
      <w:r w:rsidR="001B64E7" w:rsidRPr="00546872">
        <w:rPr>
          <w:w w:val="105"/>
          <w:sz w:val="22"/>
          <w:szCs w:val="22"/>
        </w:rPr>
        <w:t>ruling on the Motion for Summary Decision, and ruling, too, on the merits of the</w:t>
      </w:r>
      <w:r w:rsidR="0077300F" w:rsidRPr="00546872">
        <w:rPr>
          <w:w w:val="105"/>
          <w:sz w:val="22"/>
          <w:szCs w:val="22"/>
        </w:rPr>
        <w:t xml:space="preserve"> Board’s </w:t>
      </w:r>
      <w:r w:rsidR="00EB037A" w:rsidRPr="00546872">
        <w:rPr>
          <w:w w:val="105"/>
          <w:sz w:val="22"/>
          <w:szCs w:val="22"/>
        </w:rPr>
        <w:t>SOA</w:t>
      </w:r>
      <w:r w:rsidR="00F61625" w:rsidRPr="00546872">
        <w:rPr>
          <w:w w:val="105"/>
          <w:sz w:val="22"/>
          <w:szCs w:val="22"/>
        </w:rPr>
        <w:t xml:space="preserve"> </w:t>
      </w:r>
      <w:r w:rsidR="0077300F" w:rsidRPr="00546872">
        <w:rPr>
          <w:w w:val="105"/>
          <w:sz w:val="22"/>
          <w:szCs w:val="22"/>
        </w:rPr>
        <w:t>charges</w:t>
      </w:r>
      <w:r w:rsidR="00F61625" w:rsidRPr="00546872">
        <w:rPr>
          <w:w w:val="105"/>
          <w:sz w:val="22"/>
          <w:szCs w:val="22"/>
        </w:rPr>
        <w:t>.</w:t>
      </w:r>
      <w:r w:rsidR="005C1B18" w:rsidRPr="00546872">
        <w:rPr>
          <w:w w:val="105"/>
          <w:sz w:val="22"/>
          <w:szCs w:val="22"/>
        </w:rPr>
        <w:t xml:space="preserve"> </w:t>
      </w:r>
    </w:p>
    <w:p w14:paraId="14C48D65" w14:textId="54FA8DC7" w:rsidR="00591E8A" w:rsidRPr="00546872" w:rsidRDefault="0037203A" w:rsidP="00546872">
      <w:pPr>
        <w:pStyle w:val="BodyText"/>
        <w:spacing w:before="154" w:line="360" w:lineRule="auto"/>
        <w:ind w:firstLine="730"/>
        <w:jc w:val="both"/>
        <w:rPr>
          <w:w w:val="105"/>
          <w:sz w:val="22"/>
          <w:szCs w:val="22"/>
        </w:rPr>
      </w:pPr>
      <w:r w:rsidRPr="00546872">
        <w:rPr>
          <w:w w:val="105"/>
          <w:sz w:val="22"/>
          <w:szCs w:val="22"/>
        </w:rPr>
        <w:t xml:space="preserve">Neither Party </w:t>
      </w:r>
      <w:r w:rsidR="003F0DCE" w:rsidRPr="00546872">
        <w:rPr>
          <w:w w:val="105"/>
          <w:sz w:val="22"/>
          <w:szCs w:val="22"/>
        </w:rPr>
        <w:t xml:space="preserve">submitted Objections </w:t>
      </w:r>
      <w:r w:rsidR="005D134C" w:rsidRPr="00546872">
        <w:rPr>
          <w:w w:val="105"/>
          <w:sz w:val="22"/>
          <w:szCs w:val="22"/>
        </w:rPr>
        <w:t>to the Recommended Decision</w:t>
      </w:r>
      <w:r w:rsidR="00DC1AF1" w:rsidRPr="00546872">
        <w:rPr>
          <w:w w:val="105"/>
          <w:sz w:val="22"/>
          <w:szCs w:val="22"/>
        </w:rPr>
        <w:t xml:space="preserve"> (Objections)</w:t>
      </w:r>
      <w:r w:rsidR="005D134C" w:rsidRPr="00546872">
        <w:rPr>
          <w:w w:val="105"/>
          <w:sz w:val="22"/>
          <w:szCs w:val="22"/>
        </w:rPr>
        <w:t xml:space="preserve">. </w:t>
      </w:r>
      <w:r w:rsidR="001016C5" w:rsidRPr="00546872">
        <w:rPr>
          <w:w w:val="105"/>
          <w:sz w:val="22"/>
          <w:szCs w:val="22"/>
        </w:rPr>
        <w:t>On October 12, 2023, Complaint Counsel submitted a Memorandum on Disposition</w:t>
      </w:r>
      <w:r w:rsidR="006B1457" w:rsidRPr="00546872">
        <w:rPr>
          <w:w w:val="105"/>
          <w:sz w:val="22"/>
          <w:szCs w:val="22"/>
        </w:rPr>
        <w:t xml:space="preserve"> recommending that the Board </w:t>
      </w:r>
      <w:r w:rsidR="006B1457" w:rsidRPr="00546872">
        <w:rPr>
          <w:w w:val="105"/>
          <w:sz w:val="22"/>
          <w:szCs w:val="22"/>
        </w:rPr>
        <w:lastRenderedPageBreak/>
        <w:t>revoke the Respondent’s inchoate right to renew his lapsed license</w:t>
      </w:r>
      <w:r w:rsidR="001016C5" w:rsidRPr="00546872">
        <w:rPr>
          <w:w w:val="105"/>
          <w:sz w:val="22"/>
          <w:szCs w:val="22"/>
        </w:rPr>
        <w:t xml:space="preserve">. </w:t>
      </w:r>
      <w:r w:rsidR="00CB040F" w:rsidRPr="00546872">
        <w:rPr>
          <w:w w:val="105"/>
          <w:sz w:val="22"/>
          <w:szCs w:val="22"/>
        </w:rPr>
        <w:t>The Respondent did</w:t>
      </w:r>
      <w:r w:rsidR="00136FC4" w:rsidRPr="00840D24">
        <w:rPr>
          <w:w w:val="105"/>
          <w:sz w:val="22"/>
          <w:szCs w:val="22"/>
        </w:rPr>
        <w:t xml:space="preserve"> not</w:t>
      </w:r>
      <w:r w:rsidR="00CB040F" w:rsidRPr="00546872">
        <w:rPr>
          <w:w w:val="105"/>
          <w:sz w:val="22"/>
          <w:szCs w:val="22"/>
        </w:rPr>
        <w:t xml:space="preserve"> </w:t>
      </w:r>
      <w:r w:rsidR="00284DC1" w:rsidRPr="00546872">
        <w:rPr>
          <w:w w:val="105"/>
          <w:sz w:val="22"/>
          <w:szCs w:val="22"/>
        </w:rPr>
        <w:t>file a Memorandum on Disposition</w:t>
      </w:r>
      <w:r w:rsidR="00CB040F" w:rsidRPr="00546872">
        <w:rPr>
          <w:w w:val="105"/>
          <w:sz w:val="22"/>
          <w:szCs w:val="22"/>
        </w:rPr>
        <w:t xml:space="preserve">. </w:t>
      </w:r>
    </w:p>
    <w:p w14:paraId="5C6908C4" w14:textId="77B497CC" w:rsidR="00AB1D0A" w:rsidRPr="00546872" w:rsidRDefault="00AB1D0A" w:rsidP="00546872">
      <w:pPr>
        <w:spacing w:line="360" w:lineRule="auto"/>
        <w:ind w:firstLine="720"/>
        <w:jc w:val="both"/>
      </w:pPr>
      <w:r w:rsidRPr="00840D24">
        <w:rPr>
          <w:w w:val="105"/>
        </w:rPr>
        <w:t xml:space="preserve">The Board </w:t>
      </w:r>
      <w:r w:rsidR="004B35CB" w:rsidRPr="00840D24">
        <w:rPr>
          <w:w w:val="105"/>
        </w:rPr>
        <w:t>ha</w:t>
      </w:r>
      <w:r w:rsidR="00387ECF" w:rsidRPr="00840D24">
        <w:rPr>
          <w:w w:val="105"/>
        </w:rPr>
        <w:t>s</w:t>
      </w:r>
      <w:r w:rsidR="004B35CB" w:rsidRPr="00840D24">
        <w:rPr>
          <w:w w:val="105"/>
        </w:rPr>
        <w:t xml:space="preserve"> reviewed the Recommended Decisio</w:t>
      </w:r>
      <w:r w:rsidR="00CB040F" w:rsidRPr="00840D24">
        <w:rPr>
          <w:w w:val="105"/>
        </w:rPr>
        <w:t xml:space="preserve">n </w:t>
      </w:r>
      <w:r w:rsidR="004B35CB" w:rsidRPr="00840D24">
        <w:rPr>
          <w:w w:val="105"/>
        </w:rPr>
        <w:t>and the Memorand</w:t>
      </w:r>
      <w:r w:rsidR="00CB040F" w:rsidRPr="00840D24">
        <w:rPr>
          <w:w w:val="105"/>
        </w:rPr>
        <w:t>um</w:t>
      </w:r>
      <w:r w:rsidR="004B35CB" w:rsidRPr="00840D24">
        <w:rPr>
          <w:w w:val="105"/>
        </w:rPr>
        <w:t xml:space="preserve"> on Disposition. </w:t>
      </w:r>
      <w:r w:rsidR="002D686B" w:rsidRPr="00840D24">
        <w:rPr>
          <w:w w:val="105"/>
        </w:rPr>
        <w:t xml:space="preserve">On the basis of its review, the Board </w:t>
      </w:r>
      <w:r w:rsidRPr="00840D24">
        <w:rPr>
          <w:w w:val="105"/>
        </w:rPr>
        <w:t>adopts the</w:t>
      </w:r>
      <w:r w:rsidR="002D686B" w:rsidRPr="00840D24">
        <w:rPr>
          <w:w w:val="105"/>
        </w:rPr>
        <w:t xml:space="preserve"> </w:t>
      </w:r>
      <w:r w:rsidR="007F34EE" w:rsidRPr="00840D24">
        <w:rPr>
          <w:w w:val="105"/>
        </w:rPr>
        <w:t xml:space="preserve">Recommended Decision, which is attached hereto and </w:t>
      </w:r>
      <w:r w:rsidR="0031215C" w:rsidRPr="00840D24">
        <w:rPr>
          <w:w w:val="105"/>
        </w:rPr>
        <w:t>in</w:t>
      </w:r>
      <w:r w:rsidR="001645E5" w:rsidRPr="00840D24">
        <w:rPr>
          <w:w w:val="105"/>
        </w:rPr>
        <w:t>corporated by reference</w:t>
      </w:r>
      <w:r w:rsidR="00D82B75" w:rsidRPr="00840D24">
        <w:rPr>
          <w:w w:val="105"/>
        </w:rPr>
        <w:t>, and which concludes that the Responden</w:t>
      </w:r>
      <w:r w:rsidR="008B0515" w:rsidRPr="00840D24">
        <w:rPr>
          <w:w w:val="105"/>
        </w:rPr>
        <w:t>t</w:t>
      </w:r>
      <w:r w:rsidR="004C438F" w:rsidRPr="00840D24">
        <w:rPr>
          <w:w w:val="105"/>
        </w:rPr>
        <w:t xml:space="preserve">: </w:t>
      </w:r>
      <w:r w:rsidR="00B47357" w:rsidRPr="00840D24">
        <w:rPr>
          <w:w w:val="105"/>
        </w:rPr>
        <w:t xml:space="preserve">1. </w:t>
      </w:r>
      <w:r w:rsidR="008B0515" w:rsidRPr="00840D24">
        <w:rPr>
          <w:w w:val="105"/>
        </w:rPr>
        <w:t xml:space="preserve">has </w:t>
      </w:r>
      <w:r w:rsidR="004C438F" w:rsidRPr="00840D24">
        <w:t>commit</w:t>
      </w:r>
      <w:r w:rsidR="00991954" w:rsidRPr="00840D24">
        <w:t>ted</w:t>
      </w:r>
      <w:r w:rsidR="004C438F" w:rsidRPr="00840D24">
        <w:t xml:space="preserve"> misconduct in the practice of medicine;</w:t>
      </w:r>
      <w:r w:rsidR="004C438F" w:rsidRPr="00840D24">
        <w:rPr>
          <w:rStyle w:val="FootnoteReference"/>
        </w:rPr>
        <w:footnoteReference w:id="3"/>
      </w:r>
      <w:r w:rsidR="00991954" w:rsidRPr="00840D24">
        <w:t xml:space="preserve"> 2. </w:t>
      </w:r>
      <w:r w:rsidR="008B0515" w:rsidRPr="00840D24">
        <w:t xml:space="preserve">has </w:t>
      </w:r>
      <w:r w:rsidR="004C438F" w:rsidRPr="00840D24">
        <w:t>engag</w:t>
      </w:r>
      <w:r w:rsidR="008B0515" w:rsidRPr="00840D24">
        <w:t>ed</w:t>
      </w:r>
      <w:r w:rsidR="004C438F" w:rsidRPr="00840D24">
        <w:t xml:space="preserve"> in conduct which places into question his competence to practice medicine;</w:t>
      </w:r>
      <w:r w:rsidR="004C438F" w:rsidRPr="00840D24">
        <w:rPr>
          <w:rStyle w:val="FootnoteReference"/>
        </w:rPr>
        <w:footnoteReference w:id="4"/>
      </w:r>
      <w:r w:rsidR="00991954" w:rsidRPr="00840D24">
        <w:t xml:space="preserve"> 3. </w:t>
      </w:r>
      <w:r w:rsidR="004C438F" w:rsidRPr="00840D24">
        <w:t>la</w:t>
      </w:r>
      <w:r w:rsidR="008B0515" w:rsidRPr="00840D24">
        <w:t>cks</w:t>
      </w:r>
      <w:r w:rsidR="004C438F" w:rsidRPr="00840D24">
        <w:t xml:space="preserve"> good moral character and </w:t>
      </w:r>
      <w:r w:rsidR="008B0515" w:rsidRPr="00840D24">
        <w:t xml:space="preserve">has </w:t>
      </w:r>
      <w:r w:rsidR="004C438F" w:rsidRPr="00840D24">
        <w:t>engag</w:t>
      </w:r>
      <w:r w:rsidR="008B0515" w:rsidRPr="00840D24">
        <w:t>ed</w:t>
      </w:r>
      <w:r w:rsidR="004C438F" w:rsidRPr="00840D24">
        <w:t xml:space="preserve"> in conduct that undermines the public confidence in the integrity of the medical profession;</w:t>
      </w:r>
      <w:r w:rsidR="004C438F" w:rsidRPr="00840D24">
        <w:rPr>
          <w:rStyle w:val="FootnoteReference"/>
        </w:rPr>
        <w:footnoteReference w:id="5"/>
      </w:r>
      <w:r w:rsidR="004C438F" w:rsidRPr="00840D24">
        <w:t xml:space="preserve"> and</w:t>
      </w:r>
      <w:r w:rsidR="008B0515" w:rsidRPr="00840D24">
        <w:t xml:space="preserve"> has </w:t>
      </w:r>
      <w:r w:rsidR="004C438F" w:rsidRPr="00840D24">
        <w:t>violat</w:t>
      </w:r>
      <w:r w:rsidR="008B0515" w:rsidRPr="00840D24">
        <w:t>ed</w:t>
      </w:r>
      <w:r w:rsidR="004C438F" w:rsidRPr="00840D24">
        <w:t xml:space="preserve"> an ethical principle, specifically American Medical Association Code of Medical Ethics, Opinion 8.14, which states that sexual contact concurrent with the patient-physician relationship constitutes sexual misconduct in the practice of medicine.</w:t>
      </w:r>
      <w:r w:rsidR="004C438F" w:rsidRPr="00840D24">
        <w:rPr>
          <w:rStyle w:val="FootnoteReference"/>
        </w:rPr>
        <w:footnoteReference w:id="6"/>
      </w:r>
    </w:p>
    <w:p w14:paraId="229F601A" w14:textId="1BDB3803" w:rsidR="00AE2919" w:rsidRPr="00546872" w:rsidRDefault="002113B1" w:rsidP="00546872">
      <w:pPr>
        <w:pStyle w:val="BodyText"/>
        <w:spacing w:before="154" w:line="360" w:lineRule="auto"/>
        <w:ind w:left="3590" w:firstLine="10"/>
        <w:jc w:val="both"/>
        <w:rPr>
          <w:i/>
          <w:iCs/>
          <w:w w:val="105"/>
          <w:sz w:val="22"/>
          <w:szCs w:val="22"/>
        </w:rPr>
      </w:pPr>
      <w:r w:rsidRPr="00546872">
        <w:rPr>
          <w:i/>
          <w:iCs/>
          <w:w w:val="105"/>
          <w:sz w:val="22"/>
          <w:szCs w:val="22"/>
        </w:rPr>
        <w:t>Discussion</w:t>
      </w:r>
    </w:p>
    <w:p w14:paraId="5D1A8791" w14:textId="2ED8C9D6" w:rsidR="00251D34" w:rsidRPr="00546872" w:rsidRDefault="00E835AF" w:rsidP="00546872">
      <w:pPr>
        <w:pStyle w:val="BodyText"/>
        <w:spacing w:before="154" w:line="360" w:lineRule="auto"/>
        <w:ind w:firstLine="730"/>
        <w:jc w:val="both"/>
        <w:rPr>
          <w:w w:val="105"/>
          <w:sz w:val="22"/>
          <w:szCs w:val="22"/>
        </w:rPr>
      </w:pPr>
      <w:r w:rsidRPr="00546872">
        <w:rPr>
          <w:w w:val="105"/>
          <w:sz w:val="22"/>
          <w:szCs w:val="22"/>
        </w:rPr>
        <w:t>Th</w:t>
      </w:r>
      <w:r w:rsidR="00C65194" w:rsidRPr="00546872">
        <w:rPr>
          <w:w w:val="105"/>
          <w:sz w:val="22"/>
          <w:szCs w:val="22"/>
        </w:rPr>
        <w:t xml:space="preserve">e Board </w:t>
      </w:r>
      <w:r w:rsidR="00EC684F" w:rsidRPr="00546872">
        <w:rPr>
          <w:w w:val="105"/>
          <w:sz w:val="22"/>
          <w:szCs w:val="22"/>
        </w:rPr>
        <w:t>has considered</w:t>
      </w:r>
      <w:r w:rsidR="00C65194" w:rsidRPr="00546872">
        <w:rPr>
          <w:w w:val="105"/>
          <w:sz w:val="22"/>
          <w:szCs w:val="22"/>
        </w:rPr>
        <w:t xml:space="preserve"> both the</w:t>
      </w:r>
      <w:r w:rsidR="00FF4659" w:rsidRPr="00546872">
        <w:rPr>
          <w:w w:val="105"/>
          <w:sz w:val="22"/>
          <w:szCs w:val="22"/>
        </w:rPr>
        <w:t xml:space="preserve"> </w:t>
      </w:r>
      <w:r w:rsidR="00477639" w:rsidRPr="00546872">
        <w:rPr>
          <w:w w:val="105"/>
          <w:sz w:val="22"/>
          <w:szCs w:val="22"/>
        </w:rPr>
        <w:t xml:space="preserve">Board’s ability to rely on the findings of fact and conclusions of law in Minnesota Board Order </w:t>
      </w:r>
      <w:r w:rsidR="00830ED5" w:rsidRPr="00546872">
        <w:rPr>
          <w:w w:val="105"/>
          <w:sz w:val="22"/>
          <w:szCs w:val="22"/>
        </w:rPr>
        <w:t xml:space="preserve">to </w:t>
      </w:r>
      <w:r w:rsidR="00477639" w:rsidRPr="00546872">
        <w:rPr>
          <w:w w:val="105"/>
          <w:sz w:val="22"/>
          <w:szCs w:val="22"/>
        </w:rPr>
        <w:t xml:space="preserve">preclude re-litigation of the issues </w:t>
      </w:r>
      <w:r w:rsidR="00DB578C" w:rsidRPr="00546872">
        <w:rPr>
          <w:w w:val="105"/>
          <w:sz w:val="22"/>
          <w:szCs w:val="22"/>
        </w:rPr>
        <w:t xml:space="preserve">and has considered the </w:t>
      </w:r>
      <w:r w:rsidR="00DF0B52" w:rsidRPr="00546872">
        <w:rPr>
          <w:w w:val="105"/>
          <w:sz w:val="22"/>
          <w:szCs w:val="22"/>
        </w:rPr>
        <w:t>Respondent’s acts with respect to Patients #2 and #3</w:t>
      </w:r>
      <w:r w:rsidR="00DB578C" w:rsidRPr="00546872">
        <w:rPr>
          <w:w w:val="105"/>
          <w:sz w:val="22"/>
          <w:szCs w:val="22"/>
        </w:rPr>
        <w:t>.</w:t>
      </w:r>
    </w:p>
    <w:p w14:paraId="3FC94C84" w14:textId="73EC004D" w:rsidR="00DB578C" w:rsidRPr="00546872" w:rsidRDefault="00DB578C" w:rsidP="00546872">
      <w:pPr>
        <w:spacing w:line="360" w:lineRule="auto"/>
        <w:ind w:firstLine="720"/>
        <w:jc w:val="both"/>
      </w:pPr>
      <w:r w:rsidRPr="00840D24">
        <w:rPr>
          <w:w w:val="105"/>
        </w:rPr>
        <w:t xml:space="preserve">With respect to the Board’s reliance on the Minnesota Order in its Motion for Summary Decision, </w:t>
      </w:r>
      <w:r w:rsidRPr="00840D24">
        <w:t xml:space="preserve">the Board has a right to give preclusive effect to decisions of other state medical licensing boards. </w:t>
      </w:r>
      <w:r w:rsidRPr="00840D24">
        <w:rPr>
          <w:u w:val="single"/>
        </w:rPr>
        <w:t>See</w:t>
      </w:r>
      <w:r w:rsidRPr="00840D24">
        <w:t xml:space="preserve"> </w:t>
      </w:r>
      <w:r w:rsidRPr="00840D24">
        <w:rPr>
          <w:i/>
          <w:iCs/>
        </w:rPr>
        <w:t>Ramirez v. Board of Registration in Medicine</w:t>
      </w:r>
      <w:r w:rsidRPr="00840D24">
        <w:t>, 441 Mass 479, 482-483 (2004) (where a physician entered into consensual discipline a in foreign jurisdiction, the board need not be burdened with trying the case). The M</w:t>
      </w:r>
      <w:r w:rsidR="00B45382" w:rsidRPr="00840D24">
        <w:t>assachusetts Supreme Judicial Court</w:t>
      </w:r>
      <w:r w:rsidRPr="00840D24">
        <w:t xml:space="preserve"> stated in </w:t>
      </w:r>
      <w:proofErr w:type="spellStart"/>
      <w:r w:rsidRPr="00840D24">
        <w:rPr>
          <w:i/>
          <w:iCs/>
        </w:rPr>
        <w:t>Anusavice</w:t>
      </w:r>
      <w:proofErr w:type="spellEnd"/>
      <w:r w:rsidRPr="00840D24">
        <w:rPr>
          <w:i/>
          <w:iCs/>
        </w:rPr>
        <w:t xml:space="preserve"> v. Board of Registration in Dentistry</w:t>
      </w:r>
      <w:r w:rsidRPr="00840D24">
        <w:t>, 451 Mass. 786, 796 (2008), “Where…charges of serious professional misconduct have been brought before the licensing board of a foreign jurisdiction, and the professional is afforded the full opportunity to challenge the truth of those allegations, we see no need for the Massachusetts board to take on the burden of conducting an out-of-State investigation, and attempting to prove those allegations in order to impose reciprocal discipline.”</w:t>
      </w:r>
    </w:p>
    <w:p w14:paraId="2C97872D" w14:textId="6000280E" w:rsidR="008B4479" w:rsidRPr="00546872" w:rsidRDefault="00693CB3" w:rsidP="00546872">
      <w:pPr>
        <w:spacing w:line="360" w:lineRule="auto"/>
        <w:ind w:firstLine="720"/>
        <w:jc w:val="both"/>
      </w:pPr>
      <w:r w:rsidRPr="00840D24">
        <w:t xml:space="preserve">The Minnesota Board concluded that the Respondent violated Minn. Stat. </w:t>
      </w:r>
      <w:r w:rsidR="00754B81" w:rsidRPr="00840D24">
        <w:t>§</w:t>
      </w:r>
      <w:r w:rsidRPr="00840D24">
        <w:t>147</w:t>
      </w:r>
      <w:r w:rsidR="002C4B41" w:rsidRPr="00840D24">
        <w:t>.091</w:t>
      </w:r>
      <w:r w:rsidR="00F07791" w:rsidRPr="00840D24">
        <w:t xml:space="preserve"> subdivision </w:t>
      </w:r>
      <w:r w:rsidR="00394D38" w:rsidRPr="00840D24">
        <w:t>l</w:t>
      </w:r>
      <w:r w:rsidR="002C4B41" w:rsidRPr="00840D24">
        <w:t xml:space="preserve">(t), for engaging in sexual conduct with both patients. In addition, regarding </w:t>
      </w:r>
      <w:r w:rsidR="0030496D" w:rsidRPr="00840D24">
        <w:t xml:space="preserve">Patient #2, the Minnesota Board concluded that the Respondent </w:t>
      </w:r>
      <w:r w:rsidR="003B04A1" w:rsidRPr="00840D24">
        <w:t xml:space="preserve">engaged in unethical or improper conduct in violation of Minn. Stat. </w:t>
      </w:r>
      <w:r w:rsidR="00754B81" w:rsidRPr="00840D24">
        <w:t>§</w:t>
      </w:r>
      <w:r w:rsidR="003B04A1" w:rsidRPr="00840D24">
        <w:t>147</w:t>
      </w:r>
      <w:r w:rsidR="00F24A0B" w:rsidRPr="00840D24">
        <w:t>.</w:t>
      </w:r>
      <w:r w:rsidR="00784CD0" w:rsidRPr="00840D24">
        <w:t>091</w:t>
      </w:r>
      <w:r w:rsidR="00F07791" w:rsidRPr="00840D24">
        <w:t xml:space="preserve"> subdivision</w:t>
      </w:r>
      <w:r w:rsidR="00784CD0" w:rsidRPr="00840D24">
        <w:t xml:space="preserve"> l(g).</w:t>
      </w:r>
    </w:p>
    <w:p w14:paraId="28D14264" w14:textId="77777777" w:rsidR="008C5BCA" w:rsidRPr="00840D24" w:rsidRDefault="008C5BCA">
      <w:pPr>
        <w:pStyle w:val="BodyText"/>
        <w:spacing w:before="154" w:line="360" w:lineRule="auto"/>
        <w:jc w:val="both"/>
        <w:rPr>
          <w:w w:val="105"/>
          <w:sz w:val="22"/>
          <w:szCs w:val="22"/>
        </w:rPr>
      </w:pPr>
    </w:p>
    <w:p w14:paraId="38763951" w14:textId="77777777" w:rsidR="008C5BCA" w:rsidRPr="00840D24" w:rsidRDefault="008C5BCA" w:rsidP="00546872">
      <w:pPr>
        <w:pStyle w:val="BodyText"/>
        <w:spacing w:before="154" w:line="360" w:lineRule="auto"/>
        <w:jc w:val="both"/>
        <w:rPr>
          <w:w w:val="105"/>
          <w:sz w:val="22"/>
          <w:szCs w:val="22"/>
        </w:rPr>
      </w:pPr>
    </w:p>
    <w:p w14:paraId="0B0B5387" w14:textId="3B9A7999" w:rsidR="00CC3E44" w:rsidRPr="00840D24" w:rsidRDefault="00CC3E44" w:rsidP="00546872">
      <w:pPr>
        <w:jc w:val="both"/>
      </w:pPr>
    </w:p>
    <w:p w14:paraId="392B5617" w14:textId="7B9FBDFD" w:rsidR="00434CC2" w:rsidRPr="00840D24" w:rsidRDefault="00855841" w:rsidP="00546872">
      <w:pPr>
        <w:spacing w:line="360" w:lineRule="auto"/>
        <w:jc w:val="both"/>
        <w:rPr>
          <w:i/>
          <w:iCs/>
        </w:rPr>
      </w:pPr>
      <w:r w:rsidRPr="00840D24">
        <w:rPr>
          <w:w w:val="105"/>
        </w:rPr>
        <w:tab/>
      </w:r>
      <w:r w:rsidRPr="00840D24">
        <w:rPr>
          <w:w w:val="105"/>
        </w:rPr>
        <w:tab/>
      </w:r>
      <w:r w:rsidRPr="00840D24">
        <w:rPr>
          <w:w w:val="105"/>
        </w:rPr>
        <w:tab/>
      </w:r>
      <w:r w:rsidRPr="00840D24">
        <w:rPr>
          <w:w w:val="105"/>
        </w:rPr>
        <w:tab/>
      </w:r>
      <w:r w:rsidRPr="00840D24">
        <w:rPr>
          <w:w w:val="105"/>
        </w:rPr>
        <w:tab/>
      </w:r>
      <w:r w:rsidR="00434CC2" w:rsidRPr="00840D24">
        <w:rPr>
          <w:i/>
          <w:iCs/>
        </w:rPr>
        <w:t>Sanction</w:t>
      </w:r>
    </w:p>
    <w:p w14:paraId="5BD47676" w14:textId="007F44A5" w:rsidR="007C0FDA" w:rsidRPr="00840D24" w:rsidRDefault="007C0FDA" w:rsidP="00241D6F">
      <w:pPr>
        <w:spacing w:line="360" w:lineRule="auto"/>
        <w:ind w:firstLine="720"/>
        <w:jc w:val="both"/>
      </w:pPr>
      <w:r w:rsidRPr="00840D24">
        <w:t>The Respondent engaged in sexual misconduct with two patients</w:t>
      </w:r>
      <w:r w:rsidR="00186D4B" w:rsidRPr="00840D24">
        <w:t xml:space="preserve"> and</w:t>
      </w:r>
      <w:r w:rsidR="00581C8A" w:rsidRPr="00840D24">
        <w:t>, in doing so</w:t>
      </w:r>
      <w:r w:rsidR="00186D4B" w:rsidRPr="00840D24">
        <w:rPr>
          <w:w w:val="105"/>
        </w:rPr>
        <w:t xml:space="preserve"> has </w:t>
      </w:r>
      <w:r w:rsidR="00186D4B" w:rsidRPr="00840D24">
        <w:t>committed misconduct in the practice of medicine</w:t>
      </w:r>
      <w:r w:rsidR="00581C8A" w:rsidRPr="00840D24">
        <w:t xml:space="preserve">, </w:t>
      </w:r>
      <w:r w:rsidR="00186D4B" w:rsidRPr="00840D24">
        <w:t>has engaged in conduct which places into question his competence to practice medicine</w:t>
      </w:r>
      <w:r w:rsidR="00581C8A" w:rsidRPr="00840D24">
        <w:t>,</w:t>
      </w:r>
      <w:r w:rsidR="00186D4B" w:rsidRPr="00840D24">
        <w:t xml:space="preserve"> has engaged in conduct that undermines the public confidence in the integrity of the medical profession</w:t>
      </w:r>
      <w:r w:rsidR="00581C8A" w:rsidRPr="00840D24">
        <w:t>,</w:t>
      </w:r>
      <w:r w:rsidR="00186D4B" w:rsidRPr="00840D24">
        <w:t xml:space="preserve"> and has violated an ethical principle, specifically American Medical Association Code of Medical Ethics, Opinion 8.14, which states that sexual contact concurrent with the patient-physician relationship constitutes sexual misconduct in the practice of medicine</w:t>
      </w:r>
      <w:r w:rsidR="00E3290E" w:rsidRPr="00840D24">
        <w:t xml:space="preserve">. </w:t>
      </w:r>
      <w:r w:rsidRPr="00840D24">
        <w:rPr>
          <w:iCs/>
          <w:u w:val="single"/>
        </w:rPr>
        <w:t>See</w:t>
      </w:r>
      <w:r w:rsidRPr="00840D24">
        <w:rPr>
          <w:i/>
          <w:iCs/>
        </w:rPr>
        <w:t xml:space="preserve"> Raymond v. Board of Registration in Medicine</w:t>
      </w:r>
      <w:r w:rsidRPr="00840D24">
        <w:t xml:space="preserve">, 387 Mass. 708 (1982); </w:t>
      </w:r>
      <w:r w:rsidRPr="00840D24">
        <w:rPr>
          <w:i/>
          <w:iCs/>
        </w:rPr>
        <w:t>Levy v. Board of Registration in Medicine</w:t>
      </w:r>
      <w:r w:rsidRPr="00840D24">
        <w:rPr>
          <w:i/>
        </w:rPr>
        <w:t xml:space="preserve">, </w:t>
      </w:r>
      <w:r w:rsidRPr="00840D24">
        <w:t>378 Mass. 519 (1979).</w:t>
      </w:r>
    </w:p>
    <w:p w14:paraId="61F15864" w14:textId="6430D404" w:rsidR="00756D1B" w:rsidRPr="00840D24" w:rsidRDefault="00756D1B" w:rsidP="00756D1B">
      <w:pPr>
        <w:spacing w:line="360" w:lineRule="auto"/>
        <w:ind w:firstLine="720"/>
        <w:jc w:val="both"/>
      </w:pPr>
      <w:r w:rsidRPr="00840D24">
        <w:t>More than forty years ago, the Board pronounced:</w:t>
      </w:r>
    </w:p>
    <w:p w14:paraId="4606B151" w14:textId="625B5652" w:rsidR="002D5254" w:rsidRPr="00840D24" w:rsidRDefault="00756D1B" w:rsidP="0094710E">
      <w:pPr>
        <w:spacing w:line="360" w:lineRule="auto"/>
        <w:ind w:left="1440" w:right="720"/>
        <w:jc w:val="both"/>
      </w:pPr>
      <w:r w:rsidRPr="00840D24">
        <w:t xml:space="preserve">The physician-patient relationship requires sound professional judgment, an acute sensitivity to the trust that is placed in the physician, and a high degree of integrity. </w:t>
      </w:r>
      <w:r w:rsidRPr="00840D24">
        <w:rPr>
          <w:i/>
        </w:rPr>
        <w:t>In the Matter of Donald M. Allen, M.D.</w:t>
      </w:r>
      <w:r w:rsidRPr="00840D24">
        <w:t xml:space="preserve">, Board of Registration in Medicine, Adjudicatory Case No. 407 (Final Decision and Order, December 19, 1980.) </w:t>
      </w:r>
    </w:p>
    <w:p w14:paraId="00D18222" w14:textId="204629FF" w:rsidR="007C0FDA" w:rsidRPr="00546872" w:rsidRDefault="003504DD" w:rsidP="008047A3">
      <w:pPr>
        <w:pStyle w:val="ListParagraph"/>
        <w:tabs>
          <w:tab w:val="left" w:pos="0"/>
        </w:tabs>
        <w:spacing w:line="360" w:lineRule="auto"/>
        <w:ind w:left="90"/>
        <w:jc w:val="both"/>
        <w:rPr>
          <w:rFonts w:ascii="Times New Roman" w:hAnsi="Times New Roman" w:cs="Times New Roman"/>
          <w:bCs/>
          <w:sz w:val="22"/>
          <w:szCs w:val="22"/>
        </w:rPr>
      </w:pPr>
      <w:r w:rsidRPr="00840D24">
        <w:rPr>
          <w:rFonts w:ascii="Times New Roman" w:hAnsi="Times New Roman" w:cs="Times New Roman"/>
          <w:sz w:val="22"/>
          <w:szCs w:val="22"/>
        </w:rPr>
        <w:tab/>
        <w:t>T</w:t>
      </w:r>
      <w:r w:rsidR="007C0FDA" w:rsidRPr="00546872">
        <w:rPr>
          <w:rFonts w:ascii="Times New Roman" w:hAnsi="Times New Roman" w:cs="Times New Roman"/>
          <w:sz w:val="22"/>
          <w:szCs w:val="22"/>
        </w:rPr>
        <w:t>he Board has dealt strictly with cases involving sexual misconduct, frequently determining that revocation of the physician’s license is necessary to protect the public and to uphold the integrity of the medical profession. The Board has found that such conduct warrants a serious departure from good and accepted medical practice, and further, that such conduct demonstrate</w:t>
      </w:r>
      <w:r w:rsidR="00AC4EE0" w:rsidRPr="00546872">
        <w:rPr>
          <w:rFonts w:ascii="Times New Roman" w:hAnsi="Times New Roman" w:cs="Times New Roman"/>
          <w:sz w:val="22"/>
          <w:szCs w:val="22"/>
        </w:rPr>
        <w:t>s</w:t>
      </w:r>
      <w:r w:rsidR="007C0FDA" w:rsidRPr="00546872">
        <w:rPr>
          <w:rFonts w:ascii="Times New Roman" w:hAnsi="Times New Roman" w:cs="Times New Roman"/>
          <w:sz w:val="22"/>
          <w:szCs w:val="22"/>
        </w:rPr>
        <w:t xml:space="preserve"> a complete abuse of patient trust. </w:t>
      </w:r>
      <w:r w:rsidR="007C0FDA" w:rsidRPr="00546872">
        <w:rPr>
          <w:rFonts w:ascii="Times New Roman" w:hAnsi="Times New Roman" w:cs="Times New Roman"/>
          <w:sz w:val="22"/>
          <w:szCs w:val="22"/>
          <w:u w:val="single"/>
        </w:rPr>
        <w:t>See</w:t>
      </w:r>
      <w:r w:rsidR="007C0FDA" w:rsidRPr="00546872">
        <w:rPr>
          <w:rFonts w:ascii="Times New Roman" w:hAnsi="Times New Roman" w:cs="Times New Roman"/>
          <w:i/>
          <w:sz w:val="22"/>
          <w:szCs w:val="22"/>
        </w:rPr>
        <w:t xml:space="preserve"> In the Matter of Richard B. Hawkins, M.D.</w:t>
      </w:r>
      <w:r w:rsidR="007C0FDA" w:rsidRPr="00546872">
        <w:rPr>
          <w:rFonts w:ascii="Times New Roman" w:hAnsi="Times New Roman" w:cs="Times New Roman"/>
          <w:sz w:val="22"/>
          <w:szCs w:val="22"/>
        </w:rPr>
        <w:t xml:space="preserve">, Board of Registration in Medicine, Adjudicatory Case No. 03-12-DALA (Final Decision and Order, December 15, 2004); and </w:t>
      </w:r>
      <w:r w:rsidR="007C0FDA" w:rsidRPr="00546872">
        <w:rPr>
          <w:rFonts w:ascii="Times New Roman" w:hAnsi="Times New Roman" w:cs="Times New Roman"/>
          <w:i/>
          <w:sz w:val="22"/>
          <w:szCs w:val="22"/>
        </w:rPr>
        <w:t>In the Matter of David P. Ingalls, M.D.</w:t>
      </w:r>
      <w:r w:rsidR="007C0FDA" w:rsidRPr="00546872">
        <w:rPr>
          <w:rFonts w:ascii="Times New Roman" w:hAnsi="Times New Roman" w:cs="Times New Roman"/>
          <w:sz w:val="22"/>
          <w:szCs w:val="22"/>
        </w:rPr>
        <w:t>, Board of Registration in Medicine, Adjudicatory Case No. 02-01-DALA (Final Decision and Order, November 13, 2003).</w:t>
      </w:r>
    </w:p>
    <w:p w14:paraId="007A1019" w14:textId="693779F2" w:rsidR="007C0FDA" w:rsidRPr="00840D24" w:rsidRDefault="007C0FDA" w:rsidP="008047A3">
      <w:pPr>
        <w:spacing w:line="360" w:lineRule="auto"/>
        <w:ind w:firstLine="720"/>
        <w:jc w:val="both"/>
      </w:pPr>
      <w:r w:rsidRPr="00840D24">
        <w:t xml:space="preserve">When deciding on an appropriate sanction, the Board has taken into account such factors as: the nature and extent of the overall misconduct, the number of patients involved, the duration of the misconduct, whether the physician self-reported the misconduct or admitted the misconduct and cooperated with the Board. </w:t>
      </w:r>
      <w:r w:rsidRPr="00840D24">
        <w:rPr>
          <w:i/>
        </w:rPr>
        <w:t>In the Matter of Terrence M. O’Neill, M.D.</w:t>
      </w:r>
      <w:r w:rsidRPr="00840D24">
        <w:t xml:space="preserve">, Board of Registration in Medicine, Adjudicatory Case No. 88-44-TR (Final Decision and Order, August 9, 1994). </w:t>
      </w:r>
    </w:p>
    <w:p w14:paraId="65C835F8" w14:textId="0C17195D" w:rsidR="007C0FDA" w:rsidRPr="00840D24" w:rsidRDefault="007C0FDA" w:rsidP="008047A3">
      <w:pPr>
        <w:spacing w:line="360" w:lineRule="auto"/>
        <w:ind w:firstLine="720"/>
        <w:jc w:val="both"/>
      </w:pPr>
      <w:r w:rsidRPr="00840D24">
        <w:t xml:space="preserve">In the pendant matter, the Board engaged in sexual misconduct with two patients. The Board identifies </w:t>
      </w:r>
      <w:r w:rsidR="00444389" w:rsidRPr="00840D24">
        <w:t xml:space="preserve">no </w:t>
      </w:r>
      <w:r w:rsidRPr="00840D24">
        <w:t>mitigating factor</w:t>
      </w:r>
      <w:r w:rsidR="00444389" w:rsidRPr="00840D24">
        <w:t xml:space="preserve">. </w:t>
      </w:r>
      <w:r w:rsidR="001C228A" w:rsidRPr="00840D24">
        <w:t xml:space="preserve">The Board notes that the </w:t>
      </w:r>
      <w:r w:rsidR="002207DD" w:rsidRPr="00840D24">
        <w:t xml:space="preserve">Respondent participated in a pre-hearing conference, but </w:t>
      </w:r>
      <w:r w:rsidR="00950767" w:rsidRPr="00840D24">
        <w:t xml:space="preserve">the Respondent </w:t>
      </w:r>
      <w:r w:rsidR="00794BE5" w:rsidRPr="00840D24">
        <w:t xml:space="preserve">has not participated in the administrative </w:t>
      </w:r>
      <w:r w:rsidR="00875387" w:rsidRPr="00840D24">
        <w:t xml:space="preserve">process since that time. </w:t>
      </w:r>
    </w:p>
    <w:p w14:paraId="48892E9A" w14:textId="71316B4C" w:rsidR="00E3380B" w:rsidRPr="00840D24" w:rsidRDefault="007C0FDA" w:rsidP="00546872">
      <w:pPr>
        <w:spacing w:line="360" w:lineRule="auto"/>
        <w:ind w:firstLine="720"/>
        <w:jc w:val="both"/>
      </w:pPr>
      <w:r w:rsidRPr="00840D24">
        <w:lastRenderedPageBreak/>
        <w:t>In consideration of the Board’s grave concern about sexual misconduct</w:t>
      </w:r>
      <w:r w:rsidR="00877A42" w:rsidRPr="00840D24">
        <w:t>,</w:t>
      </w:r>
      <w:r w:rsidRPr="00840D24">
        <w:t xml:space="preserve"> the Board REVOKES the Respondent’s </w:t>
      </w:r>
      <w:r w:rsidR="00877A42" w:rsidRPr="00840D24">
        <w:t xml:space="preserve">inchoate right to renew his </w:t>
      </w:r>
      <w:r w:rsidRPr="00840D24">
        <w:t>license to practice medicine.</w:t>
      </w:r>
      <w:r w:rsidR="003C3A0D" w:rsidRPr="00840D24">
        <w:t xml:space="preserve"> </w:t>
      </w:r>
      <w:r w:rsidR="00E3380B" w:rsidRPr="00840D24">
        <w:rPr>
          <w:w w:val="105"/>
        </w:rPr>
        <w:t>The Respondent shall provide a complete copy of</w:t>
      </w:r>
      <w:r w:rsidR="00E3380B" w:rsidRPr="00840D24">
        <w:rPr>
          <w:spacing w:val="-1"/>
          <w:w w:val="105"/>
        </w:rPr>
        <w:t xml:space="preserve"> </w:t>
      </w:r>
      <w:r w:rsidR="00E3380B" w:rsidRPr="00840D24">
        <w:rPr>
          <w:w w:val="105"/>
        </w:rPr>
        <w:t>this Final Decision and Order, with all exhibits and attachments within ten (10) days by certified mail, return receipt requested,</w:t>
      </w:r>
      <w:r w:rsidR="00E3380B" w:rsidRPr="00840D24">
        <w:rPr>
          <w:spacing w:val="-7"/>
          <w:w w:val="105"/>
        </w:rPr>
        <w:t xml:space="preserve"> </w:t>
      </w:r>
      <w:r w:rsidR="00E3380B" w:rsidRPr="00840D24">
        <w:rPr>
          <w:w w:val="105"/>
        </w:rPr>
        <w:t>or by</w:t>
      </w:r>
      <w:r w:rsidR="00E3380B" w:rsidRPr="00840D24">
        <w:rPr>
          <w:spacing w:val="-3"/>
          <w:w w:val="105"/>
        </w:rPr>
        <w:t xml:space="preserve"> </w:t>
      </w:r>
      <w:r w:rsidR="00E3380B" w:rsidRPr="00840D24">
        <w:rPr>
          <w:w w:val="105"/>
        </w:rPr>
        <w:t>hand</w:t>
      </w:r>
      <w:r w:rsidR="00E3380B" w:rsidRPr="00840D24">
        <w:rPr>
          <w:spacing w:val="-2"/>
          <w:w w:val="105"/>
        </w:rPr>
        <w:t xml:space="preserve"> </w:t>
      </w:r>
      <w:r w:rsidR="00E3380B" w:rsidRPr="00840D24">
        <w:rPr>
          <w:w w:val="105"/>
        </w:rPr>
        <w:t>delivery to</w:t>
      </w:r>
      <w:r w:rsidR="00E3380B" w:rsidRPr="00840D24">
        <w:rPr>
          <w:spacing w:val="-16"/>
          <w:w w:val="105"/>
        </w:rPr>
        <w:t xml:space="preserve"> </w:t>
      </w:r>
      <w:r w:rsidR="00E3380B" w:rsidRPr="00840D24">
        <w:rPr>
          <w:w w:val="105"/>
        </w:rPr>
        <w:t>the</w:t>
      </w:r>
      <w:r w:rsidR="00E3380B" w:rsidRPr="00840D24">
        <w:rPr>
          <w:spacing w:val="-14"/>
          <w:w w:val="105"/>
        </w:rPr>
        <w:t xml:space="preserve"> </w:t>
      </w:r>
      <w:r w:rsidR="00E3380B" w:rsidRPr="00840D24">
        <w:rPr>
          <w:w w:val="105"/>
        </w:rPr>
        <w:t>following designated entities:</w:t>
      </w:r>
      <w:r w:rsidR="00E3380B" w:rsidRPr="00840D24">
        <w:rPr>
          <w:spacing w:val="40"/>
          <w:w w:val="105"/>
        </w:rPr>
        <w:t xml:space="preserve"> </w:t>
      </w:r>
      <w:r w:rsidR="00E3380B" w:rsidRPr="00840D24">
        <w:rPr>
          <w:w w:val="105"/>
        </w:rPr>
        <w:t>any</w:t>
      </w:r>
      <w:r w:rsidR="00E3380B" w:rsidRPr="00840D24">
        <w:rPr>
          <w:spacing w:val="-6"/>
          <w:w w:val="105"/>
        </w:rPr>
        <w:t xml:space="preserve"> </w:t>
      </w:r>
      <w:r w:rsidR="00E3380B" w:rsidRPr="00840D24">
        <w:rPr>
          <w:w w:val="105"/>
        </w:rPr>
        <w:t>in-</w:t>
      </w:r>
      <w:r w:rsidR="00E3380B" w:rsidRPr="00840D24">
        <w:rPr>
          <w:spacing w:val="-9"/>
          <w:w w:val="105"/>
        </w:rPr>
        <w:t xml:space="preserve"> </w:t>
      </w:r>
      <w:r w:rsidR="00E3380B" w:rsidRPr="00840D24">
        <w:rPr>
          <w:w w:val="105"/>
        </w:rPr>
        <w:t>or</w:t>
      </w:r>
      <w:r w:rsidR="00E3380B" w:rsidRPr="00840D24">
        <w:rPr>
          <w:spacing w:val="-14"/>
          <w:w w:val="105"/>
        </w:rPr>
        <w:t xml:space="preserve"> </w:t>
      </w:r>
      <w:r w:rsidR="00E3380B" w:rsidRPr="00840D24">
        <w:rPr>
          <w:w w:val="105"/>
        </w:rPr>
        <w:t>out-of-state hospital, nursing home, clinic, other licensed facility, or municipal, state, or federal facility</w:t>
      </w:r>
      <w:r w:rsidR="00E3380B" w:rsidRPr="00840D24">
        <w:rPr>
          <w:spacing w:val="65"/>
          <w:w w:val="105"/>
        </w:rPr>
        <w:t xml:space="preserve"> </w:t>
      </w:r>
      <w:r w:rsidR="00E3380B" w:rsidRPr="00840D24">
        <w:rPr>
          <w:w w:val="105"/>
        </w:rPr>
        <w:t>at</w:t>
      </w:r>
      <w:r w:rsidR="00E3380B" w:rsidRPr="00840D24">
        <w:rPr>
          <w:spacing w:val="60"/>
          <w:w w:val="105"/>
        </w:rPr>
        <w:t xml:space="preserve"> </w:t>
      </w:r>
      <w:r w:rsidR="00E3380B" w:rsidRPr="00840D24">
        <w:rPr>
          <w:w w:val="105"/>
        </w:rPr>
        <w:t>which</w:t>
      </w:r>
      <w:r w:rsidR="00E3380B" w:rsidRPr="00840D24">
        <w:rPr>
          <w:spacing w:val="64"/>
          <w:w w:val="105"/>
        </w:rPr>
        <w:t xml:space="preserve"> </w:t>
      </w:r>
      <w:r w:rsidR="00E3380B" w:rsidRPr="00840D24">
        <w:rPr>
          <w:w w:val="105"/>
        </w:rPr>
        <w:t>he</w:t>
      </w:r>
      <w:r w:rsidR="00E3380B" w:rsidRPr="00840D24">
        <w:rPr>
          <w:spacing w:val="63"/>
          <w:w w:val="105"/>
        </w:rPr>
        <w:t xml:space="preserve"> </w:t>
      </w:r>
      <w:r w:rsidR="00E3380B" w:rsidRPr="00840D24">
        <w:rPr>
          <w:w w:val="105"/>
        </w:rPr>
        <w:t>practices</w:t>
      </w:r>
      <w:r w:rsidR="00E3380B" w:rsidRPr="00840D24">
        <w:rPr>
          <w:spacing w:val="70"/>
          <w:w w:val="105"/>
        </w:rPr>
        <w:t xml:space="preserve"> </w:t>
      </w:r>
      <w:r w:rsidR="00E3380B" w:rsidRPr="00840D24">
        <w:rPr>
          <w:w w:val="105"/>
        </w:rPr>
        <w:t>medicine;</w:t>
      </w:r>
      <w:r w:rsidR="00E3380B" w:rsidRPr="00840D24">
        <w:rPr>
          <w:spacing w:val="69"/>
          <w:w w:val="105"/>
        </w:rPr>
        <w:t xml:space="preserve"> </w:t>
      </w:r>
      <w:r w:rsidR="00E3380B" w:rsidRPr="00840D24">
        <w:rPr>
          <w:w w:val="105"/>
        </w:rPr>
        <w:t>any</w:t>
      </w:r>
      <w:r w:rsidR="00E3380B" w:rsidRPr="00840D24">
        <w:rPr>
          <w:spacing w:val="70"/>
          <w:w w:val="105"/>
        </w:rPr>
        <w:t xml:space="preserve"> </w:t>
      </w:r>
      <w:r w:rsidR="00E3380B" w:rsidRPr="00840D24">
        <w:rPr>
          <w:w w:val="105"/>
        </w:rPr>
        <w:t>in-</w:t>
      </w:r>
      <w:r w:rsidR="00E3380B" w:rsidRPr="00840D24">
        <w:rPr>
          <w:spacing w:val="61"/>
          <w:w w:val="105"/>
        </w:rPr>
        <w:t xml:space="preserve"> </w:t>
      </w:r>
      <w:r w:rsidR="00E3380B" w:rsidRPr="00840D24">
        <w:rPr>
          <w:w w:val="105"/>
        </w:rPr>
        <w:t>or</w:t>
      </w:r>
      <w:r w:rsidR="00E3380B" w:rsidRPr="00840D24">
        <w:rPr>
          <w:spacing w:val="40"/>
          <w:w w:val="105"/>
        </w:rPr>
        <w:t xml:space="preserve"> </w:t>
      </w:r>
      <w:r w:rsidR="00E3380B" w:rsidRPr="00840D24">
        <w:rPr>
          <w:w w:val="105"/>
        </w:rPr>
        <w:t>out-of-state</w:t>
      </w:r>
      <w:r w:rsidR="00E3380B" w:rsidRPr="00840D24">
        <w:rPr>
          <w:spacing w:val="80"/>
          <w:w w:val="105"/>
        </w:rPr>
        <w:t xml:space="preserve"> </w:t>
      </w:r>
      <w:r w:rsidR="00E3380B" w:rsidRPr="00840D24">
        <w:rPr>
          <w:w w:val="105"/>
        </w:rPr>
        <w:t>health</w:t>
      </w:r>
      <w:r w:rsidR="00E3380B" w:rsidRPr="00840D24">
        <w:rPr>
          <w:spacing w:val="65"/>
          <w:w w:val="105"/>
        </w:rPr>
        <w:t xml:space="preserve"> </w:t>
      </w:r>
      <w:r w:rsidR="00E3380B" w:rsidRPr="00840D24">
        <w:rPr>
          <w:w w:val="105"/>
        </w:rPr>
        <w:t>maintenance</w:t>
      </w:r>
      <w:r w:rsidR="00D7112B" w:rsidRPr="00840D24">
        <w:rPr>
          <w:w w:val="105"/>
        </w:rPr>
        <w:t xml:space="preserve"> o</w:t>
      </w:r>
      <w:r w:rsidR="00E3380B" w:rsidRPr="00840D24">
        <w:t>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w:t>
      </w:r>
      <w:r w:rsidR="00E3380B" w:rsidRPr="00546872">
        <w:rPr>
          <w:b/>
          <w:bCs/>
          <w:spacing w:val="40"/>
        </w:rPr>
        <w:t xml:space="preserve"> </w:t>
      </w:r>
      <w:r w:rsidR="00E3380B" w:rsidRPr="00840D24">
        <w:t>The Respondent shall also provide this</w:t>
      </w:r>
      <w:r w:rsidR="00E3380B" w:rsidRPr="00840D24">
        <w:rPr>
          <w:spacing w:val="-1"/>
        </w:rPr>
        <w:t xml:space="preserve"> </w:t>
      </w:r>
      <w:r w:rsidR="00E3380B" w:rsidRPr="00840D24">
        <w:t>notification to</w:t>
      </w:r>
      <w:r w:rsidR="00E3380B" w:rsidRPr="00840D24">
        <w:rPr>
          <w:spacing w:val="-3"/>
        </w:rPr>
        <w:t xml:space="preserve"> </w:t>
      </w:r>
      <w:r w:rsidR="00E3380B" w:rsidRPr="00840D24">
        <w:t xml:space="preserve">any such designated entities with which he becomes associated </w:t>
      </w:r>
      <w:r w:rsidR="003C3A0D" w:rsidRPr="00546872">
        <w:t xml:space="preserve">for the duration of </w:t>
      </w:r>
      <w:r w:rsidR="008047A3" w:rsidRPr="00546872">
        <w:t xml:space="preserve">the revocation of his license. </w:t>
      </w:r>
      <w:r w:rsidR="00E3380B" w:rsidRPr="00840D24">
        <w:t>The Respondent is further directed to certify to the Board within ten (10) days that he has complied with this directive.</w:t>
      </w:r>
      <w:r w:rsidR="00E3380B" w:rsidRPr="00840D24">
        <w:rPr>
          <w:spacing w:val="80"/>
        </w:rPr>
        <w:t xml:space="preserve"> </w:t>
      </w:r>
      <w:r w:rsidR="00E3380B" w:rsidRPr="00840D24">
        <w:t>The Board expressly reserves the authority to independently notify, at any time, any of the entities designated above, or any other affected entity, of any action it has taken. The Respondent</w:t>
      </w:r>
      <w:r w:rsidR="00E3380B" w:rsidRPr="00840D24">
        <w:rPr>
          <w:spacing w:val="40"/>
        </w:rPr>
        <w:t xml:space="preserve"> </w:t>
      </w:r>
      <w:r w:rsidR="00E3380B" w:rsidRPr="00840D24">
        <w:t>has the right to appeal this Final Decision and Order within thirty (30) days, pursuant to G.L. c. 30A, §§14 and 15, and G.L. c. 112, § 64.</w:t>
      </w:r>
    </w:p>
    <w:p w14:paraId="51CD9B2B" w14:textId="77777777" w:rsidR="00E3380B" w:rsidRPr="00546872" w:rsidRDefault="00E3380B" w:rsidP="00C5256D">
      <w:pPr>
        <w:pStyle w:val="BodyText"/>
        <w:spacing w:line="360" w:lineRule="auto"/>
        <w:jc w:val="both"/>
        <w:rPr>
          <w:sz w:val="22"/>
          <w:szCs w:val="22"/>
        </w:rPr>
      </w:pPr>
    </w:p>
    <w:p w14:paraId="57C69690" w14:textId="77777777" w:rsidR="00E3380B" w:rsidRPr="00546872" w:rsidRDefault="00E3380B" w:rsidP="00C5256D">
      <w:pPr>
        <w:pStyle w:val="BodyText"/>
        <w:spacing w:line="360" w:lineRule="auto"/>
        <w:rPr>
          <w:sz w:val="22"/>
          <w:szCs w:val="22"/>
        </w:rPr>
      </w:pPr>
    </w:p>
    <w:p w14:paraId="788AF943" w14:textId="5DF65F16" w:rsidR="00E3380B" w:rsidRPr="00546872" w:rsidRDefault="00E3380B" w:rsidP="00C5256D">
      <w:pPr>
        <w:tabs>
          <w:tab w:val="left" w:pos="865"/>
          <w:tab w:val="left" w:pos="3735"/>
          <w:tab w:val="left" w:pos="7305"/>
        </w:tabs>
        <w:spacing w:before="217" w:line="360" w:lineRule="auto"/>
        <w:ind w:left="145"/>
      </w:pPr>
      <w:r w:rsidRPr="00546872">
        <w:rPr>
          <w:spacing w:val="-2"/>
        </w:rPr>
        <w:t>Date:</w:t>
      </w:r>
      <w:r w:rsidRPr="00546872">
        <w:tab/>
      </w:r>
      <w:r w:rsidR="00507263" w:rsidRPr="00546872">
        <w:t xml:space="preserve">November </w:t>
      </w:r>
      <w:r w:rsidR="00645549" w:rsidRPr="00546872">
        <w:t xml:space="preserve">2, </w:t>
      </w:r>
      <w:r w:rsidRPr="00546872">
        <w:rPr>
          <w:spacing w:val="-4"/>
        </w:rPr>
        <w:t>2023</w:t>
      </w:r>
      <w:r w:rsidRPr="00546872">
        <w:tab/>
      </w:r>
      <w:r w:rsidR="004D6CFF">
        <w:rPr>
          <w:u w:val="single"/>
        </w:rPr>
        <w:t>Signed by Julian Robinson, M.D.</w:t>
      </w:r>
      <w:r w:rsidR="004D6CFF">
        <w:rPr>
          <w:u w:val="single"/>
        </w:rPr>
        <w:tab/>
      </w:r>
    </w:p>
    <w:p w14:paraId="06896F36" w14:textId="77777777" w:rsidR="00E3380B" w:rsidRPr="00546872" w:rsidRDefault="00E3380B" w:rsidP="00C5256D">
      <w:pPr>
        <w:spacing w:line="360" w:lineRule="auto"/>
        <w:ind w:left="3756" w:right="2517" w:hanging="4"/>
      </w:pPr>
      <w:r w:rsidRPr="00546872">
        <w:t>Julian</w:t>
      </w:r>
      <w:r w:rsidRPr="00546872">
        <w:rPr>
          <w:spacing w:val="-15"/>
        </w:rPr>
        <w:t xml:space="preserve"> </w:t>
      </w:r>
      <w:r w:rsidRPr="00546872">
        <w:t>Robinson,</w:t>
      </w:r>
      <w:r w:rsidRPr="00546872">
        <w:rPr>
          <w:spacing w:val="-8"/>
        </w:rPr>
        <w:t xml:space="preserve"> </w:t>
      </w:r>
      <w:r w:rsidRPr="00546872">
        <w:t xml:space="preserve">M.D. </w:t>
      </w:r>
      <w:r w:rsidRPr="00546872">
        <w:rPr>
          <w:spacing w:val="-4"/>
        </w:rPr>
        <w:t>Chair</w:t>
      </w:r>
    </w:p>
    <w:p w14:paraId="617C256F" w14:textId="38BE38C8" w:rsidR="00E3380B" w:rsidRPr="00546872" w:rsidRDefault="00E3380B" w:rsidP="00C5256D">
      <w:pPr>
        <w:spacing w:line="360" w:lineRule="auto"/>
        <w:ind w:left="3753"/>
        <w:rPr>
          <w:spacing w:val="-2"/>
        </w:rPr>
      </w:pPr>
      <w:r w:rsidRPr="00546872">
        <w:t>Board of</w:t>
      </w:r>
      <w:r w:rsidRPr="00546872">
        <w:rPr>
          <w:spacing w:val="-6"/>
        </w:rPr>
        <w:t xml:space="preserve"> </w:t>
      </w:r>
      <w:r w:rsidRPr="00546872">
        <w:t>Registration</w:t>
      </w:r>
      <w:r w:rsidRPr="00546872">
        <w:rPr>
          <w:spacing w:val="10"/>
        </w:rPr>
        <w:t xml:space="preserve"> </w:t>
      </w:r>
      <w:r w:rsidRPr="00546872">
        <w:t>in</w:t>
      </w:r>
      <w:r w:rsidRPr="00546872">
        <w:rPr>
          <w:spacing w:val="-11"/>
        </w:rPr>
        <w:t xml:space="preserve"> </w:t>
      </w:r>
      <w:r w:rsidRPr="00546872">
        <w:rPr>
          <w:spacing w:val="-2"/>
        </w:rPr>
        <w:t>Medicine</w:t>
      </w:r>
    </w:p>
    <w:p w14:paraId="749529D1" w14:textId="77777777" w:rsidR="00622C11" w:rsidRDefault="00622C11" w:rsidP="00E3380B">
      <w:pPr>
        <w:spacing w:line="268" w:lineRule="exact"/>
        <w:ind w:left="3753"/>
        <w:rPr>
          <w:sz w:val="24"/>
        </w:rPr>
      </w:pPr>
    </w:p>
    <w:p w14:paraId="25633A3B" w14:textId="77777777" w:rsidR="00D447AD" w:rsidRDefault="00D447AD"/>
    <w:sectPr w:rsidR="00D447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87FC" w14:textId="77777777" w:rsidR="001D7620" w:rsidRDefault="001D7620" w:rsidP="003834A2">
      <w:r>
        <w:separator/>
      </w:r>
    </w:p>
  </w:endnote>
  <w:endnote w:type="continuationSeparator" w:id="0">
    <w:p w14:paraId="1774CA6D" w14:textId="77777777" w:rsidR="001D7620" w:rsidRDefault="001D7620" w:rsidP="003834A2">
      <w:r>
        <w:continuationSeparator/>
      </w:r>
    </w:p>
  </w:endnote>
  <w:endnote w:type="continuationNotice" w:id="1">
    <w:p w14:paraId="2010EF32" w14:textId="77777777" w:rsidR="001D7620" w:rsidRDefault="001D7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64806"/>
      <w:docPartObj>
        <w:docPartGallery w:val="Page Numbers (Bottom of Page)"/>
        <w:docPartUnique/>
      </w:docPartObj>
    </w:sdtPr>
    <w:sdtEndPr>
      <w:rPr>
        <w:noProof/>
      </w:rPr>
    </w:sdtEndPr>
    <w:sdtContent>
      <w:p w14:paraId="77B5BC56" w14:textId="38F33751" w:rsidR="006C6747" w:rsidRDefault="006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B57ED" w14:textId="0358C3F8" w:rsidR="003A4224" w:rsidRDefault="003A422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C353" w14:textId="77777777" w:rsidR="001D7620" w:rsidRDefault="001D7620" w:rsidP="003834A2">
      <w:r>
        <w:separator/>
      </w:r>
    </w:p>
  </w:footnote>
  <w:footnote w:type="continuationSeparator" w:id="0">
    <w:p w14:paraId="17A8B4D5" w14:textId="77777777" w:rsidR="001D7620" w:rsidRDefault="001D7620" w:rsidP="003834A2">
      <w:r>
        <w:continuationSeparator/>
      </w:r>
    </w:p>
  </w:footnote>
  <w:footnote w:type="continuationNotice" w:id="1">
    <w:p w14:paraId="0769AF23" w14:textId="77777777" w:rsidR="001D7620" w:rsidRDefault="001D7620"/>
  </w:footnote>
  <w:footnote w:id="2">
    <w:p w14:paraId="63878CAC" w14:textId="5AAA4C4C" w:rsidR="00DC266A" w:rsidRDefault="00DC266A">
      <w:pPr>
        <w:pStyle w:val="FootnoteText"/>
      </w:pPr>
      <w:r>
        <w:rPr>
          <w:rStyle w:val="FootnoteReference"/>
        </w:rPr>
        <w:footnoteRef/>
      </w:r>
      <w:r>
        <w:t xml:space="preserve"> </w:t>
      </w:r>
      <w:r w:rsidRPr="00DC266A">
        <w:t>When a Party is of the opinion that there is no genuine issue of fact relating to one or more of the claims, he may move for summary decision as to the claim(s). 801 CMR 1.01(7)(h).</w:t>
      </w:r>
    </w:p>
  </w:footnote>
  <w:footnote w:id="3">
    <w:p w14:paraId="15099D1C" w14:textId="77777777" w:rsidR="004C438F" w:rsidRPr="000F2151" w:rsidRDefault="004C438F" w:rsidP="004C438F">
      <w:pPr>
        <w:pStyle w:val="FootnoteText"/>
      </w:pPr>
      <w:r w:rsidRPr="000F2151">
        <w:rPr>
          <w:rStyle w:val="FootnoteReference"/>
        </w:rPr>
        <w:footnoteRef/>
      </w:r>
      <w:r w:rsidRPr="000F2151">
        <w:t xml:space="preserve"> </w:t>
      </w:r>
      <w:r w:rsidRPr="00E36313">
        <w:t>243 CMR 1.03(5)(a)18.</w:t>
      </w:r>
    </w:p>
  </w:footnote>
  <w:footnote w:id="4">
    <w:p w14:paraId="2CDCED4D" w14:textId="77777777" w:rsidR="004C438F" w:rsidRPr="000F2151" w:rsidRDefault="004C438F" w:rsidP="004C438F">
      <w:pPr>
        <w:pStyle w:val="FootnoteText"/>
      </w:pPr>
      <w:r w:rsidRPr="000F2151">
        <w:rPr>
          <w:rStyle w:val="FootnoteReference"/>
        </w:rPr>
        <w:footnoteRef/>
      </w:r>
      <w:r w:rsidRPr="000F2151">
        <w:t xml:space="preserve"> </w:t>
      </w:r>
      <w:r w:rsidRPr="00E36313">
        <w:t xml:space="preserve">243 CMR 1.03(5)(a)3. </w:t>
      </w:r>
    </w:p>
  </w:footnote>
  <w:footnote w:id="5">
    <w:p w14:paraId="32886A4E" w14:textId="77777777" w:rsidR="004C438F" w:rsidRPr="000F2151" w:rsidRDefault="004C438F" w:rsidP="004C438F">
      <w:pPr>
        <w:pStyle w:val="FootnoteText"/>
      </w:pPr>
      <w:r w:rsidRPr="000F2151">
        <w:rPr>
          <w:rStyle w:val="FootnoteReference"/>
        </w:rPr>
        <w:footnoteRef/>
      </w:r>
      <w:r w:rsidRPr="000F2151">
        <w:t xml:space="preserve"> </w:t>
      </w:r>
      <w:r w:rsidRPr="00E36313">
        <w:rPr>
          <w:i/>
          <w:iCs/>
        </w:rPr>
        <w:t>Levy v. Board of Registration in Medicine</w:t>
      </w:r>
      <w:r w:rsidRPr="00E36313">
        <w:t xml:space="preserve">, 378 Mass. 519 (1979); </w:t>
      </w:r>
      <w:r w:rsidRPr="00E36313">
        <w:rPr>
          <w:i/>
          <w:iCs/>
        </w:rPr>
        <w:t>Raymond v. Board of Registration in Medicine</w:t>
      </w:r>
      <w:r w:rsidRPr="00E36313">
        <w:t>, 387 Mass. 708 (1982),</w:t>
      </w:r>
    </w:p>
  </w:footnote>
  <w:footnote w:id="6">
    <w:p w14:paraId="3663092E" w14:textId="77777777" w:rsidR="004C438F" w:rsidRPr="00E36313" w:rsidRDefault="004C438F" w:rsidP="004C438F">
      <w:pPr>
        <w:jc w:val="both"/>
        <w:rPr>
          <w:sz w:val="20"/>
          <w:szCs w:val="20"/>
        </w:rPr>
      </w:pPr>
      <w:r w:rsidRPr="00E36313">
        <w:rPr>
          <w:rStyle w:val="FootnoteReference"/>
          <w:sz w:val="20"/>
          <w:szCs w:val="20"/>
        </w:rPr>
        <w:footnoteRef/>
      </w:r>
      <w:r w:rsidRPr="00E36313">
        <w:rPr>
          <w:sz w:val="20"/>
          <w:szCs w:val="20"/>
        </w:rPr>
        <w:t xml:space="preserve"> </w:t>
      </w:r>
      <w:r w:rsidRPr="00E36313">
        <w:rPr>
          <w:i/>
          <w:iCs/>
          <w:sz w:val="20"/>
          <w:szCs w:val="20"/>
        </w:rPr>
        <w:t>Aranoff v. Board of Registration in Medicine</w:t>
      </w:r>
      <w:r w:rsidRPr="00E36313">
        <w:rPr>
          <w:sz w:val="20"/>
          <w:szCs w:val="20"/>
        </w:rPr>
        <w:t>, 430 Mass. 830, 834 (1995).</w:t>
      </w:r>
    </w:p>
    <w:p w14:paraId="1063F132" w14:textId="77777777" w:rsidR="004C438F" w:rsidRDefault="004C438F" w:rsidP="004C43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E72"/>
    <w:multiLevelType w:val="hybridMultilevel"/>
    <w:tmpl w:val="584AA130"/>
    <w:lvl w:ilvl="0" w:tplc="B08A2BD8">
      <w:start w:val="1"/>
      <w:numFmt w:val="decimal"/>
      <w:lvlText w:val="%1."/>
      <w:lvlJc w:val="left"/>
      <w:pPr>
        <w:ind w:left="1090" w:hanging="360"/>
      </w:pPr>
      <w:rPr>
        <w:rFonts w:asciiTheme="minorHAnsi" w:eastAsiaTheme="minorHAnsi" w:hAnsiTheme="minorHAnsi" w:cstheme="minorBidi" w:hint="default"/>
        <w:sz w:val="24"/>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 w15:restartNumberingAfterBreak="0">
    <w:nsid w:val="049E5524"/>
    <w:multiLevelType w:val="hybridMultilevel"/>
    <w:tmpl w:val="28D0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15D56"/>
    <w:multiLevelType w:val="hybridMultilevel"/>
    <w:tmpl w:val="97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F03C4"/>
    <w:multiLevelType w:val="hybridMultilevel"/>
    <w:tmpl w:val="DCA2E684"/>
    <w:lvl w:ilvl="0" w:tplc="F3A0DF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F75A17"/>
    <w:multiLevelType w:val="hybridMultilevel"/>
    <w:tmpl w:val="9DA2D26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33504D1D"/>
    <w:multiLevelType w:val="hybridMultilevel"/>
    <w:tmpl w:val="1908C938"/>
    <w:lvl w:ilvl="0" w:tplc="04090019">
      <w:start w:val="1"/>
      <w:numFmt w:val="lowerLetter"/>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6" w15:restartNumberingAfterBreak="0">
    <w:nsid w:val="463C25DA"/>
    <w:multiLevelType w:val="hybridMultilevel"/>
    <w:tmpl w:val="0E0EB18A"/>
    <w:lvl w:ilvl="0" w:tplc="D054E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BD5074"/>
    <w:multiLevelType w:val="hybridMultilevel"/>
    <w:tmpl w:val="3CC474B6"/>
    <w:lvl w:ilvl="0" w:tplc="7A8607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574B20"/>
    <w:multiLevelType w:val="hybridMultilevel"/>
    <w:tmpl w:val="923EB6F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9" w15:restartNumberingAfterBreak="0">
    <w:nsid w:val="6B711079"/>
    <w:multiLevelType w:val="hybridMultilevel"/>
    <w:tmpl w:val="5A4A483C"/>
    <w:lvl w:ilvl="0" w:tplc="3D04557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6394569"/>
    <w:multiLevelType w:val="hybridMultilevel"/>
    <w:tmpl w:val="9DA2D26C"/>
    <w:lvl w:ilvl="0" w:tplc="926E19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15098623">
    <w:abstractNumId w:val="7"/>
  </w:num>
  <w:num w:numId="2" w16cid:durableId="267662512">
    <w:abstractNumId w:val="1"/>
  </w:num>
  <w:num w:numId="3" w16cid:durableId="1579629312">
    <w:abstractNumId w:val="6"/>
  </w:num>
  <w:num w:numId="4" w16cid:durableId="1604072640">
    <w:abstractNumId w:val="8"/>
  </w:num>
  <w:num w:numId="5" w16cid:durableId="1819224956">
    <w:abstractNumId w:val="9"/>
  </w:num>
  <w:num w:numId="6" w16cid:durableId="26024884">
    <w:abstractNumId w:val="10"/>
  </w:num>
  <w:num w:numId="7" w16cid:durableId="1629361905">
    <w:abstractNumId w:val="2"/>
  </w:num>
  <w:num w:numId="8" w16cid:durableId="857429767">
    <w:abstractNumId w:val="3"/>
  </w:num>
  <w:num w:numId="9" w16cid:durableId="1909072022">
    <w:abstractNumId w:val="0"/>
  </w:num>
  <w:num w:numId="10" w16cid:durableId="1867787961">
    <w:abstractNumId w:val="5"/>
  </w:num>
  <w:num w:numId="11" w16cid:durableId="1662193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revisionView w:markup="0"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B"/>
    <w:rsid w:val="00001303"/>
    <w:rsid w:val="000023E0"/>
    <w:rsid w:val="00002AA1"/>
    <w:rsid w:val="000042B2"/>
    <w:rsid w:val="00004AC9"/>
    <w:rsid w:val="00010E19"/>
    <w:rsid w:val="00011C8C"/>
    <w:rsid w:val="00021DDE"/>
    <w:rsid w:val="00022AEE"/>
    <w:rsid w:val="0003299B"/>
    <w:rsid w:val="00033978"/>
    <w:rsid w:val="00035DC7"/>
    <w:rsid w:val="000367B6"/>
    <w:rsid w:val="0003725C"/>
    <w:rsid w:val="00052BDE"/>
    <w:rsid w:val="0006091D"/>
    <w:rsid w:val="000630DF"/>
    <w:rsid w:val="00064C7D"/>
    <w:rsid w:val="00064F49"/>
    <w:rsid w:val="00065158"/>
    <w:rsid w:val="00072E1C"/>
    <w:rsid w:val="0007370B"/>
    <w:rsid w:val="00073C75"/>
    <w:rsid w:val="000748FF"/>
    <w:rsid w:val="000750BA"/>
    <w:rsid w:val="00076FBB"/>
    <w:rsid w:val="00081716"/>
    <w:rsid w:val="000817C5"/>
    <w:rsid w:val="0008325F"/>
    <w:rsid w:val="00085264"/>
    <w:rsid w:val="00085E0C"/>
    <w:rsid w:val="000861C8"/>
    <w:rsid w:val="00087BED"/>
    <w:rsid w:val="00087F24"/>
    <w:rsid w:val="00097616"/>
    <w:rsid w:val="000A3299"/>
    <w:rsid w:val="000A4A3B"/>
    <w:rsid w:val="000A6487"/>
    <w:rsid w:val="000A6C26"/>
    <w:rsid w:val="000B40CC"/>
    <w:rsid w:val="000B547B"/>
    <w:rsid w:val="000C2B39"/>
    <w:rsid w:val="000C2E4A"/>
    <w:rsid w:val="000C549F"/>
    <w:rsid w:val="000C5D11"/>
    <w:rsid w:val="000D3066"/>
    <w:rsid w:val="000E0821"/>
    <w:rsid w:val="000E0BDA"/>
    <w:rsid w:val="000E2459"/>
    <w:rsid w:val="000E2D10"/>
    <w:rsid w:val="000E5483"/>
    <w:rsid w:val="000E7201"/>
    <w:rsid w:val="000E7F69"/>
    <w:rsid w:val="000F2151"/>
    <w:rsid w:val="000F305A"/>
    <w:rsid w:val="000F6CF4"/>
    <w:rsid w:val="000F76A9"/>
    <w:rsid w:val="00100654"/>
    <w:rsid w:val="001016C5"/>
    <w:rsid w:val="00101BBF"/>
    <w:rsid w:val="00101D10"/>
    <w:rsid w:val="00102B2B"/>
    <w:rsid w:val="001040CC"/>
    <w:rsid w:val="001045C4"/>
    <w:rsid w:val="001048B2"/>
    <w:rsid w:val="0010537F"/>
    <w:rsid w:val="001148E7"/>
    <w:rsid w:val="001302A0"/>
    <w:rsid w:val="001302CE"/>
    <w:rsid w:val="001338BB"/>
    <w:rsid w:val="00133C7C"/>
    <w:rsid w:val="001360FF"/>
    <w:rsid w:val="00136FC4"/>
    <w:rsid w:val="0013790D"/>
    <w:rsid w:val="00141798"/>
    <w:rsid w:val="001548F0"/>
    <w:rsid w:val="00156BA2"/>
    <w:rsid w:val="0015794B"/>
    <w:rsid w:val="00157C89"/>
    <w:rsid w:val="00160AD5"/>
    <w:rsid w:val="001615B5"/>
    <w:rsid w:val="001645E5"/>
    <w:rsid w:val="0016546B"/>
    <w:rsid w:val="00174342"/>
    <w:rsid w:val="0017447E"/>
    <w:rsid w:val="00175040"/>
    <w:rsid w:val="0017787B"/>
    <w:rsid w:val="00183CB1"/>
    <w:rsid w:val="00185758"/>
    <w:rsid w:val="00186D4B"/>
    <w:rsid w:val="00191F0E"/>
    <w:rsid w:val="00194E35"/>
    <w:rsid w:val="00194E8E"/>
    <w:rsid w:val="0019618B"/>
    <w:rsid w:val="001966CD"/>
    <w:rsid w:val="001A11D2"/>
    <w:rsid w:val="001A526F"/>
    <w:rsid w:val="001B0CC1"/>
    <w:rsid w:val="001B6068"/>
    <w:rsid w:val="001B64E7"/>
    <w:rsid w:val="001C228A"/>
    <w:rsid w:val="001C4B8F"/>
    <w:rsid w:val="001D35E4"/>
    <w:rsid w:val="001D7620"/>
    <w:rsid w:val="001D78EF"/>
    <w:rsid w:val="001E30F9"/>
    <w:rsid w:val="001E768D"/>
    <w:rsid w:val="001F1595"/>
    <w:rsid w:val="001F1698"/>
    <w:rsid w:val="001F1FA1"/>
    <w:rsid w:val="001F42A3"/>
    <w:rsid w:val="001F662B"/>
    <w:rsid w:val="00202D31"/>
    <w:rsid w:val="00204C5D"/>
    <w:rsid w:val="00205762"/>
    <w:rsid w:val="002101AB"/>
    <w:rsid w:val="002113B1"/>
    <w:rsid w:val="002207DD"/>
    <w:rsid w:val="00221330"/>
    <w:rsid w:val="0022169F"/>
    <w:rsid w:val="00223383"/>
    <w:rsid w:val="002272B8"/>
    <w:rsid w:val="0023245A"/>
    <w:rsid w:val="00232C3A"/>
    <w:rsid w:val="00237332"/>
    <w:rsid w:val="00240ABE"/>
    <w:rsid w:val="00241D6F"/>
    <w:rsid w:val="00244CB8"/>
    <w:rsid w:val="00251984"/>
    <w:rsid w:val="00251D34"/>
    <w:rsid w:val="00253E28"/>
    <w:rsid w:val="00255DC5"/>
    <w:rsid w:val="00256009"/>
    <w:rsid w:val="00264CFD"/>
    <w:rsid w:val="0027669B"/>
    <w:rsid w:val="00280D51"/>
    <w:rsid w:val="00284DC1"/>
    <w:rsid w:val="0028725C"/>
    <w:rsid w:val="002900C6"/>
    <w:rsid w:val="002A68B8"/>
    <w:rsid w:val="002C0709"/>
    <w:rsid w:val="002C2BD4"/>
    <w:rsid w:val="002C4B41"/>
    <w:rsid w:val="002C71C3"/>
    <w:rsid w:val="002C78E7"/>
    <w:rsid w:val="002D5254"/>
    <w:rsid w:val="002D686B"/>
    <w:rsid w:val="002F5115"/>
    <w:rsid w:val="00300155"/>
    <w:rsid w:val="00302D6F"/>
    <w:rsid w:val="0030438D"/>
    <w:rsid w:val="0030496D"/>
    <w:rsid w:val="00304D38"/>
    <w:rsid w:val="00306F7F"/>
    <w:rsid w:val="0031215C"/>
    <w:rsid w:val="00312DBD"/>
    <w:rsid w:val="00320ADA"/>
    <w:rsid w:val="00322AC9"/>
    <w:rsid w:val="00323D68"/>
    <w:rsid w:val="00324045"/>
    <w:rsid w:val="00326C82"/>
    <w:rsid w:val="003313AA"/>
    <w:rsid w:val="00335B70"/>
    <w:rsid w:val="0033720F"/>
    <w:rsid w:val="00340F70"/>
    <w:rsid w:val="003444EE"/>
    <w:rsid w:val="00345203"/>
    <w:rsid w:val="003469A6"/>
    <w:rsid w:val="003504DD"/>
    <w:rsid w:val="00350CD4"/>
    <w:rsid w:val="003558F9"/>
    <w:rsid w:val="003627E4"/>
    <w:rsid w:val="00363E3A"/>
    <w:rsid w:val="0036444A"/>
    <w:rsid w:val="003650B1"/>
    <w:rsid w:val="0037203A"/>
    <w:rsid w:val="00373DC1"/>
    <w:rsid w:val="003774A2"/>
    <w:rsid w:val="003834A2"/>
    <w:rsid w:val="003878B4"/>
    <w:rsid w:val="00387ECF"/>
    <w:rsid w:val="003915AF"/>
    <w:rsid w:val="00394D38"/>
    <w:rsid w:val="00394DD8"/>
    <w:rsid w:val="00394FA4"/>
    <w:rsid w:val="003963C3"/>
    <w:rsid w:val="003969E2"/>
    <w:rsid w:val="00397054"/>
    <w:rsid w:val="003A4224"/>
    <w:rsid w:val="003A4829"/>
    <w:rsid w:val="003B04A1"/>
    <w:rsid w:val="003B0DF5"/>
    <w:rsid w:val="003B6413"/>
    <w:rsid w:val="003B6D68"/>
    <w:rsid w:val="003B7C8E"/>
    <w:rsid w:val="003B7D65"/>
    <w:rsid w:val="003B7EBE"/>
    <w:rsid w:val="003C1DD5"/>
    <w:rsid w:val="003C3A0D"/>
    <w:rsid w:val="003C636C"/>
    <w:rsid w:val="003D1172"/>
    <w:rsid w:val="003D12DF"/>
    <w:rsid w:val="003D398C"/>
    <w:rsid w:val="003D39EF"/>
    <w:rsid w:val="003E0DF7"/>
    <w:rsid w:val="003E5B32"/>
    <w:rsid w:val="003F0DCE"/>
    <w:rsid w:val="003F6351"/>
    <w:rsid w:val="004007D2"/>
    <w:rsid w:val="0040380C"/>
    <w:rsid w:val="004119AE"/>
    <w:rsid w:val="00411F02"/>
    <w:rsid w:val="00413154"/>
    <w:rsid w:val="00426678"/>
    <w:rsid w:val="00430EAB"/>
    <w:rsid w:val="00433560"/>
    <w:rsid w:val="00434CC2"/>
    <w:rsid w:val="004415A9"/>
    <w:rsid w:val="00442656"/>
    <w:rsid w:val="00444389"/>
    <w:rsid w:val="00444DA4"/>
    <w:rsid w:val="00453923"/>
    <w:rsid w:val="00454A7D"/>
    <w:rsid w:val="0046086C"/>
    <w:rsid w:val="0046234C"/>
    <w:rsid w:val="00463D73"/>
    <w:rsid w:val="00464A01"/>
    <w:rsid w:val="00466A9A"/>
    <w:rsid w:val="00466C94"/>
    <w:rsid w:val="00472F59"/>
    <w:rsid w:val="00477639"/>
    <w:rsid w:val="00480059"/>
    <w:rsid w:val="0048321E"/>
    <w:rsid w:val="004848AB"/>
    <w:rsid w:val="00485119"/>
    <w:rsid w:val="004902FE"/>
    <w:rsid w:val="00490BC1"/>
    <w:rsid w:val="004968DB"/>
    <w:rsid w:val="004A0E76"/>
    <w:rsid w:val="004B35CB"/>
    <w:rsid w:val="004B541F"/>
    <w:rsid w:val="004C3078"/>
    <w:rsid w:val="004C438F"/>
    <w:rsid w:val="004C4583"/>
    <w:rsid w:val="004C4B3D"/>
    <w:rsid w:val="004C5912"/>
    <w:rsid w:val="004C651C"/>
    <w:rsid w:val="004D3E83"/>
    <w:rsid w:val="004D5168"/>
    <w:rsid w:val="004D6CC0"/>
    <w:rsid w:val="004D6CFF"/>
    <w:rsid w:val="004D782D"/>
    <w:rsid w:val="004E20B1"/>
    <w:rsid w:val="004E3E76"/>
    <w:rsid w:val="004E6B40"/>
    <w:rsid w:val="004F3201"/>
    <w:rsid w:val="004F6891"/>
    <w:rsid w:val="004F7391"/>
    <w:rsid w:val="005017AD"/>
    <w:rsid w:val="00502844"/>
    <w:rsid w:val="005032A7"/>
    <w:rsid w:val="00503BF4"/>
    <w:rsid w:val="00503D6F"/>
    <w:rsid w:val="00505CC8"/>
    <w:rsid w:val="005062DD"/>
    <w:rsid w:val="00506C03"/>
    <w:rsid w:val="00507263"/>
    <w:rsid w:val="00507351"/>
    <w:rsid w:val="00510343"/>
    <w:rsid w:val="00513039"/>
    <w:rsid w:val="00515512"/>
    <w:rsid w:val="00517A8C"/>
    <w:rsid w:val="005205E0"/>
    <w:rsid w:val="00520A0E"/>
    <w:rsid w:val="00525DD6"/>
    <w:rsid w:val="0052788C"/>
    <w:rsid w:val="00533E34"/>
    <w:rsid w:val="00541B0F"/>
    <w:rsid w:val="00546872"/>
    <w:rsid w:val="00547B5B"/>
    <w:rsid w:val="0055369D"/>
    <w:rsid w:val="0055563B"/>
    <w:rsid w:val="0055602A"/>
    <w:rsid w:val="00561750"/>
    <w:rsid w:val="00561C95"/>
    <w:rsid w:val="00561E71"/>
    <w:rsid w:val="00561EB8"/>
    <w:rsid w:val="00567C2B"/>
    <w:rsid w:val="00571131"/>
    <w:rsid w:val="0057213D"/>
    <w:rsid w:val="00574F87"/>
    <w:rsid w:val="00581623"/>
    <w:rsid w:val="00581C8A"/>
    <w:rsid w:val="00591E8A"/>
    <w:rsid w:val="005964B3"/>
    <w:rsid w:val="005A1634"/>
    <w:rsid w:val="005A258F"/>
    <w:rsid w:val="005A2A0A"/>
    <w:rsid w:val="005A75B4"/>
    <w:rsid w:val="005B4258"/>
    <w:rsid w:val="005B4993"/>
    <w:rsid w:val="005B596A"/>
    <w:rsid w:val="005C1B18"/>
    <w:rsid w:val="005C2E62"/>
    <w:rsid w:val="005C4145"/>
    <w:rsid w:val="005C724E"/>
    <w:rsid w:val="005D0243"/>
    <w:rsid w:val="005D1222"/>
    <w:rsid w:val="005D134C"/>
    <w:rsid w:val="005D4F4F"/>
    <w:rsid w:val="005E021C"/>
    <w:rsid w:val="005E02FB"/>
    <w:rsid w:val="005E22D7"/>
    <w:rsid w:val="005E325E"/>
    <w:rsid w:val="005E6ECB"/>
    <w:rsid w:val="005F21EA"/>
    <w:rsid w:val="005F36F2"/>
    <w:rsid w:val="005F5E84"/>
    <w:rsid w:val="005F7DE1"/>
    <w:rsid w:val="006062F8"/>
    <w:rsid w:val="00620B57"/>
    <w:rsid w:val="00621201"/>
    <w:rsid w:val="00622C11"/>
    <w:rsid w:val="006265A8"/>
    <w:rsid w:val="00635CD1"/>
    <w:rsid w:val="00635D78"/>
    <w:rsid w:val="0064354E"/>
    <w:rsid w:val="00645549"/>
    <w:rsid w:val="006458B2"/>
    <w:rsid w:val="00652661"/>
    <w:rsid w:val="00653EF7"/>
    <w:rsid w:val="00654D84"/>
    <w:rsid w:val="00657574"/>
    <w:rsid w:val="0066324D"/>
    <w:rsid w:val="006821AE"/>
    <w:rsid w:val="006837B2"/>
    <w:rsid w:val="00683B0A"/>
    <w:rsid w:val="00683E19"/>
    <w:rsid w:val="00685086"/>
    <w:rsid w:val="00693CB3"/>
    <w:rsid w:val="0069408E"/>
    <w:rsid w:val="00694641"/>
    <w:rsid w:val="006A1F11"/>
    <w:rsid w:val="006A323B"/>
    <w:rsid w:val="006A33D2"/>
    <w:rsid w:val="006A3436"/>
    <w:rsid w:val="006B09F3"/>
    <w:rsid w:val="006B1457"/>
    <w:rsid w:val="006B3C57"/>
    <w:rsid w:val="006C24AF"/>
    <w:rsid w:val="006C3F98"/>
    <w:rsid w:val="006C6747"/>
    <w:rsid w:val="006C761A"/>
    <w:rsid w:val="006D02D8"/>
    <w:rsid w:val="006D20FF"/>
    <w:rsid w:val="006D2CA2"/>
    <w:rsid w:val="006D2D3C"/>
    <w:rsid w:val="006D4D1D"/>
    <w:rsid w:val="006E03EA"/>
    <w:rsid w:val="006E7597"/>
    <w:rsid w:val="006F1068"/>
    <w:rsid w:val="006F1DF5"/>
    <w:rsid w:val="006F60EF"/>
    <w:rsid w:val="006F7054"/>
    <w:rsid w:val="007034FE"/>
    <w:rsid w:val="007059F3"/>
    <w:rsid w:val="00706CC3"/>
    <w:rsid w:val="00706DE8"/>
    <w:rsid w:val="007143F7"/>
    <w:rsid w:val="00714952"/>
    <w:rsid w:val="007156BB"/>
    <w:rsid w:val="00715971"/>
    <w:rsid w:val="007179EC"/>
    <w:rsid w:val="00720597"/>
    <w:rsid w:val="00722F51"/>
    <w:rsid w:val="00723342"/>
    <w:rsid w:val="00736C53"/>
    <w:rsid w:val="00742AD4"/>
    <w:rsid w:val="0074490F"/>
    <w:rsid w:val="00745219"/>
    <w:rsid w:val="007505AE"/>
    <w:rsid w:val="007520A8"/>
    <w:rsid w:val="00754B81"/>
    <w:rsid w:val="00755FC6"/>
    <w:rsid w:val="00756D1B"/>
    <w:rsid w:val="0075714E"/>
    <w:rsid w:val="00761692"/>
    <w:rsid w:val="0076396A"/>
    <w:rsid w:val="00765B0E"/>
    <w:rsid w:val="00765D0C"/>
    <w:rsid w:val="00767117"/>
    <w:rsid w:val="00770DFA"/>
    <w:rsid w:val="00772049"/>
    <w:rsid w:val="007720D2"/>
    <w:rsid w:val="0077300F"/>
    <w:rsid w:val="0077533E"/>
    <w:rsid w:val="00776EB0"/>
    <w:rsid w:val="00780763"/>
    <w:rsid w:val="00784CD0"/>
    <w:rsid w:val="00786376"/>
    <w:rsid w:val="00794BE5"/>
    <w:rsid w:val="007A677D"/>
    <w:rsid w:val="007A773C"/>
    <w:rsid w:val="007A7BB8"/>
    <w:rsid w:val="007B05DF"/>
    <w:rsid w:val="007B304B"/>
    <w:rsid w:val="007B4775"/>
    <w:rsid w:val="007B786A"/>
    <w:rsid w:val="007C0D56"/>
    <w:rsid w:val="007C0FDA"/>
    <w:rsid w:val="007C1925"/>
    <w:rsid w:val="007C21F6"/>
    <w:rsid w:val="007C3EC0"/>
    <w:rsid w:val="007C591A"/>
    <w:rsid w:val="007C60AE"/>
    <w:rsid w:val="007D59F2"/>
    <w:rsid w:val="007D6528"/>
    <w:rsid w:val="007D70ED"/>
    <w:rsid w:val="007D7969"/>
    <w:rsid w:val="007D7CFB"/>
    <w:rsid w:val="007E0F62"/>
    <w:rsid w:val="007E169A"/>
    <w:rsid w:val="007E4EDD"/>
    <w:rsid w:val="007E7DEA"/>
    <w:rsid w:val="007F34EE"/>
    <w:rsid w:val="007F4CDC"/>
    <w:rsid w:val="007F58E3"/>
    <w:rsid w:val="008030E0"/>
    <w:rsid w:val="008043EA"/>
    <w:rsid w:val="008047A3"/>
    <w:rsid w:val="00804864"/>
    <w:rsid w:val="008071CA"/>
    <w:rsid w:val="008128E1"/>
    <w:rsid w:val="008148B9"/>
    <w:rsid w:val="00830ED5"/>
    <w:rsid w:val="008347A6"/>
    <w:rsid w:val="008348E2"/>
    <w:rsid w:val="00835B6F"/>
    <w:rsid w:val="00840D24"/>
    <w:rsid w:val="00841C3A"/>
    <w:rsid w:val="008444BF"/>
    <w:rsid w:val="00853CE3"/>
    <w:rsid w:val="008553F8"/>
    <w:rsid w:val="00855841"/>
    <w:rsid w:val="00856092"/>
    <w:rsid w:val="008579BF"/>
    <w:rsid w:val="00860337"/>
    <w:rsid w:val="0086149B"/>
    <w:rsid w:val="00863E22"/>
    <w:rsid w:val="008645E9"/>
    <w:rsid w:val="00865BC0"/>
    <w:rsid w:val="00867EEE"/>
    <w:rsid w:val="008707A6"/>
    <w:rsid w:val="008731ED"/>
    <w:rsid w:val="008749D7"/>
    <w:rsid w:val="00874BB9"/>
    <w:rsid w:val="00875387"/>
    <w:rsid w:val="00877642"/>
    <w:rsid w:val="00877A42"/>
    <w:rsid w:val="00884417"/>
    <w:rsid w:val="00893377"/>
    <w:rsid w:val="00893F52"/>
    <w:rsid w:val="00895495"/>
    <w:rsid w:val="008976FA"/>
    <w:rsid w:val="008A5428"/>
    <w:rsid w:val="008B0515"/>
    <w:rsid w:val="008B08FB"/>
    <w:rsid w:val="008B3AAE"/>
    <w:rsid w:val="008B3C14"/>
    <w:rsid w:val="008B4479"/>
    <w:rsid w:val="008C0345"/>
    <w:rsid w:val="008C3B65"/>
    <w:rsid w:val="008C5520"/>
    <w:rsid w:val="008C5BCA"/>
    <w:rsid w:val="008D04C3"/>
    <w:rsid w:val="008D0EF0"/>
    <w:rsid w:val="008D3459"/>
    <w:rsid w:val="008D6CD1"/>
    <w:rsid w:val="008E4D25"/>
    <w:rsid w:val="008E56F6"/>
    <w:rsid w:val="008E6D61"/>
    <w:rsid w:val="008F0C2C"/>
    <w:rsid w:val="008F61E1"/>
    <w:rsid w:val="00900485"/>
    <w:rsid w:val="00900755"/>
    <w:rsid w:val="00911578"/>
    <w:rsid w:val="0091307C"/>
    <w:rsid w:val="0091396E"/>
    <w:rsid w:val="00914397"/>
    <w:rsid w:val="00914FAF"/>
    <w:rsid w:val="009207AC"/>
    <w:rsid w:val="00930126"/>
    <w:rsid w:val="009313D8"/>
    <w:rsid w:val="009334C4"/>
    <w:rsid w:val="00936801"/>
    <w:rsid w:val="0094710E"/>
    <w:rsid w:val="00950767"/>
    <w:rsid w:val="0095644A"/>
    <w:rsid w:val="009628C3"/>
    <w:rsid w:val="00972C77"/>
    <w:rsid w:val="00977F7D"/>
    <w:rsid w:val="00980105"/>
    <w:rsid w:val="009844F5"/>
    <w:rsid w:val="00991954"/>
    <w:rsid w:val="00993756"/>
    <w:rsid w:val="00995682"/>
    <w:rsid w:val="00996906"/>
    <w:rsid w:val="00996DCD"/>
    <w:rsid w:val="00996E4C"/>
    <w:rsid w:val="00997222"/>
    <w:rsid w:val="009A4473"/>
    <w:rsid w:val="009A67AC"/>
    <w:rsid w:val="009A7FEB"/>
    <w:rsid w:val="009B17C5"/>
    <w:rsid w:val="009B5309"/>
    <w:rsid w:val="009B5B7C"/>
    <w:rsid w:val="009E27EF"/>
    <w:rsid w:val="009E2C7D"/>
    <w:rsid w:val="009E2D6D"/>
    <w:rsid w:val="009E6EB4"/>
    <w:rsid w:val="009F13A4"/>
    <w:rsid w:val="009F1A2B"/>
    <w:rsid w:val="009F1AC0"/>
    <w:rsid w:val="00A01BE4"/>
    <w:rsid w:val="00A02E2E"/>
    <w:rsid w:val="00A031C2"/>
    <w:rsid w:val="00A035C4"/>
    <w:rsid w:val="00A0648B"/>
    <w:rsid w:val="00A11945"/>
    <w:rsid w:val="00A13394"/>
    <w:rsid w:val="00A2292A"/>
    <w:rsid w:val="00A23594"/>
    <w:rsid w:val="00A27700"/>
    <w:rsid w:val="00A33963"/>
    <w:rsid w:val="00A371A3"/>
    <w:rsid w:val="00A40BFD"/>
    <w:rsid w:val="00A41828"/>
    <w:rsid w:val="00A43EED"/>
    <w:rsid w:val="00A446A6"/>
    <w:rsid w:val="00A54FF2"/>
    <w:rsid w:val="00A6016D"/>
    <w:rsid w:val="00A60BD0"/>
    <w:rsid w:val="00A64BB2"/>
    <w:rsid w:val="00A653D9"/>
    <w:rsid w:val="00A65E9B"/>
    <w:rsid w:val="00A66868"/>
    <w:rsid w:val="00A66A5B"/>
    <w:rsid w:val="00A7320F"/>
    <w:rsid w:val="00A75105"/>
    <w:rsid w:val="00A770E1"/>
    <w:rsid w:val="00A81AF7"/>
    <w:rsid w:val="00A83DC5"/>
    <w:rsid w:val="00A85CF2"/>
    <w:rsid w:val="00A914AA"/>
    <w:rsid w:val="00A91562"/>
    <w:rsid w:val="00AA09B6"/>
    <w:rsid w:val="00AA0C11"/>
    <w:rsid w:val="00AA1B87"/>
    <w:rsid w:val="00AA1C58"/>
    <w:rsid w:val="00AB1D0A"/>
    <w:rsid w:val="00AB40EA"/>
    <w:rsid w:val="00AC4EE0"/>
    <w:rsid w:val="00AC68D9"/>
    <w:rsid w:val="00AD15EB"/>
    <w:rsid w:val="00AD31F6"/>
    <w:rsid w:val="00AD4079"/>
    <w:rsid w:val="00AD7595"/>
    <w:rsid w:val="00AE173A"/>
    <w:rsid w:val="00AE2919"/>
    <w:rsid w:val="00AE4A4A"/>
    <w:rsid w:val="00AE51D6"/>
    <w:rsid w:val="00B005E4"/>
    <w:rsid w:val="00B01149"/>
    <w:rsid w:val="00B140D5"/>
    <w:rsid w:val="00B210FE"/>
    <w:rsid w:val="00B225E4"/>
    <w:rsid w:val="00B23A8F"/>
    <w:rsid w:val="00B23B66"/>
    <w:rsid w:val="00B33D74"/>
    <w:rsid w:val="00B35E5C"/>
    <w:rsid w:val="00B3671B"/>
    <w:rsid w:val="00B40AE4"/>
    <w:rsid w:val="00B41759"/>
    <w:rsid w:val="00B43427"/>
    <w:rsid w:val="00B45382"/>
    <w:rsid w:val="00B47357"/>
    <w:rsid w:val="00B5097A"/>
    <w:rsid w:val="00B51F74"/>
    <w:rsid w:val="00B52A95"/>
    <w:rsid w:val="00B52ED3"/>
    <w:rsid w:val="00B6149F"/>
    <w:rsid w:val="00B61AA5"/>
    <w:rsid w:val="00B629A0"/>
    <w:rsid w:val="00B634AF"/>
    <w:rsid w:val="00B63D1A"/>
    <w:rsid w:val="00B66AF5"/>
    <w:rsid w:val="00B74859"/>
    <w:rsid w:val="00B75812"/>
    <w:rsid w:val="00B76434"/>
    <w:rsid w:val="00B81C13"/>
    <w:rsid w:val="00B85BA7"/>
    <w:rsid w:val="00B9033F"/>
    <w:rsid w:val="00B919B9"/>
    <w:rsid w:val="00B91D1D"/>
    <w:rsid w:val="00B91FC7"/>
    <w:rsid w:val="00B937ED"/>
    <w:rsid w:val="00B96483"/>
    <w:rsid w:val="00B96890"/>
    <w:rsid w:val="00B96A9E"/>
    <w:rsid w:val="00BA22AD"/>
    <w:rsid w:val="00BA379B"/>
    <w:rsid w:val="00BA671E"/>
    <w:rsid w:val="00BA691C"/>
    <w:rsid w:val="00BB604F"/>
    <w:rsid w:val="00BC51A5"/>
    <w:rsid w:val="00BD5342"/>
    <w:rsid w:val="00BD6B80"/>
    <w:rsid w:val="00BE3004"/>
    <w:rsid w:val="00BE4942"/>
    <w:rsid w:val="00BE4D32"/>
    <w:rsid w:val="00BF23FD"/>
    <w:rsid w:val="00BF3D7C"/>
    <w:rsid w:val="00BF4A68"/>
    <w:rsid w:val="00BF4D12"/>
    <w:rsid w:val="00BF70FB"/>
    <w:rsid w:val="00C0686A"/>
    <w:rsid w:val="00C06962"/>
    <w:rsid w:val="00C1458B"/>
    <w:rsid w:val="00C14764"/>
    <w:rsid w:val="00C17179"/>
    <w:rsid w:val="00C25052"/>
    <w:rsid w:val="00C32463"/>
    <w:rsid w:val="00C374C2"/>
    <w:rsid w:val="00C4070F"/>
    <w:rsid w:val="00C43720"/>
    <w:rsid w:val="00C50FAC"/>
    <w:rsid w:val="00C516A5"/>
    <w:rsid w:val="00C5256D"/>
    <w:rsid w:val="00C550A9"/>
    <w:rsid w:val="00C570CC"/>
    <w:rsid w:val="00C61930"/>
    <w:rsid w:val="00C65194"/>
    <w:rsid w:val="00C65BAF"/>
    <w:rsid w:val="00C727AC"/>
    <w:rsid w:val="00C74A3B"/>
    <w:rsid w:val="00C74F5A"/>
    <w:rsid w:val="00C81EB4"/>
    <w:rsid w:val="00C83CF1"/>
    <w:rsid w:val="00C846E5"/>
    <w:rsid w:val="00C854A5"/>
    <w:rsid w:val="00C87408"/>
    <w:rsid w:val="00C912D9"/>
    <w:rsid w:val="00C9580A"/>
    <w:rsid w:val="00C9607B"/>
    <w:rsid w:val="00C967F3"/>
    <w:rsid w:val="00CA37A5"/>
    <w:rsid w:val="00CA4240"/>
    <w:rsid w:val="00CA5E0A"/>
    <w:rsid w:val="00CB040F"/>
    <w:rsid w:val="00CB245B"/>
    <w:rsid w:val="00CB59B5"/>
    <w:rsid w:val="00CC3E44"/>
    <w:rsid w:val="00CC3F74"/>
    <w:rsid w:val="00CC65DD"/>
    <w:rsid w:val="00CC6773"/>
    <w:rsid w:val="00CC729E"/>
    <w:rsid w:val="00CE1D7C"/>
    <w:rsid w:val="00CE494C"/>
    <w:rsid w:val="00CE56C8"/>
    <w:rsid w:val="00CE6FEE"/>
    <w:rsid w:val="00CF4370"/>
    <w:rsid w:val="00CF580B"/>
    <w:rsid w:val="00CF6DC4"/>
    <w:rsid w:val="00D02045"/>
    <w:rsid w:val="00D03F18"/>
    <w:rsid w:val="00D061CC"/>
    <w:rsid w:val="00D11619"/>
    <w:rsid w:val="00D14C3F"/>
    <w:rsid w:val="00D1646E"/>
    <w:rsid w:val="00D17C36"/>
    <w:rsid w:val="00D27074"/>
    <w:rsid w:val="00D30E20"/>
    <w:rsid w:val="00D34D68"/>
    <w:rsid w:val="00D3745B"/>
    <w:rsid w:val="00D41C1C"/>
    <w:rsid w:val="00D42AE9"/>
    <w:rsid w:val="00D43E58"/>
    <w:rsid w:val="00D447AD"/>
    <w:rsid w:val="00D46C65"/>
    <w:rsid w:val="00D522E7"/>
    <w:rsid w:val="00D531B9"/>
    <w:rsid w:val="00D53876"/>
    <w:rsid w:val="00D60BA4"/>
    <w:rsid w:val="00D62E11"/>
    <w:rsid w:val="00D63C81"/>
    <w:rsid w:val="00D64D80"/>
    <w:rsid w:val="00D6506D"/>
    <w:rsid w:val="00D67E28"/>
    <w:rsid w:val="00D7077E"/>
    <w:rsid w:val="00D7112B"/>
    <w:rsid w:val="00D720A7"/>
    <w:rsid w:val="00D75F8B"/>
    <w:rsid w:val="00D7665E"/>
    <w:rsid w:val="00D77E21"/>
    <w:rsid w:val="00D82B75"/>
    <w:rsid w:val="00D83DFD"/>
    <w:rsid w:val="00D87CDE"/>
    <w:rsid w:val="00D91861"/>
    <w:rsid w:val="00D9589D"/>
    <w:rsid w:val="00DA3629"/>
    <w:rsid w:val="00DB0289"/>
    <w:rsid w:val="00DB04CC"/>
    <w:rsid w:val="00DB4894"/>
    <w:rsid w:val="00DB5092"/>
    <w:rsid w:val="00DB578C"/>
    <w:rsid w:val="00DB6AE2"/>
    <w:rsid w:val="00DC1AE2"/>
    <w:rsid w:val="00DC1AF1"/>
    <w:rsid w:val="00DC266A"/>
    <w:rsid w:val="00DC3B4E"/>
    <w:rsid w:val="00DC46CA"/>
    <w:rsid w:val="00DC4D77"/>
    <w:rsid w:val="00DD421D"/>
    <w:rsid w:val="00DD59F2"/>
    <w:rsid w:val="00DD65C3"/>
    <w:rsid w:val="00DD7C0E"/>
    <w:rsid w:val="00DE175A"/>
    <w:rsid w:val="00DF0B52"/>
    <w:rsid w:val="00DF51FF"/>
    <w:rsid w:val="00DF6EC2"/>
    <w:rsid w:val="00DF7B28"/>
    <w:rsid w:val="00E01A3A"/>
    <w:rsid w:val="00E05767"/>
    <w:rsid w:val="00E06548"/>
    <w:rsid w:val="00E10BAB"/>
    <w:rsid w:val="00E14DF8"/>
    <w:rsid w:val="00E1644A"/>
    <w:rsid w:val="00E1680B"/>
    <w:rsid w:val="00E17587"/>
    <w:rsid w:val="00E21599"/>
    <w:rsid w:val="00E2187F"/>
    <w:rsid w:val="00E21AC3"/>
    <w:rsid w:val="00E23375"/>
    <w:rsid w:val="00E24194"/>
    <w:rsid w:val="00E31577"/>
    <w:rsid w:val="00E3290E"/>
    <w:rsid w:val="00E32CB2"/>
    <w:rsid w:val="00E3380B"/>
    <w:rsid w:val="00E3623F"/>
    <w:rsid w:val="00E40A96"/>
    <w:rsid w:val="00E429E1"/>
    <w:rsid w:val="00E44506"/>
    <w:rsid w:val="00E45D44"/>
    <w:rsid w:val="00E52B9C"/>
    <w:rsid w:val="00E54FD4"/>
    <w:rsid w:val="00E55E37"/>
    <w:rsid w:val="00E5655B"/>
    <w:rsid w:val="00E575D3"/>
    <w:rsid w:val="00E61608"/>
    <w:rsid w:val="00E61D3A"/>
    <w:rsid w:val="00E62723"/>
    <w:rsid w:val="00E6332C"/>
    <w:rsid w:val="00E6354D"/>
    <w:rsid w:val="00E77518"/>
    <w:rsid w:val="00E77C80"/>
    <w:rsid w:val="00E8279C"/>
    <w:rsid w:val="00E835AF"/>
    <w:rsid w:val="00E84C53"/>
    <w:rsid w:val="00E85250"/>
    <w:rsid w:val="00E856B8"/>
    <w:rsid w:val="00E8725A"/>
    <w:rsid w:val="00E9338C"/>
    <w:rsid w:val="00E94924"/>
    <w:rsid w:val="00E95168"/>
    <w:rsid w:val="00EA2650"/>
    <w:rsid w:val="00EA2C33"/>
    <w:rsid w:val="00EA35A9"/>
    <w:rsid w:val="00EA403E"/>
    <w:rsid w:val="00EA48E4"/>
    <w:rsid w:val="00EA5171"/>
    <w:rsid w:val="00EA556B"/>
    <w:rsid w:val="00EA56CA"/>
    <w:rsid w:val="00EB037A"/>
    <w:rsid w:val="00EB4685"/>
    <w:rsid w:val="00EB6BCF"/>
    <w:rsid w:val="00EC2EA3"/>
    <w:rsid w:val="00EC6504"/>
    <w:rsid w:val="00EC684F"/>
    <w:rsid w:val="00ED1F6C"/>
    <w:rsid w:val="00EE3D9D"/>
    <w:rsid w:val="00EF0EBD"/>
    <w:rsid w:val="00EF195D"/>
    <w:rsid w:val="00EF50CF"/>
    <w:rsid w:val="00F061A1"/>
    <w:rsid w:val="00F07791"/>
    <w:rsid w:val="00F07D1C"/>
    <w:rsid w:val="00F11C29"/>
    <w:rsid w:val="00F131D0"/>
    <w:rsid w:val="00F20B0E"/>
    <w:rsid w:val="00F237E1"/>
    <w:rsid w:val="00F24A0B"/>
    <w:rsid w:val="00F264B6"/>
    <w:rsid w:val="00F31E42"/>
    <w:rsid w:val="00F42ED1"/>
    <w:rsid w:val="00F445A7"/>
    <w:rsid w:val="00F458CA"/>
    <w:rsid w:val="00F466BC"/>
    <w:rsid w:val="00F475F9"/>
    <w:rsid w:val="00F56B7A"/>
    <w:rsid w:val="00F61348"/>
    <w:rsid w:val="00F61625"/>
    <w:rsid w:val="00F67817"/>
    <w:rsid w:val="00F720B6"/>
    <w:rsid w:val="00F733C5"/>
    <w:rsid w:val="00F73EA2"/>
    <w:rsid w:val="00F75A03"/>
    <w:rsid w:val="00F80E74"/>
    <w:rsid w:val="00F930AC"/>
    <w:rsid w:val="00FA3159"/>
    <w:rsid w:val="00FA54D3"/>
    <w:rsid w:val="00FA69A8"/>
    <w:rsid w:val="00FA78B8"/>
    <w:rsid w:val="00FB0114"/>
    <w:rsid w:val="00FB24CA"/>
    <w:rsid w:val="00FB5AA9"/>
    <w:rsid w:val="00FB6C3F"/>
    <w:rsid w:val="00FC174B"/>
    <w:rsid w:val="00FD08FE"/>
    <w:rsid w:val="00FD2016"/>
    <w:rsid w:val="00FD2B88"/>
    <w:rsid w:val="00FD38EC"/>
    <w:rsid w:val="00FF0692"/>
    <w:rsid w:val="00FF4659"/>
    <w:rsid w:val="00FF6666"/>
    <w:rsid w:val="00FF7583"/>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E8F3"/>
  <w15:chartTrackingRefBased/>
  <w15:docId w15:val="{6F92D268-54A3-4EC4-B627-1848BEC6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80B"/>
    <w:rPr>
      <w:sz w:val="23"/>
      <w:szCs w:val="23"/>
    </w:rPr>
  </w:style>
  <w:style w:type="character" w:customStyle="1" w:styleId="BodyTextChar">
    <w:name w:val="Body Text Char"/>
    <w:basedOn w:val="DefaultParagraphFont"/>
    <w:link w:val="BodyText"/>
    <w:uiPriority w:val="1"/>
    <w:rsid w:val="00E3380B"/>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3834A2"/>
    <w:rPr>
      <w:sz w:val="20"/>
      <w:szCs w:val="20"/>
    </w:rPr>
  </w:style>
  <w:style w:type="character" w:customStyle="1" w:styleId="FootnoteTextChar">
    <w:name w:val="Footnote Text Char"/>
    <w:basedOn w:val="DefaultParagraphFont"/>
    <w:link w:val="FootnoteText"/>
    <w:uiPriority w:val="99"/>
    <w:semiHidden/>
    <w:rsid w:val="00383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34A2"/>
    <w:rPr>
      <w:vertAlign w:val="superscript"/>
    </w:rPr>
  </w:style>
  <w:style w:type="paragraph" w:styleId="Header">
    <w:name w:val="header"/>
    <w:basedOn w:val="Normal"/>
    <w:link w:val="HeaderChar"/>
    <w:uiPriority w:val="99"/>
    <w:unhideWhenUsed/>
    <w:rsid w:val="00157C89"/>
    <w:pPr>
      <w:tabs>
        <w:tab w:val="center" w:pos="4680"/>
        <w:tab w:val="right" w:pos="9360"/>
      </w:tabs>
    </w:pPr>
  </w:style>
  <w:style w:type="character" w:customStyle="1" w:styleId="HeaderChar">
    <w:name w:val="Header Char"/>
    <w:basedOn w:val="DefaultParagraphFont"/>
    <w:link w:val="Header"/>
    <w:uiPriority w:val="99"/>
    <w:rsid w:val="00157C89"/>
    <w:rPr>
      <w:rFonts w:ascii="Times New Roman" w:eastAsia="Times New Roman" w:hAnsi="Times New Roman" w:cs="Times New Roman"/>
    </w:rPr>
  </w:style>
  <w:style w:type="paragraph" w:styleId="Footer">
    <w:name w:val="footer"/>
    <w:basedOn w:val="Normal"/>
    <w:link w:val="FooterChar"/>
    <w:uiPriority w:val="99"/>
    <w:unhideWhenUsed/>
    <w:rsid w:val="00157C89"/>
    <w:pPr>
      <w:tabs>
        <w:tab w:val="center" w:pos="4680"/>
        <w:tab w:val="right" w:pos="9360"/>
      </w:tabs>
    </w:pPr>
  </w:style>
  <w:style w:type="character" w:customStyle="1" w:styleId="FooterChar">
    <w:name w:val="Footer Char"/>
    <w:basedOn w:val="DefaultParagraphFont"/>
    <w:link w:val="Footer"/>
    <w:uiPriority w:val="99"/>
    <w:rsid w:val="00157C89"/>
    <w:rPr>
      <w:rFonts w:ascii="Times New Roman" w:eastAsia="Times New Roman" w:hAnsi="Times New Roman" w:cs="Times New Roman"/>
    </w:rPr>
  </w:style>
  <w:style w:type="paragraph" w:styleId="Revision">
    <w:name w:val="Revision"/>
    <w:hidden/>
    <w:uiPriority w:val="99"/>
    <w:semiHidden/>
    <w:rsid w:val="00FB0114"/>
    <w:rPr>
      <w:rFonts w:ascii="Times New Roman" w:eastAsia="Times New Roman" w:hAnsi="Times New Roman" w:cs="Times New Roman"/>
    </w:rPr>
  </w:style>
  <w:style w:type="paragraph" w:styleId="ListParagraph">
    <w:name w:val="List Paragraph"/>
    <w:basedOn w:val="Normal"/>
    <w:uiPriority w:val="34"/>
    <w:qFormat/>
    <w:rsid w:val="00B225E4"/>
    <w:pPr>
      <w:ind w:left="720"/>
      <w:contextualSpacing/>
    </w:pPr>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B225E4"/>
    <w:rPr>
      <w:sz w:val="16"/>
      <w:szCs w:val="16"/>
    </w:rPr>
  </w:style>
  <w:style w:type="paragraph" w:styleId="CommentText">
    <w:name w:val="annotation text"/>
    <w:basedOn w:val="Normal"/>
    <w:link w:val="CommentTextChar"/>
    <w:uiPriority w:val="99"/>
    <w:semiHidden/>
    <w:unhideWhenUsed/>
    <w:rsid w:val="00B225E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225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CB0F-745F-4B83-B8C4-9EA24DC6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1372</Words>
  <Characters>7372</Characters>
  <Application>Microsoft Office Word</Application>
  <DocSecurity>0</DocSecurity>
  <Lines>409</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5</cp:revision>
  <cp:lastPrinted>2023-04-10T18:07:00Z</cp:lastPrinted>
  <dcterms:created xsi:type="dcterms:W3CDTF">2023-11-07T19:58:00Z</dcterms:created>
  <dcterms:modified xsi:type="dcterms:W3CDTF">2023-11-07T20:01:00Z</dcterms:modified>
</cp:coreProperties>
</file>