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C00F70">
        <w:t>udicatory</w:t>
      </w:r>
      <w:r w:rsidR="00B6433B">
        <w:t xml:space="preserve"> </w:t>
      </w:r>
      <w:r>
        <w:t xml:space="preserve">Case No: </w:t>
      </w:r>
      <w:r w:rsidR="00757E19">
        <w:t>2018-016</w:t>
      </w:r>
    </w:p>
    <w:p w:rsidR="00202590" w:rsidRDefault="00202590">
      <w:r>
        <w:t>_____________________</w:t>
      </w:r>
      <w:r w:rsidR="00163152">
        <w:t>______</w:t>
      </w:r>
      <w:r>
        <w:t>___</w:t>
      </w:r>
      <w:r w:rsidR="00A20521">
        <w:tab/>
      </w:r>
      <w:r w:rsidR="00A20521">
        <w:tab/>
        <w:t>(RM-18-0327)</w:t>
      </w:r>
    </w:p>
    <w:p w:rsidR="00202590" w:rsidRDefault="00202590">
      <w:r>
        <w:tab/>
      </w:r>
      <w:r>
        <w:tab/>
      </w:r>
      <w:r>
        <w:tab/>
      </w:r>
      <w:r>
        <w:tab/>
      </w:r>
      <w:r w:rsidR="00757E19">
        <w:t xml:space="preserve"> </w:t>
      </w:r>
      <w:r w:rsidR="00163152">
        <w:tab/>
      </w:r>
      <w:r>
        <w:t>)</w:t>
      </w:r>
      <w:r>
        <w:tab/>
      </w:r>
    </w:p>
    <w:p w:rsidR="00202590" w:rsidRDefault="00202590">
      <w:r>
        <w:t>In the Matter of</w:t>
      </w:r>
      <w:r>
        <w:tab/>
      </w:r>
      <w:r>
        <w:tab/>
      </w:r>
      <w:r w:rsidR="00163152">
        <w:tab/>
      </w:r>
      <w:r>
        <w:t>)</w:t>
      </w:r>
    </w:p>
    <w:p w:rsidR="00202590" w:rsidRPr="006374FC" w:rsidRDefault="00202590">
      <w:pPr>
        <w:rPr>
          <w:u w:val="single"/>
        </w:rPr>
      </w:pPr>
      <w:r>
        <w:tab/>
      </w:r>
      <w:r>
        <w:tab/>
      </w:r>
      <w:r>
        <w:tab/>
      </w:r>
      <w:r>
        <w:tab/>
      </w:r>
      <w:r w:rsidR="00757E19">
        <w:t xml:space="preserve"> </w:t>
      </w:r>
      <w:r w:rsidR="00163152">
        <w:tab/>
      </w:r>
      <w:r>
        <w:t>)</w:t>
      </w:r>
      <w:r>
        <w:tab/>
      </w:r>
      <w:r>
        <w:tab/>
      </w:r>
      <w:r w:rsidR="00C00F70">
        <w:tab/>
      </w:r>
      <w:r w:rsidR="00A43757" w:rsidRPr="006374FC">
        <w:rPr>
          <w:u w:val="single"/>
        </w:rPr>
        <w:t>Final Decision and Order</w:t>
      </w:r>
    </w:p>
    <w:p w:rsidR="00202590" w:rsidRDefault="00757E19">
      <w:r>
        <w:t>Adrienne E. Lara-Fuller, M.D</w:t>
      </w:r>
      <w:r w:rsidR="00163152">
        <w:tab/>
      </w:r>
      <w:r>
        <w:t>.</w:t>
      </w:r>
      <w:r w:rsidR="00163152">
        <w:tab/>
      </w:r>
      <w:r w:rsidR="00202590">
        <w:t>)</w:t>
      </w:r>
    </w:p>
    <w:p w:rsidR="00202590" w:rsidRDefault="00202590">
      <w:r>
        <w:t>________________________</w:t>
      </w:r>
      <w:r w:rsidR="00163152">
        <w:t>______</w:t>
      </w:r>
      <w:r>
        <w:t>)</w:t>
      </w:r>
    </w:p>
    <w:p w:rsidR="00866515" w:rsidRDefault="00866515"/>
    <w:p w:rsidR="00163152" w:rsidRDefault="00163152"/>
    <w:p w:rsidR="008C33DF" w:rsidRDefault="00A43757" w:rsidP="000F3020">
      <w:pPr>
        <w:pStyle w:val="le-brm-normal-32-level"/>
        <w:spacing w:line="480" w:lineRule="auto"/>
        <w:jc w:val="both"/>
        <w:rPr>
          <w:rFonts w:ascii="Times New Roman" w:hAnsi="Times New Roman"/>
          <w:sz w:val="24"/>
          <w:szCs w:val="24"/>
        </w:rPr>
      </w:pPr>
      <w:r w:rsidRPr="008A7688">
        <w:rPr>
          <w:rFonts w:ascii="Times New Roman" w:hAnsi="Times New Roman"/>
          <w:sz w:val="24"/>
          <w:szCs w:val="24"/>
        </w:rPr>
        <w:tab/>
      </w:r>
      <w:r w:rsidR="008C33DF" w:rsidRPr="001217ED">
        <w:rPr>
          <w:rFonts w:ascii="Times New Roman" w:hAnsi="Times New Roman"/>
          <w:sz w:val="24"/>
          <w:szCs w:val="24"/>
        </w:rPr>
        <w:t xml:space="preserve">This matter came before the Board for final disposition on the basis of the Administrative Magistrate’s Recommended Decision, dated </w:t>
      </w:r>
      <w:r w:rsidR="00163152">
        <w:rPr>
          <w:rFonts w:ascii="Times New Roman" w:hAnsi="Times New Roman"/>
          <w:sz w:val="24"/>
          <w:szCs w:val="24"/>
        </w:rPr>
        <w:t>October 4</w:t>
      </w:r>
      <w:r w:rsidR="00CE4792">
        <w:rPr>
          <w:rFonts w:ascii="Times New Roman" w:hAnsi="Times New Roman"/>
          <w:sz w:val="24"/>
          <w:szCs w:val="24"/>
        </w:rPr>
        <w:t>, 2019,</w:t>
      </w:r>
      <w:r w:rsidR="008C33DF">
        <w:rPr>
          <w:rFonts w:ascii="Times New Roman" w:hAnsi="Times New Roman"/>
          <w:sz w:val="24"/>
          <w:szCs w:val="24"/>
        </w:rPr>
        <w:t xml:space="preserve"> which found </w:t>
      </w:r>
      <w:r w:rsidR="00163152">
        <w:rPr>
          <w:rFonts w:ascii="Times New Roman" w:hAnsi="Times New Roman"/>
          <w:sz w:val="24"/>
          <w:szCs w:val="24"/>
        </w:rPr>
        <w:t>Adrienne E. Lara-Fuller, M.D.</w:t>
      </w:r>
      <w:r w:rsidR="008C33DF">
        <w:rPr>
          <w:rFonts w:ascii="Times New Roman" w:hAnsi="Times New Roman"/>
          <w:sz w:val="24"/>
          <w:szCs w:val="24"/>
        </w:rPr>
        <w:t xml:space="preserve"> (Respondent)</w:t>
      </w:r>
      <w:r w:rsidR="00163152">
        <w:rPr>
          <w:rFonts w:ascii="Times New Roman" w:hAnsi="Times New Roman"/>
          <w:sz w:val="24"/>
          <w:szCs w:val="24"/>
        </w:rPr>
        <w:t>,</w:t>
      </w:r>
      <w:r w:rsidR="008C33DF">
        <w:rPr>
          <w:rFonts w:ascii="Times New Roman" w:hAnsi="Times New Roman"/>
          <w:sz w:val="24"/>
          <w:szCs w:val="24"/>
        </w:rPr>
        <w:t xml:space="preserve"> in default. </w:t>
      </w:r>
      <w:r w:rsidR="008C33DF" w:rsidRPr="001217ED">
        <w:rPr>
          <w:rFonts w:ascii="Times New Roman" w:hAnsi="Times New Roman"/>
          <w:sz w:val="24"/>
          <w:szCs w:val="24"/>
        </w:rPr>
        <w:t xml:space="preserve">After full consideration </w:t>
      </w:r>
      <w:r w:rsidR="008C33DF">
        <w:rPr>
          <w:rFonts w:ascii="Times New Roman" w:hAnsi="Times New Roman"/>
          <w:sz w:val="24"/>
          <w:szCs w:val="24"/>
        </w:rPr>
        <w:t>of that</w:t>
      </w:r>
      <w:r w:rsidR="008C33DF" w:rsidRPr="001217ED">
        <w:rPr>
          <w:rFonts w:ascii="Times New Roman" w:hAnsi="Times New Roman"/>
          <w:sz w:val="24"/>
          <w:szCs w:val="24"/>
        </w:rPr>
        <w:t xml:space="preserve"> Recommended Decision, which is attached hereto and incorporated by </w:t>
      </w:r>
      <w:r w:rsidR="008C33DF">
        <w:rPr>
          <w:rFonts w:ascii="Times New Roman" w:hAnsi="Times New Roman"/>
          <w:sz w:val="24"/>
          <w:szCs w:val="24"/>
        </w:rPr>
        <w:t xml:space="preserve">reference, </w:t>
      </w:r>
      <w:r w:rsidR="00456B65">
        <w:rPr>
          <w:rFonts w:ascii="Times New Roman" w:hAnsi="Times New Roman"/>
          <w:sz w:val="24"/>
          <w:szCs w:val="24"/>
        </w:rPr>
        <w:t xml:space="preserve">and Petitioner’s Memorandum on Disposition, </w:t>
      </w:r>
      <w:r w:rsidR="008C33DF">
        <w:rPr>
          <w:rFonts w:ascii="Times New Roman" w:hAnsi="Times New Roman"/>
          <w:sz w:val="24"/>
          <w:szCs w:val="24"/>
        </w:rPr>
        <w:t>the Board adopts the R</w:t>
      </w:r>
      <w:r w:rsidR="00163152">
        <w:rPr>
          <w:rFonts w:ascii="Times New Roman" w:hAnsi="Times New Roman"/>
          <w:sz w:val="24"/>
          <w:szCs w:val="24"/>
        </w:rPr>
        <w:t>ecommended Decision.</w:t>
      </w:r>
    </w:p>
    <w:p w:rsidR="00C00F70" w:rsidRDefault="008C33DF" w:rsidP="001A5C95">
      <w:pPr>
        <w:pStyle w:val="le-brm-normal-32-level"/>
        <w:spacing w:line="480" w:lineRule="auto"/>
        <w:jc w:val="both"/>
        <w:rPr>
          <w:rFonts w:ascii="Times New Roman" w:hAnsi="Times New Roman"/>
          <w:sz w:val="24"/>
          <w:szCs w:val="24"/>
        </w:rPr>
      </w:pPr>
      <w:r w:rsidRPr="008C33DF">
        <w:rPr>
          <w:rFonts w:ascii="Times New Roman" w:hAnsi="Times New Roman"/>
          <w:sz w:val="24"/>
          <w:szCs w:val="24"/>
        </w:rPr>
        <w:tab/>
        <w:t>In light of the Respondent</w:t>
      </w:r>
      <w:r w:rsidR="00FA3708">
        <w:rPr>
          <w:rFonts w:ascii="Times New Roman" w:hAnsi="Times New Roman"/>
          <w:sz w:val="24"/>
          <w:szCs w:val="24"/>
        </w:rPr>
        <w:t>’s failure</w:t>
      </w:r>
      <w:r w:rsidRPr="008C33DF">
        <w:rPr>
          <w:rFonts w:ascii="Times New Roman" w:hAnsi="Times New Roman"/>
          <w:sz w:val="24"/>
          <w:szCs w:val="24"/>
        </w:rPr>
        <w:t xml:space="preserve"> to </w:t>
      </w:r>
      <w:r w:rsidR="00FA3708">
        <w:rPr>
          <w:rFonts w:ascii="Times New Roman" w:hAnsi="Times New Roman"/>
          <w:sz w:val="24"/>
          <w:szCs w:val="24"/>
        </w:rPr>
        <w:t xml:space="preserve">respond to </w:t>
      </w:r>
      <w:r w:rsidR="00CE4792">
        <w:rPr>
          <w:rFonts w:ascii="Times New Roman" w:hAnsi="Times New Roman"/>
          <w:sz w:val="24"/>
          <w:szCs w:val="24"/>
        </w:rPr>
        <w:t>the Statement of Allegations (SOA)</w:t>
      </w:r>
      <w:r w:rsidR="00163152">
        <w:rPr>
          <w:rFonts w:ascii="Times New Roman" w:hAnsi="Times New Roman"/>
          <w:sz w:val="24"/>
          <w:szCs w:val="24"/>
        </w:rPr>
        <w:t xml:space="preserve"> and </w:t>
      </w:r>
      <w:r w:rsidR="00CE4792">
        <w:rPr>
          <w:rFonts w:ascii="Times New Roman" w:hAnsi="Times New Roman"/>
          <w:sz w:val="24"/>
          <w:szCs w:val="24"/>
        </w:rPr>
        <w:t>file an Answer to the SOA, failure</w:t>
      </w:r>
      <w:r w:rsidR="00FA3708">
        <w:rPr>
          <w:rFonts w:ascii="Times New Roman" w:hAnsi="Times New Roman"/>
          <w:sz w:val="24"/>
          <w:szCs w:val="24"/>
        </w:rPr>
        <w:t xml:space="preserve"> to </w:t>
      </w:r>
      <w:r w:rsidRPr="008C33DF">
        <w:rPr>
          <w:rFonts w:ascii="Times New Roman" w:hAnsi="Times New Roman"/>
          <w:sz w:val="24"/>
          <w:szCs w:val="24"/>
        </w:rPr>
        <w:t xml:space="preserve">appear for </w:t>
      </w:r>
      <w:r w:rsidR="00FA3708">
        <w:rPr>
          <w:rFonts w:ascii="Times New Roman" w:hAnsi="Times New Roman"/>
          <w:sz w:val="24"/>
          <w:szCs w:val="24"/>
        </w:rPr>
        <w:t>a</w:t>
      </w:r>
      <w:r w:rsidRPr="008C33DF">
        <w:rPr>
          <w:rFonts w:ascii="Times New Roman" w:hAnsi="Times New Roman"/>
          <w:sz w:val="24"/>
          <w:szCs w:val="24"/>
        </w:rPr>
        <w:t xml:space="preserve"> scheduled </w:t>
      </w:r>
      <w:r w:rsidR="00456B65">
        <w:rPr>
          <w:rFonts w:ascii="Times New Roman" w:hAnsi="Times New Roman"/>
          <w:sz w:val="24"/>
          <w:szCs w:val="24"/>
        </w:rPr>
        <w:t>pre-</w:t>
      </w:r>
      <w:r w:rsidRPr="008C33DF">
        <w:rPr>
          <w:rFonts w:ascii="Times New Roman" w:hAnsi="Times New Roman"/>
          <w:sz w:val="24"/>
          <w:szCs w:val="24"/>
        </w:rPr>
        <w:t>hearing</w:t>
      </w:r>
      <w:r>
        <w:rPr>
          <w:rFonts w:ascii="Times New Roman" w:hAnsi="Times New Roman"/>
          <w:sz w:val="24"/>
          <w:szCs w:val="24"/>
        </w:rPr>
        <w:t xml:space="preserve"> at the Division of Administrative Law Appeals (DALA)</w:t>
      </w:r>
      <w:r w:rsidRPr="008C33DF">
        <w:rPr>
          <w:rFonts w:ascii="Times New Roman" w:hAnsi="Times New Roman"/>
          <w:sz w:val="24"/>
          <w:szCs w:val="24"/>
        </w:rPr>
        <w:t xml:space="preserve">, </w:t>
      </w:r>
      <w:r w:rsidR="00FA3708">
        <w:rPr>
          <w:rFonts w:ascii="Times New Roman" w:hAnsi="Times New Roman"/>
          <w:sz w:val="24"/>
          <w:szCs w:val="24"/>
        </w:rPr>
        <w:t>and</w:t>
      </w:r>
      <w:r w:rsidR="00CE4792">
        <w:rPr>
          <w:rFonts w:ascii="Times New Roman" w:hAnsi="Times New Roman"/>
          <w:sz w:val="24"/>
          <w:szCs w:val="24"/>
        </w:rPr>
        <w:t xml:space="preserve"> failure to </w:t>
      </w:r>
      <w:r w:rsidR="00163152">
        <w:rPr>
          <w:rFonts w:ascii="Times New Roman" w:hAnsi="Times New Roman"/>
          <w:sz w:val="24"/>
          <w:szCs w:val="24"/>
        </w:rPr>
        <w:t>r</w:t>
      </w:r>
      <w:r w:rsidR="0060080B">
        <w:rPr>
          <w:rFonts w:ascii="Times New Roman" w:hAnsi="Times New Roman"/>
          <w:sz w:val="24"/>
          <w:szCs w:val="24"/>
        </w:rPr>
        <w:t>espond to an Order to Show Ca</w:t>
      </w:r>
      <w:r w:rsidR="00163152">
        <w:rPr>
          <w:rFonts w:ascii="Times New Roman" w:hAnsi="Times New Roman"/>
          <w:sz w:val="24"/>
          <w:szCs w:val="24"/>
        </w:rPr>
        <w:t>use</w:t>
      </w:r>
      <w:r w:rsidR="00CE4792">
        <w:rPr>
          <w:rFonts w:ascii="Times New Roman" w:hAnsi="Times New Roman"/>
          <w:sz w:val="24"/>
          <w:szCs w:val="24"/>
        </w:rPr>
        <w:t xml:space="preserve">, </w:t>
      </w:r>
      <w:r w:rsidR="00FA3708">
        <w:rPr>
          <w:rFonts w:ascii="Times New Roman" w:hAnsi="Times New Roman"/>
          <w:sz w:val="24"/>
          <w:szCs w:val="24"/>
        </w:rPr>
        <w:t xml:space="preserve">the Board </w:t>
      </w:r>
      <w:r>
        <w:rPr>
          <w:rFonts w:ascii="Times New Roman" w:hAnsi="Times New Roman"/>
          <w:sz w:val="24"/>
          <w:szCs w:val="24"/>
        </w:rPr>
        <w:t xml:space="preserve">hereby finds the Respondent in default.  </w:t>
      </w:r>
      <w:proofErr w:type="gramStart"/>
      <w:r>
        <w:rPr>
          <w:rFonts w:ascii="Times New Roman" w:hAnsi="Times New Roman"/>
          <w:sz w:val="24"/>
          <w:szCs w:val="24"/>
        </w:rPr>
        <w:t>M.G.L. c. 30A, § 10(2).</w:t>
      </w:r>
      <w:proofErr w:type="gramEnd"/>
      <w:r>
        <w:rPr>
          <w:rFonts w:ascii="Times New Roman" w:hAnsi="Times New Roman"/>
          <w:sz w:val="24"/>
          <w:szCs w:val="24"/>
        </w:rPr>
        <w:t xml:space="preserve">  </w:t>
      </w:r>
      <w:r w:rsidRPr="00AF086E">
        <w:rPr>
          <w:rFonts w:ascii="Times New Roman" w:hAnsi="Times New Roman"/>
          <w:sz w:val="24"/>
          <w:szCs w:val="24"/>
        </w:rPr>
        <w:t>Therefore, the allegations contained in the S</w:t>
      </w:r>
      <w:r w:rsidR="00C00F70">
        <w:rPr>
          <w:rFonts w:ascii="Times New Roman" w:hAnsi="Times New Roman"/>
          <w:sz w:val="24"/>
          <w:szCs w:val="24"/>
        </w:rPr>
        <w:t>OA</w:t>
      </w:r>
      <w:r w:rsidRPr="00AF086E">
        <w:rPr>
          <w:rFonts w:ascii="Times New Roman" w:hAnsi="Times New Roman"/>
          <w:sz w:val="24"/>
          <w:szCs w:val="24"/>
        </w:rPr>
        <w:t xml:space="preserve"> are deemed admitted. </w:t>
      </w:r>
      <w:r>
        <w:rPr>
          <w:rFonts w:ascii="Times New Roman" w:hAnsi="Times New Roman"/>
          <w:sz w:val="24"/>
          <w:szCs w:val="24"/>
        </w:rPr>
        <w:t xml:space="preserve"> </w:t>
      </w:r>
      <w:proofErr w:type="gramStart"/>
      <w:r w:rsidRPr="00F6174C">
        <w:rPr>
          <w:rFonts w:ascii="Times New Roman" w:hAnsi="Times New Roman"/>
          <w:sz w:val="24"/>
          <w:szCs w:val="24"/>
          <w:u w:val="single"/>
        </w:rPr>
        <w:t>See</w:t>
      </w:r>
      <w:r w:rsidRPr="00AF086E">
        <w:rPr>
          <w:rFonts w:ascii="Times New Roman" w:hAnsi="Times New Roman"/>
          <w:sz w:val="24"/>
          <w:szCs w:val="24"/>
        </w:rPr>
        <w:t xml:space="preserve"> </w:t>
      </w:r>
      <w:r w:rsidRPr="00C00F70">
        <w:rPr>
          <w:rFonts w:ascii="Times New Roman" w:hAnsi="Times New Roman"/>
          <w:i/>
          <w:sz w:val="24"/>
          <w:szCs w:val="24"/>
        </w:rPr>
        <w:t>Peters &amp; Russel, Inc. v. </w:t>
      </w:r>
      <w:proofErr w:type="spellStart"/>
      <w:r w:rsidRPr="00C00F70">
        <w:rPr>
          <w:rFonts w:ascii="Times New Roman" w:hAnsi="Times New Roman"/>
          <w:i/>
          <w:sz w:val="24"/>
          <w:szCs w:val="24"/>
        </w:rPr>
        <w:t>Dorfman</w:t>
      </w:r>
      <w:proofErr w:type="spellEnd"/>
      <w:r w:rsidRPr="00AF086E">
        <w:rPr>
          <w:rFonts w:ascii="Times New Roman" w:hAnsi="Times New Roman"/>
          <w:sz w:val="24"/>
          <w:szCs w:val="24"/>
        </w:rPr>
        <w:t>, 188 F.2d 711 (7th Cir. 1951);</w:t>
      </w:r>
      <w:r>
        <w:rPr>
          <w:rFonts w:ascii="Times New Roman" w:hAnsi="Times New Roman"/>
          <w:sz w:val="24"/>
          <w:szCs w:val="24"/>
        </w:rPr>
        <w:t xml:space="preserve"> and </w:t>
      </w:r>
      <w:r w:rsidRPr="00C00F70">
        <w:rPr>
          <w:rFonts w:ascii="Times New Roman" w:hAnsi="Times New Roman"/>
          <w:i/>
          <w:sz w:val="24"/>
          <w:szCs w:val="24"/>
        </w:rPr>
        <w:t>Northwest Yeast Co. v. </w:t>
      </w:r>
      <w:proofErr w:type="spellStart"/>
      <w:r w:rsidRPr="00C00F70">
        <w:rPr>
          <w:rFonts w:ascii="Times New Roman" w:hAnsi="Times New Roman"/>
          <w:i/>
          <w:sz w:val="24"/>
          <w:szCs w:val="24"/>
        </w:rPr>
        <w:t>Broutin</w:t>
      </w:r>
      <w:proofErr w:type="spellEnd"/>
      <w:r w:rsidRPr="00AF086E">
        <w:rPr>
          <w:rFonts w:ascii="Times New Roman" w:hAnsi="Times New Roman"/>
          <w:sz w:val="24"/>
          <w:szCs w:val="24"/>
        </w:rPr>
        <w:t>, 133 F.2d 638 (6th Cir. 1943).</w:t>
      </w:r>
      <w:proofErr w:type="gramEnd"/>
      <w:r w:rsidRPr="00AF086E">
        <w:rPr>
          <w:rFonts w:ascii="Times New Roman" w:hAnsi="Times New Roman"/>
          <w:sz w:val="24"/>
          <w:szCs w:val="24"/>
        </w:rPr>
        <w:t xml:space="preserve"> </w:t>
      </w:r>
      <w:r>
        <w:rPr>
          <w:rFonts w:ascii="Times New Roman" w:hAnsi="Times New Roman"/>
          <w:sz w:val="24"/>
          <w:szCs w:val="24"/>
        </w:rPr>
        <w:t xml:space="preserve"> </w:t>
      </w:r>
    </w:p>
    <w:p w:rsidR="008C33DF" w:rsidRDefault="008C33DF" w:rsidP="001A5C95">
      <w:pPr>
        <w:pStyle w:val="le-brm-normal-32-level"/>
        <w:spacing w:line="480" w:lineRule="auto"/>
        <w:ind w:left="720" w:firstLine="720"/>
        <w:jc w:val="both"/>
        <w:rPr>
          <w:rFonts w:ascii="Times New Roman" w:hAnsi="Times New Roman"/>
          <w:sz w:val="24"/>
          <w:szCs w:val="24"/>
        </w:rPr>
      </w:pPr>
      <w:r w:rsidRPr="00AF086E">
        <w:rPr>
          <w:rFonts w:ascii="Times New Roman" w:hAnsi="Times New Roman"/>
          <w:sz w:val="24"/>
          <w:szCs w:val="24"/>
        </w:rPr>
        <w:t>The Board makes the following fin</w:t>
      </w:r>
      <w:r>
        <w:rPr>
          <w:rFonts w:ascii="Times New Roman" w:hAnsi="Times New Roman"/>
          <w:sz w:val="24"/>
          <w:szCs w:val="24"/>
        </w:rPr>
        <w:t>d</w:t>
      </w:r>
      <w:r w:rsidRPr="00AF086E">
        <w:rPr>
          <w:rFonts w:ascii="Times New Roman" w:hAnsi="Times New Roman"/>
          <w:sz w:val="24"/>
          <w:szCs w:val="24"/>
        </w:rPr>
        <w:t>ings: </w:t>
      </w:r>
    </w:p>
    <w:p w:rsidR="00CE4792" w:rsidRPr="00757E19" w:rsidRDefault="00CE4792" w:rsidP="00CE4792">
      <w:pPr>
        <w:spacing w:line="480" w:lineRule="auto"/>
        <w:ind w:firstLine="720"/>
        <w:rPr>
          <w:rFonts w:eastAsia="Calibri"/>
          <w:u w:val="single"/>
        </w:rPr>
      </w:pPr>
      <w:r w:rsidRPr="00757E19">
        <w:rPr>
          <w:rFonts w:eastAsia="Calibri"/>
          <w:u w:val="single"/>
        </w:rPr>
        <w:t>Biographical Information</w:t>
      </w:r>
    </w:p>
    <w:p w:rsidR="00CE4792" w:rsidRPr="00757E19" w:rsidRDefault="00CE4792" w:rsidP="002E6355">
      <w:pPr>
        <w:numPr>
          <w:ilvl w:val="0"/>
          <w:numId w:val="17"/>
        </w:numPr>
        <w:spacing w:after="200" w:line="480" w:lineRule="auto"/>
        <w:contextualSpacing/>
        <w:jc w:val="both"/>
        <w:rPr>
          <w:rFonts w:eastAsia="Calibri"/>
        </w:rPr>
      </w:pPr>
      <w:r w:rsidRPr="00757E19">
        <w:rPr>
          <w:rFonts w:eastAsia="Calibri"/>
        </w:rPr>
        <w:t xml:space="preserve">The Respondent was born </w:t>
      </w:r>
      <w:r w:rsidR="00903BA5">
        <w:rPr>
          <w:rFonts w:eastAsia="Calibri"/>
        </w:rPr>
        <w:t xml:space="preserve">in November 1953.  </w:t>
      </w:r>
      <w:r w:rsidRPr="00757E19">
        <w:rPr>
          <w:rFonts w:eastAsia="Calibri"/>
        </w:rPr>
        <w:t xml:space="preserve">She graduated from </w:t>
      </w:r>
      <w:r w:rsidR="00903BA5">
        <w:rPr>
          <w:rFonts w:eastAsia="Calibri"/>
        </w:rPr>
        <w:t xml:space="preserve">Boston University School of Medicine in 1990 and is </w:t>
      </w:r>
      <w:r w:rsidRPr="00757E19">
        <w:rPr>
          <w:rFonts w:eastAsia="Calibri"/>
        </w:rPr>
        <w:t xml:space="preserve">certified </w:t>
      </w:r>
      <w:r w:rsidR="00903BA5">
        <w:rPr>
          <w:rFonts w:eastAsia="Calibri"/>
        </w:rPr>
        <w:t xml:space="preserve">by the American Board of Obstetrics and Gynecology. The Respondent </w:t>
      </w:r>
      <w:r w:rsidRPr="00757E19">
        <w:rPr>
          <w:rFonts w:eastAsia="Calibri"/>
        </w:rPr>
        <w:t xml:space="preserve">has been licensed to practice </w:t>
      </w:r>
      <w:r w:rsidRPr="00757E19">
        <w:rPr>
          <w:rFonts w:eastAsia="Calibri"/>
        </w:rPr>
        <w:lastRenderedPageBreak/>
        <w:t xml:space="preserve">medicine in Massachusetts under certificate number </w:t>
      </w:r>
      <w:r w:rsidR="00903BA5">
        <w:rPr>
          <w:rFonts w:eastAsia="Calibri"/>
        </w:rPr>
        <w:t>81384</w:t>
      </w:r>
      <w:r w:rsidRPr="00757E19">
        <w:rPr>
          <w:rFonts w:eastAsia="Calibri"/>
        </w:rPr>
        <w:t xml:space="preserve"> </w:t>
      </w:r>
      <w:r w:rsidR="00903BA5">
        <w:rPr>
          <w:rFonts w:eastAsia="Calibri"/>
        </w:rPr>
        <w:t>from June 14, 1995 until November 17, 2005 when her license lapsed</w:t>
      </w:r>
      <w:r w:rsidRPr="00757E19">
        <w:rPr>
          <w:rFonts w:eastAsia="Calibri"/>
        </w:rPr>
        <w:t xml:space="preserve">. </w:t>
      </w:r>
    </w:p>
    <w:p w:rsidR="00903BA5" w:rsidRDefault="00CE4792" w:rsidP="00903BA5">
      <w:pPr>
        <w:spacing w:line="480" w:lineRule="auto"/>
        <w:ind w:firstLine="720"/>
        <w:rPr>
          <w:rFonts w:eastAsia="Calibri"/>
        </w:rPr>
      </w:pPr>
      <w:r w:rsidRPr="00757E19">
        <w:rPr>
          <w:rFonts w:eastAsia="Calibri"/>
          <w:u w:val="single"/>
        </w:rPr>
        <w:t xml:space="preserve">Factual Allegations </w:t>
      </w:r>
    </w:p>
    <w:p w:rsidR="00903BA5" w:rsidRPr="00903BA5" w:rsidRDefault="00903BA5" w:rsidP="00903BA5">
      <w:pPr>
        <w:numPr>
          <w:ilvl w:val="0"/>
          <w:numId w:val="17"/>
        </w:numPr>
        <w:spacing w:line="480" w:lineRule="auto"/>
        <w:rPr>
          <w:rFonts w:eastAsia="Calibri"/>
          <w:u w:val="single"/>
        </w:rPr>
      </w:pPr>
      <w:r>
        <w:t>On September 25, 2012, the Respondent and the Medical Board of California Board (CA Board) entered into a Stipulated Settlement and Disciplinary Order in which the Respondent agreed that a prima facie case with respect to Accusation number 05-2010-2079978 could be made, and her California Physician’s and Surgeon’s Certificate could be disciplined.</w:t>
      </w:r>
    </w:p>
    <w:p w:rsidR="007224B0" w:rsidRDefault="00903BA5" w:rsidP="007224B0">
      <w:pPr>
        <w:numPr>
          <w:ilvl w:val="0"/>
          <w:numId w:val="17"/>
        </w:numPr>
        <w:spacing w:line="480" w:lineRule="auto"/>
        <w:rPr>
          <w:rFonts w:eastAsia="Calibri"/>
          <w:u w:val="single"/>
        </w:rPr>
      </w:pPr>
      <w:r>
        <w:t>Specifically, the Respondent agreed that she engaged in the following negligent acts:</w:t>
      </w:r>
    </w:p>
    <w:p w:rsidR="007224B0" w:rsidRDefault="007224B0" w:rsidP="007224B0">
      <w:pPr>
        <w:ind w:left="1440"/>
      </w:pPr>
      <w:r>
        <w:tab/>
        <w:t xml:space="preserve">a)  </w:t>
      </w:r>
      <w:r w:rsidR="00903BA5">
        <w:t xml:space="preserve">She was unsuccessful in controlling the delivery of Patient MS’s baby </w:t>
      </w:r>
      <w:r>
        <w:tab/>
      </w:r>
      <w:r w:rsidR="00903BA5">
        <w:t xml:space="preserve">resulting in the baby failing into a plastic bag used to discard waste and </w:t>
      </w:r>
      <w:r>
        <w:tab/>
      </w:r>
      <w:r w:rsidR="00903BA5">
        <w:t xml:space="preserve">having </w:t>
      </w:r>
      <w:r>
        <w:t>his/her umbilical cord torn off;</w:t>
      </w:r>
    </w:p>
    <w:p w:rsidR="007224B0" w:rsidRDefault="007224B0" w:rsidP="007224B0">
      <w:pPr>
        <w:ind w:left="1440"/>
      </w:pPr>
      <w:r>
        <w:tab/>
        <w:t xml:space="preserve">b)  </w:t>
      </w:r>
      <w:r w:rsidR="00903BA5">
        <w:t xml:space="preserve">She was negligent in deciding to perform a C-Section on Patient DR </w:t>
      </w:r>
      <w:r>
        <w:tab/>
      </w:r>
      <w:r w:rsidR="00903BA5">
        <w:t>instead of allowing the patient to deliver vaginally;</w:t>
      </w:r>
    </w:p>
    <w:p w:rsidR="007224B0" w:rsidRDefault="007224B0" w:rsidP="007224B0">
      <w:pPr>
        <w:ind w:left="1080"/>
      </w:pPr>
      <w:r>
        <w:tab/>
      </w:r>
      <w:r>
        <w:tab/>
        <w:t xml:space="preserve">c)  </w:t>
      </w:r>
      <w:r w:rsidR="00903BA5">
        <w:t>She was negligent in her decision to delay finishing Patient DR’s C-</w:t>
      </w:r>
      <w:r>
        <w:tab/>
      </w:r>
      <w:r>
        <w:tab/>
      </w:r>
      <w:r>
        <w:tab/>
      </w:r>
      <w:r w:rsidR="00903BA5">
        <w:t xml:space="preserve">Section surgery in order to attend to another patient while Patient DR was </w:t>
      </w:r>
      <w:r>
        <w:tab/>
      </w:r>
      <w:r>
        <w:tab/>
      </w:r>
      <w:r>
        <w:tab/>
      </w:r>
      <w:r w:rsidR="00903BA5">
        <w:t>unstable; and;</w:t>
      </w:r>
    </w:p>
    <w:p w:rsidR="007224B0" w:rsidRDefault="007224B0" w:rsidP="007224B0">
      <w:pPr>
        <w:ind w:left="1440"/>
      </w:pPr>
      <w:r>
        <w:tab/>
        <w:t xml:space="preserve">d)  </w:t>
      </w:r>
      <w:r w:rsidR="00903BA5">
        <w:t xml:space="preserve">She erred by using a scalpel instead of a blunt instrument to make an </w:t>
      </w:r>
      <w:r>
        <w:tab/>
      </w:r>
      <w:r w:rsidR="00903BA5">
        <w:t xml:space="preserve">incision during Patient DR’s C-Section surgery which resulted in the baby </w:t>
      </w:r>
      <w:r>
        <w:tab/>
      </w:r>
      <w:r w:rsidR="00903BA5">
        <w:t xml:space="preserve">being cut and Patient DR experiencing massive bleeding that required </w:t>
      </w:r>
      <w:r>
        <w:tab/>
      </w:r>
      <w:r w:rsidR="00903BA5">
        <w:t>intervention from a urologist.</w:t>
      </w:r>
    </w:p>
    <w:p w:rsidR="007224B0" w:rsidRDefault="007224B0" w:rsidP="007224B0">
      <w:pPr>
        <w:ind w:left="1080" w:hanging="720"/>
      </w:pPr>
    </w:p>
    <w:p w:rsidR="00903BA5" w:rsidRDefault="007224B0" w:rsidP="00A64C62">
      <w:pPr>
        <w:spacing w:line="480" w:lineRule="auto"/>
        <w:ind w:left="1080"/>
      </w:pPr>
      <w:r>
        <w:t>4.</w:t>
      </w:r>
      <w:r>
        <w:tab/>
      </w:r>
      <w:r w:rsidR="00903BA5">
        <w:t xml:space="preserve">On November 16, 2017 the CA Board issued a Decision </w:t>
      </w:r>
      <w:proofErr w:type="gramStart"/>
      <w:r w:rsidR="00903BA5">
        <w:t>After</w:t>
      </w:r>
      <w:proofErr w:type="gramEnd"/>
      <w:r w:rsidR="00903BA5">
        <w:t xml:space="preserve"> Non-Adoption in which it ordered that the Respondent’s license to practice medicine in California be disciplined</w:t>
      </w:r>
      <w:r>
        <w:t>.</w:t>
      </w:r>
    </w:p>
    <w:p w:rsidR="007224B0" w:rsidRDefault="007224B0" w:rsidP="00A64C62">
      <w:pPr>
        <w:spacing w:line="480" w:lineRule="auto"/>
        <w:ind w:left="1080"/>
      </w:pPr>
      <w:r>
        <w:t>5.  The CA Board’s decision was based on its finding that the Respondent engaged in the following negligent acts:</w:t>
      </w:r>
    </w:p>
    <w:p w:rsidR="007224B0" w:rsidRDefault="007224B0" w:rsidP="007224B0">
      <w:pPr>
        <w:ind w:left="1080"/>
      </w:pPr>
    </w:p>
    <w:p w:rsidR="00903BA5" w:rsidRDefault="007224B0" w:rsidP="007224B0">
      <w:pPr>
        <w:ind w:left="1080"/>
      </w:pPr>
      <w:r>
        <w:tab/>
      </w:r>
      <w:r>
        <w:tab/>
        <w:t xml:space="preserve">a)  </w:t>
      </w:r>
      <w:r w:rsidR="00903BA5">
        <w:t xml:space="preserve">She failed to adequately limit the frequency and duration of Patient </w:t>
      </w:r>
      <w:r>
        <w:tab/>
      </w:r>
      <w:r>
        <w:tab/>
      </w:r>
      <w:r>
        <w:tab/>
      </w:r>
      <w:r w:rsidR="00903BA5">
        <w:t>MT’s usage of Ativan;</w:t>
      </w:r>
    </w:p>
    <w:p w:rsidR="00A64C62" w:rsidRDefault="00A64C62" w:rsidP="00A64C62">
      <w:pPr>
        <w:ind w:left="1440"/>
      </w:pPr>
      <w:r>
        <w:lastRenderedPageBreak/>
        <w:tab/>
        <w:t xml:space="preserve">b)  </w:t>
      </w:r>
      <w:r w:rsidR="00903BA5">
        <w:t xml:space="preserve">She failed to adequately document the care and treatment provided to </w:t>
      </w:r>
      <w:r>
        <w:tab/>
      </w:r>
      <w:r w:rsidR="00903BA5">
        <w:t>Patient MT;</w:t>
      </w:r>
    </w:p>
    <w:p w:rsidR="00903BA5" w:rsidRDefault="00A64C62" w:rsidP="00A64C62">
      <w:pPr>
        <w:ind w:left="1440"/>
      </w:pPr>
      <w:r>
        <w:tab/>
        <w:t xml:space="preserve">c)  </w:t>
      </w:r>
      <w:r w:rsidR="00903BA5">
        <w:t>She over-</w:t>
      </w:r>
      <w:proofErr w:type="spellStart"/>
      <w:r w:rsidR="00903BA5">
        <w:t>resectioned</w:t>
      </w:r>
      <w:proofErr w:type="spellEnd"/>
      <w:r w:rsidR="00903BA5">
        <w:t xml:space="preserve"> fat and engaged in injudicious liposuction of </w:t>
      </w:r>
      <w:r>
        <w:tab/>
      </w:r>
      <w:r w:rsidR="00903BA5">
        <w:t>patient CK’s inner thighs;</w:t>
      </w:r>
    </w:p>
    <w:p w:rsidR="00903BA5" w:rsidRDefault="00A64C62" w:rsidP="00A64C62">
      <w:pPr>
        <w:ind w:left="1440"/>
      </w:pPr>
      <w:r>
        <w:tab/>
        <w:t xml:space="preserve">d)  </w:t>
      </w:r>
      <w:r w:rsidR="00903BA5">
        <w:t>She failed to know the cause of deformity of patient CK’s inner thighs;</w:t>
      </w:r>
    </w:p>
    <w:p w:rsidR="00903BA5" w:rsidRDefault="00A64C62" w:rsidP="00A64C62">
      <w:pPr>
        <w:ind w:left="1440"/>
      </w:pPr>
      <w:r>
        <w:tab/>
        <w:t xml:space="preserve">e)  </w:t>
      </w:r>
      <w:r w:rsidR="00903BA5">
        <w:t xml:space="preserve">She failed to adequately document Patient YC’s liposuction procedure </w:t>
      </w:r>
      <w:r>
        <w:tab/>
      </w:r>
      <w:r w:rsidR="00903BA5">
        <w:t>in the medical records;</w:t>
      </w:r>
    </w:p>
    <w:p w:rsidR="00903BA5" w:rsidRDefault="00A64C62" w:rsidP="00A64C62">
      <w:pPr>
        <w:ind w:left="1440"/>
      </w:pPr>
      <w:r>
        <w:tab/>
        <w:t xml:space="preserve">f)  </w:t>
      </w:r>
      <w:r w:rsidR="00903BA5">
        <w:t xml:space="preserve">She failed to adequately mention on the informed consent form, the </w:t>
      </w:r>
      <w:r>
        <w:tab/>
      </w:r>
      <w:r w:rsidR="00903BA5">
        <w:t xml:space="preserve">pre-procedure note and the operative note all of the anatomic areas that </w:t>
      </w:r>
      <w:r>
        <w:tab/>
      </w:r>
      <w:r w:rsidR="00903BA5">
        <w:t>Patient YC was slated to undergo liposuction on;</w:t>
      </w:r>
    </w:p>
    <w:p w:rsidR="00903BA5" w:rsidRDefault="00A64C62" w:rsidP="00A64C62">
      <w:pPr>
        <w:ind w:left="1440"/>
      </w:pPr>
      <w:r>
        <w:tab/>
        <w:t xml:space="preserve">g)  </w:t>
      </w:r>
      <w:r w:rsidR="00903BA5">
        <w:t xml:space="preserve">She failed to adequately document the concentration of any </w:t>
      </w:r>
      <w:r>
        <w:tab/>
      </w:r>
      <w:r w:rsidR="00903BA5">
        <w:t xml:space="preserve">medications, including lidocaine, added to the saline solution injected </w:t>
      </w:r>
      <w:r>
        <w:tab/>
      </w:r>
      <w:r w:rsidR="00903BA5">
        <w:t xml:space="preserve">during Patient YC’s liposuction procedure; and </w:t>
      </w:r>
    </w:p>
    <w:p w:rsidR="00903BA5" w:rsidRPr="00A64C62" w:rsidRDefault="00A64C62" w:rsidP="00B634B7">
      <w:pPr>
        <w:ind w:left="1440"/>
      </w:pPr>
      <w:r>
        <w:tab/>
        <w:t xml:space="preserve">h)  </w:t>
      </w:r>
      <w:r w:rsidR="00903BA5">
        <w:t xml:space="preserve">She failed to adequately document Patient YC’s vital signs before, </w:t>
      </w:r>
      <w:r>
        <w:tab/>
      </w:r>
      <w:r w:rsidR="00903BA5">
        <w:t>during, and after the liposuction procedure.</w:t>
      </w:r>
    </w:p>
    <w:p w:rsidR="00A64C62" w:rsidRDefault="00A64C62" w:rsidP="00B634B7">
      <w:pPr>
        <w:spacing w:after="200"/>
        <w:contextualSpacing/>
        <w:jc w:val="center"/>
        <w:rPr>
          <w:rFonts w:eastAsia="Calibri"/>
          <w:u w:val="single"/>
        </w:rPr>
      </w:pPr>
    </w:p>
    <w:p w:rsidR="00CE4792" w:rsidRDefault="00CE4792" w:rsidP="00B634B7">
      <w:pPr>
        <w:spacing w:after="200"/>
        <w:contextualSpacing/>
        <w:jc w:val="center"/>
        <w:rPr>
          <w:rFonts w:eastAsia="Calibri"/>
        </w:rPr>
      </w:pPr>
      <w:r w:rsidRPr="00757E19">
        <w:rPr>
          <w:rFonts w:eastAsia="Calibri"/>
          <w:u w:val="single"/>
        </w:rPr>
        <w:t>Conclusions of Law</w:t>
      </w:r>
    </w:p>
    <w:p w:rsidR="00B634B7" w:rsidRPr="00B634B7" w:rsidRDefault="00B634B7" w:rsidP="00B634B7">
      <w:pPr>
        <w:spacing w:after="200"/>
        <w:contextualSpacing/>
        <w:jc w:val="center"/>
        <w:rPr>
          <w:rFonts w:eastAsia="Calibri"/>
        </w:rPr>
      </w:pPr>
    </w:p>
    <w:p w:rsidR="00CE4792" w:rsidRDefault="00CE4792" w:rsidP="00A64C62">
      <w:pPr>
        <w:spacing w:line="480" w:lineRule="auto"/>
        <w:ind w:firstLine="720"/>
        <w:jc w:val="both"/>
        <w:rPr>
          <w:rFonts w:eastAsia="Calibri"/>
        </w:rPr>
      </w:pPr>
      <w:r w:rsidRPr="00757E19">
        <w:rPr>
          <w:rFonts w:eastAsia="Calibri"/>
        </w:rPr>
        <w:t xml:space="preserve">Since the matter was decided on the basis of a default at DALA, the Magistrate made no determinations as to Conclusions of Law. Based upon the facts set out in the SOA, and now admitted, </w:t>
      </w:r>
      <w:r w:rsidR="003342F3">
        <w:rPr>
          <w:rFonts w:eastAsia="Calibri"/>
        </w:rPr>
        <w:t xml:space="preserve">and based on the Respondent’s failure to respond to the Board, the Board </w:t>
      </w:r>
      <w:r w:rsidRPr="00757E19">
        <w:rPr>
          <w:rFonts w:eastAsia="Calibri"/>
        </w:rPr>
        <w:t>can make the follo</w:t>
      </w:r>
      <w:r w:rsidR="00A64C62">
        <w:rPr>
          <w:rFonts w:eastAsia="Calibri"/>
        </w:rPr>
        <w:t>wing Conclusions of Law:</w:t>
      </w:r>
    </w:p>
    <w:p w:rsidR="00A64C62" w:rsidRDefault="00A64C62" w:rsidP="00A64C62">
      <w:pPr>
        <w:spacing w:line="480" w:lineRule="auto"/>
        <w:jc w:val="both"/>
        <w:rPr>
          <w:rFonts w:eastAsia="Calibri"/>
        </w:rPr>
      </w:pPr>
      <w:r>
        <w:rPr>
          <w:rFonts w:eastAsia="Calibri"/>
        </w:rPr>
        <w:tab/>
        <w:t xml:space="preserve">A.  Pursuant to 243 CMR 1.03(5)(a)12, the Board may discipline a physician upon proof </w:t>
      </w:r>
      <w:r w:rsidR="000D22D2">
        <w:rPr>
          <w:rFonts w:eastAsia="Calibri"/>
        </w:rPr>
        <w:tab/>
      </w:r>
      <w:r>
        <w:rPr>
          <w:rFonts w:eastAsia="Calibri"/>
        </w:rPr>
        <w:t>satisfactory to a majority of the Board, that said physician has be</w:t>
      </w:r>
      <w:r w:rsidR="000D22D2">
        <w:rPr>
          <w:rFonts w:eastAsia="Calibri"/>
        </w:rPr>
        <w:t>e</w:t>
      </w:r>
      <w:r>
        <w:rPr>
          <w:rFonts w:eastAsia="Calibri"/>
        </w:rPr>
        <w:t xml:space="preserve">n disciplined in another </w:t>
      </w:r>
      <w:r w:rsidR="000D22D2">
        <w:rPr>
          <w:rFonts w:eastAsia="Calibri"/>
        </w:rPr>
        <w:tab/>
      </w:r>
      <w:r>
        <w:rPr>
          <w:rFonts w:eastAsia="Calibri"/>
        </w:rPr>
        <w:t xml:space="preserve">jurisdiction in any way by the proper licensing authority for reasons substantially the </w:t>
      </w:r>
      <w:r w:rsidR="000D22D2">
        <w:rPr>
          <w:rFonts w:eastAsia="Calibri"/>
        </w:rPr>
        <w:tab/>
      </w:r>
      <w:r>
        <w:rPr>
          <w:rFonts w:eastAsia="Calibri"/>
        </w:rPr>
        <w:t xml:space="preserve">same as those set forth in G.L. c. 112, § 5 or 243 CMR 1.03(5).  More specifically, the </w:t>
      </w:r>
      <w:r w:rsidR="000D22D2">
        <w:rPr>
          <w:rFonts w:eastAsia="Calibri"/>
        </w:rPr>
        <w:tab/>
      </w:r>
      <w:r>
        <w:rPr>
          <w:rFonts w:eastAsia="Calibri"/>
        </w:rPr>
        <w:t>Respondent has:</w:t>
      </w:r>
    </w:p>
    <w:p w:rsidR="005D74E2" w:rsidRDefault="00A64C62" w:rsidP="005D74E2">
      <w:pPr>
        <w:autoSpaceDE w:val="0"/>
        <w:autoSpaceDN w:val="0"/>
        <w:adjustRightInd w:val="0"/>
        <w:spacing w:line="480" w:lineRule="auto"/>
        <w:ind w:left="1440" w:hanging="1440"/>
        <w:rPr>
          <w:color w:val="141414"/>
          <w:lang w:val="en"/>
        </w:rPr>
      </w:pPr>
      <w:r>
        <w:rPr>
          <w:rFonts w:eastAsia="Calibri"/>
        </w:rPr>
        <w:tab/>
      </w:r>
      <w:r w:rsidR="005D74E2">
        <w:rPr>
          <w:rFonts w:eastAsia="Calibri"/>
        </w:rPr>
        <w:t xml:space="preserve">1.  </w:t>
      </w:r>
      <w:r w:rsidR="005D74E2">
        <w:t>Engaged in c</w:t>
      </w:r>
      <w:proofErr w:type="spellStart"/>
      <w:r w:rsidR="005D74E2" w:rsidRPr="00704376">
        <w:rPr>
          <w:color w:val="141414"/>
          <w:lang w:val="en"/>
        </w:rPr>
        <w:t>onduct</w:t>
      </w:r>
      <w:proofErr w:type="spellEnd"/>
      <w:r w:rsidR="005D74E2" w:rsidRPr="00704376">
        <w:rPr>
          <w:color w:val="141414"/>
          <w:lang w:val="en"/>
        </w:rPr>
        <w:t xml:space="preserve"> which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w:t>
      </w:r>
      <w:r w:rsidR="00B634B7">
        <w:rPr>
          <w:color w:val="141414"/>
          <w:lang w:val="en"/>
        </w:rPr>
        <w:tab/>
      </w:r>
      <w:r w:rsidR="005D74E2" w:rsidRPr="00704376">
        <w:rPr>
          <w:color w:val="141414"/>
          <w:lang w:val="en"/>
        </w:rPr>
        <w:t>repeated occasions</w:t>
      </w:r>
      <w:r w:rsidR="005D74E2">
        <w:rPr>
          <w:color w:val="141414"/>
          <w:lang w:val="en"/>
        </w:rPr>
        <w:t xml:space="preserve"> in violation of 243 CMR 1.03(5</w:t>
      </w:r>
      <w:proofErr w:type="gramStart"/>
      <w:r w:rsidR="005D74E2">
        <w:rPr>
          <w:color w:val="141414"/>
          <w:lang w:val="en"/>
        </w:rPr>
        <w:t>)(</w:t>
      </w:r>
      <w:proofErr w:type="gramEnd"/>
      <w:r w:rsidR="005D74E2">
        <w:rPr>
          <w:color w:val="141414"/>
          <w:lang w:val="en"/>
        </w:rPr>
        <w:t>a)3; and</w:t>
      </w:r>
      <w:r w:rsidR="005D74E2" w:rsidRPr="00704376">
        <w:rPr>
          <w:color w:val="141414"/>
          <w:lang w:val="en"/>
        </w:rPr>
        <w:t>;</w:t>
      </w:r>
    </w:p>
    <w:p w:rsidR="005D74E2" w:rsidRDefault="005D74E2" w:rsidP="005D74E2">
      <w:pPr>
        <w:autoSpaceDE w:val="0"/>
        <w:autoSpaceDN w:val="0"/>
        <w:adjustRightInd w:val="0"/>
        <w:spacing w:line="480" w:lineRule="auto"/>
        <w:ind w:left="1440" w:hanging="1440"/>
        <w:rPr>
          <w:color w:val="141414"/>
          <w:lang w:val="en"/>
        </w:rPr>
      </w:pPr>
      <w:r>
        <w:rPr>
          <w:color w:val="141414"/>
          <w:lang w:val="en"/>
        </w:rPr>
        <w:lastRenderedPageBreak/>
        <w:tab/>
        <w:t>2.  Failed to maintain adequate medical records in violation of 243 CMR 2.07(13</w:t>
      </w:r>
      <w:proofErr w:type="gramStart"/>
      <w:r>
        <w:rPr>
          <w:color w:val="141414"/>
          <w:lang w:val="en"/>
        </w:rPr>
        <w:t>)(</w:t>
      </w:r>
      <w:proofErr w:type="gramEnd"/>
      <w:r>
        <w:rPr>
          <w:color w:val="141414"/>
          <w:lang w:val="en"/>
        </w:rPr>
        <w:t>a).</w:t>
      </w:r>
    </w:p>
    <w:p w:rsidR="00CE4792" w:rsidRPr="00757E19" w:rsidRDefault="005D74E2" w:rsidP="00CE4792">
      <w:pPr>
        <w:spacing w:after="200" w:line="480" w:lineRule="auto"/>
        <w:ind w:left="1080" w:hanging="360"/>
        <w:contextualSpacing/>
        <w:rPr>
          <w:rFonts w:eastAsia="Calibri"/>
        </w:rPr>
      </w:pPr>
      <w:r>
        <w:rPr>
          <w:rFonts w:eastAsia="Calibri"/>
        </w:rPr>
        <w:t>B.</w:t>
      </w:r>
      <w:r>
        <w:rPr>
          <w:rFonts w:eastAsia="Calibri"/>
        </w:rPr>
        <w:tab/>
      </w:r>
      <w:r w:rsidR="00B634B7">
        <w:rPr>
          <w:rFonts w:eastAsia="Calibri"/>
        </w:rPr>
        <w:t xml:space="preserve"> </w:t>
      </w:r>
      <w:r w:rsidR="00CE4792" w:rsidRPr="00757E19">
        <w:rPr>
          <w:rFonts w:eastAsia="Calibri"/>
        </w:rPr>
        <w:t>The Respondent violated a rule or regulation of the Board, specifically:</w:t>
      </w:r>
    </w:p>
    <w:p w:rsidR="00CE4792" w:rsidRPr="00757E19" w:rsidRDefault="00CE4792" w:rsidP="00CE4792">
      <w:pPr>
        <w:spacing w:after="200" w:line="480" w:lineRule="auto"/>
        <w:ind w:left="720"/>
        <w:contextualSpacing/>
        <w:rPr>
          <w:rFonts w:eastAsia="Calibri"/>
        </w:rPr>
      </w:pPr>
      <w:r w:rsidRPr="00757E19">
        <w:rPr>
          <w:rFonts w:eastAsia="Calibri"/>
        </w:rPr>
        <w:t>243 CMR 2.07(12</w:t>
      </w:r>
      <w:proofErr w:type="gramStart"/>
      <w:r w:rsidRPr="00757E19">
        <w:rPr>
          <w:rFonts w:eastAsia="Calibri"/>
        </w:rPr>
        <w:t>)(</w:t>
      </w:r>
      <w:proofErr w:type="gramEnd"/>
      <w:r w:rsidRPr="00757E19">
        <w:rPr>
          <w:rFonts w:eastAsia="Calibri"/>
        </w:rPr>
        <w:t>a), which requires a physician to respond to a written communication fr</w:t>
      </w:r>
      <w:r w:rsidR="00B43E4C" w:rsidRPr="00757E19">
        <w:rPr>
          <w:rFonts w:eastAsia="Calibri"/>
        </w:rPr>
        <w:t>o</w:t>
      </w:r>
      <w:r w:rsidRPr="00757E19">
        <w:rPr>
          <w:rFonts w:eastAsia="Calibri"/>
        </w:rPr>
        <w:t>m t</w:t>
      </w:r>
      <w:r w:rsidR="00B634B7">
        <w:rPr>
          <w:rFonts w:eastAsia="Calibri"/>
        </w:rPr>
        <w:t>he Board within thirty days.</w:t>
      </w:r>
    </w:p>
    <w:p w:rsidR="008C33DF" w:rsidRDefault="008C33DF" w:rsidP="00184A42">
      <w:pPr>
        <w:tabs>
          <w:tab w:val="left" w:pos="0"/>
        </w:tabs>
        <w:spacing w:after="200" w:line="480" w:lineRule="auto"/>
        <w:contextualSpacing/>
        <w:jc w:val="center"/>
      </w:pPr>
      <w:r w:rsidRPr="00456B65">
        <w:rPr>
          <w:u w:val="single"/>
        </w:rPr>
        <w:t>Sanction</w:t>
      </w:r>
    </w:p>
    <w:p w:rsidR="00184A42" w:rsidRDefault="00184A42" w:rsidP="00184A42">
      <w:pPr>
        <w:autoSpaceDE w:val="0"/>
        <w:autoSpaceDN w:val="0"/>
        <w:adjustRightInd w:val="0"/>
        <w:spacing w:line="480" w:lineRule="auto"/>
      </w:pPr>
      <w:r>
        <w:tab/>
        <w:t xml:space="preserve">It is well-established that the Board has the authority to discipline physicians who have engaged in repeated acts of negligence.  </w:t>
      </w:r>
      <w:r w:rsidRPr="00B37447">
        <w:rPr>
          <w:i/>
        </w:rPr>
        <w:t>See</w:t>
      </w:r>
      <w:r>
        <w:t xml:space="preserve"> 243 CMR 1.03(5</w:t>
      </w:r>
      <w:proofErr w:type="gramStart"/>
      <w:r>
        <w:t>)(</w:t>
      </w:r>
      <w:proofErr w:type="gramEnd"/>
      <w:r>
        <w:t xml:space="preserve">a)(3).  In determining the appropriate sanction in negligence cases, the Board considers, among other things, the severity of the negligence, the number of patients affected and any mitigating factors that may be present.  </w:t>
      </w:r>
      <w:r w:rsidRPr="00184A42">
        <w:rPr>
          <w:i/>
        </w:rPr>
        <w:t>In the Matter of John C. Clapp, M.D.</w:t>
      </w:r>
      <w:r>
        <w:t>, Board of Registration in Medicine, Adjudicatory Case No.: 2013-004 (RM-13-184</w:t>
      </w:r>
      <w:proofErr w:type="gramStart"/>
      <w:r>
        <w:t>)(</w:t>
      </w:r>
      <w:proofErr w:type="gramEnd"/>
      <w:r>
        <w:t xml:space="preserve">Final Decision and Order, April 16, 2015).  “Where there has been substantial deviation from the standard of care and multiple patients involved, the Board frequently has determined that revocation is the appropriate sanction.”  Id.  </w:t>
      </w:r>
      <w:r w:rsidRPr="00184A42">
        <w:rPr>
          <w:u w:val="single"/>
        </w:rPr>
        <w:t>See</w:t>
      </w:r>
      <w:r w:rsidRPr="00015D61">
        <w:rPr>
          <w:i/>
        </w:rPr>
        <w:t xml:space="preserve"> </w:t>
      </w:r>
      <w:r w:rsidRPr="00184A42">
        <w:rPr>
          <w:i/>
        </w:rPr>
        <w:t xml:space="preserve">In the Matter of Suzanne </w:t>
      </w:r>
      <w:proofErr w:type="spellStart"/>
      <w:r w:rsidRPr="00184A42">
        <w:rPr>
          <w:i/>
        </w:rPr>
        <w:t>Rothchild</w:t>
      </w:r>
      <w:proofErr w:type="spellEnd"/>
      <w:r w:rsidRPr="00184A42">
        <w:rPr>
          <w:i/>
        </w:rPr>
        <w:t>, M.D</w:t>
      </w:r>
      <w:r w:rsidRPr="00184A42">
        <w:t>.</w:t>
      </w:r>
      <w:r>
        <w:t xml:space="preserve">, Board of Registration in Medicine, Adjudicatory Case Nos. 2006-021 and 2008-02 (RM-06-241. R-08-28, RM-08-157)(Final Decision, July 16, 2013)(Recommended Partial Decision, May 24, 2013)(revoked physician’s license based on substandard care provided to seven (7) separate patients during labor and delivery): </w:t>
      </w:r>
      <w:r w:rsidRPr="00184A42">
        <w:rPr>
          <w:i/>
        </w:rPr>
        <w:t xml:space="preserve">In the Matter of Jerome </w:t>
      </w:r>
      <w:proofErr w:type="spellStart"/>
      <w:r w:rsidRPr="00184A42">
        <w:rPr>
          <w:i/>
        </w:rPr>
        <w:t>Listernick</w:t>
      </w:r>
      <w:proofErr w:type="spellEnd"/>
      <w:r w:rsidRPr="00184A42">
        <w:rPr>
          <w:i/>
        </w:rPr>
        <w:t>, M.D.</w:t>
      </w:r>
      <w:r>
        <w:t xml:space="preserve">, Board of Registration in Medicine, Adjudicatory Case No.: 03-37-DALA (Final Decision and Order, May 16, 2007) (Board revoked the license of a physician who demonstrated a pattern of substandard care in nine (9) separate cases); and </w:t>
      </w:r>
      <w:r w:rsidRPr="00184A42">
        <w:rPr>
          <w:i/>
        </w:rPr>
        <w:t xml:space="preserve">In the Matter of </w:t>
      </w:r>
      <w:proofErr w:type="spellStart"/>
      <w:r w:rsidRPr="00184A42">
        <w:rPr>
          <w:i/>
        </w:rPr>
        <w:t>Viorel</w:t>
      </w:r>
      <w:proofErr w:type="spellEnd"/>
      <w:r w:rsidRPr="00184A42">
        <w:rPr>
          <w:i/>
        </w:rPr>
        <w:t xml:space="preserve"> </w:t>
      </w:r>
      <w:proofErr w:type="spellStart"/>
      <w:r w:rsidRPr="00184A42">
        <w:rPr>
          <w:i/>
        </w:rPr>
        <w:t>Boborodea</w:t>
      </w:r>
      <w:proofErr w:type="spellEnd"/>
      <w:r w:rsidRPr="00184A42">
        <w:rPr>
          <w:i/>
        </w:rPr>
        <w:t>, M.D.</w:t>
      </w:r>
      <w:r>
        <w:t>, Board of Registration in M</w:t>
      </w:r>
      <w:r w:rsidR="00A20521">
        <w:t xml:space="preserve">edicine, Adjudicatory Case No. </w:t>
      </w:r>
      <w:r>
        <w:t xml:space="preserve"> 04-61-DALA (Final Decision and </w:t>
      </w:r>
      <w:r>
        <w:lastRenderedPageBreak/>
        <w:t>Order, March 15, 2006) (Board revoked the physician’s license due to repeated acts of negligence in five (5) cases).</w:t>
      </w:r>
    </w:p>
    <w:p w:rsidR="00DC573C" w:rsidRDefault="002E6355" w:rsidP="00D75279">
      <w:pPr>
        <w:spacing w:line="480" w:lineRule="auto"/>
        <w:ind w:firstLine="720"/>
        <w:jc w:val="both"/>
      </w:pPr>
      <w:r>
        <w:t xml:space="preserve">The Respondent’s </w:t>
      </w:r>
      <w:proofErr w:type="gramStart"/>
      <w:r>
        <w:t>failure</w:t>
      </w:r>
      <w:r w:rsidRPr="008C33DF">
        <w:t xml:space="preserve"> to </w:t>
      </w:r>
      <w:r>
        <w:t>file an Answer to the S</w:t>
      </w:r>
      <w:r w:rsidR="00184A42">
        <w:t>tatement of Allegations</w:t>
      </w:r>
      <w:r>
        <w:t xml:space="preserve">, failure to </w:t>
      </w:r>
      <w:r w:rsidRPr="008C33DF">
        <w:t xml:space="preserve">appear for </w:t>
      </w:r>
      <w:r>
        <w:t>a</w:t>
      </w:r>
      <w:r w:rsidRPr="008C33DF">
        <w:t xml:space="preserve"> scheduled </w:t>
      </w:r>
      <w:r>
        <w:t>pre-</w:t>
      </w:r>
      <w:r w:rsidRPr="008C33DF">
        <w:t>hearing</w:t>
      </w:r>
      <w:r>
        <w:t xml:space="preserve"> at the Division of Administrative Law Appeals (DALA)</w:t>
      </w:r>
      <w:r w:rsidRPr="008C33DF">
        <w:t xml:space="preserve">, </w:t>
      </w:r>
      <w:r>
        <w:t xml:space="preserve">and failure to file a response to </w:t>
      </w:r>
      <w:r w:rsidR="00184A42">
        <w:t>an Order to Show Cause issued by DALA</w:t>
      </w:r>
      <w:r>
        <w:t xml:space="preserve">, </w:t>
      </w:r>
      <w:r w:rsidR="00DC573C">
        <w:t>demonstrate</w:t>
      </w:r>
      <w:proofErr w:type="gramEnd"/>
      <w:r w:rsidR="00DC573C">
        <w:t xml:space="preserve"> h</w:t>
      </w:r>
      <w:r w:rsidR="00D75279">
        <w:t>er</w:t>
      </w:r>
      <w:r w:rsidR="00DC573C">
        <w:t xml:space="preserve"> utter disregard for the Board’s statutory mandate.</w:t>
      </w:r>
      <w:r w:rsidR="00D37C77">
        <w:t xml:space="preserve">  </w:t>
      </w:r>
      <w:r w:rsidR="00DC573C">
        <w:t xml:space="preserve">In order for the Board to fulfill its mission to protect the public, a physician’s cooperation is essential. By failing to respond to the serious allegations against </w:t>
      </w:r>
      <w:r w:rsidR="00C00F70">
        <w:t>h</w:t>
      </w:r>
      <w:r w:rsidR="00D75279">
        <w:t>er</w:t>
      </w:r>
      <w:r w:rsidR="00DC573C">
        <w:t xml:space="preserve">, the Respondent hindered the Board’s efforts to fulfill its mission. </w:t>
      </w:r>
      <w:r w:rsidR="00DC573C" w:rsidRPr="00504015">
        <w:rPr>
          <w:u w:val="single"/>
        </w:rPr>
        <w:t>See</w:t>
      </w:r>
      <w:r w:rsidR="00DC573C">
        <w:t xml:space="preserve"> </w:t>
      </w:r>
      <w:r w:rsidR="00DC573C" w:rsidRPr="000F3020">
        <w:rPr>
          <w:i/>
        </w:rPr>
        <w:t>In the Matter of Mark M. Kowalski, M.D.</w:t>
      </w:r>
      <w:r w:rsidR="00DC573C">
        <w:t xml:space="preserve">, </w:t>
      </w:r>
      <w:r w:rsidR="000F3020">
        <w:t xml:space="preserve">Board of Registration in Medicine, </w:t>
      </w:r>
      <w:r w:rsidR="00DC573C">
        <w:t xml:space="preserve">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  </w:t>
      </w:r>
    </w:p>
    <w:p w:rsidR="00D37C77" w:rsidRDefault="004720CD" w:rsidP="00D75279">
      <w:pPr>
        <w:spacing w:line="480" w:lineRule="auto"/>
        <w:ind w:firstLine="720"/>
        <w:jc w:val="both"/>
      </w:pPr>
      <w:r>
        <w:t>Revocation</w:t>
      </w:r>
      <w:r w:rsidR="00EF31FC">
        <w:t xml:space="preserve"> has been imposed by the Board “where physicians have repeatedly disregarded the Board’s administrative directives.”  </w:t>
      </w:r>
      <w:r w:rsidR="00EF31FC" w:rsidRPr="00504015">
        <w:rPr>
          <w:u w:val="single"/>
        </w:rPr>
        <w:t>See</w:t>
      </w:r>
      <w:r w:rsidR="00EF31FC">
        <w:t xml:space="preserve"> </w:t>
      </w:r>
      <w:r w:rsidR="00EF31FC" w:rsidRPr="000F3020">
        <w:rPr>
          <w:i/>
        </w:rPr>
        <w:t>In the Matter of Anastasia Kucharski, M.D.</w:t>
      </w:r>
      <w:r w:rsidR="00EF31FC">
        <w:t xml:space="preserve">, </w:t>
      </w:r>
      <w:r w:rsidR="000F3020">
        <w:t xml:space="preserve">Board of Registration in Medicine, </w:t>
      </w:r>
      <w:r w:rsidR="00EF31FC">
        <w:t xml:space="preserve">Adjudicatory Case No. 2008-048 (Final Decision and Order, April 14, 2010).  Revocation has also been the ordered sanction where the physician displays a “disregard for both the integrity of </w:t>
      </w:r>
      <w:r w:rsidR="00D75279">
        <w:t>[her]</w:t>
      </w:r>
      <w:r w:rsidR="00EF31FC">
        <w:t xml:space="preserve"> profession and the authority of the Commonwealth.” </w:t>
      </w:r>
      <w:r w:rsidR="00EF31FC" w:rsidRPr="00F22372">
        <w:rPr>
          <w:u w:val="single"/>
        </w:rPr>
        <w:t>See</w:t>
      </w:r>
      <w:r w:rsidR="00EF31FC">
        <w:t xml:space="preserve"> </w:t>
      </w:r>
      <w:r w:rsidR="00EF31FC" w:rsidRPr="000F3020">
        <w:rPr>
          <w:i/>
        </w:rPr>
        <w:t>In the Matter of R. T. Moody, M.D.</w:t>
      </w:r>
      <w:r w:rsidR="00EF31FC">
        <w:t>, Board of Registration in Medicine, Adjudicatory Case No. 2008-49 (Final Decision and Order, February 24, 2010).</w:t>
      </w:r>
    </w:p>
    <w:p w:rsidR="004267BE" w:rsidRDefault="00D37C77" w:rsidP="000F3020">
      <w:pPr>
        <w:spacing w:line="480" w:lineRule="auto"/>
        <w:ind w:firstLine="720"/>
        <w:jc w:val="both"/>
      </w:pPr>
      <w:r>
        <w:t>The Board hereby</w:t>
      </w:r>
      <w:r w:rsidR="00EF31FC">
        <w:t xml:space="preserve"> </w:t>
      </w:r>
      <w:r>
        <w:t xml:space="preserve">REVOKES the Respondent’s inchoate right to renew her license.  </w:t>
      </w:r>
      <w:r w:rsidR="004267BE">
        <w:t>This sanction is imposed for each violation of law listed in the Conclusion</w:t>
      </w:r>
      <w:r w:rsidR="00D75279">
        <w:t>s of Law</w:t>
      </w:r>
      <w:r w:rsidR="004267BE">
        <w:t xml:space="preserve"> section </w:t>
      </w:r>
      <w:r w:rsidR="00D75279">
        <w:t xml:space="preserve">above </w:t>
      </w:r>
      <w:r w:rsidR="004267BE">
        <w:t xml:space="preserve">and not a combination of any or all of them. </w:t>
      </w:r>
      <w:r w:rsidR="0010597C">
        <w:t xml:space="preserve"> </w:t>
      </w:r>
    </w:p>
    <w:p w:rsidR="008C33DF" w:rsidRDefault="00EF31FC" w:rsidP="000F3020">
      <w:pPr>
        <w:spacing w:line="480" w:lineRule="auto"/>
        <w:jc w:val="both"/>
      </w:pPr>
      <w:r>
        <w:lastRenderedPageBreak/>
        <w:tab/>
      </w:r>
      <w:r w:rsidR="008C33DF">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75279">
        <w:t>sh</w:t>
      </w:r>
      <w:r w:rsidR="008C33DF">
        <w:t xml:space="preserve">e practices medicine; any in- or out-of-state health maintenance organization with whom </w:t>
      </w:r>
      <w:r w:rsidR="00D75279">
        <w:t>s</w:t>
      </w:r>
      <w:r w:rsidR="008C33DF">
        <w:t xml:space="preserve">he has privileges or any other kind of association; any state agency, in- or out-of-state, with which </w:t>
      </w:r>
      <w:r w:rsidR="00D75279">
        <w:t>s</w:t>
      </w:r>
      <w:r w:rsidR="008C33DF">
        <w:t xml:space="preserve">he has a provider contract; any in- or out-of-state medical employer, whether or not </w:t>
      </w:r>
      <w:r w:rsidR="00D75279">
        <w:t>s</w:t>
      </w:r>
      <w:r w:rsidR="008C33DF">
        <w:t xml:space="preserve">he practices medicine there; the state licensing boards of all states in which </w:t>
      </w:r>
      <w:r w:rsidR="00D75279">
        <w:t>s</w:t>
      </w:r>
      <w:r w:rsidR="008C33DF">
        <w:t>he has any kind of license to practice medicine; the Drug Enforcement Administration – Boston Diversion Group; and the Massachusetts Department of Public Health Drug Control Program.  The Respondent shall also provide this notification to any such designated entities with which</w:t>
      </w:r>
      <w:r w:rsidR="001A5C95">
        <w:t xml:space="preserve"> </w:t>
      </w:r>
      <w:r w:rsidR="00D75279">
        <w:t>s</w:t>
      </w:r>
      <w:r w:rsidR="008C33DF">
        <w:t xml:space="preserve">he becomes associated for the duration of this revocation.  The Respondent is further directed to certify to the Board within ten (10) days that </w:t>
      </w:r>
      <w:r w:rsidR="001A5C95">
        <w:t>h</w:t>
      </w:r>
      <w:r w:rsidR="008C33DF">
        <w:t>e has complied with this directive.</w:t>
      </w:r>
    </w:p>
    <w:p w:rsidR="008C33DF" w:rsidRPr="000A15F7" w:rsidRDefault="008C33DF" w:rsidP="000F3020">
      <w:pPr>
        <w:spacing w:line="480" w:lineRule="auto"/>
        <w:jc w:val="both"/>
      </w:pPr>
      <w:r w:rsidRPr="000A15F7">
        <w:tab/>
        <w:t xml:space="preserve">The Respondent has the right to appeal this Final Decision and Order within thirty (30) days, pursuant to G.L. c. 30A, §§14 and 15, and G.L. c. 112, § 64.      </w:t>
      </w:r>
    </w:p>
    <w:p w:rsidR="008C33DF" w:rsidRDefault="008C33DF" w:rsidP="000F3020">
      <w:pPr>
        <w:spacing w:line="480" w:lineRule="auto"/>
        <w:jc w:val="both"/>
      </w:pPr>
    </w:p>
    <w:p w:rsidR="008C33DF" w:rsidRPr="00EF31FC" w:rsidRDefault="008C33DF" w:rsidP="000F3020">
      <w:pPr>
        <w:pStyle w:val="BodyText"/>
        <w:spacing w:line="240" w:lineRule="auto"/>
        <w:jc w:val="both"/>
        <w:rPr>
          <w:rFonts w:ascii="Times New Roman" w:hAnsi="Times New Roman" w:cs="Times New Roman"/>
          <w:color w:val="000000"/>
          <w:sz w:val="24"/>
          <w:szCs w:val="24"/>
        </w:rPr>
      </w:pPr>
      <w:bookmarkStart w:id="0" w:name="_GoBack"/>
      <w:bookmarkEnd w:id="0"/>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D37C77">
        <w:rPr>
          <w:rFonts w:ascii="Times New Roman" w:hAnsi="Times New Roman" w:cs="Times New Roman"/>
          <w:color w:val="000000"/>
          <w:sz w:val="24"/>
          <w:szCs w:val="24"/>
        </w:rPr>
        <w:t>January 9, 2020</w:t>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168E0">
        <w:rPr>
          <w:rFonts w:ascii="Times New Roman" w:hAnsi="Times New Roman" w:cs="Times New Roman"/>
          <w:color w:val="000000"/>
          <w:sz w:val="24"/>
          <w:szCs w:val="24"/>
        </w:rPr>
        <w:tab/>
      </w:r>
      <w:r w:rsidR="00C00F70">
        <w:rPr>
          <w:rFonts w:ascii="Times New Roman" w:hAnsi="Times New Roman" w:cs="Times New Roman"/>
          <w:color w:val="000000"/>
          <w:sz w:val="24"/>
          <w:szCs w:val="24"/>
        </w:rPr>
        <w:tab/>
      </w:r>
      <w:r w:rsidR="00E71766" w:rsidRPr="00E71766">
        <w:rPr>
          <w:rFonts w:ascii="Times New Roman" w:hAnsi="Times New Roman" w:cs="Times New Roman"/>
          <w:color w:val="000000"/>
          <w:sz w:val="24"/>
          <w:szCs w:val="24"/>
          <w:u w:val="single"/>
        </w:rPr>
        <w:t xml:space="preserve">Signed by Candace </w:t>
      </w:r>
      <w:proofErr w:type="spellStart"/>
      <w:r w:rsidR="00E71766" w:rsidRPr="00E71766">
        <w:rPr>
          <w:rFonts w:ascii="Times New Roman" w:hAnsi="Times New Roman" w:cs="Times New Roman"/>
          <w:color w:val="000000"/>
          <w:sz w:val="24"/>
          <w:szCs w:val="24"/>
          <w:u w:val="single"/>
        </w:rPr>
        <w:t>Lapidus</w:t>
      </w:r>
      <w:proofErr w:type="spellEnd"/>
      <w:r w:rsidR="00E71766" w:rsidRPr="00E71766">
        <w:rPr>
          <w:rFonts w:ascii="Times New Roman" w:hAnsi="Times New Roman" w:cs="Times New Roman"/>
          <w:color w:val="000000"/>
          <w:sz w:val="24"/>
          <w:szCs w:val="24"/>
          <w:u w:val="single"/>
        </w:rPr>
        <w:t xml:space="preserve"> Sloane, M.D.</w:t>
      </w:r>
    </w:p>
    <w:p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 xml:space="preserve">Candace </w:t>
      </w:r>
      <w:proofErr w:type="spellStart"/>
      <w:r w:rsidR="00EF31FC">
        <w:rPr>
          <w:rFonts w:ascii="Times New Roman" w:hAnsi="Times New Roman" w:cs="Times New Roman"/>
          <w:color w:val="000000"/>
          <w:sz w:val="24"/>
          <w:szCs w:val="24"/>
        </w:rPr>
        <w:t>Lapidus</w:t>
      </w:r>
      <w:proofErr w:type="spellEnd"/>
      <w:r w:rsidR="00EF31FC">
        <w:rPr>
          <w:rFonts w:ascii="Times New Roman" w:hAnsi="Times New Roman" w:cs="Times New Roman"/>
          <w:color w:val="000000"/>
          <w:sz w:val="24"/>
          <w:szCs w:val="24"/>
        </w:rPr>
        <w:t xml:space="preserve"> Sloane</w:t>
      </w:r>
      <w:r w:rsidRPr="00EF31FC">
        <w:rPr>
          <w:rFonts w:ascii="Times New Roman" w:hAnsi="Times New Roman" w:cs="Times New Roman"/>
          <w:color w:val="000000"/>
          <w:sz w:val="24"/>
          <w:szCs w:val="24"/>
        </w:rPr>
        <w:t>, M.D.</w:t>
      </w:r>
    </w:p>
    <w:p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8C33DF">
      <w:pPr>
        <w:pStyle w:val="le-brm-normal-32-level"/>
        <w:spacing w:line="480" w:lineRule="auto"/>
      </w:pPr>
    </w:p>
    <w:sectPr w:rsidR="00202590" w:rsidSect="00C420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90" w:rsidRDefault="00FF5290">
      <w:r>
        <w:separator/>
      </w:r>
    </w:p>
  </w:endnote>
  <w:endnote w:type="continuationSeparator" w:id="0">
    <w:p w:rsidR="00FF5290" w:rsidRDefault="00FF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E71766">
      <w:rPr>
        <w:rStyle w:val="PageNumber"/>
        <w:rFonts w:ascii="Times New Roman" w:hAnsi="Times New Roman"/>
        <w:noProof/>
      </w:rPr>
      <w:t>2</w:t>
    </w:r>
    <w:r w:rsidRPr="00E548EC">
      <w:rPr>
        <w:rStyle w:val="PageNumber"/>
        <w:rFonts w:ascii="Times New Roman" w:hAnsi="Times New Roman"/>
      </w:rPr>
      <w:fldChar w:fldCharType="end"/>
    </w:r>
  </w:p>
  <w:p w:rsidR="00A34194" w:rsidRDefault="00A3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66" w:rsidRDefault="00E7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90" w:rsidRDefault="00FF5290">
      <w:r>
        <w:separator/>
      </w:r>
    </w:p>
  </w:footnote>
  <w:footnote w:type="continuationSeparator" w:id="0">
    <w:p w:rsidR="00FF5290" w:rsidRDefault="00FF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66" w:rsidRDefault="00E71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F45CF"/>
    <w:multiLevelType w:val="hybridMultilevel"/>
    <w:tmpl w:val="97CE4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8">
    <w:nsid w:val="1DE16B8D"/>
    <w:multiLevelType w:val="hybridMultilevel"/>
    <w:tmpl w:val="BC7A27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05D490C"/>
    <w:multiLevelType w:val="hybridMultilevel"/>
    <w:tmpl w:val="468E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B4016B"/>
    <w:multiLevelType w:val="hybridMultilevel"/>
    <w:tmpl w:val="7DA6C6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31346B"/>
    <w:multiLevelType w:val="hybridMultilevel"/>
    <w:tmpl w:val="808AA27C"/>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9">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14"/>
  </w:num>
  <w:num w:numId="4">
    <w:abstractNumId w:val="20"/>
  </w:num>
  <w:num w:numId="5">
    <w:abstractNumId w:val="17"/>
  </w:num>
  <w:num w:numId="6">
    <w:abstractNumId w:val="10"/>
  </w:num>
  <w:num w:numId="7">
    <w:abstractNumId w:val="18"/>
  </w:num>
  <w:num w:numId="8">
    <w:abstractNumId w:val="3"/>
  </w:num>
  <w:num w:numId="9">
    <w:abstractNumId w:val="13"/>
  </w:num>
  <w:num w:numId="10">
    <w:abstractNumId w:val="15"/>
  </w:num>
  <w:num w:numId="11">
    <w:abstractNumId w:val="1"/>
  </w:num>
  <w:num w:numId="12">
    <w:abstractNumId w:val="6"/>
  </w:num>
  <w:num w:numId="13">
    <w:abstractNumId w:val="5"/>
  </w:num>
  <w:num w:numId="14">
    <w:abstractNumId w:val="2"/>
  </w:num>
  <w:num w:numId="15">
    <w:abstractNumId w:val="11"/>
  </w:num>
  <w:num w:numId="16">
    <w:abstractNumId w:val="0"/>
  </w:num>
  <w:num w:numId="17">
    <w:abstractNumId w:val="12"/>
  </w:num>
  <w:num w:numId="18">
    <w:abstractNumId w:val="16"/>
  </w:num>
  <w:num w:numId="19">
    <w:abstractNumId w:val="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22F93"/>
    <w:rsid w:val="00024575"/>
    <w:rsid w:val="000418F9"/>
    <w:rsid w:val="00052490"/>
    <w:rsid w:val="00067CC8"/>
    <w:rsid w:val="00071C53"/>
    <w:rsid w:val="00073748"/>
    <w:rsid w:val="0009048F"/>
    <w:rsid w:val="00094B8B"/>
    <w:rsid w:val="000B5933"/>
    <w:rsid w:val="000D22D2"/>
    <w:rsid w:val="000E2293"/>
    <w:rsid w:val="000E6CD3"/>
    <w:rsid w:val="000F3020"/>
    <w:rsid w:val="0010597C"/>
    <w:rsid w:val="001162E7"/>
    <w:rsid w:val="00117F3C"/>
    <w:rsid w:val="00125D4F"/>
    <w:rsid w:val="001453B5"/>
    <w:rsid w:val="00145FD1"/>
    <w:rsid w:val="00163152"/>
    <w:rsid w:val="0017382B"/>
    <w:rsid w:val="00181B18"/>
    <w:rsid w:val="00184A42"/>
    <w:rsid w:val="001907DB"/>
    <w:rsid w:val="001A34CA"/>
    <w:rsid w:val="001A5C95"/>
    <w:rsid w:val="001B6431"/>
    <w:rsid w:val="001C5D32"/>
    <w:rsid w:val="001E7A7D"/>
    <w:rsid w:val="001F4DBF"/>
    <w:rsid w:val="00202590"/>
    <w:rsid w:val="00204059"/>
    <w:rsid w:val="00231441"/>
    <w:rsid w:val="00235DD6"/>
    <w:rsid w:val="00246535"/>
    <w:rsid w:val="00284D5C"/>
    <w:rsid w:val="002A2779"/>
    <w:rsid w:val="002A4108"/>
    <w:rsid w:val="002B5A27"/>
    <w:rsid w:val="002D74D3"/>
    <w:rsid w:val="002D7F98"/>
    <w:rsid w:val="002E6355"/>
    <w:rsid w:val="00306A0B"/>
    <w:rsid w:val="003342F3"/>
    <w:rsid w:val="0034525B"/>
    <w:rsid w:val="003469E2"/>
    <w:rsid w:val="00346AD1"/>
    <w:rsid w:val="00347263"/>
    <w:rsid w:val="0034794B"/>
    <w:rsid w:val="00391026"/>
    <w:rsid w:val="00396EE2"/>
    <w:rsid w:val="003A01E2"/>
    <w:rsid w:val="003B7CD7"/>
    <w:rsid w:val="003C6F39"/>
    <w:rsid w:val="00411BA7"/>
    <w:rsid w:val="004165E7"/>
    <w:rsid w:val="00416B6A"/>
    <w:rsid w:val="004267BE"/>
    <w:rsid w:val="00452250"/>
    <w:rsid w:val="00456B65"/>
    <w:rsid w:val="004629C0"/>
    <w:rsid w:val="004720CD"/>
    <w:rsid w:val="00483A2F"/>
    <w:rsid w:val="004A56C7"/>
    <w:rsid w:val="004C47A4"/>
    <w:rsid w:val="00506A4D"/>
    <w:rsid w:val="005739EE"/>
    <w:rsid w:val="00591687"/>
    <w:rsid w:val="005A756F"/>
    <w:rsid w:val="005B412A"/>
    <w:rsid w:val="005D74E2"/>
    <w:rsid w:val="005E19F5"/>
    <w:rsid w:val="0060080B"/>
    <w:rsid w:val="00602436"/>
    <w:rsid w:val="0063480C"/>
    <w:rsid w:val="006374FC"/>
    <w:rsid w:val="0065101D"/>
    <w:rsid w:val="0065684F"/>
    <w:rsid w:val="006847BF"/>
    <w:rsid w:val="00684D59"/>
    <w:rsid w:val="00690083"/>
    <w:rsid w:val="006C61F4"/>
    <w:rsid w:val="006D297D"/>
    <w:rsid w:val="006F65EE"/>
    <w:rsid w:val="007224B0"/>
    <w:rsid w:val="00735F39"/>
    <w:rsid w:val="00746A43"/>
    <w:rsid w:val="007507CD"/>
    <w:rsid w:val="00756E28"/>
    <w:rsid w:val="00757E19"/>
    <w:rsid w:val="00796BD8"/>
    <w:rsid w:val="007B6030"/>
    <w:rsid w:val="007C11AE"/>
    <w:rsid w:val="007E6878"/>
    <w:rsid w:val="007F5BEA"/>
    <w:rsid w:val="00827D49"/>
    <w:rsid w:val="00845A64"/>
    <w:rsid w:val="00866515"/>
    <w:rsid w:val="008831E1"/>
    <w:rsid w:val="008A317B"/>
    <w:rsid w:val="008A7688"/>
    <w:rsid w:val="008B6DB5"/>
    <w:rsid w:val="008C33DF"/>
    <w:rsid w:val="008C38D8"/>
    <w:rsid w:val="008D1F93"/>
    <w:rsid w:val="008D50A9"/>
    <w:rsid w:val="008E47E6"/>
    <w:rsid w:val="00903BA5"/>
    <w:rsid w:val="00905419"/>
    <w:rsid w:val="0091226F"/>
    <w:rsid w:val="0091341A"/>
    <w:rsid w:val="00930EE1"/>
    <w:rsid w:val="0096561E"/>
    <w:rsid w:val="00973908"/>
    <w:rsid w:val="009C19A7"/>
    <w:rsid w:val="009E193C"/>
    <w:rsid w:val="009F3A17"/>
    <w:rsid w:val="009F5129"/>
    <w:rsid w:val="00A13C95"/>
    <w:rsid w:val="00A20521"/>
    <w:rsid w:val="00A318F1"/>
    <w:rsid w:val="00A34194"/>
    <w:rsid w:val="00A43757"/>
    <w:rsid w:val="00A445DA"/>
    <w:rsid w:val="00A64066"/>
    <w:rsid w:val="00A64C62"/>
    <w:rsid w:val="00A67708"/>
    <w:rsid w:val="00A92CF6"/>
    <w:rsid w:val="00AC234D"/>
    <w:rsid w:val="00AD2E9A"/>
    <w:rsid w:val="00B057A5"/>
    <w:rsid w:val="00B116AD"/>
    <w:rsid w:val="00B23585"/>
    <w:rsid w:val="00B326C0"/>
    <w:rsid w:val="00B352C2"/>
    <w:rsid w:val="00B43E4C"/>
    <w:rsid w:val="00B57B91"/>
    <w:rsid w:val="00B634B7"/>
    <w:rsid w:val="00B6433B"/>
    <w:rsid w:val="00B85C57"/>
    <w:rsid w:val="00B9571F"/>
    <w:rsid w:val="00BA0A08"/>
    <w:rsid w:val="00BC5DCF"/>
    <w:rsid w:val="00BD1CA6"/>
    <w:rsid w:val="00BD7C3B"/>
    <w:rsid w:val="00BF7F9C"/>
    <w:rsid w:val="00C00F70"/>
    <w:rsid w:val="00C1381D"/>
    <w:rsid w:val="00C14AA5"/>
    <w:rsid w:val="00C176A2"/>
    <w:rsid w:val="00C37985"/>
    <w:rsid w:val="00C4203E"/>
    <w:rsid w:val="00C942BE"/>
    <w:rsid w:val="00C9585F"/>
    <w:rsid w:val="00CB16BC"/>
    <w:rsid w:val="00CB1993"/>
    <w:rsid w:val="00CB23DE"/>
    <w:rsid w:val="00CE4792"/>
    <w:rsid w:val="00CE5C2B"/>
    <w:rsid w:val="00CE69AD"/>
    <w:rsid w:val="00CF3A14"/>
    <w:rsid w:val="00CF54D5"/>
    <w:rsid w:val="00D04957"/>
    <w:rsid w:val="00D066D5"/>
    <w:rsid w:val="00D16CB8"/>
    <w:rsid w:val="00D25D16"/>
    <w:rsid w:val="00D32FF7"/>
    <w:rsid w:val="00D37C77"/>
    <w:rsid w:val="00D52BEF"/>
    <w:rsid w:val="00D54C20"/>
    <w:rsid w:val="00D746F5"/>
    <w:rsid w:val="00D75279"/>
    <w:rsid w:val="00D9588E"/>
    <w:rsid w:val="00DC573C"/>
    <w:rsid w:val="00E0644C"/>
    <w:rsid w:val="00E168E0"/>
    <w:rsid w:val="00E212F8"/>
    <w:rsid w:val="00E35BAE"/>
    <w:rsid w:val="00E548EC"/>
    <w:rsid w:val="00E71766"/>
    <w:rsid w:val="00E743ED"/>
    <w:rsid w:val="00E76502"/>
    <w:rsid w:val="00E773BB"/>
    <w:rsid w:val="00E85BEF"/>
    <w:rsid w:val="00EC6669"/>
    <w:rsid w:val="00ED7646"/>
    <w:rsid w:val="00EF31FC"/>
    <w:rsid w:val="00EF6016"/>
    <w:rsid w:val="00F234E8"/>
    <w:rsid w:val="00F54FF1"/>
    <w:rsid w:val="00F64827"/>
    <w:rsid w:val="00F67DB3"/>
    <w:rsid w:val="00F75A60"/>
    <w:rsid w:val="00FA3708"/>
    <w:rsid w:val="00FA4E49"/>
    <w:rsid w:val="00FA76FD"/>
    <w:rsid w:val="00FD509B"/>
    <w:rsid w:val="00FD66ED"/>
    <w:rsid w:val="00FF5125"/>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2019-12-18T16:19:00Z</cp:lastPrinted>
  <dcterms:created xsi:type="dcterms:W3CDTF">2020-01-23T19:54:00Z</dcterms:created>
  <dcterms:modified xsi:type="dcterms:W3CDTF">2020-01-23T19:55:00Z</dcterms:modified>
</cp:coreProperties>
</file>