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39D5" w14:textId="77777777" w:rsidR="00D62F5B" w:rsidRPr="00CA14C1" w:rsidRDefault="00B02AA9" w:rsidP="00CA14C1">
      <w:pPr>
        <w:jc w:val="center"/>
      </w:pPr>
      <w:r w:rsidRPr="00CA14C1">
        <w:t>COMMONWEALTH OF MASSACHUSETTS</w:t>
      </w:r>
    </w:p>
    <w:p w14:paraId="32F96C6F" w14:textId="77777777" w:rsidR="00B02AA9" w:rsidRPr="00CA14C1" w:rsidRDefault="00B02AA9" w:rsidP="000464B3">
      <w:pPr>
        <w:jc w:val="both"/>
      </w:pPr>
    </w:p>
    <w:p w14:paraId="25C19FD0" w14:textId="77777777" w:rsidR="00B02AA9" w:rsidRPr="00CA14C1" w:rsidRDefault="00B02AA9" w:rsidP="000464B3">
      <w:pPr>
        <w:jc w:val="both"/>
      </w:pPr>
      <w:r w:rsidRPr="00CA14C1">
        <w:t>Middlesex, SS</w:t>
      </w:r>
      <w:r w:rsidRPr="00CA14C1">
        <w:tab/>
      </w:r>
      <w:r w:rsidRPr="00CA14C1">
        <w:tab/>
      </w:r>
      <w:r w:rsidRPr="00CA14C1">
        <w:tab/>
      </w:r>
      <w:r w:rsidRPr="00CA14C1">
        <w:tab/>
      </w:r>
      <w:r w:rsidRPr="00CA14C1">
        <w:tab/>
      </w:r>
      <w:r w:rsidRPr="00CA14C1">
        <w:tab/>
      </w:r>
      <w:r w:rsidRPr="00CA14C1">
        <w:tab/>
        <w:t>Board of Registration in Medicine</w:t>
      </w:r>
    </w:p>
    <w:p w14:paraId="37EEB53A" w14:textId="228E462B" w:rsidR="00F279AC" w:rsidRDefault="00B02AA9" w:rsidP="000464B3">
      <w:pPr>
        <w:jc w:val="both"/>
      </w:pPr>
      <w:r w:rsidRPr="00CA14C1">
        <w:tab/>
      </w:r>
      <w:r w:rsidRPr="00CA14C1">
        <w:tab/>
      </w:r>
      <w:r w:rsidRPr="00CA14C1">
        <w:tab/>
      </w:r>
      <w:r w:rsidRPr="00CA14C1">
        <w:tab/>
      </w:r>
      <w:r w:rsidRPr="00CA14C1">
        <w:tab/>
      </w:r>
      <w:r w:rsidRPr="00CA14C1">
        <w:tab/>
      </w:r>
      <w:r w:rsidRPr="00CA14C1">
        <w:tab/>
      </w:r>
      <w:r w:rsidRPr="00CA14C1">
        <w:tab/>
        <w:t>Adjudicatory No. 20</w:t>
      </w:r>
      <w:r w:rsidR="009F3099">
        <w:t>20-</w:t>
      </w:r>
      <w:r w:rsidR="00F279AC">
        <w:t>20</w:t>
      </w:r>
      <w:r w:rsidR="00CD54DB">
        <w:t>10</w:t>
      </w:r>
    </w:p>
    <w:p w14:paraId="101CBEF7" w14:textId="6520D741" w:rsidR="005152B9" w:rsidRPr="00CA14C1" w:rsidRDefault="005152B9" w:rsidP="000464B3">
      <w:pPr>
        <w:jc w:val="both"/>
      </w:pPr>
      <w:r w:rsidRPr="00CA14C1">
        <w:t xml:space="preserve"> </w:t>
      </w:r>
    </w:p>
    <w:p w14:paraId="04A32411" w14:textId="77777777" w:rsidR="00B02AA9" w:rsidRPr="00CA14C1" w:rsidRDefault="00B02AA9" w:rsidP="000464B3">
      <w:pPr>
        <w:jc w:val="both"/>
      </w:pPr>
      <w:r w:rsidRPr="00CA14C1">
        <w:t>______________________________</w:t>
      </w:r>
    </w:p>
    <w:p w14:paraId="01AB5B73" w14:textId="2804BE15" w:rsidR="00B02AA9" w:rsidRPr="00CA14C1" w:rsidRDefault="00B02AA9" w:rsidP="000464B3">
      <w:pPr>
        <w:jc w:val="both"/>
      </w:pPr>
      <w:r w:rsidRPr="00CA14C1">
        <w:tab/>
      </w:r>
      <w:r w:rsidRPr="00CA14C1">
        <w:tab/>
      </w:r>
      <w:r w:rsidRPr="00CA14C1">
        <w:tab/>
      </w:r>
      <w:r w:rsidRPr="00CA14C1">
        <w:tab/>
      </w:r>
      <w:r w:rsidRPr="00CA14C1">
        <w:tab/>
        <w:t>)</w:t>
      </w:r>
      <w:r w:rsidR="005D15FD" w:rsidRPr="00CA14C1">
        <w:tab/>
      </w:r>
      <w:r w:rsidR="005D15FD" w:rsidRPr="00CA14C1">
        <w:tab/>
      </w:r>
      <w:r w:rsidR="005D15FD" w:rsidRPr="00CA14C1">
        <w:tab/>
        <w:t>Final Decision and Order</w:t>
      </w:r>
    </w:p>
    <w:p w14:paraId="25DFF1E4" w14:textId="1FD1B69E" w:rsidR="00B02AA9" w:rsidRPr="00CA14C1" w:rsidRDefault="00B02AA9" w:rsidP="000464B3">
      <w:pPr>
        <w:jc w:val="both"/>
      </w:pPr>
      <w:r w:rsidRPr="00CA14C1">
        <w:t>In the Matter of</w:t>
      </w:r>
      <w:r w:rsidRPr="00CA14C1">
        <w:tab/>
      </w:r>
      <w:r w:rsidRPr="00CA14C1">
        <w:tab/>
      </w:r>
      <w:r w:rsidRPr="00CA14C1">
        <w:tab/>
        <w:t>)</w:t>
      </w:r>
      <w:r w:rsidR="005D15FD" w:rsidRPr="00CA14C1">
        <w:tab/>
      </w:r>
      <w:r w:rsidR="005D15FD" w:rsidRPr="00CA14C1">
        <w:tab/>
      </w:r>
      <w:r w:rsidR="005D15FD" w:rsidRPr="00CA14C1">
        <w:tab/>
        <w:t xml:space="preserve"> </w:t>
      </w:r>
      <w:r w:rsidRPr="00CA14C1">
        <w:tab/>
      </w:r>
      <w:r w:rsidRPr="00CA14C1">
        <w:tab/>
      </w:r>
      <w:r w:rsidRPr="00CA14C1">
        <w:tab/>
      </w:r>
      <w:r w:rsidRPr="00CA14C1">
        <w:tab/>
      </w:r>
      <w:r w:rsidRPr="00CA14C1">
        <w:tab/>
      </w:r>
      <w:r w:rsidR="005D15FD" w:rsidRPr="00CA14C1">
        <w:tab/>
      </w:r>
      <w:r w:rsidR="005D15FD" w:rsidRPr="00CA14C1">
        <w:tab/>
      </w:r>
      <w:r w:rsidR="00E64D3D">
        <w:tab/>
      </w:r>
      <w:r w:rsidR="00E64D3D">
        <w:tab/>
      </w:r>
      <w:r w:rsidR="00E64D3D">
        <w:tab/>
      </w:r>
      <w:r w:rsidRPr="00CA14C1">
        <w:t>)</w:t>
      </w:r>
      <w:r w:rsidR="005D15FD" w:rsidRPr="00CA14C1">
        <w:tab/>
      </w:r>
      <w:r w:rsidR="005D15FD" w:rsidRPr="00CA14C1">
        <w:tab/>
      </w:r>
      <w:r w:rsidR="005D15FD" w:rsidRPr="00CA14C1">
        <w:tab/>
      </w:r>
    </w:p>
    <w:p w14:paraId="1B4F8AA1" w14:textId="4B579760" w:rsidR="00B02AA9" w:rsidRPr="00CA14C1" w:rsidRDefault="00401776" w:rsidP="000464B3">
      <w:pPr>
        <w:jc w:val="both"/>
      </w:pPr>
      <w:r>
        <w:t>Ga</w:t>
      </w:r>
      <w:r w:rsidR="00502ADF">
        <w:t>briel Luna</w:t>
      </w:r>
      <w:r w:rsidR="00B02AA9" w:rsidRPr="00CA14C1">
        <w:t>, M.D.</w:t>
      </w:r>
      <w:r w:rsidR="00B02AA9" w:rsidRPr="00CA14C1">
        <w:tab/>
      </w:r>
      <w:r w:rsidR="00E64D3D">
        <w:tab/>
      </w:r>
      <w:r w:rsidR="00B02AA9" w:rsidRPr="00CA14C1">
        <w:tab/>
        <w:t>)</w:t>
      </w:r>
    </w:p>
    <w:p w14:paraId="558601F4" w14:textId="77777777" w:rsidR="00B02AA9" w:rsidRPr="00CA14C1" w:rsidRDefault="00B02AA9" w:rsidP="000464B3">
      <w:pPr>
        <w:jc w:val="both"/>
      </w:pPr>
      <w:r w:rsidRPr="00CA14C1">
        <w:t>______________________________)</w:t>
      </w:r>
      <w:r w:rsidRPr="00CA14C1">
        <w:tab/>
      </w:r>
    </w:p>
    <w:p w14:paraId="1105C1B7" w14:textId="77777777" w:rsidR="003B05E9" w:rsidRPr="00CA14C1" w:rsidRDefault="003B05E9" w:rsidP="00805545">
      <w:pPr>
        <w:jc w:val="both"/>
      </w:pPr>
    </w:p>
    <w:p w14:paraId="24E53551" w14:textId="77777777" w:rsidR="003B05E9" w:rsidRPr="00CA14C1" w:rsidRDefault="003B05E9" w:rsidP="005C41E9">
      <w:pPr>
        <w:jc w:val="both"/>
      </w:pPr>
    </w:p>
    <w:p w14:paraId="446280A7" w14:textId="5649F5CD" w:rsidR="00897B8E" w:rsidRPr="000D2BE9" w:rsidRDefault="000D2BE9" w:rsidP="000D2BE9">
      <w:pPr>
        <w:spacing w:line="480" w:lineRule="auto"/>
        <w:jc w:val="center"/>
        <w:rPr>
          <w:u w:val="single"/>
        </w:rPr>
      </w:pPr>
      <w:r w:rsidRPr="000D2BE9">
        <w:rPr>
          <w:u w:val="single"/>
        </w:rPr>
        <w:t>Procedural History</w:t>
      </w:r>
    </w:p>
    <w:p w14:paraId="69C93106" w14:textId="30D40E0C" w:rsidR="00A9243E" w:rsidRDefault="00C452AE" w:rsidP="000B72C0">
      <w:pPr>
        <w:spacing w:line="360" w:lineRule="auto"/>
        <w:ind w:firstLine="720"/>
        <w:jc w:val="both"/>
      </w:pPr>
      <w:r>
        <w:t xml:space="preserve">On </w:t>
      </w:r>
      <w:r w:rsidR="00E64D3D">
        <w:t>February 20, 2020</w:t>
      </w:r>
      <w:r>
        <w:t xml:space="preserve">, </w:t>
      </w:r>
      <w:r w:rsidR="003B0407">
        <w:t>the Board of Medicine</w:t>
      </w:r>
      <w:r w:rsidR="009551E2">
        <w:t xml:space="preserve"> (Board)</w:t>
      </w:r>
      <w:r w:rsidR="003B0407">
        <w:t xml:space="preserve"> commenced disciplinary proceedings against </w:t>
      </w:r>
      <w:r w:rsidR="0011077D">
        <w:t>Gabriel Luna</w:t>
      </w:r>
      <w:r w:rsidR="00E47ECA">
        <w:t>, M.D. (Respondent)</w:t>
      </w:r>
      <w:r w:rsidR="000F1322">
        <w:t xml:space="preserve"> by issuing </w:t>
      </w:r>
      <w:r w:rsidR="009A2EA6">
        <w:t xml:space="preserve">both </w:t>
      </w:r>
      <w:r w:rsidR="000F1322">
        <w:t>a Statement of Allegations</w:t>
      </w:r>
      <w:r w:rsidR="005517AC">
        <w:t xml:space="preserve"> against the Respondent</w:t>
      </w:r>
      <w:r w:rsidR="009A2EA6">
        <w:t xml:space="preserve"> and </w:t>
      </w:r>
      <w:r w:rsidR="005517AC">
        <w:t>an Order of Temporary Suspension</w:t>
      </w:r>
      <w:r w:rsidR="009A2EA6">
        <w:t>. The Board</w:t>
      </w:r>
      <w:r w:rsidR="00B936CE">
        <w:t xml:space="preserve"> </w:t>
      </w:r>
      <w:r w:rsidR="009A2EA6">
        <w:t>referred both</w:t>
      </w:r>
      <w:r w:rsidR="00B936CE">
        <w:t xml:space="preserve"> to the Division of Administrative Law Appeals</w:t>
      </w:r>
      <w:r w:rsidR="00BA58E6">
        <w:t xml:space="preserve"> (DALA)</w:t>
      </w:r>
      <w:r w:rsidR="00B936CE">
        <w:t xml:space="preserve"> </w:t>
      </w:r>
      <w:r w:rsidR="00E52F75">
        <w:t xml:space="preserve">for </w:t>
      </w:r>
      <w:r w:rsidR="00144E6C">
        <w:t xml:space="preserve">a hearing on </w:t>
      </w:r>
      <w:r w:rsidR="00C2582D">
        <w:t xml:space="preserve">the </w:t>
      </w:r>
      <w:r w:rsidR="00144E6C">
        <w:t xml:space="preserve">Order of Temporary </w:t>
      </w:r>
      <w:r w:rsidR="0011077D">
        <w:t>Suspension</w:t>
      </w:r>
      <w:r w:rsidR="00144E6C">
        <w:t xml:space="preserve"> and further proceeding</w:t>
      </w:r>
      <w:r w:rsidR="00AC3604">
        <w:t>s</w:t>
      </w:r>
      <w:r w:rsidR="00144E6C">
        <w:t xml:space="preserve"> with respect to the ch</w:t>
      </w:r>
      <w:r w:rsidR="00C2582D">
        <w:t>arges in the S</w:t>
      </w:r>
      <w:r w:rsidR="00E92855">
        <w:t xml:space="preserve">tatement of </w:t>
      </w:r>
      <w:r w:rsidR="00D24723">
        <w:t>Allegations</w:t>
      </w:r>
      <w:r w:rsidR="00144E6C">
        <w:t>.</w:t>
      </w:r>
      <w:r w:rsidR="00BA58E6">
        <w:t xml:space="preserve"> On April 2, 2020, the Board issued an Amended Statement of Allegations </w:t>
      </w:r>
      <w:r w:rsidR="009551E2">
        <w:t xml:space="preserve"> (SOA) </w:t>
      </w:r>
      <w:r w:rsidR="00BA58E6">
        <w:t xml:space="preserve">and referred that to DALA for further proceedings. </w:t>
      </w:r>
      <w:r w:rsidR="00C2582D">
        <w:t xml:space="preserve"> </w:t>
      </w:r>
    </w:p>
    <w:p w14:paraId="6A4807D1" w14:textId="77777777" w:rsidR="00F17F1C" w:rsidRDefault="00154443" w:rsidP="000B72C0">
      <w:pPr>
        <w:spacing w:line="360" w:lineRule="auto"/>
        <w:ind w:firstLine="720"/>
        <w:jc w:val="both"/>
      </w:pPr>
      <w:r>
        <w:t xml:space="preserve">On </w:t>
      </w:r>
      <w:r w:rsidR="009551E2">
        <w:t xml:space="preserve">March 6, 2020, DALA issued a Recommended Decision on Summary Suspension </w:t>
      </w:r>
      <w:r w:rsidR="002513A9">
        <w:t xml:space="preserve">(Decision on Summary Suspension) </w:t>
      </w:r>
      <w:r w:rsidR="009551E2">
        <w:t xml:space="preserve">with the determination that the Board </w:t>
      </w:r>
      <w:r w:rsidR="00A9272A">
        <w:t>had not proved, by a preponderance of the evidence, that the Respondent posed a serious threat to public health and safety.</w:t>
      </w:r>
      <w:r w:rsidR="00A9272A">
        <w:rPr>
          <w:rStyle w:val="FootnoteReference"/>
        </w:rPr>
        <w:footnoteReference w:id="2"/>
      </w:r>
      <w:r w:rsidR="00A9272A">
        <w:t xml:space="preserve"> On March 19, 2020, the Board adopted the </w:t>
      </w:r>
      <w:r w:rsidR="002513A9">
        <w:t>Decision on Summary Suspension</w:t>
      </w:r>
      <w:r w:rsidR="00A9272A">
        <w:t xml:space="preserve"> and vacated the Respondent’s suspension. </w:t>
      </w:r>
    </w:p>
    <w:p w14:paraId="21588F16" w14:textId="2EE87840" w:rsidR="00F9035C" w:rsidRDefault="00F17F1C" w:rsidP="000B72C0">
      <w:pPr>
        <w:spacing w:line="360" w:lineRule="auto"/>
        <w:ind w:firstLine="720"/>
        <w:jc w:val="both"/>
      </w:pPr>
      <w:r>
        <w:t xml:space="preserve">On December 15, 2022, </w:t>
      </w:r>
      <w:r w:rsidR="00640BB1">
        <w:t xml:space="preserve">DALA Magistrate James P. Rooney (Magistrate) issued a Recommended Decision on the merits of the SOA. </w:t>
      </w:r>
      <w:r w:rsidR="00F9035C">
        <w:t xml:space="preserve">The Magistrate concluded that the Board </w:t>
      </w:r>
      <w:r w:rsidR="00D33FB5">
        <w:t>had proved, by a preponderance of the evidence</w:t>
      </w:r>
      <w:r w:rsidR="002451EA">
        <w:t>,</w:t>
      </w:r>
      <w:r w:rsidR="00D33FB5">
        <w:t xml:space="preserve"> that the Respondent:</w:t>
      </w:r>
    </w:p>
    <w:p w14:paraId="49C7E789" w14:textId="65ED5512" w:rsidR="00D33FB5" w:rsidRDefault="00D33FB5" w:rsidP="000B72C0">
      <w:pPr>
        <w:numPr>
          <w:ilvl w:val="0"/>
          <w:numId w:val="7"/>
        </w:numPr>
        <w:spacing w:line="360" w:lineRule="auto"/>
        <w:jc w:val="both"/>
      </w:pPr>
      <w:r>
        <w:t xml:space="preserve">has been convicted of a crime, a basis for discipline pursuant to 243 CMR 1.03(5)(a)7; and </w:t>
      </w:r>
    </w:p>
    <w:p w14:paraId="6CF4A21E" w14:textId="39C12FFE" w:rsidR="00D33FB5" w:rsidRDefault="00D33FB5" w:rsidP="000B72C0">
      <w:pPr>
        <w:numPr>
          <w:ilvl w:val="0"/>
          <w:numId w:val="7"/>
        </w:numPr>
        <w:spacing w:line="360" w:lineRule="auto"/>
        <w:jc w:val="both"/>
      </w:pPr>
      <w:r>
        <w:lastRenderedPageBreak/>
        <w:t>has engaged in conduct that has the capacity to deceive, a basis for discipline, pursuant to 243 CMR 1.03(5)(a)7.</w:t>
      </w:r>
      <w:r w:rsidR="001979B7">
        <w:rPr>
          <w:rStyle w:val="FootnoteReference"/>
        </w:rPr>
        <w:footnoteReference w:id="3"/>
      </w:r>
    </w:p>
    <w:p w14:paraId="57184A7C" w14:textId="0910E50A" w:rsidR="00CA7079" w:rsidRDefault="00EB2175" w:rsidP="000B72C0">
      <w:pPr>
        <w:spacing w:line="360" w:lineRule="auto"/>
        <w:ind w:firstLine="720"/>
        <w:jc w:val="both"/>
      </w:pPr>
      <w:r>
        <w:t>In February of 2023, the Petitioner filed Objections to the Recommended Decision</w:t>
      </w:r>
      <w:r w:rsidR="00765C2D">
        <w:t xml:space="preserve"> (Objections)</w:t>
      </w:r>
      <w:r>
        <w:t xml:space="preserve"> and the Respondent filed a Response to </w:t>
      </w:r>
      <w:r w:rsidR="00765C2D">
        <w:t xml:space="preserve">the </w:t>
      </w:r>
      <w:r>
        <w:t>Objections. In May of 2023, the Parties file</w:t>
      </w:r>
      <w:r w:rsidR="00CA7079">
        <w:t xml:space="preserve">d Memoranda on Disposition. </w:t>
      </w:r>
    </w:p>
    <w:p w14:paraId="6E6432F5" w14:textId="62DCA185" w:rsidR="009E3323" w:rsidRDefault="00CA7079" w:rsidP="000B72C0">
      <w:pPr>
        <w:spacing w:line="360" w:lineRule="auto"/>
        <w:ind w:firstLine="720"/>
        <w:jc w:val="both"/>
      </w:pPr>
      <w:r>
        <w:t>On May 30, 2023, the Respondent filed a Motion to Strike the Petitioner’s Memorandum on Disposition</w:t>
      </w:r>
      <w:r w:rsidR="00765C2D">
        <w:t xml:space="preserve"> (Motion to Strike)</w:t>
      </w:r>
      <w:r>
        <w:t xml:space="preserve">, based on inconsistencies between the </w:t>
      </w:r>
      <w:r w:rsidR="005C7B76">
        <w:t>“Relevant Facts” as stated in the Petitioner’s Memorandum and those in Recommended Decision. The Board denie</w:t>
      </w:r>
      <w:r w:rsidR="004438C1">
        <w:t>s</w:t>
      </w:r>
      <w:r w:rsidR="005C7B76">
        <w:t xml:space="preserve"> the </w:t>
      </w:r>
      <w:r w:rsidR="00B97C4D">
        <w:t>Motion but</w:t>
      </w:r>
      <w:r w:rsidR="005C7B76">
        <w:t xml:space="preserve"> consider</w:t>
      </w:r>
      <w:r w:rsidR="001F3D04">
        <w:t>s</w:t>
      </w:r>
      <w:r w:rsidR="005C7B76">
        <w:t xml:space="preserve"> the Petitioner’s Memorandum </w:t>
      </w:r>
      <w:r w:rsidR="008A394C">
        <w:t xml:space="preserve">only </w:t>
      </w:r>
      <w:r w:rsidR="005C7B76">
        <w:t xml:space="preserve">with respect to the analysis </w:t>
      </w:r>
      <w:r w:rsidR="003013B9">
        <w:t>considered in light of the</w:t>
      </w:r>
      <w:r w:rsidR="005C7B76">
        <w:t xml:space="preserve"> Findings of Fact and Conclusions of Law</w:t>
      </w:r>
      <w:r w:rsidR="00890A3E">
        <w:t xml:space="preserve"> stated by the Magistrate</w:t>
      </w:r>
      <w:r w:rsidR="003013B9">
        <w:t>.</w:t>
      </w:r>
      <w:r w:rsidR="005C7B76">
        <w:t xml:space="preserve"> </w:t>
      </w:r>
      <w:r w:rsidR="00FB4EBB">
        <w:t xml:space="preserve">   </w:t>
      </w:r>
      <w:r w:rsidR="00EB2175">
        <w:t xml:space="preserve"> </w:t>
      </w:r>
    </w:p>
    <w:p w14:paraId="6D3C1DD8" w14:textId="1E6B8127" w:rsidR="008D6AC4" w:rsidRDefault="008D6AC4" w:rsidP="000B72C0">
      <w:pPr>
        <w:spacing w:line="360" w:lineRule="auto"/>
        <w:ind w:firstLine="720"/>
        <w:jc w:val="both"/>
      </w:pPr>
      <w:r>
        <w:t xml:space="preserve">The Board has </w:t>
      </w:r>
      <w:r w:rsidR="00293374">
        <w:t xml:space="preserve">heard from the Parties and has fully </w:t>
      </w:r>
      <w:r>
        <w:t>considered the Recommended Decision, the Parties’ Objections</w:t>
      </w:r>
      <w:r w:rsidR="00021D97">
        <w:rPr>
          <w:rStyle w:val="FootnoteReference"/>
        </w:rPr>
        <w:footnoteReference w:id="4"/>
      </w:r>
      <w:r>
        <w:t xml:space="preserve"> and Response to the Objections, and the Parties’ Memoranda on Disposition. </w:t>
      </w:r>
      <w:r w:rsidR="00366426" w:rsidRPr="00805545">
        <w:t xml:space="preserve">After full consideration of the Parties’ submissions, and the Magistrate’s Recommended Decision, which is attached hereto and incorporated by reference, the Board </w:t>
      </w:r>
      <w:r>
        <w:t xml:space="preserve"> ADOPTS the Recommended Decision, as amended, to strike the Magistrate’s commentary, on pages 21-22 of the Recommended Decision</w:t>
      </w:r>
      <w:r w:rsidR="00765C2D">
        <w:t>,</w:t>
      </w:r>
      <w:r>
        <w:t xml:space="preserve"> with respect to </w:t>
      </w:r>
      <w:r w:rsidRPr="00FB4EBB">
        <w:rPr>
          <w:i/>
          <w:iCs/>
        </w:rPr>
        <w:t>Welter v. Board of Registration in Medicine</w:t>
      </w:r>
      <w:r>
        <w:t>, 490 Mass. 718 (2022)  and whether the elements of common law fraud, including but not limited to intent, must be proved with respect to fraudulent procurement of a license. As the Magistrate states, “[F]</w:t>
      </w:r>
      <w:proofErr w:type="spellStart"/>
      <w:r>
        <w:t>raudulent</w:t>
      </w:r>
      <w:proofErr w:type="spellEnd"/>
      <w:r>
        <w:t xml:space="preserve"> procurement of a license was not at issue in </w:t>
      </w:r>
      <w:r w:rsidRPr="00FB4EBB">
        <w:rPr>
          <w:i/>
          <w:iCs/>
        </w:rPr>
        <w:t>Welter</w:t>
      </w:r>
      <w:r>
        <w:t xml:space="preserve">.”  </w:t>
      </w:r>
    </w:p>
    <w:p w14:paraId="25AB2CFF" w14:textId="61E710FA" w:rsidR="00D24496" w:rsidRDefault="00D24496" w:rsidP="007E04F0">
      <w:pPr>
        <w:spacing w:line="480" w:lineRule="auto"/>
        <w:ind w:firstLine="720"/>
        <w:jc w:val="center"/>
        <w:rPr>
          <w:u w:val="single"/>
        </w:rPr>
      </w:pPr>
      <w:r w:rsidRPr="00D24496">
        <w:rPr>
          <w:u w:val="single"/>
        </w:rPr>
        <w:t>Discussion</w:t>
      </w:r>
    </w:p>
    <w:p w14:paraId="695DC1F4" w14:textId="61E96C9A" w:rsidR="00D40EBC" w:rsidRDefault="00405E8C" w:rsidP="000B72C0">
      <w:pPr>
        <w:spacing w:line="360" w:lineRule="auto"/>
        <w:ind w:firstLine="720"/>
        <w:jc w:val="both"/>
      </w:pPr>
      <w:r w:rsidRPr="00A628D1">
        <w:t xml:space="preserve">The record </w:t>
      </w:r>
      <w:r w:rsidR="00B8205C" w:rsidRPr="00A628D1">
        <w:t>reflects that</w:t>
      </w:r>
      <w:r w:rsidR="00A628D1">
        <w:t>, in 201</w:t>
      </w:r>
      <w:r w:rsidR="001C464E">
        <w:t>3</w:t>
      </w:r>
      <w:r w:rsidR="00A628D1">
        <w:t xml:space="preserve">, the </w:t>
      </w:r>
      <w:r w:rsidR="00B8205C" w:rsidRPr="00A628D1">
        <w:t xml:space="preserve">Respondent </w:t>
      </w:r>
      <w:r w:rsidR="001C464E">
        <w:t xml:space="preserve">was criminally charged </w:t>
      </w:r>
      <w:bookmarkStart w:id="0" w:name="_Hlk137029390"/>
      <w:r w:rsidR="00821B31">
        <w:t xml:space="preserve">following a 2011 car </w:t>
      </w:r>
      <w:r w:rsidR="005D7221" w:rsidRPr="00A628D1">
        <w:t xml:space="preserve">accident </w:t>
      </w:r>
      <w:r w:rsidR="00821B31">
        <w:t>in which he injured a motorcyclist. In 2014, the Responde</w:t>
      </w:r>
      <w:r w:rsidR="00B57E32">
        <w:t>nt pled</w:t>
      </w:r>
      <w:r w:rsidR="00821B31">
        <w:t xml:space="preserve"> </w:t>
      </w:r>
      <w:bookmarkEnd w:id="0"/>
      <w:r w:rsidR="00765C2D">
        <w:t>to</w:t>
      </w:r>
      <w:r w:rsidR="005D7221" w:rsidRPr="00A628D1">
        <w:t xml:space="preserve"> </w:t>
      </w:r>
      <w:r w:rsidR="0091331C">
        <w:t>no contest to two misdemeanor charges,</w:t>
      </w:r>
      <w:r w:rsidR="002C0BA9">
        <w:t xml:space="preserve"> culpable negligence with personal injury and leaving the scene of an </w:t>
      </w:r>
      <w:r w:rsidR="002C0BA9">
        <w:lastRenderedPageBreak/>
        <w:t xml:space="preserve">accident involving property damage. </w:t>
      </w:r>
      <w:r w:rsidR="00D40EBC">
        <w:t>Having been convicted of a crime is a basis for Board discipline pursuant to 243 CMR 1.03(5)(a)7.</w:t>
      </w:r>
    </w:p>
    <w:p w14:paraId="2CBECBC7" w14:textId="77777777" w:rsidR="00EA720E" w:rsidRDefault="00D40EBC" w:rsidP="000B72C0">
      <w:pPr>
        <w:spacing w:line="360" w:lineRule="auto"/>
        <w:ind w:firstLine="720"/>
        <w:jc w:val="both"/>
      </w:pPr>
      <w:r>
        <w:t xml:space="preserve">The Respondent did not report his criminal charges on his 2013 and 2014 limited license applications and on his 2015 full license application. He did not report </w:t>
      </w:r>
      <w:r w:rsidR="00764848">
        <w:t xml:space="preserve">his charges on an application for a leave of absence from his residency program. During the leave, the Respondent served time in jail and completed the community service requirement of his sentence. </w:t>
      </w:r>
    </w:p>
    <w:p w14:paraId="6514E1E4" w14:textId="3BA6D001" w:rsidR="00764848" w:rsidRDefault="00EA720E" w:rsidP="000B72C0">
      <w:pPr>
        <w:spacing w:line="360" w:lineRule="auto"/>
        <w:ind w:firstLine="720"/>
        <w:jc w:val="both"/>
      </w:pPr>
      <w:r>
        <w:t xml:space="preserve">The Respondent “knowingly failed to reveal that he was to serve a jail sentence while on leave and the subject of that </w:t>
      </w:r>
      <w:r w:rsidR="005A0B80">
        <w:t>misstatement</w:t>
      </w:r>
      <w:r>
        <w:t xml:space="preserve"> was obviously suscepti</w:t>
      </w:r>
      <w:r w:rsidR="006E5114">
        <w:t xml:space="preserve">ble of his actual knowledge since he knew he was deliberately leaving out this information…[H]e should have known that </w:t>
      </w:r>
      <w:r w:rsidR="006E56AC">
        <w:t>[his program]</w:t>
      </w:r>
      <w:r w:rsidR="006E5114">
        <w:t xml:space="preserve"> and the Board might think this information would be relevant to the decision each was to make.”</w:t>
      </w:r>
      <w:r w:rsidR="0039619B">
        <w:rPr>
          <w:rStyle w:val="FootnoteReference"/>
        </w:rPr>
        <w:footnoteReference w:id="5"/>
      </w:r>
      <w:r w:rsidR="006E5114">
        <w:t xml:space="preserve"> </w:t>
      </w:r>
      <w:r w:rsidR="006F7356">
        <w:t xml:space="preserve">Engaging in conduct that has the capacity to deceive is a basis for Board discipline pursuant to 1.03(5)(a)10. </w:t>
      </w:r>
    </w:p>
    <w:p w14:paraId="65654A4F" w14:textId="6B44403A" w:rsidR="00200551" w:rsidRDefault="00200551" w:rsidP="000B72C0">
      <w:pPr>
        <w:spacing w:line="360" w:lineRule="auto"/>
        <w:jc w:val="center"/>
        <w:rPr>
          <w:u w:val="single"/>
        </w:rPr>
      </w:pPr>
      <w:r w:rsidRPr="00200551">
        <w:rPr>
          <w:u w:val="single"/>
        </w:rPr>
        <w:t>Sanction</w:t>
      </w:r>
    </w:p>
    <w:p w14:paraId="747E7EEE" w14:textId="76864BEE" w:rsidR="00BF5E22" w:rsidRDefault="00190EEA" w:rsidP="000B72C0">
      <w:pPr>
        <w:spacing w:line="360" w:lineRule="auto"/>
        <w:ind w:firstLine="720"/>
        <w:jc w:val="both"/>
        <w:rPr>
          <w:u w:val="single"/>
        </w:rPr>
      </w:pPr>
      <w:r w:rsidRPr="00BF5E22">
        <w:t>As a function of this Board’s obligation</w:t>
      </w:r>
      <w:r w:rsidR="00BF42CF" w:rsidRPr="00BF5E22">
        <w:t xml:space="preserve"> to protect the public health, safety, and welfare, it is proper for the Board to discipline the Respondent. </w:t>
      </w:r>
      <w:r w:rsidR="00BF42CF">
        <w:rPr>
          <w:u w:val="single"/>
        </w:rPr>
        <w:t>See</w:t>
      </w:r>
      <w:r w:rsidR="00BF42CF" w:rsidRPr="00BF5E22">
        <w:t xml:space="preserve"> </w:t>
      </w:r>
      <w:r w:rsidR="00BF42CF" w:rsidRPr="00BF5E22">
        <w:rPr>
          <w:i/>
          <w:iCs/>
        </w:rPr>
        <w:t>Levy v. Board of Registra</w:t>
      </w:r>
      <w:r w:rsidR="00BF5E22">
        <w:rPr>
          <w:i/>
          <w:iCs/>
        </w:rPr>
        <w:t>tio</w:t>
      </w:r>
      <w:r w:rsidR="00BF42CF" w:rsidRPr="00BF5E22">
        <w:rPr>
          <w:i/>
          <w:iCs/>
        </w:rPr>
        <w:t>n in Medicine</w:t>
      </w:r>
      <w:r w:rsidR="00BF42CF" w:rsidRPr="00BF5E22">
        <w:t>, 378 Mass. 519 (1979).</w:t>
      </w:r>
      <w:r w:rsidR="007868E1">
        <w:t xml:space="preserve"> </w:t>
      </w:r>
    </w:p>
    <w:p w14:paraId="6EF55A1B" w14:textId="7F76CE98" w:rsidR="00BC6169" w:rsidRDefault="00735DA6" w:rsidP="000B72C0">
      <w:pPr>
        <w:spacing w:line="360" w:lineRule="auto"/>
        <w:ind w:firstLine="720"/>
        <w:jc w:val="both"/>
        <w:rPr>
          <w:rFonts w:eastAsia="Calibri"/>
          <w:kern w:val="2"/>
        </w:rPr>
      </w:pPr>
      <w:r>
        <w:rPr>
          <w:rFonts w:eastAsia="Calibri"/>
          <w:kern w:val="2"/>
        </w:rPr>
        <w:t>“</w:t>
      </w:r>
      <w:r w:rsidR="00BC6169" w:rsidRPr="00CB1B05">
        <w:rPr>
          <w:rFonts w:eastAsia="Calibri"/>
          <w:kern w:val="2"/>
        </w:rPr>
        <w:t>In its system of initial licensure and re-licensure, the Board depends on the accuracy and integrity of the information provided by physicians….[R]repeated acts of providing false information deprived the Board of the opportunity to review [the physician’s] record in order to determine whether licensure or employment was appropriate.</w:t>
      </w:r>
      <w:r>
        <w:rPr>
          <w:rFonts w:eastAsia="Calibri"/>
          <w:kern w:val="2"/>
        </w:rPr>
        <w:t>”</w:t>
      </w:r>
      <w:r w:rsidR="00EF11A7">
        <w:rPr>
          <w:rStyle w:val="FootnoteReference"/>
          <w:rFonts w:eastAsia="Calibri"/>
          <w:kern w:val="2"/>
        </w:rPr>
        <w:footnoteReference w:id="6"/>
      </w:r>
      <w:r w:rsidR="00BC6169" w:rsidRPr="00CB1B05">
        <w:rPr>
          <w:rFonts w:eastAsia="Calibri"/>
          <w:kern w:val="2"/>
        </w:rPr>
        <w:t xml:space="preserve"> </w:t>
      </w:r>
      <w:r w:rsidR="00635370">
        <w:rPr>
          <w:rFonts w:eastAsia="Calibri"/>
          <w:kern w:val="2"/>
        </w:rPr>
        <w:t>T</w:t>
      </w:r>
      <w:r w:rsidR="00635370" w:rsidRPr="00CB1B05">
        <w:rPr>
          <w:rFonts w:eastAsia="Calibri"/>
          <w:kern w:val="2"/>
        </w:rPr>
        <w:t xml:space="preserve">he Board </w:t>
      </w:r>
      <w:r w:rsidR="006E56AC">
        <w:rPr>
          <w:rFonts w:eastAsia="Calibri"/>
          <w:kern w:val="2"/>
        </w:rPr>
        <w:t>“</w:t>
      </w:r>
      <w:r w:rsidR="00635370" w:rsidRPr="00CB1B05">
        <w:rPr>
          <w:rFonts w:eastAsia="Calibri"/>
          <w:kern w:val="2"/>
        </w:rPr>
        <w:t>depends on the integrity and honor of</w:t>
      </w:r>
      <w:r w:rsidR="00F4023A">
        <w:rPr>
          <w:rFonts w:eastAsia="Calibri"/>
          <w:kern w:val="2"/>
        </w:rPr>
        <w:t>…</w:t>
      </w:r>
      <w:r w:rsidR="00635370" w:rsidRPr="00CB1B05">
        <w:rPr>
          <w:rFonts w:eastAsia="Calibri"/>
          <w:kern w:val="2"/>
        </w:rPr>
        <w:t>applicants and</w:t>
      </w:r>
      <w:r w:rsidR="00F4023A">
        <w:rPr>
          <w:rFonts w:eastAsia="Calibri"/>
          <w:kern w:val="2"/>
        </w:rPr>
        <w:t>…</w:t>
      </w:r>
      <w:r w:rsidR="00635370" w:rsidRPr="00CB1B05">
        <w:rPr>
          <w:rFonts w:eastAsia="Calibri"/>
          <w:kern w:val="2"/>
        </w:rPr>
        <w:t>any lapse in this fundamental element of the process is a basic threat to the reasonably prompt and fair physician licensure system in the Commonwealth.</w:t>
      </w:r>
      <w:r w:rsidR="006E56AC">
        <w:rPr>
          <w:rFonts w:eastAsia="Calibri"/>
          <w:kern w:val="2"/>
        </w:rPr>
        <w:t>”</w:t>
      </w:r>
      <w:r w:rsidR="007868E1">
        <w:rPr>
          <w:rStyle w:val="FootnoteReference"/>
          <w:rFonts w:eastAsia="Calibri"/>
          <w:kern w:val="2"/>
        </w:rPr>
        <w:footnoteReference w:id="7"/>
      </w:r>
      <w:r w:rsidR="00635370" w:rsidRPr="00CB1B05">
        <w:rPr>
          <w:rFonts w:eastAsia="Calibri"/>
          <w:kern w:val="2"/>
        </w:rPr>
        <w:t xml:space="preserve"> </w:t>
      </w:r>
    </w:p>
    <w:p w14:paraId="2C1473B6" w14:textId="0BE0A78A" w:rsidR="007252F7" w:rsidRDefault="007C16E8" w:rsidP="000B72C0">
      <w:pPr>
        <w:spacing w:line="360" w:lineRule="auto"/>
        <w:ind w:firstLine="720"/>
        <w:jc w:val="both"/>
      </w:pPr>
      <w:r w:rsidRPr="007252F7">
        <w:t>A</w:t>
      </w:r>
      <w:r w:rsidR="008A1EE8" w:rsidRPr="007252F7">
        <w:t xml:space="preserve"> physician </w:t>
      </w:r>
      <w:r w:rsidR="00635370">
        <w:t xml:space="preserve">who </w:t>
      </w:r>
      <w:r w:rsidRPr="007252F7">
        <w:t>engages</w:t>
      </w:r>
      <w:r w:rsidR="008A1EE8" w:rsidRPr="007252F7">
        <w:t xml:space="preserve"> in conduct that has the capacity to deceive</w:t>
      </w:r>
      <w:r w:rsidRPr="007252F7">
        <w:t xml:space="preserve"> by failing </w:t>
      </w:r>
      <w:r w:rsidR="00922746" w:rsidRPr="007252F7">
        <w:t xml:space="preserve">to </w:t>
      </w:r>
      <w:r w:rsidR="00B97C4D" w:rsidRPr="007252F7">
        <w:t>furnish information completely and accurately</w:t>
      </w:r>
      <w:r w:rsidR="00922746" w:rsidRPr="007252F7">
        <w:t xml:space="preserve"> to health care consumers, regulatory agencies, </w:t>
      </w:r>
      <w:r w:rsidR="007252F7" w:rsidRPr="007252F7">
        <w:t>or</w:t>
      </w:r>
      <w:r w:rsidR="00922746" w:rsidRPr="007252F7">
        <w:t xml:space="preserve"> health care </w:t>
      </w:r>
      <w:r w:rsidR="00B97C4D" w:rsidRPr="007252F7">
        <w:t>facilities</w:t>
      </w:r>
      <w:r w:rsidR="00922746" w:rsidRPr="007252F7">
        <w:t xml:space="preserve"> </w:t>
      </w:r>
      <w:r w:rsidR="008A1EE8" w:rsidRPr="007252F7">
        <w:t xml:space="preserve">deprives </w:t>
      </w:r>
      <w:r w:rsidR="00922746" w:rsidRPr="007252F7">
        <w:t xml:space="preserve">the </w:t>
      </w:r>
      <w:r w:rsidR="008A1EE8" w:rsidRPr="007252F7">
        <w:t xml:space="preserve">those relying on the information to make informed choices. When a physician engaged in deceptive conduct with respect to the manner in which he held out his </w:t>
      </w:r>
      <w:r w:rsidR="008A1EE8" w:rsidRPr="007252F7">
        <w:lastRenderedPageBreak/>
        <w:t xml:space="preserve">colleague’s training, he deprived patients </w:t>
      </w:r>
      <w:r w:rsidR="00635370">
        <w:t xml:space="preserve">of </w:t>
      </w:r>
      <w:r w:rsidR="008A1EE8" w:rsidRPr="007252F7">
        <w:t xml:space="preserve">an </w:t>
      </w:r>
      <w:r w:rsidR="007252F7" w:rsidRPr="007252F7">
        <w:t xml:space="preserve">opportunity to make an </w:t>
      </w:r>
      <w:r w:rsidR="008A1EE8" w:rsidRPr="007252F7">
        <w:t>informed choice in selecting a health care provider.</w:t>
      </w:r>
      <w:r w:rsidR="007252F7" w:rsidRPr="007252F7">
        <w:rPr>
          <w:rStyle w:val="FootnoteReference"/>
        </w:rPr>
        <w:footnoteReference w:id="8"/>
      </w:r>
      <w:bookmarkStart w:id="1" w:name="_Hlk137037268"/>
    </w:p>
    <w:p w14:paraId="3BC879F9" w14:textId="77777777" w:rsidR="004D6759" w:rsidRDefault="004D6759" w:rsidP="004D6759">
      <w:pPr>
        <w:spacing w:line="360" w:lineRule="auto"/>
        <w:ind w:firstLine="720"/>
        <w:jc w:val="both"/>
      </w:pPr>
      <w:r w:rsidRPr="007252F7">
        <w:t>In the pendant case, the Respondent failed to accurately respond to questions on licensing applications. In so doing, he deprived the Board the opportunity to make informed decisions when making licensure decisions, lessening the ability of the Board to protect the public.  Similarly, the Respondent failed to furnish his training program with accurate and complete information concerning his need for a leave of absence, depriving the program from making an informed choice.</w:t>
      </w:r>
      <w:r>
        <w:t xml:space="preserve"> </w:t>
      </w:r>
    </w:p>
    <w:p w14:paraId="1C63FE11" w14:textId="02183E75" w:rsidR="00F36239" w:rsidRDefault="00454281" w:rsidP="000B72C0">
      <w:pPr>
        <w:spacing w:line="360" w:lineRule="auto"/>
        <w:ind w:firstLine="720"/>
        <w:jc w:val="both"/>
      </w:pPr>
      <w:r>
        <w:t xml:space="preserve">The Board tailors its sanction to deter other physicians from engaging in similar deceptive practices and thereby protect the integrity of the licensure system. </w:t>
      </w:r>
      <w:bookmarkEnd w:id="1"/>
      <w:r w:rsidR="00F2137A">
        <w:t>In fashioning a sanction, the Board considers mitigating factors in this matter</w:t>
      </w:r>
      <w:r w:rsidR="00F36239">
        <w:t>. With respect to the Respondent’s criminal charges, the Board considers, as mitigating factors:</w:t>
      </w:r>
    </w:p>
    <w:p w14:paraId="0B73A05B" w14:textId="2D4EEFDD" w:rsidR="00F36239" w:rsidRDefault="00F2137A" w:rsidP="000B72C0">
      <w:pPr>
        <w:numPr>
          <w:ilvl w:val="0"/>
          <w:numId w:val="9"/>
        </w:numPr>
        <w:spacing w:line="360" w:lineRule="auto"/>
        <w:jc w:val="both"/>
      </w:pPr>
      <w:r>
        <w:t xml:space="preserve"> </w:t>
      </w:r>
      <w:r w:rsidR="00F36239">
        <w:t>the Respondent’s accident was the consequence of the excessive amount of work the doctor had put in that week, the sleepiness he experienced while driving home, and his failure to realize at the time that he should not have tried to drive home;</w:t>
      </w:r>
      <w:r w:rsidR="002F4451">
        <w:t xml:space="preserve"> and</w:t>
      </w:r>
    </w:p>
    <w:p w14:paraId="6DDB71F6" w14:textId="74C2A1AB" w:rsidR="00F36239" w:rsidRDefault="00F36239" w:rsidP="000B72C0">
      <w:pPr>
        <w:numPr>
          <w:ilvl w:val="0"/>
          <w:numId w:val="9"/>
        </w:numPr>
        <w:spacing w:line="360" w:lineRule="auto"/>
        <w:jc w:val="both"/>
      </w:pPr>
      <w:r>
        <w:t>the Respondent, in his sleep-deprived state, did not realize that he had injured someone</w:t>
      </w:r>
      <w:r w:rsidR="002F4451">
        <w:t>.</w:t>
      </w:r>
    </w:p>
    <w:p w14:paraId="0D55F9AC" w14:textId="6F1EBBFE" w:rsidR="002F4451" w:rsidRDefault="002F4451" w:rsidP="000B72C0">
      <w:pPr>
        <w:spacing w:line="360" w:lineRule="auto"/>
        <w:ind w:firstLine="720"/>
        <w:jc w:val="both"/>
      </w:pPr>
      <w:r>
        <w:t xml:space="preserve">With respect to the Respondent’s failure to accurately respond, on three occasions, to licensure questions with respect to criminal charges, the Board considers, as mitigating factors: </w:t>
      </w:r>
    </w:p>
    <w:p w14:paraId="506D66C6" w14:textId="77777777" w:rsidR="008D1675" w:rsidRDefault="008D1675" w:rsidP="000B72C0">
      <w:pPr>
        <w:numPr>
          <w:ilvl w:val="0"/>
          <w:numId w:val="9"/>
        </w:numPr>
        <w:spacing w:line="360" w:lineRule="auto"/>
        <w:jc w:val="both"/>
      </w:pPr>
      <w:r>
        <w:t>the Respondent did not intend to mislead in his answer to the charges questions on the limited and full license applications;</w:t>
      </w:r>
      <w:r>
        <w:rPr>
          <w:rStyle w:val="FootnoteReference"/>
        </w:rPr>
        <w:footnoteReference w:id="9"/>
      </w:r>
      <w:r>
        <w:t xml:space="preserve"> and</w:t>
      </w:r>
    </w:p>
    <w:p w14:paraId="100C95B8" w14:textId="77777777" w:rsidR="008D1675" w:rsidRDefault="008D1675" w:rsidP="000B72C0">
      <w:pPr>
        <w:numPr>
          <w:ilvl w:val="0"/>
          <w:numId w:val="9"/>
        </w:numPr>
        <w:spacing w:line="360" w:lineRule="auto"/>
        <w:jc w:val="both"/>
      </w:pPr>
      <w:r>
        <w:t>the Respondent relied on his attorney’s counsel that he could validly answer “no” to the criminal charges question, since the question did not seek charges related to traffic offenses and reliance on counsel would be sufficient to show lack of intent.</w:t>
      </w:r>
      <w:r>
        <w:rPr>
          <w:rStyle w:val="FootnoteReference"/>
        </w:rPr>
        <w:footnoteReference w:id="10"/>
      </w:r>
    </w:p>
    <w:p w14:paraId="1F6BB1B7" w14:textId="3477950D" w:rsidR="00E919D9" w:rsidRDefault="00A35656" w:rsidP="00B97C4D">
      <w:pPr>
        <w:spacing w:line="360" w:lineRule="auto"/>
        <w:ind w:firstLine="720"/>
        <w:jc w:val="both"/>
      </w:pPr>
      <w:r>
        <w:t>On the basis of the foregoing, t</w:t>
      </w:r>
      <w:r w:rsidR="00E919D9">
        <w:t xml:space="preserve">he Board hereby ADMONISHES the Respondent’s license to practice medicine. </w:t>
      </w:r>
    </w:p>
    <w:p w14:paraId="508D7480" w14:textId="231D20E1" w:rsidR="00B97C4D" w:rsidRPr="00B97C4D" w:rsidRDefault="00B97C4D" w:rsidP="00B97C4D">
      <w:pPr>
        <w:spacing w:line="360" w:lineRule="auto"/>
        <w:ind w:right="106" w:firstLine="716"/>
        <w:jc w:val="both"/>
        <w:rPr>
          <w:szCs w:val="23"/>
        </w:rPr>
      </w:pPr>
      <w:r w:rsidRPr="00B97C4D">
        <w:rPr>
          <w:w w:val="105"/>
          <w:sz w:val="23"/>
          <w:szCs w:val="23"/>
        </w:rPr>
        <w:lastRenderedPageBreak/>
        <w:t>The Respondent shall provide a complete copy of</w:t>
      </w:r>
      <w:r w:rsidRPr="00B97C4D">
        <w:rPr>
          <w:spacing w:val="-1"/>
          <w:w w:val="105"/>
          <w:sz w:val="23"/>
          <w:szCs w:val="23"/>
        </w:rPr>
        <w:t xml:space="preserve"> </w:t>
      </w:r>
      <w:r w:rsidRPr="00B97C4D">
        <w:rPr>
          <w:w w:val="105"/>
          <w:sz w:val="23"/>
          <w:szCs w:val="23"/>
        </w:rPr>
        <w:t>this Final Decision and Order, with all exhibits and attachments within ten (10) days by certified mail, return receipt requested,</w:t>
      </w:r>
      <w:r w:rsidRPr="00B97C4D">
        <w:rPr>
          <w:spacing w:val="-7"/>
          <w:w w:val="105"/>
          <w:sz w:val="23"/>
          <w:szCs w:val="23"/>
        </w:rPr>
        <w:t xml:space="preserve"> </w:t>
      </w:r>
      <w:r w:rsidRPr="00B97C4D">
        <w:rPr>
          <w:w w:val="105"/>
          <w:sz w:val="23"/>
          <w:szCs w:val="23"/>
        </w:rPr>
        <w:t>or by</w:t>
      </w:r>
      <w:r w:rsidRPr="00B97C4D">
        <w:rPr>
          <w:spacing w:val="-3"/>
          <w:w w:val="105"/>
          <w:sz w:val="23"/>
          <w:szCs w:val="23"/>
        </w:rPr>
        <w:t xml:space="preserve"> </w:t>
      </w:r>
      <w:r w:rsidRPr="00B97C4D">
        <w:rPr>
          <w:w w:val="105"/>
          <w:sz w:val="23"/>
          <w:szCs w:val="23"/>
        </w:rPr>
        <w:t>hand</w:t>
      </w:r>
      <w:r w:rsidRPr="00B97C4D">
        <w:rPr>
          <w:spacing w:val="-2"/>
          <w:w w:val="105"/>
          <w:sz w:val="23"/>
          <w:szCs w:val="23"/>
        </w:rPr>
        <w:t xml:space="preserve"> </w:t>
      </w:r>
      <w:r w:rsidRPr="00B97C4D">
        <w:rPr>
          <w:w w:val="105"/>
          <w:sz w:val="23"/>
          <w:szCs w:val="23"/>
        </w:rPr>
        <w:t>delivery to</w:t>
      </w:r>
      <w:r w:rsidRPr="00B97C4D">
        <w:rPr>
          <w:spacing w:val="-16"/>
          <w:w w:val="105"/>
          <w:sz w:val="23"/>
          <w:szCs w:val="23"/>
        </w:rPr>
        <w:t xml:space="preserve"> </w:t>
      </w:r>
      <w:r w:rsidRPr="00B97C4D">
        <w:rPr>
          <w:w w:val="105"/>
          <w:sz w:val="23"/>
          <w:szCs w:val="23"/>
        </w:rPr>
        <w:t>the</w:t>
      </w:r>
      <w:r w:rsidRPr="00B97C4D">
        <w:rPr>
          <w:spacing w:val="-14"/>
          <w:w w:val="105"/>
          <w:sz w:val="23"/>
          <w:szCs w:val="23"/>
        </w:rPr>
        <w:t xml:space="preserve"> </w:t>
      </w:r>
      <w:r w:rsidRPr="00B97C4D">
        <w:rPr>
          <w:w w:val="105"/>
          <w:sz w:val="23"/>
          <w:szCs w:val="23"/>
        </w:rPr>
        <w:t>following designated entities:</w:t>
      </w:r>
      <w:r w:rsidRPr="00B97C4D">
        <w:rPr>
          <w:spacing w:val="40"/>
          <w:w w:val="105"/>
          <w:sz w:val="23"/>
          <w:szCs w:val="23"/>
        </w:rPr>
        <w:t xml:space="preserve"> </w:t>
      </w:r>
      <w:r w:rsidRPr="00B97C4D">
        <w:rPr>
          <w:w w:val="105"/>
          <w:sz w:val="23"/>
          <w:szCs w:val="23"/>
        </w:rPr>
        <w:t>any</w:t>
      </w:r>
      <w:r w:rsidRPr="00B97C4D">
        <w:rPr>
          <w:spacing w:val="-6"/>
          <w:w w:val="105"/>
          <w:sz w:val="23"/>
          <w:szCs w:val="23"/>
        </w:rPr>
        <w:t xml:space="preserve"> </w:t>
      </w:r>
      <w:r w:rsidRPr="00B97C4D">
        <w:rPr>
          <w:w w:val="105"/>
          <w:sz w:val="23"/>
          <w:szCs w:val="23"/>
        </w:rPr>
        <w:t>in-</w:t>
      </w:r>
      <w:r w:rsidRPr="00B97C4D">
        <w:rPr>
          <w:spacing w:val="-9"/>
          <w:w w:val="105"/>
          <w:sz w:val="23"/>
          <w:szCs w:val="23"/>
        </w:rPr>
        <w:t xml:space="preserve"> </w:t>
      </w:r>
      <w:r w:rsidRPr="00B97C4D">
        <w:rPr>
          <w:w w:val="105"/>
          <w:sz w:val="23"/>
          <w:szCs w:val="23"/>
        </w:rPr>
        <w:t>or</w:t>
      </w:r>
      <w:r w:rsidRPr="00B97C4D">
        <w:rPr>
          <w:spacing w:val="-14"/>
          <w:w w:val="105"/>
          <w:sz w:val="23"/>
          <w:szCs w:val="23"/>
        </w:rPr>
        <w:t xml:space="preserve"> </w:t>
      </w:r>
      <w:r w:rsidRPr="00B97C4D">
        <w:rPr>
          <w:w w:val="105"/>
          <w:sz w:val="23"/>
          <w:szCs w:val="23"/>
        </w:rPr>
        <w:t>out-of-state hospital, nursing home, clinic, other licensed facility, or municipal, state, or federal facility</w:t>
      </w:r>
      <w:r w:rsidRPr="00B97C4D">
        <w:rPr>
          <w:spacing w:val="65"/>
          <w:w w:val="105"/>
          <w:sz w:val="23"/>
          <w:szCs w:val="23"/>
        </w:rPr>
        <w:t xml:space="preserve"> </w:t>
      </w:r>
      <w:r w:rsidRPr="00B97C4D">
        <w:rPr>
          <w:w w:val="105"/>
          <w:sz w:val="23"/>
          <w:szCs w:val="23"/>
        </w:rPr>
        <w:t>at</w:t>
      </w:r>
      <w:r w:rsidRPr="00B97C4D">
        <w:rPr>
          <w:spacing w:val="60"/>
          <w:w w:val="105"/>
          <w:sz w:val="23"/>
          <w:szCs w:val="23"/>
        </w:rPr>
        <w:t xml:space="preserve"> </w:t>
      </w:r>
      <w:r w:rsidRPr="00B97C4D">
        <w:rPr>
          <w:w w:val="105"/>
          <w:sz w:val="23"/>
          <w:szCs w:val="23"/>
        </w:rPr>
        <w:t>which</w:t>
      </w:r>
      <w:r w:rsidRPr="00B97C4D">
        <w:rPr>
          <w:spacing w:val="64"/>
          <w:w w:val="105"/>
          <w:sz w:val="23"/>
          <w:szCs w:val="23"/>
        </w:rPr>
        <w:t xml:space="preserve"> </w:t>
      </w:r>
      <w:r w:rsidRPr="00B97C4D">
        <w:rPr>
          <w:w w:val="105"/>
          <w:sz w:val="23"/>
          <w:szCs w:val="23"/>
        </w:rPr>
        <w:t>he</w:t>
      </w:r>
      <w:r w:rsidRPr="00B97C4D">
        <w:rPr>
          <w:spacing w:val="63"/>
          <w:w w:val="105"/>
          <w:sz w:val="23"/>
          <w:szCs w:val="23"/>
        </w:rPr>
        <w:t xml:space="preserve"> </w:t>
      </w:r>
      <w:r w:rsidRPr="00B97C4D">
        <w:rPr>
          <w:w w:val="105"/>
          <w:sz w:val="23"/>
          <w:szCs w:val="23"/>
        </w:rPr>
        <w:t>practices</w:t>
      </w:r>
      <w:r w:rsidRPr="00B97C4D">
        <w:rPr>
          <w:spacing w:val="70"/>
          <w:w w:val="105"/>
          <w:sz w:val="23"/>
          <w:szCs w:val="23"/>
        </w:rPr>
        <w:t xml:space="preserve"> </w:t>
      </w:r>
      <w:r w:rsidRPr="00B97C4D">
        <w:rPr>
          <w:w w:val="105"/>
          <w:sz w:val="23"/>
          <w:szCs w:val="23"/>
        </w:rPr>
        <w:t>medicine;</w:t>
      </w:r>
      <w:r w:rsidRPr="00B97C4D">
        <w:rPr>
          <w:spacing w:val="69"/>
          <w:w w:val="105"/>
          <w:sz w:val="23"/>
          <w:szCs w:val="23"/>
        </w:rPr>
        <w:t xml:space="preserve"> </w:t>
      </w:r>
      <w:r w:rsidRPr="00B97C4D">
        <w:rPr>
          <w:w w:val="105"/>
          <w:sz w:val="23"/>
          <w:szCs w:val="23"/>
        </w:rPr>
        <w:t>any</w:t>
      </w:r>
      <w:r w:rsidRPr="00B97C4D">
        <w:rPr>
          <w:spacing w:val="70"/>
          <w:w w:val="105"/>
          <w:sz w:val="23"/>
          <w:szCs w:val="23"/>
        </w:rPr>
        <w:t xml:space="preserve"> </w:t>
      </w:r>
      <w:r w:rsidRPr="00B97C4D">
        <w:rPr>
          <w:w w:val="105"/>
          <w:sz w:val="23"/>
          <w:szCs w:val="23"/>
        </w:rPr>
        <w:t>in-</w:t>
      </w:r>
      <w:r w:rsidRPr="00B97C4D">
        <w:rPr>
          <w:spacing w:val="61"/>
          <w:w w:val="105"/>
          <w:sz w:val="23"/>
          <w:szCs w:val="23"/>
        </w:rPr>
        <w:t xml:space="preserve"> </w:t>
      </w:r>
      <w:r w:rsidRPr="00B97C4D">
        <w:rPr>
          <w:w w:val="105"/>
          <w:sz w:val="23"/>
          <w:szCs w:val="23"/>
        </w:rPr>
        <w:t>or</w:t>
      </w:r>
      <w:r w:rsidRPr="00B97C4D">
        <w:rPr>
          <w:spacing w:val="40"/>
          <w:w w:val="105"/>
          <w:sz w:val="23"/>
          <w:szCs w:val="23"/>
        </w:rPr>
        <w:t xml:space="preserve"> </w:t>
      </w:r>
      <w:r w:rsidRPr="00B97C4D">
        <w:rPr>
          <w:w w:val="105"/>
          <w:sz w:val="23"/>
          <w:szCs w:val="23"/>
        </w:rPr>
        <w:t>out-of-state</w:t>
      </w:r>
      <w:r w:rsidRPr="00B97C4D">
        <w:rPr>
          <w:spacing w:val="80"/>
          <w:w w:val="105"/>
          <w:sz w:val="23"/>
          <w:szCs w:val="23"/>
        </w:rPr>
        <w:t xml:space="preserve"> </w:t>
      </w:r>
      <w:r w:rsidRPr="00B97C4D">
        <w:rPr>
          <w:w w:val="105"/>
          <w:sz w:val="23"/>
          <w:szCs w:val="23"/>
        </w:rPr>
        <w:t>health</w:t>
      </w:r>
      <w:r w:rsidRPr="00B97C4D">
        <w:rPr>
          <w:spacing w:val="65"/>
          <w:w w:val="105"/>
          <w:sz w:val="23"/>
          <w:szCs w:val="23"/>
        </w:rPr>
        <w:t xml:space="preserve"> </w:t>
      </w:r>
      <w:r w:rsidRPr="00B97C4D">
        <w:rPr>
          <w:w w:val="105"/>
          <w:sz w:val="23"/>
          <w:szCs w:val="23"/>
        </w:rPr>
        <w:t>maintenance o</w:t>
      </w:r>
      <w:r w:rsidRPr="00B97C4D">
        <w:rPr>
          <w:szCs w:val="23"/>
        </w:rPr>
        <w:t>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w:t>
      </w:r>
      <w:r w:rsidRPr="00B97C4D">
        <w:rPr>
          <w:spacing w:val="40"/>
          <w:szCs w:val="23"/>
        </w:rPr>
        <w:t xml:space="preserve"> </w:t>
      </w:r>
      <w:r w:rsidRPr="00B97C4D">
        <w:rPr>
          <w:szCs w:val="23"/>
        </w:rPr>
        <w:t>The Respondent shall also provide this</w:t>
      </w:r>
      <w:r w:rsidRPr="00B97C4D">
        <w:rPr>
          <w:spacing w:val="-1"/>
          <w:szCs w:val="23"/>
        </w:rPr>
        <w:t xml:space="preserve"> </w:t>
      </w:r>
      <w:r w:rsidRPr="00B97C4D">
        <w:rPr>
          <w:szCs w:val="23"/>
        </w:rPr>
        <w:t>notification to</w:t>
      </w:r>
      <w:r w:rsidRPr="00B97C4D">
        <w:rPr>
          <w:spacing w:val="-3"/>
          <w:szCs w:val="23"/>
        </w:rPr>
        <w:t xml:space="preserve"> </w:t>
      </w:r>
      <w:r w:rsidRPr="00B97C4D">
        <w:rPr>
          <w:szCs w:val="23"/>
        </w:rPr>
        <w:t xml:space="preserve">any such designated entities with which he becomes associated in the year following the date of imposition of this </w:t>
      </w:r>
      <w:r w:rsidR="004211FF">
        <w:rPr>
          <w:szCs w:val="23"/>
        </w:rPr>
        <w:t>admonishment</w:t>
      </w:r>
      <w:r w:rsidRPr="00B97C4D">
        <w:rPr>
          <w:szCs w:val="23"/>
        </w:rPr>
        <w:t>.</w:t>
      </w:r>
      <w:r w:rsidRPr="00B97C4D">
        <w:rPr>
          <w:spacing w:val="40"/>
          <w:szCs w:val="23"/>
        </w:rPr>
        <w:t xml:space="preserve"> </w:t>
      </w:r>
      <w:r w:rsidRPr="00B97C4D">
        <w:rPr>
          <w:szCs w:val="23"/>
        </w:rPr>
        <w:t>The Respondent is further directed to certify to the Board within ten (10) days that he has complied with this directive.</w:t>
      </w:r>
      <w:r w:rsidRPr="00B97C4D">
        <w:rPr>
          <w:spacing w:val="80"/>
          <w:szCs w:val="23"/>
        </w:rPr>
        <w:t xml:space="preserve"> </w:t>
      </w:r>
      <w:r w:rsidRPr="00B97C4D">
        <w:rPr>
          <w:szCs w:val="23"/>
        </w:rPr>
        <w:t>The Board expressly reserves the authority to independently notify, at any time, any of the entities designated above, or any other affected entity, of any action it has taken. The Respondent</w:t>
      </w:r>
      <w:r w:rsidRPr="00B97C4D">
        <w:rPr>
          <w:spacing w:val="40"/>
          <w:szCs w:val="23"/>
        </w:rPr>
        <w:t xml:space="preserve"> </w:t>
      </w:r>
      <w:r w:rsidRPr="00B97C4D">
        <w:rPr>
          <w:szCs w:val="23"/>
        </w:rPr>
        <w:t>has the right to appeal this Final Decision and Order within thirty (30) days, pursuant to G.L. c. 30A, §§14 and 15, and G.L. c. 112, § 64.</w:t>
      </w:r>
    </w:p>
    <w:p w14:paraId="5DBB322F" w14:textId="77777777" w:rsidR="00B97C4D" w:rsidRPr="00B97C4D" w:rsidRDefault="00B97C4D" w:rsidP="00B97C4D">
      <w:pPr>
        <w:spacing w:line="360" w:lineRule="auto"/>
        <w:jc w:val="both"/>
        <w:rPr>
          <w:sz w:val="26"/>
          <w:szCs w:val="23"/>
        </w:rPr>
      </w:pPr>
    </w:p>
    <w:p w14:paraId="0AB02C03" w14:textId="47B51DA5" w:rsidR="002E0595" w:rsidRPr="000464B3" w:rsidRDefault="007D08E2" w:rsidP="00193A20">
      <w:pPr>
        <w:spacing w:line="480" w:lineRule="auto"/>
        <w:jc w:val="both"/>
      </w:pPr>
      <w:r w:rsidRPr="00805545">
        <w:t xml:space="preserve"> </w:t>
      </w:r>
      <w:r w:rsidR="002E0595" w:rsidRPr="005C41E9">
        <w:t>Dated:</w:t>
      </w:r>
      <w:r w:rsidR="002E0595" w:rsidRPr="005C41E9">
        <w:tab/>
      </w:r>
      <w:r w:rsidR="00193A20">
        <w:t xml:space="preserve"> </w:t>
      </w:r>
      <w:r w:rsidR="00F169E4">
        <w:t>June 15, 2023</w:t>
      </w:r>
      <w:r w:rsidR="00052D7C">
        <w:tab/>
      </w:r>
      <w:r w:rsidR="002E0595" w:rsidRPr="000464B3">
        <w:tab/>
      </w:r>
      <w:r w:rsidR="009A2816" w:rsidRPr="000464B3">
        <w:tab/>
      </w:r>
      <w:r w:rsidR="00A27A96">
        <w:rPr>
          <w:u w:val="single"/>
        </w:rPr>
        <w:t>Signed by Julian N. Robinson, M.D.</w:t>
      </w:r>
      <w:r w:rsidR="00A27A96">
        <w:rPr>
          <w:u w:val="single"/>
        </w:rPr>
        <w:tab/>
      </w:r>
    </w:p>
    <w:p w14:paraId="23951E99" w14:textId="0FB22DB5" w:rsidR="002E0595" w:rsidRPr="000464B3" w:rsidRDefault="002E0595" w:rsidP="000464B3">
      <w:pPr>
        <w:jc w:val="both"/>
      </w:pPr>
      <w:r w:rsidRPr="000464B3">
        <w:tab/>
      </w:r>
      <w:r w:rsidRPr="000464B3">
        <w:tab/>
      </w:r>
      <w:r w:rsidRPr="000464B3">
        <w:tab/>
      </w:r>
      <w:r w:rsidRPr="000464B3">
        <w:tab/>
      </w:r>
      <w:r w:rsidRPr="000464B3">
        <w:tab/>
      </w:r>
      <w:r w:rsidR="00F169E4">
        <w:t xml:space="preserve">Julian </w:t>
      </w:r>
      <w:r w:rsidR="00E01156">
        <w:t xml:space="preserve">N. </w:t>
      </w:r>
      <w:r w:rsidR="00F169E4">
        <w:t>Robinson, M.</w:t>
      </w:r>
      <w:r w:rsidR="00F32501" w:rsidRPr="000464B3">
        <w:t>D.</w:t>
      </w:r>
    </w:p>
    <w:p w14:paraId="2AC38D34" w14:textId="5FC7CFB3" w:rsidR="002E0595" w:rsidRPr="000464B3" w:rsidRDefault="001B241D" w:rsidP="000464B3">
      <w:pPr>
        <w:jc w:val="both"/>
      </w:pPr>
      <w:r w:rsidRPr="000464B3">
        <w:tab/>
      </w:r>
      <w:r w:rsidRPr="000464B3">
        <w:tab/>
      </w:r>
      <w:r w:rsidRPr="000464B3">
        <w:tab/>
      </w:r>
      <w:r w:rsidRPr="000464B3">
        <w:tab/>
      </w:r>
      <w:r w:rsidRPr="000464B3">
        <w:tab/>
      </w:r>
      <w:r w:rsidR="00771080">
        <w:t xml:space="preserve">Board </w:t>
      </w:r>
      <w:r w:rsidRPr="000464B3">
        <w:t>Chair</w:t>
      </w:r>
      <w:r w:rsidR="002E0595" w:rsidRPr="000464B3">
        <w:t xml:space="preserve"> </w:t>
      </w:r>
    </w:p>
    <w:p w14:paraId="2B0CD185" w14:textId="77777777" w:rsidR="003B05E9" w:rsidRPr="000464B3" w:rsidRDefault="002E0595" w:rsidP="000464B3">
      <w:pPr>
        <w:spacing w:line="480" w:lineRule="auto"/>
        <w:jc w:val="both"/>
      </w:pPr>
      <w:r w:rsidRPr="000464B3">
        <w:tab/>
      </w:r>
      <w:r w:rsidRPr="000464B3">
        <w:tab/>
      </w:r>
      <w:r w:rsidRPr="000464B3">
        <w:tab/>
      </w:r>
    </w:p>
    <w:sectPr w:rsidR="003B05E9" w:rsidRPr="000464B3" w:rsidSect="005C3E6F">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F88DB" w14:textId="77777777" w:rsidR="001D0D90" w:rsidRDefault="001D0D90">
      <w:r>
        <w:separator/>
      </w:r>
    </w:p>
  </w:endnote>
  <w:endnote w:type="continuationSeparator" w:id="0">
    <w:p w14:paraId="416E9A27" w14:textId="77777777" w:rsidR="001D0D90" w:rsidRDefault="001D0D90">
      <w:r>
        <w:continuationSeparator/>
      </w:r>
    </w:p>
  </w:endnote>
  <w:endnote w:type="continuationNotice" w:id="1">
    <w:p w14:paraId="25792AA4" w14:textId="77777777" w:rsidR="001D0D90" w:rsidRDefault="001D0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BABC" w14:textId="77777777" w:rsidR="00863528" w:rsidRDefault="00863528" w:rsidP="007F11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A9B5D" w14:textId="77777777" w:rsidR="00863528" w:rsidRDefault="00863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A0A7" w14:textId="77777777" w:rsidR="00863528" w:rsidRDefault="00863528">
    <w:pPr>
      <w:pStyle w:val="Footer"/>
      <w:jc w:val="center"/>
    </w:pPr>
    <w:r>
      <w:fldChar w:fldCharType="begin"/>
    </w:r>
    <w:r>
      <w:instrText xml:space="preserve"> PAGE   \* MERGEFORMAT </w:instrText>
    </w:r>
    <w:r>
      <w:fldChar w:fldCharType="separate"/>
    </w:r>
    <w:r w:rsidR="00BE095B">
      <w:rPr>
        <w:noProof/>
      </w:rPr>
      <w:t>2</w:t>
    </w:r>
    <w:r>
      <w:rPr>
        <w:noProof/>
      </w:rPr>
      <w:fldChar w:fldCharType="end"/>
    </w:r>
  </w:p>
  <w:p w14:paraId="53780500" w14:textId="77777777" w:rsidR="00863528" w:rsidRDefault="00863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F3CA" w14:textId="77777777" w:rsidR="001D0D90" w:rsidRDefault="001D0D90">
      <w:r>
        <w:separator/>
      </w:r>
    </w:p>
  </w:footnote>
  <w:footnote w:type="continuationSeparator" w:id="0">
    <w:p w14:paraId="4DFD7804" w14:textId="77777777" w:rsidR="001D0D90" w:rsidRDefault="001D0D90">
      <w:r>
        <w:continuationSeparator/>
      </w:r>
    </w:p>
  </w:footnote>
  <w:footnote w:type="continuationNotice" w:id="1">
    <w:p w14:paraId="55403B8D" w14:textId="77777777" w:rsidR="001D0D90" w:rsidRDefault="001D0D90"/>
  </w:footnote>
  <w:footnote w:id="2">
    <w:p w14:paraId="7A4B8880" w14:textId="77777777" w:rsidR="00A9272A" w:rsidRDefault="00A9272A" w:rsidP="00A9272A">
      <w:pPr>
        <w:pStyle w:val="FootnoteText"/>
      </w:pPr>
      <w:r>
        <w:rPr>
          <w:rStyle w:val="FootnoteReference"/>
        </w:rPr>
        <w:footnoteRef/>
      </w:r>
      <w:r>
        <w:t xml:space="preserve"> </w:t>
      </w:r>
      <w:r w:rsidRPr="00E32888">
        <w:rPr>
          <w:u w:val="single"/>
        </w:rPr>
        <w:t>See</w:t>
      </w:r>
      <w:r>
        <w:t xml:space="preserve"> </w:t>
      </w:r>
      <w:r w:rsidRPr="00E32888">
        <w:rPr>
          <w:i/>
          <w:iCs/>
        </w:rPr>
        <w:t>Sheldon Randall v. Board of Registration in Medicine</w:t>
      </w:r>
      <w:r>
        <w:t xml:space="preserve">, Slip. Op. SJ-2014-0475 (Cordy, J. June 9, 2015). </w:t>
      </w:r>
    </w:p>
  </w:footnote>
  <w:footnote w:id="3">
    <w:p w14:paraId="5BEC0077" w14:textId="77777777" w:rsidR="001979B7" w:rsidRDefault="001979B7">
      <w:pPr>
        <w:pStyle w:val="FootnoteText"/>
      </w:pPr>
      <w:r>
        <w:rPr>
          <w:rStyle w:val="FootnoteReference"/>
        </w:rPr>
        <w:footnoteRef/>
      </w:r>
      <w:r>
        <w:t xml:space="preserve"> The Magistrate concluded that the Board did not prove, by a preponderance of the evidence, that the Respondent; </w:t>
      </w:r>
    </w:p>
    <w:p w14:paraId="435AE3F0" w14:textId="60B92CA2" w:rsidR="001979B7" w:rsidRDefault="001979B7" w:rsidP="001979B7">
      <w:pPr>
        <w:pStyle w:val="FootnoteText"/>
        <w:numPr>
          <w:ilvl w:val="0"/>
          <w:numId w:val="8"/>
        </w:numPr>
      </w:pPr>
      <w:r>
        <w:t xml:space="preserve"> fraudulently procured his certificate of registration or renewal, a basis for discipline pursuant to G.L. c. 112, §5, tenth par. (a) and 243 CMR 1.03(5)(a)1;</w:t>
      </w:r>
      <w:r w:rsidR="00117020">
        <w:t xml:space="preserve"> or</w:t>
      </w:r>
    </w:p>
    <w:p w14:paraId="46506C3A" w14:textId="47B5CD00" w:rsidR="001979B7" w:rsidRDefault="001979B7" w:rsidP="001979B7">
      <w:pPr>
        <w:pStyle w:val="FootnoteText"/>
        <w:numPr>
          <w:ilvl w:val="0"/>
          <w:numId w:val="8"/>
        </w:numPr>
      </w:pPr>
      <w:r>
        <w:t xml:space="preserve"> lacked good moral character and engaged in conduct that undermines the public confidence in the integrity of the medical profession, a basis for discipline pursuant to </w:t>
      </w:r>
      <w:r w:rsidRPr="001979B7">
        <w:rPr>
          <w:i/>
          <w:iCs/>
        </w:rPr>
        <w:t>Levy v. Boar</w:t>
      </w:r>
      <w:r>
        <w:rPr>
          <w:i/>
          <w:iCs/>
        </w:rPr>
        <w:t>d</w:t>
      </w:r>
      <w:r w:rsidRPr="001979B7">
        <w:rPr>
          <w:i/>
          <w:iCs/>
        </w:rPr>
        <w:t xml:space="preserve"> of Registration in Medicine</w:t>
      </w:r>
      <w:r>
        <w:t xml:space="preserve">, 378 Mass. 519 (1979); </w:t>
      </w:r>
      <w:r w:rsidRPr="001979B7">
        <w:rPr>
          <w:i/>
          <w:iCs/>
        </w:rPr>
        <w:t>Raymond v. Board of Registration in Medicine</w:t>
      </w:r>
      <w:r>
        <w:t xml:space="preserve">, 387 Mass. 708 (1982) and </w:t>
      </w:r>
      <w:r w:rsidRPr="001979B7">
        <w:rPr>
          <w:i/>
          <w:iCs/>
        </w:rPr>
        <w:t>Sugarman v. Board of Registration in Medicine</w:t>
      </w:r>
      <w:r>
        <w:t xml:space="preserve">, 422 Mass. 338 (1996). </w:t>
      </w:r>
    </w:p>
  </w:footnote>
  <w:footnote w:id="4">
    <w:p w14:paraId="5A1985EA" w14:textId="726A7EE1" w:rsidR="00021D97" w:rsidRDefault="00021D97" w:rsidP="00021D97">
      <w:pPr>
        <w:pStyle w:val="FootnoteText"/>
        <w:jc w:val="both"/>
      </w:pPr>
      <w:r>
        <w:rPr>
          <w:rStyle w:val="FootnoteReference"/>
        </w:rPr>
        <w:footnoteRef/>
      </w:r>
      <w:r>
        <w:t xml:space="preserve"> The Board has noted the Petitioner’s Objections and has provided an adequate statement of reasons for its decision; the Board is not required to answer each specific objection in its decision. </w:t>
      </w:r>
      <w:r w:rsidRPr="00D6506D">
        <w:rPr>
          <w:i/>
          <w:iCs/>
        </w:rPr>
        <w:t xml:space="preserve">Arthurs v. Board of Registration in Medicine, </w:t>
      </w:r>
      <w:r>
        <w:t xml:space="preserve">383 Mass. 289 (1981). </w:t>
      </w:r>
    </w:p>
  </w:footnote>
  <w:footnote w:id="5">
    <w:p w14:paraId="098690A8" w14:textId="05E9939C" w:rsidR="0039619B" w:rsidRDefault="0039619B">
      <w:pPr>
        <w:pStyle w:val="FootnoteText"/>
      </w:pPr>
      <w:r>
        <w:rPr>
          <w:rStyle w:val="FootnoteReference"/>
        </w:rPr>
        <w:footnoteRef/>
      </w:r>
      <w:r>
        <w:t xml:space="preserve"> Recommended Decision at p. 26.</w:t>
      </w:r>
    </w:p>
  </w:footnote>
  <w:footnote w:id="6">
    <w:p w14:paraId="09FEA6A8" w14:textId="1E69BBC0" w:rsidR="00EF11A7" w:rsidRPr="00EF11A7" w:rsidRDefault="00EF11A7" w:rsidP="00EF11A7">
      <w:pPr>
        <w:jc w:val="both"/>
        <w:rPr>
          <w:sz w:val="20"/>
          <w:szCs w:val="20"/>
        </w:rPr>
      </w:pPr>
      <w:r>
        <w:rPr>
          <w:rStyle w:val="FootnoteReference"/>
        </w:rPr>
        <w:footnoteRef/>
      </w:r>
      <w:r>
        <w:t xml:space="preserve"> </w:t>
      </w:r>
      <w:r w:rsidRPr="00EF11A7">
        <w:rPr>
          <w:rFonts w:eastAsia="Calibri"/>
          <w:i/>
          <w:iCs/>
          <w:kern w:val="2"/>
          <w:sz w:val="20"/>
          <w:szCs w:val="20"/>
        </w:rPr>
        <w:t xml:space="preserve">In the Matter of Praveen N. </w:t>
      </w:r>
      <w:proofErr w:type="spellStart"/>
      <w:r w:rsidRPr="00EF11A7">
        <w:rPr>
          <w:rFonts w:eastAsia="Calibri"/>
          <w:i/>
          <w:iCs/>
          <w:kern w:val="2"/>
          <w:sz w:val="20"/>
          <w:szCs w:val="20"/>
        </w:rPr>
        <w:t>Adhyapak</w:t>
      </w:r>
      <w:proofErr w:type="spellEnd"/>
      <w:r w:rsidRPr="00EF11A7">
        <w:rPr>
          <w:rFonts w:eastAsia="Calibri"/>
          <w:i/>
          <w:iCs/>
          <w:kern w:val="2"/>
          <w:sz w:val="20"/>
          <w:szCs w:val="20"/>
        </w:rPr>
        <w:t>, M.D.</w:t>
      </w:r>
      <w:r w:rsidRPr="00EF11A7">
        <w:rPr>
          <w:rFonts w:eastAsia="Calibri"/>
          <w:kern w:val="2"/>
          <w:sz w:val="20"/>
          <w:szCs w:val="20"/>
        </w:rPr>
        <w:t>, Board of Medicine, Adjudicatory Case No. 2005-033 (Final Decision and Order, December 7, 2005) and cases cited therein.</w:t>
      </w:r>
    </w:p>
  </w:footnote>
  <w:footnote w:id="7">
    <w:p w14:paraId="03DBDBB7" w14:textId="5FE04D6F" w:rsidR="007868E1" w:rsidRDefault="007868E1">
      <w:pPr>
        <w:pStyle w:val="FootnoteText"/>
      </w:pPr>
      <w:r>
        <w:rPr>
          <w:rStyle w:val="FootnoteReference"/>
        </w:rPr>
        <w:footnoteRef/>
      </w:r>
      <w:r>
        <w:t xml:space="preserve"> </w:t>
      </w:r>
      <w:r w:rsidRPr="00CB1B05">
        <w:rPr>
          <w:rFonts w:eastAsia="Calibri"/>
          <w:i/>
          <w:iCs/>
          <w:kern w:val="2"/>
        </w:rPr>
        <w:t>In the Matter of James David Fenn, M.D.</w:t>
      </w:r>
      <w:r w:rsidRPr="00CB1B05">
        <w:rPr>
          <w:rFonts w:eastAsia="Calibri"/>
          <w:kern w:val="2"/>
        </w:rPr>
        <w:t xml:space="preserve">, Board of Medicine, Adjudicatory Case No. 2013-033. (Amended Final Decision and Order, April 16, 2015) </w:t>
      </w:r>
      <w:r w:rsidRPr="00CB1B05">
        <w:rPr>
          <w:rFonts w:eastAsia="Calibri"/>
          <w:kern w:val="2"/>
          <w:u w:val="single"/>
        </w:rPr>
        <w:t>citing</w:t>
      </w:r>
      <w:r w:rsidRPr="00CB1B05">
        <w:rPr>
          <w:rFonts w:eastAsia="Calibri"/>
          <w:kern w:val="2"/>
        </w:rPr>
        <w:t xml:space="preserve"> </w:t>
      </w:r>
      <w:r w:rsidRPr="00CB1B05">
        <w:rPr>
          <w:rFonts w:eastAsia="Calibri"/>
          <w:i/>
          <w:iCs/>
          <w:kern w:val="2"/>
        </w:rPr>
        <w:t>In the Matter of John R. Knight, M.D.</w:t>
      </w:r>
      <w:r w:rsidRPr="00CB1B05">
        <w:rPr>
          <w:rFonts w:eastAsia="Calibri"/>
          <w:kern w:val="2"/>
        </w:rPr>
        <w:t>, Board of Medicine, Adjudicatory Case No. 895-26-GR (Final Decision and Order, December 10, 1986).</w:t>
      </w:r>
    </w:p>
  </w:footnote>
  <w:footnote w:id="8">
    <w:p w14:paraId="264CB16B" w14:textId="596ED094" w:rsidR="007252F7" w:rsidRPr="007252F7" w:rsidRDefault="007252F7" w:rsidP="00EF11A7">
      <w:pPr>
        <w:pStyle w:val="FootnoteText"/>
      </w:pPr>
      <w:r>
        <w:rPr>
          <w:rStyle w:val="FootnoteReference"/>
        </w:rPr>
        <w:footnoteRef/>
      </w:r>
      <w:r>
        <w:t xml:space="preserve"> </w:t>
      </w:r>
      <w:r>
        <w:rPr>
          <w:u w:val="single"/>
        </w:rPr>
        <w:t>See</w:t>
      </w:r>
      <w:r w:rsidRPr="007252F7">
        <w:t xml:space="preserve"> </w:t>
      </w:r>
      <w:r w:rsidRPr="007252F7">
        <w:rPr>
          <w:i/>
          <w:iCs/>
        </w:rPr>
        <w:t>In the Matter of Ryan J. Welter, M.D.</w:t>
      </w:r>
      <w:r w:rsidRPr="007252F7">
        <w:t xml:space="preserve">, Board of Medicine, Adjudicatory Case No. 2019-029 (RM-19-0282)(Final Decision and Order, March 11, 2021).   </w:t>
      </w:r>
    </w:p>
  </w:footnote>
  <w:footnote w:id="9">
    <w:p w14:paraId="4DD87AE0" w14:textId="77777777" w:rsidR="008D1675" w:rsidRDefault="008D1675" w:rsidP="008D1675">
      <w:pPr>
        <w:pStyle w:val="FootnoteText"/>
      </w:pPr>
      <w:r>
        <w:rPr>
          <w:rStyle w:val="FootnoteReference"/>
        </w:rPr>
        <w:footnoteRef/>
      </w:r>
      <w:r>
        <w:t xml:space="preserve"> The Board has acknowledged that an inaccurate answer that was due to “oversight or carelessness” is insufficient to prove fraudulent intent to procure a license. </w:t>
      </w:r>
      <w:r w:rsidRPr="008D4D99">
        <w:rPr>
          <w:u w:val="single"/>
        </w:rPr>
        <w:t>See</w:t>
      </w:r>
      <w:r>
        <w:t xml:space="preserve"> </w:t>
      </w:r>
      <w:r w:rsidRPr="008D4D99">
        <w:rPr>
          <w:i/>
          <w:iCs/>
        </w:rPr>
        <w:t>In the Matter of Charles M. Poser, M.D.,</w:t>
      </w:r>
      <w:r>
        <w:t xml:space="preserve"> Board of Medicine, Adjudicatory Case No. 88-62-SU (Final Decision and Order, December 20, 1989). </w:t>
      </w:r>
    </w:p>
  </w:footnote>
  <w:footnote w:id="10">
    <w:p w14:paraId="04EEC4B6" w14:textId="03903B5C" w:rsidR="008D1675" w:rsidRDefault="008D1675" w:rsidP="008D1675">
      <w:pPr>
        <w:pStyle w:val="FootnoteText"/>
      </w:pPr>
      <w:r>
        <w:rPr>
          <w:rStyle w:val="FootnoteReference"/>
        </w:rPr>
        <w:footnoteRef/>
      </w:r>
      <w:r>
        <w:t xml:space="preserve"> </w:t>
      </w:r>
      <w:r w:rsidRPr="00521A2F">
        <w:rPr>
          <w:u w:val="single"/>
        </w:rPr>
        <w:t>See</w:t>
      </w:r>
      <w:r w:rsidRPr="00521A2F">
        <w:t xml:space="preserve"> </w:t>
      </w:r>
      <w:r w:rsidRPr="00521A2F">
        <w:rPr>
          <w:i/>
          <w:iCs/>
        </w:rPr>
        <w:t>Board of Registration in Medicine v. Bock</w:t>
      </w:r>
      <w:r w:rsidRPr="00521A2F">
        <w:t xml:space="preserve">, Adjudicatory Case No. </w:t>
      </w:r>
      <w:r w:rsidR="00CD4B73">
        <w:t>2019-</w:t>
      </w:r>
      <w:r w:rsidR="00171A7D">
        <w:t>037</w:t>
      </w:r>
      <w:r w:rsidR="003013B9">
        <w:t xml:space="preserve"> </w:t>
      </w:r>
      <w:r w:rsidRPr="00521A2F">
        <w:t xml:space="preserve">(Final Decision and Order, </w:t>
      </w:r>
      <w:r w:rsidR="00037D46">
        <w:t>October 7, 2021</w:t>
      </w:r>
      <w:r w:rsidRPr="00521A2F">
        <w:t>)</w:t>
      </w:r>
      <w:r w:rsidR="003013B9">
        <w:t>(incorporated Recommended Decision at 6)</w:t>
      </w:r>
      <w:r w:rsidRPr="00521A2F">
        <w:t>.</w:t>
      </w:r>
      <w:r>
        <w:rPr>
          <w:u w:val="singl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E12"/>
    <w:multiLevelType w:val="hybridMultilevel"/>
    <w:tmpl w:val="DB7CE7D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8AD00E7"/>
    <w:multiLevelType w:val="hybridMultilevel"/>
    <w:tmpl w:val="A32C8192"/>
    <w:lvl w:ilvl="0" w:tplc="8110D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C31B8"/>
    <w:multiLevelType w:val="hybridMultilevel"/>
    <w:tmpl w:val="1BA289F2"/>
    <w:lvl w:ilvl="0" w:tplc="ACE451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FD46D7"/>
    <w:multiLevelType w:val="hybridMultilevel"/>
    <w:tmpl w:val="DE5E5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0F61A0"/>
    <w:multiLevelType w:val="hybridMultilevel"/>
    <w:tmpl w:val="DBE0DA4E"/>
    <w:lvl w:ilvl="0" w:tplc="9816F734">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0DB7F3B"/>
    <w:multiLevelType w:val="hybridMultilevel"/>
    <w:tmpl w:val="8AAA4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E30C96"/>
    <w:multiLevelType w:val="hybridMultilevel"/>
    <w:tmpl w:val="C6A8C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52441E"/>
    <w:multiLevelType w:val="hybridMultilevel"/>
    <w:tmpl w:val="F2544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C8A3972"/>
    <w:multiLevelType w:val="hybridMultilevel"/>
    <w:tmpl w:val="347E13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716CF"/>
    <w:multiLevelType w:val="hybridMultilevel"/>
    <w:tmpl w:val="4ACCF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9162208">
    <w:abstractNumId w:val="2"/>
  </w:num>
  <w:num w:numId="2" w16cid:durableId="1275942663">
    <w:abstractNumId w:val="8"/>
  </w:num>
  <w:num w:numId="3" w16cid:durableId="2128574214">
    <w:abstractNumId w:val="7"/>
  </w:num>
  <w:num w:numId="4" w16cid:durableId="51123131">
    <w:abstractNumId w:val="3"/>
  </w:num>
  <w:num w:numId="5" w16cid:durableId="510267025">
    <w:abstractNumId w:val="1"/>
  </w:num>
  <w:num w:numId="6" w16cid:durableId="128132954">
    <w:abstractNumId w:val="4"/>
  </w:num>
  <w:num w:numId="7" w16cid:durableId="1745714125">
    <w:abstractNumId w:val="9"/>
  </w:num>
  <w:num w:numId="8" w16cid:durableId="1262907500">
    <w:abstractNumId w:val="0"/>
  </w:num>
  <w:num w:numId="9" w16cid:durableId="904296465">
    <w:abstractNumId w:val="5"/>
  </w:num>
  <w:num w:numId="10" w16cid:durableId="2144075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A9"/>
    <w:rsid w:val="000011C0"/>
    <w:rsid w:val="000014F7"/>
    <w:rsid w:val="000043E2"/>
    <w:rsid w:val="00007742"/>
    <w:rsid w:val="0001033C"/>
    <w:rsid w:val="00010832"/>
    <w:rsid w:val="000111C0"/>
    <w:rsid w:val="00012631"/>
    <w:rsid w:val="000159E4"/>
    <w:rsid w:val="00021899"/>
    <w:rsid w:val="00021D80"/>
    <w:rsid w:val="00021D97"/>
    <w:rsid w:val="00023D85"/>
    <w:rsid w:val="00030364"/>
    <w:rsid w:val="00034084"/>
    <w:rsid w:val="0003600C"/>
    <w:rsid w:val="00037D46"/>
    <w:rsid w:val="000428B0"/>
    <w:rsid w:val="0004346D"/>
    <w:rsid w:val="00043CE5"/>
    <w:rsid w:val="00043CF3"/>
    <w:rsid w:val="000464B3"/>
    <w:rsid w:val="00047881"/>
    <w:rsid w:val="00047CB0"/>
    <w:rsid w:val="00050676"/>
    <w:rsid w:val="00050706"/>
    <w:rsid w:val="00052D7C"/>
    <w:rsid w:val="00053AAD"/>
    <w:rsid w:val="00053C7C"/>
    <w:rsid w:val="000644CF"/>
    <w:rsid w:val="00064A17"/>
    <w:rsid w:val="00065DB9"/>
    <w:rsid w:val="00072FD9"/>
    <w:rsid w:val="00073DFB"/>
    <w:rsid w:val="00084D94"/>
    <w:rsid w:val="00094950"/>
    <w:rsid w:val="00094D3F"/>
    <w:rsid w:val="00096F0C"/>
    <w:rsid w:val="000A3458"/>
    <w:rsid w:val="000A35F9"/>
    <w:rsid w:val="000A3C4B"/>
    <w:rsid w:val="000A647D"/>
    <w:rsid w:val="000B22D6"/>
    <w:rsid w:val="000B44B8"/>
    <w:rsid w:val="000B6C5A"/>
    <w:rsid w:val="000B72C0"/>
    <w:rsid w:val="000C0B85"/>
    <w:rsid w:val="000C5F56"/>
    <w:rsid w:val="000D2BE9"/>
    <w:rsid w:val="000D34C3"/>
    <w:rsid w:val="000E1AF7"/>
    <w:rsid w:val="000E5A25"/>
    <w:rsid w:val="000E6E1A"/>
    <w:rsid w:val="000F1322"/>
    <w:rsid w:val="000F6A6F"/>
    <w:rsid w:val="00100BDC"/>
    <w:rsid w:val="00102591"/>
    <w:rsid w:val="00103032"/>
    <w:rsid w:val="00103D66"/>
    <w:rsid w:val="00103D87"/>
    <w:rsid w:val="00103E9A"/>
    <w:rsid w:val="001070CB"/>
    <w:rsid w:val="001078C5"/>
    <w:rsid w:val="0011077D"/>
    <w:rsid w:val="00110EA6"/>
    <w:rsid w:val="0011267E"/>
    <w:rsid w:val="00115D4C"/>
    <w:rsid w:val="00117020"/>
    <w:rsid w:val="00117E00"/>
    <w:rsid w:val="00120D23"/>
    <w:rsid w:val="00121D54"/>
    <w:rsid w:val="0012401E"/>
    <w:rsid w:val="00124E13"/>
    <w:rsid w:val="00130758"/>
    <w:rsid w:val="00130E5C"/>
    <w:rsid w:val="00136372"/>
    <w:rsid w:val="001372A2"/>
    <w:rsid w:val="001374BB"/>
    <w:rsid w:val="001376ED"/>
    <w:rsid w:val="00141252"/>
    <w:rsid w:val="00143C12"/>
    <w:rsid w:val="00144E6C"/>
    <w:rsid w:val="001461BB"/>
    <w:rsid w:val="0014679F"/>
    <w:rsid w:val="00147819"/>
    <w:rsid w:val="001479B8"/>
    <w:rsid w:val="00151771"/>
    <w:rsid w:val="001528C6"/>
    <w:rsid w:val="00154443"/>
    <w:rsid w:val="0015515F"/>
    <w:rsid w:val="00157911"/>
    <w:rsid w:val="00160D0D"/>
    <w:rsid w:val="00162D59"/>
    <w:rsid w:val="00166B3F"/>
    <w:rsid w:val="00171460"/>
    <w:rsid w:val="00171A7D"/>
    <w:rsid w:val="00173D4D"/>
    <w:rsid w:val="00174A45"/>
    <w:rsid w:val="00177380"/>
    <w:rsid w:val="00182486"/>
    <w:rsid w:val="00182D6A"/>
    <w:rsid w:val="0018403D"/>
    <w:rsid w:val="00185EDF"/>
    <w:rsid w:val="0018636F"/>
    <w:rsid w:val="00187A7A"/>
    <w:rsid w:val="001902F0"/>
    <w:rsid w:val="00190EEA"/>
    <w:rsid w:val="001914F0"/>
    <w:rsid w:val="00191D14"/>
    <w:rsid w:val="00192453"/>
    <w:rsid w:val="0019388C"/>
    <w:rsid w:val="00193A20"/>
    <w:rsid w:val="00193B03"/>
    <w:rsid w:val="0019424C"/>
    <w:rsid w:val="001979B7"/>
    <w:rsid w:val="001A14EB"/>
    <w:rsid w:val="001A23CD"/>
    <w:rsid w:val="001A3D75"/>
    <w:rsid w:val="001B11C1"/>
    <w:rsid w:val="001B241D"/>
    <w:rsid w:val="001B5032"/>
    <w:rsid w:val="001B536C"/>
    <w:rsid w:val="001C04B6"/>
    <w:rsid w:val="001C14CE"/>
    <w:rsid w:val="001C2A10"/>
    <w:rsid w:val="001C43E0"/>
    <w:rsid w:val="001C464E"/>
    <w:rsid w:val="001C49FD"/>
    <w:rsid w:val="001D0D90"/>
    <w:rsid w:val="001D5666"/>
    <w:rsid w:val="001D627A"/>
    <w:rsid w:val="001E0158"/>
    <w:rsid w:val="001E5124"/>
    <w:rsid w:val="001E516C"/>
    <w:rsid w:val="001E5887"/>
    <w:rsid w:val="001F3D04"/>
    <w:rsid w:val="001F5393"/>
    <w:rsid w:val="001F607C"/>
    <w:rsid w:val="00200551"/>
    <w:rsid w:val="00201275"/>
    <w:rsid w:val="0020212C"/>
    <w:rsid w:val="002031FA"/>
    <w:rsid w:val="00207D34"/>
    <w:rsid w:val="0021285B"/>
    <w:rsid w:val="0021563A"/>
    <w:rsid w:val="00216B0F"/>
    <w:rsid w:val="00222B9B"/>
    <w:rsid w:val="00224235"/>
    <w:rsid w:val="00226CC7"/>
    <w:rsid w:val="00227E95"/>
    <w:rsid w:val="002312AB"/>
    <w:rsid w:val="0023667B"/>
    <w:rsid w:val="00240933"/>
    <w:rsid w:val="00243E98"/>
    <w:rsid w:val="002451EA"/>
    <w:rsid w:val="002477C8"/>
    <w:rsid w:val="002513A9"/>
    <w:rsid w:val="002556AE"/>
    <w:rsid w:val="00255AF8"/>
    <w:rsid w:val="00257682"/>
    <w:rsid w:val="0026304C"/>
    <w:rsid w:val="00263CB9"/>
    <w:rsid w:val="002649CC"/>
    <w:rsid w:val="00270C0C"/>
    <w:rsid w:val="0027243F"/>
    <w:rsid w:val="002728E1"/>
    <w:rsid w:val="00276F27"/>
    <w:rsid w:val="00280C48"/>
    <w:rsid w:val="00280F53"/>
    <w:rsid w:val="0028442E"/>
    <w:rsid w:val="00285C22"/>
    <w:rsid w:val="00286F7E"/>
    <w:rsid w:val="002873EE"/>
    <w:rsid w:val="00292F8E"/>
    <w:rsid w:val="00293374"/>
    <w:rsid w:val="002A17CF"/>
    <w:rsid w:val="002A18A4"/>
    <w:rsid w:val="002A253B"/>
    <w:rsid w:val="002A3908"/>
    <w:rsid w:val="002A3E2F"/>
    <w:rsid w:val="002A55E3"/>
    <w:rsid w:val="002A59B0"/>
    <w:rsid w:val="002A5C56"/>
    <w:rsid w:val="002A72D7"/>
    <w:rsid w:val="002C0BA9"/>
    <w:rsid w:val="002C499B"/>
    <w:rsid w:val="002C557A"/>
    <w:rsid w:val="002D0376"/>
    <w:rsid w:val="002D0E32"/>
    <w:rsid w:val="002D1D1E"/>
    <w:rsid w:val="002D646D"/>
    <w:rsid w:val="002E00E8"/>
    <w:rsid w:val="002E0595"/>
    <w:rsid w:val="002E0BE2"/>
    <w:rsid w:val="002E0DB1"/>
    <w:rsid w:val="002E2E52"/>
    <w:rsid w:val="002E31E7"/>
    <w:rsid w:val="002E58BD"/>
    <w:rsid w:val="002E60A8"/>
    <w:rsid w:val="002E73B0"/>
    <w:rsid w:val="002F2BB0"/>
    <w:rsid w:val="002F4451"/>
    <w:rsid w:val="002F4D47"/>
    <w:rsid w:val="002F52D1"/>
    <w:rsid w:val="002F6018"/>
    <w:rsid w:val="002F656E"/>
    <w:rsid w:val="003013B9"/>
    <w:rsid w:val="00302A61"/>
    <w:rsid w:val="00316555"/>
    <w:rsid w:val="003171C8"/>
    <w:rsid w:val="00320147"/>
    <w:rsid w:val="00322E65"/>
    <w:rsid w:val="0032758D"/>
    <w:rsid w:val="00327724"/>
    <w:rsid w:val="003331FA"/>
    <w:rsid w:val="00344701"/>
    <w:rsid w:val="00345B5E"/>
    <w:rsid w:val="0035427D"/>
    <w:rsid w:val="0035587E"/>
    <w:rsid w:val="00355B8A"/>
    <w:rsid w:val="003614F2"/>
    <w:rsid w:val="0036202E"/>
    <w:rsid w:val="003639F2"/>
    <w:rsid w:val="00366426"/>
    <w:rsid w:val="003709FF"/>
    <w:rsid w:val="003727F7"/>
    <w:rsid w:val="003769BF"/>
    <w:rsid w:val="003776EA"/>
    <w:rsid w:val="00382EC4"/>
    <w:rsid w:val="00383748"/>
    <w:rsid w:val="00383A94"/>
    <w:rsid w:val="00383EB4"/>
    <w:rsid w:val="00384224"/>
    <w:rsid w:val="00387B60"/>
    <w:rsid w:val="00387B6B"/>
    <w:rsid w:val="003913BD"/>
    <w:rsid w:val="0039619B"/>
    <w:rsid w:val="00396CBB"/>
    <w:rsid w:val="003A1F97"/>
    <w:rsid w:val="003B0407"/>
    <w:rsid w:val="003B05E9"/>
    <w:rsid w:val="003B72DB"/>
    <w:rsid w:val="003C6D72"/>
    <w:rsid w:val="003C6E0A"/>
    <w:rsid w:val="003D7337"/>
    <w:rsid w:val="003E0A1A"/>
    <w:rsid w:val="003E1BE4"/>
    <w:rsid w:val="003E24B2"/>
    <w:rsid w:val="003E4211"/>
    <w:rsid w:val="003E63CE"/>
    <w:rsid w:val="003E6DB9"/>
    <w:rsid w:val="003F5B4C"/>
    <w:rsid w:val="003F5CC7"/>
    <w:rsid w:val="003F6D1C"/>
    <w:rsid w:val="00400C02"/>
    <w:rsid w:val="00401776"/>
    <w:rsid w:val="004021F7"/>
    <w:rsid w:val="00405E8C"/>
    <w:rsid w:val="00406F07"/>
    <w:rsid w:val="00413397"/>
    <w:rsid w:val="00414D99"/>
    <w:rsid w:val="00416F62"/>
    <w:rsid w:val="004211FF"/>
    <w:rsid w:val="00422305"/>
    <w:rsid w:val="00425DDD"/>
    <w:rsid w:val="0042709F"/>
    <w:rsid w:val="00432F58"/>
    <w:rsid w:val="004342F2"/>
    <w:rsid w:val="004368B5"/>
    <w:rsid w:val="00436ECB"/>
    <w:rsid w:val="00441829"/>
    <w:rsid w:val="00442E4F"/>
    <w:rsid w:val="004438C1"/>
    <w:rsid w:val="004478CC"/>
    <w:rsid w:val="004524DD"/>
    <w:rsid w:val="004534F6"/>
    <w:rsid w:val="00454281"/>
    <w:rsid w:val="0045485B"/>
    <w:rsid w:val="00455F79"/>
    <w:rsid w:val="004579B5"/>
    <w:rsid w:val="00460422"/>
    <w:rsid w:val="004630BA"/>
    <w:rsid w:val="004631BD"/>
    <w:rsid w:val="00464E93"/>
    <w:rsid w:val="00466636"/>
    <w:rsid w:val="00470338"/>
    <w:rsid w:val="00470B18"/>
    <w:rsid w:val="00470CAC"/>
    <w:rsid w:val="00471811"/>
    <w:rsid w:val="00477492"/>
    <w:rsid w:val="00477ECE"/>
    <w:rsid w:val="0048194C"/>
    <w:rsid w:val="004850EE"/>
    <w:rsid w:val="00487DCD"/>
    <w:rsid w:val="00487E4A"/>
    <w:rsid w:val="0049356A"/>
    <w:rsid w:val="00495DD3"/>
    <w:rsid w:val="004A1587"/>
    <w:rsid w:val="004A1C79"/>
    <w:rsid w:val="004A6677"/>
    <w:rsid w:val="004B2023"/>
    <w:rsid w:val="004B3864"/>
    <w:rsid w:val="004B43C3"/>
    <w:rsid w:val="004B5F65"/>
    <w:rsid w:val="004C4111"/>
    <w:rsid w:val="004C62A3"/>
    <w:rsid w:val="004D6759"/>
    <w:rsid w:val="004E16E9"/>
    <w:rsid w:val="004E2470"/>
    <w:rsid w:val="004E531F"/>
    <w:rsid w:val="004F17DC"/>
    <w:rsid w:val="004F6153"/>
    <w:rsid w:val="004F6B57"/>
    <w:rsid w:val="00502ADF"/>
    <w:rsid w:val="00511320"/>
    <w:rsid w:val="005128C0"/>
    <w:rsid w:val="00513534"/>
    <w:rsid w:val="005152B9"/>
    <w:rsid w:val="00515CFF"/>
    <w:rsid w:val="00516211"/>
    <w:rsid w:val="00521A2F"/>
    <w:rsid w:val="0052241A"/>
    <w:rsid w:val="0052362F"/>
    <w:rsid w:val="00523754"/>
    <w:rsid w:val="0052412F"/>
    <w:rsid w:val="005259A1"/>
    <w:rsid w:val="00525D7E"/>
    <w:rsid w:val="005274F4"/>
    <w:rsid w:val="00527C31"/>
    <w:rsid w:val="00530760"/>
    <w:rsid w:val="00531A87"/>
    <w:rsid w:val="00532B36"/>
    <w:rsid w:val="00534B9A"/>
    <w:rsid w:val="00535784"/>
    <w:rsid w:val="00536CEA"/>
    <w:rsid w:val="0053737B"/>
    <w:rsid w:val="00537EEB"/>
    <w:rsid w:val="00540221"/>
    <w:rsid w:val="00541FF2"/>
    <w:rsid w:val="0054400F"/>
    <w:rsid w:val="00544362"/>
    <w:rsid w:val="00546827"/>
    <w:rsid w:val="005517AC"/>
    <w:rsid w:val="005550B4"/>
    <w:rsid w:val="005555A5"/>
    <w:rsid w:val="0055595F"/>
    <w:rsid w:val="005560B1"/>
    <w:rsid w:val="00557567"/>
    <w:rsid w:val="00560848"/>
    <w:rsid w:val="00565C98"/>
    <w:rsid w:val="005704DC"/>
    <w:rsid w:val="005727CC"/>
    <w:rsid w:val="00586CD5"/>
    <w:rsid w:val="005905FE"/>
    <w:rsid w:val="00591133"/>
    <w:rsid w:val="00591BE4"/>
    <w:rsid w:val="00591C55"/>
    <w:rsid w:val="00595B8A"/>
    <w:rsid w:val="00597CBF"/>
    <w:rsid w:val="005A0B80"/>
    <w:rsid w:val="005A5261"/>
    <w:rsid w:val="005A7B49"/>
    <w:rsid w:val="005B30E2"/>
    <w:rsid w:val="005C1C31"/>
    <w:rsid w:val="005C254A"/>
    <w:rsid w:val="005C2DAC"/>
    <w:rsid w:val="005C3926"/>
    <w:rsid w:val="005C3B8E"/>
    <w:rsid w:val="005C3E6F"/>
    <w:rsid w:val="005C41E9"/>
    <w:rsid w:val="005C4238"/>
    <w:rsid w:val="005C4A2D"/>
    <w:rsid w:val="005C5BB3"/>
    <w:rsid w:val="005C63B8"/>
    <w:rsid w:val="005C65B1"/>
    <w:rsid w:val="005C7B76"/>
    <w:rsid w:val="005D15FD"/>
    <w:rsid w:val="005D16F1"/>
    <w:rsid w:val="005D409D"/>
    <w:rsid w:val="005D56F1"/>
    <w:rsid w:val="005D7221"/>
    <w:rsid w:val="005D799A"/>
    <w:rsid w:val="005E0757"/>
    <w:rsid w:val="005E1187"/>
    <w:rsid w:val="005E25FA"/>
    <w:rsid w:val="005E2F50"/>
    <w:rsid w:val="005E790C"/>
    <w:rsid w:val="005F05FD"/>
    <w:rsid w:val="005F7209"/>
    <w:rsid w:val="00600ED4"/>
    <w:rsid w:val="006010CE"/>
    <w:rsid w:val="006069AA"/>
    <w:rsid w:val="00612AB8"/>
    <w:rsid w:val="00612B43"/>
    <w:rsid w:val="00613C8E"/>
    <w:rsid w:val="00624A15"/>
    <w:rsid w:val="006264CE"/>
    <w:rsid w:val="00626EDF"/>
    <w:rsid w:val="00630A33"/>
    <w:rsid w:val="00633C9B"/>
    <w:rsid w:val="00635370"/>
    <w:rsid w:val="00636CF7"/>
    <w:rsid w:val="00637C6E"/>
    <w:rsid w:val="00640BB1"/>
    <w:rsid w:val="00646E4F"/>
    <w:rsid w:val="00650284"/>
    <w:rsid w:val="00650DD7"/>
    <w:rsid w:val="00653546"/>
    <w:rsid w:val="0065419D"/>
    <w:rsid w:val="00655981"/>
    <w:rsid w:val="006568BC"/>
    <w:rsid w:val="00661F0A"/>
    <w:rsid w:val="0066221A"/>
    <w:rsid w:val="006652B7"/>
    <w:rsid w:val="00672C70"/>
    <w:rsid w:val="00675C1A"/>
    <w:rsid w:val="0067755D"/>
    <w:rsid w:val="0067791D"/>
    <w:rsid w:val="00681204"/>
    <w:rsid w:val="00682A97"/>
    <w:rsid w:val="00686074"/>
    <w:rsid w:val="0068643C"/>
    <w:rsid w:val="006924F3"/>
    <w:rsid w:val="006928CF"/>
    <w:rsid w:val="006941E5"/>
    <w:rsid w:val="006A06EF"/>
    <w:rsid w:val="006A4749"/>
    <w:rsid w:val="006A6AA7"/>
    <w:rsid w:val="006A70F0"/>
    <w:rsid w:val="006B668D"/>
    <w:rsid w:val="006C7370"/>
    <w:rsid w:val="006E5114"/>
    <w:rsid w:val="006E56AC"/>
    <w:rsid w:val="006E6780"/>
    <w:rsid w:val="006E7886"/>
    <w:rsid w:val="006F26DA"/>
    <w:rsid w:val="006F2842"/>
    <w:rsid w:val="006F3704"/>
    <w:rsid w:val="006F4057"/>
    <w:rsid w:val="006F516A"/>
    <w:rsid w:val="006F7356"/>
    <w:rsid w:val="00702F7C"/>
    <w:rsid w:val="0071008D"/>
    <w:rsid w:val="00714B00"/>
    <w:rsid w:val="007154B8"/>
    <w:rsid w:val="00720AA8"/>
    <w:rsid w:val="00720B18"/>
    <w:rsid w:val="00720EF2"/>
    <w:rsid w:val="0072239B"/>
    <w:rsid w:val="00722BB8"/>
    <w:rsid w:val="00724517"/>
    <w:rsid w:val="007252F7"/>
    <w:rsid w:val="007255FE"/>
    <w:rsid w:val="00727545"/>
    <w:rsid w:val="0073077C"/>
    <w:rsid w:val="00731501"/>
    <w:rsid w:val="00735655"/>
    <w:rsid w:val="00735DA6"/>
    <w:rsid w:val="007360E1"/>
    <w:rsid w:val="00736D19"/>
    <w:rsid w:val="00737E85"/>
    <w:rsid w:val="00743CF3"/>
    <w:rsid w:val="007459E7"/>
    <w:rsid w:val="00746FF7"/>
    <w:rsid w:val="00752390"/>
    <w:rsid w:val="0075269C"/>
    <w:rsid w:val="00754007"/>
    <w:rsid w:val="007540D5"/>
    <w:rsid w:val="007558D7"/>
    <w:rsid w:val="00757ED5"/>
    <w:rsid w:val="007636BB"/>
    <w:rsid w:val="00764848"/>
    <w:rsid w:val="007651DC"/>
    <w:rsid w:val="00765C2D"/>
    <w:rsid w:val="00767C8F"/>
    <w:rsid w:val="00771080"/>
    <w:rsid w:val="0077191C"/>
    <w:rsid w:val="0077516E"/>
    <w:rsid w:val="007775AE"/>
    <w:rsid w:val="00777AB9"/>
    <w:rsid w:val="00782FFE"/>
    <w:rsid w:val="00785535"/>
    <w:rsid w:val="007864F9"/>
    <w:rsid w:val="007868E1"/>
    <w:rsid w:val="0079111A"/>
    <w:rsid w:val="007922D7"/>
    <w:rsid w:val="00793090"/>
    <w:rsid w:val="007947C2"/>
    <w:rsid w:val="00796795"/>
    <w:rsid w:val="007A24FA"/>
    <w:rsid w:val="007A2F80"/>
    <w:rsid w:val="007A5FD6"/>
    <w:rsid w:val="007B13EB"/>
    <w:rsid w:val="007B4E44"/>
    <w:rsid w:val="007B6923"/>
    <w:rsid w:val="007B6BB1"/>
    <w:rsid w:val="007B703B"/>
    <w:rsid w:val="007B7083"/>
    <w:rsid w:val="007B739D"/>
    <w:rsid w:val="007C0FAF"/>
    <w:rsid w:val="007C16E8"/>
    <w:rsid w:val="007C1C21"/>
    <w:rsid w:val="007C7A6C"/>
    <w:rsid w:val="007D08E2"/>
    <w:rsid w:val="007D62DA"/>
    <w:rsid w:val="007D75F8"/>
    <w:rsid w:val="007E04F0"/>
    <w:rsid w:val="007E3F01"/>
    <w:rsid w:val="007E55A4"/>
    <w:rsid w:val="007E6559"/>
    <w:rsid w:val="007F1130"/>
    <w:rsid w:val="007F1E73"/>
    <w:rsid w:val="007F25A4"/>
    <w:rsid w:val="007F39B8"/>
    <w:rsid w:val="007F444A"/>
    <w:rsid w:val="007F474B"/>
    <w:rsid w:val="007F5515"/>
    <w:rsid w:val="007F6251"/>
    <w:rsid w:val="007F7229"/>
    <w:rsid w:val="007F724E"/>
    <w:rsid w:val="00805545"/>
    <w:rsid w:val="00805D93"/>
    <w:rsid w:val="00806F38"/>
    <w:rsid w:val="008145FD"/>
    <w:rsid w:val="00821B31"/>
    <w:rsid w:val="00826ADF"/>
    <w:rsid w:val="00826B8E"/>
    <w:rsid w:val="00826DD9"/>
    <w:rsid w:val="0083241D"/>
    <w:rsid w:val="008363E2"/>
    <w:rsid w:val="0083734F"/>
    <w:rsid w:val="008400F6"/>
    <w:rsid w:val="00850B1B"/>
    <w:rsid w:val="0085320B"/>
    <w:rsid w:val="00863528"/>
    <w:rsid w:val="00865FD2"/>
    <w:rsid w:val="0086637A"/>
    <w:rsid w:val="00874B02"/>
    <w:rsid w:val="00875C55"/>
    <w:rsid w:val="00880916"/>
    <w:rsid w:val="00883423"/>
    <w:rsid w:val="008853DD"/>
    <w:rsid w:val="00890A3E"/>
    <w:rsid w:val="00894F5B"/>
    <w:rsid w:val="00895FCF"/>
    <w:rsid w:val="00897B8E"/>
    <w:rsid w:val="008A0893"/>
    <w:rsid w:val="008A1EE8"/>
    <w:rsid w:val="008A394C"/>
    <w:rsid w:val="008A3DF3"/>
    <w:rsid w:val="008A578F"/>
    <w:rsid w:val="008B2FEF"/>
    <w:rsid w:val="008C2B68"/>
    <w:rsid w:val="008C4253"/>
    <w:rsid w:val="008C4994"/>
    <w:rsid w:val="008C5DCC"/>
    <w:rsid w:val="008C6C46"/>
    <w:rsid w:val="008C79FF"/>
    <w:rsid w:val="008D1675"/>
    <w:rsid w:val="008D2D02"/>
    <w:rsid w:val="008D46CE"/>
    <w:rsid w:val="008D4D99"/>
    <w:rsid w:val="008D523B"/>
    <w:rsid w:val="008D5FBD"/>
    <w:rsid w:val="008D6AC4"/>
    <w:rsid w:val="008E1634"/>
    <w:rsid w:val="008E2F6D"/>
    <w:rsid w:val="008E3B21"/>
    <w:rsid w:val="008E5ED6"/>
    <w:rsid w:val="008F2F22"/>
    <w:rsid w:val="008F46CF"/>
    <w:rsid w:val="008F5C2A"/>
    <w:rsid w:val="008F5DA4"/>
    <w:rsid w:val="008F6DF9"/>
    <w:rsid w:val="00903710"/>
    <w:rsid w:val="00905888"/>
    <w:rsid w:val="00905BE9"/>
    <w:rsid w:val="0090736D"/>
    <w:rsid w:val="00907B06"/>
    <w:rsid w:val="0091331C"/>
    <w:rsid w:val="00922746"/>
    <w:rsid w:val="009242C6"/>
    <w:rsid w:val="00924E4E"/>
    <w:rsid w:val="009260A6"/>
    <w:rsid w:val="0092624A"/>
    <w:rsid w:val="00926FCB"/>
    <w:rsid w:val="00931094"/>
    <w:rsid w:val="009311F2"/>
    <w:rsid w:val="00931D8F"/>
    <w:rsid w:val="0093402B"/>
    <w:rsid w:val="0094469B"/>
    <w:rsid w:val="00945F4E"/>
    <w:rsid w:val="00947003"/>
    <w:rsid w:val="0094714D"/>
    <w:rsid w:val="0094776A"/>
    <w:rsid w:val="009519B7"/>
    <w:rsid w:val="00951AE2"/>
    <w:rsid w:val="00952C48"/>
    <w:rsid w:val="00952D79"/>
    <w:rsid w:val="009534C3"/>
    <w:rsid w:val="009551E2"/>
    <w:rsid w:val="0096071D"/>
    <w:rsid w:val="0096152C"/>
    <w:rsid w:val="00962B2F"/>
    <w:rsid w:val="00965CAD"/>
    <w:rsid w:val="009701DF"/>
    <w:rsid w:val="009709EF"/>
    <w:rsid w:val="00971017"/>
    <w:rsid w:val="0097270B"/>
    <w:rsid w:val="00972BCF"/>
    <w:rsid w:val="00972C21"/>
    <w:rsid w:val="00972D3E"/>
    <w:rsid w:val="00973DE9"/>
    <w:rsid w:val="009756F0"/>
    <w:rsid w:val="00976110"/>
    <w:rsid w:val="00976812"/>
    <w:rsid w:val="00981233"/>
    <w:rsid w:val="00981900"/>
    <w:rsid w:val="00982A4D"/>
    <w:rsid w:val="009850F6"/>
    <w:rsid w:val="00986189"/>
    <w:rsid w:val="009876F6"/>
    <w:rsid w:val="00992AD7"/>
    <w:rsid w:val="00996827"/>
    <w:rsid w:val="009A0356"/>
    <w:rsid w:val="009A2816"/>
    <w:rsid w:val="009A2EA6"/>
    <w:rsid w:val="009A3AC8"/>
    <w:rsid w:val="009A5B02"/>
    <w:rsid w:val="009B368A"/>
    <w:rsid w:val="009B479B"/>
    <w:rsid w:val="009B5765"/>
    <w:rsid w:val="009B5AD0"/>
    <w:rsid w:val="009C54A1"/>
    <w:rsid w:val="009C5FC5"/>
    <w:rsid w:val="009C7041"/>
    <w:rsid w:val="009C733C"/>
    <w:rsid w:val="009D0B77"/>
    <w:rsid w:val="009D506D"/>
    <w:rsid w:val="009D53D7"/>
    <w:rsid w:val="009D6061"/>
    <w:rsid w:val="009D6489"/>
    <w:rsid w:val="009E0A81"/>
    <w:rsid w:val="009E2649"/>
    <w:rsid w:val="009E2A74"/>
    <w:rsid w:val="009E3323"/>
    <w:rsid w:val="009E3926"/>
    <w:rsid w:val="009E3B84"/>
    <w:rsid w:val="009E3C5F"/>
    <w:rsid w:val="009E6757"/>
    <w:rsid w:val="009F007A"/>
    <w:rsid w:val="009F3099"/>
    <w:rsid w:val="009F4259"/>
    <w:rsid w:val="009F5DE8"/>
    <w:rsid w:val="00A01466"/>
    <w:rsid w:val="00A01760"/>
    <w:rsid w:val="00A01BB6"/>
    <w:rsid w:val="00A03865"/>
    <w:rsid w:val="00A04D4F"/>
    <w:rsid w:val="00A10F9B"/>
    <w:rsid w:val="00A13DAF"/>
    <w:rsid w:val="00A22772"/>
    <w:rsid w:val="00A23673"/>
    <w:rsid w:val="00A24D3C"/>
    <w:rsid w:val="00A27A96"/>
    <w:rsid w:val="00A30687"/>
    <w:rsid w:val="00A31F10"/>
    <w:rsid w:val="00A33A03"/>
    <w:rsid w:val="00A35656"/>
    <w:rsid w:val="00A35BAB"/>
    <w:rsid w:val="00A50771"/>
    <w:rsid w:val="00A52545"/>
    <w:rsid w:val="00A53BBA"/>
    <w:rsid w:val="00A5641D"/>
    <w:rsid w:val="00A56498"/>
    <w:rsid w:val="00A628D1"/>
    <w:rsid w:val="00A64096"/>
    <w:rsid w:val="00A64F90"/>
    <w:rsid w:val="00A65592"/>
    <w:rsid w:val="00A71DAC"/>
    <w:rsid w:val="00A71EFC"/>
    <w:rsid w:val="00A72D2A"/>
    <w:rsid w:val="00A73C10"/>
    <w:rsid w:val="00A801D7"/>
    <w:rsid w:val="00A80848"/>
    <w:rsid w:val="00A836E9"/>
    <w:rsid w:val="00A85FA3"/>
    <w:rsid w:val="00A9243E"/>
    <w:rsid w:val="00A9272A"/>
    <w:rsid w:val="00A92DDE"/>
    <w:rsid w:val="00A931D5"/>
    <w:rsid w:val="00A940F6"/>
    <w:rsid w:val="00A97A7F"/>
    <w:rsid w:val="00AA35F8"/>
    <w:rsid w:val="00AA503C"/>
    <w:rsid w:val="00AA644F"/>
    <w:rsid w:val="00AA7C3B"/>
    <w:rsid w:val="00AB3F06"/>
    <w:rsid w:val="00AC165F"/>
    <w:rsid w:val="00AC3604"/>
    <w:rsid w:val="00AC4D56"/>
    <w:rsid w:val="00AC7296"/>
    <w:rsid w:val="00AD0D3F"/>
    <w:rsid w:val="00AE4106"/>
    <w:rsid w:val="00AE45F3"/>
    <w:rsid w:val="00AE579D"/>
    <w:rsid w:val="00AE5B65"/>
    <w:rsid w:val="00AF13B1"/>
    <w:rsid w:val="00AF4BCF"/>
    <w:rsid w:val="00AF4E3E"/>
    <w:rsid w:val="00AF69B1"/>
    <w:rsid w:val="00AF6A4D"/>
    <w:rsid w:val="00B02368"/>
    <w:rsid w:val="00B02AA9"/>
    <w:rsid w:val="00B041D3"/>
    <w:rsid w:val="00B04992"/>
    <w:rsid w:val="00B0519D"/>
    <w:rsid w:val="00B066CE"/>
    <w:rsid w:val="00B21D77"/>
    <w:rsid w:val="00B22B35"/>
    <w:rsid w:val="00B24E92"/>
    <w:rsid w:val="00B26933"/>
    <w:rsid w:val="00B32260"/>
    <w:rsid w:val="00B35534"/>
    <w:rsid w:val="00B37837"/>
    <w:rsid w:val="00B42FFB"/>
    <w:rsid w:val="00B43746"/>
    <w:rsid w:val="00B453D5"/>
    <w:rsid w:val="00B4694F"/>
    <w:rsid w:val="00B473BF"/>
    <w:rsid w:val="00B51076"/>
    <w:rsid w:val="00B52CEF"/>
    <w:rsid w:val="00B531BC"/>
    <w:rsid w:val="00B553A4"/>
    <w:rsid w:val="00B57C37"/>
    <w:rsid w:val="00B57E32"/>
    <w:rsid w:val="00B60C66"/>
    <w:rsid w:val="00B65857"/>
    <w:rsid w:val="00B65AE8"/>
    <w:rsid w:val="00B70FBB"/>
    <w:rsid w:val="00B740BD"/>
    <w:rsid w:val="00B74678"/>
    <w:rsid w:val="00B7638A"/>
    <w:rsid w:val="00B77E88"/>
    <w:rsid w:val="00B80058"/>
    <w:rsid w:val="00B8205C"/>
    <w:rsid w:val="00B84320"/>
    <w:rsid w:val="00B8461D"/>
    <w:rsid w:val="00B848BF"/>
    <w:rsid w:val="00B849E8"/>
    <w:rsid w:val="00B8669A"/>
    <w:rsid w:val="00B91715"/>
    <w:rsid w:val="00B936CE"/>
    <w:rsid w:val="00B9553D"/>
    <w:rsid w:val="00B9664A"/>
    <w:rsid w:val="00B97554"/>
    <w:rsid w:val="00B975C6"/>
    <w:rsid w:val="00B97C4D"/>
    <w:rsid w:val="00BA169A"/>
    <w:rsid w:val="00BA3255"/>
    <w:rsid w:val="00BA58E6"/>
    <w:rsid w:val="00BA78F2"/>
    <w:rsid w:val="00BB14CF"/>
    <w:rsid w:val="00BB37FF"/>
    <w:rsid w:val="00BB39F1"/>
    <w:rsid w:val="00BB4B85"/>
    <w:rsid w:val="00BB5C81"/>
    <w:rsid w:val="00BC16D0"/>
    <w:rsid w:val="00BC53B1"/>
    <w:rsid w:val="00BC6169"/>
    <w:rsid w:val="00BD05B3"/>
    <w:rsid w:val="00BD076E"/>
    <w:rsid w:val="00BD2485"/>
    <w:rsid w:val="00BD6151"/>
    <w:rsid w:val="00BD6549"/>
    <w:rsid w:val="00BD678D"/>
    <w:rsid w:val="00BE095B"/>
    <w:rsid w:val="00BE33FA"/>
    <w:rsid w:val="00BE68D8"/>
    <w:rsid w:val="00BE70E9"/>
    <w:rsid w:val="00BE71E9"/>
    <w:rsid w:val="00BF23EA"/>
    <w:rsid w:val="00BF42CF"/>
    <w:rsid w:val="00BF5E22"/>
    <w:rsid w:val="00BF701B"/>
    <w:rsid w:val="00BF727B"/>
    <w:rsid w:val="00C024B6"/>
    <w:rsid w:val="00C04155"/>
    <w:rsid w:val="00C05D7C"/>
    <w:rsid w:val="00C0710A"/>
    <w:rsid w:val="00C10C4B"/>
    <w:rsid w:val="00C10FB8"/>
    <w:rsid w:val="00C17D48"/>
    <w:rsid w:val="00C2582D"/>
    <w:rsid w:val="00C25A5F"/>
    <w:rsid w:val="00C26DE3"/>
    <w:rsid w:val="00C32897"/>
    <w:rsid w:val="00C33AA9"/>
    <w:rsid w:val="00C41863"/>
    <w:rsid w:val="00C452AE"/>
    <w:rsid w:val="00C460E2"/>
    <w:rsid w:val="00C47B4F"/>
    <w:rsid w:val="00C51CE8"/>
    <w:rsid w:val="00C533EC"/>
    <w:rsid w:val="00C544D3"/>
    <w:rsid w:val="00C5457B"/>
    <w:rsid w:val="00C63F18"/>
    <w:rsid w:val="00C76E77"/>
    <w:rsid w:val="00C773ED"/>
    <w:rsid w:val="00C776FD"/>
    <w:rsid w:val="00C81669"/>
    <w:rsid w:val="00C817D7"/>
    <w:rsid w:val="00C81D7F"/>
    <w:rsid w:val="00C826F0"/>
    <w:rsid w:val="00C82798"/>
    <w:rsid w:val="00C82BD7"/>
    <w:rsid w:val="00C85554"/>
    <w:rsid w:val="00C87D94"/>
    <w:rsid w:val="00C90D0D"/>
    <w:rsid w:val="00C92FAA"/>
    <w:rsid w:val="00C93C95"/>
    <w:rsid w:val="00C9420A"/>
    <w:rsid w:val="00C94FC3"/>
    <w:rsid w:val="00C95ACB"/>
    <w:rsid w:val="00CA0634"/>
    <w:rsid w:val="00CA14C1"/>
    <w:rsid w:val="00CA3AB4"/>
    <w:rsid w:val="00CA7079"/>
    <w:rsid w:val="00CB1B05"/>
    <w:rsid w:val="00CB1F33"/>
    <w:rsid w:val="00CC1B97"/>
    <w:rsid w:val="00CC24F7"/>
    <w:rsid w:val="00CC2BC2"/>
    <w:rsid w:val="00CC5873"/>
    <w:rsid w:val="00CD4108"/>
    <w:rsid w:val="00CD4B73"/>
    <w:rsid w:val="00CD54DB"/>
    <w:rsid w:val="00CE075B"/>
    <w:rsid w:val="00CE3EFB"/>
    <w:rsid w:val="00CE41A8"/>
    <w:rsid w:val="00CE7F95"/>
    <w:rsid w:val="00CF0D3A"/>
    <w:rsid w:val="00CF36E5"/>
    <w:rsid w:val="00CF5918"/>
    <w:rsid w:val="00CF6269"/>
    <w:rsid w:val="00CF65B5"/>
    <w:rsid w:val="00CF6820"/>
    <w:rsid w:val="00D036DA"/>
    <w:rsid w:val="00D049E4"/>
    <w:rsid w:val="00D06E5B"/>
    <w:rsid w:val="00D10CBC"/>
    <w:rsid w:val="00D15267"/>
    <w:rsid w:val="00D21BFD"/>
    <w:rsid w:val="00D24496"/>
    <w:rsid w:val="00D24723"/>
    <w:rsid w:val="00D31738"/>
    <w:rsid w:val="00D33FB5"/>
    <w:rsid w:val="00D35B86"/>
    <w:rsid w:val="00D35E65"/>
    <w:rsid w:val="00D40EBC"/>
    <w:rsid w:val="00D43507"/>
    <w:rsid w:val="00D44830"/>
    <w:rsid w:val="00D543FF"/>
    <w:rsid w:val="00D5651A"/>
    <w:rsid w:val="00D623F2"/>
    <w:rsid w:val="00D62F5B"/>
    <w:rsid w:val="00D63FF6"/>
    <w:rsid w:val="00D6623C"/>
    <w:rsid w:val="00D72567"/>
    <w:rsid w:val="00D74E46"/>
    <w:rsid w:val="00D81E0E"/>
    <w:rsid w:val="00D8243E"/>
    <w:rsid w:val="00D931BE"/>
    <w:rsid w:val="00DA1B9B"/>
    <w:rsid w:val="00DA3752"/>
    <w:rsid w:val="00DA3E5A"/>
    <w:rsid w:val="00DA4899"/>
    <w:rsid w:val="00DA48B1"/>
    <w:rsid w:val="00DA4BD1"/>
    <w:rsid w:val="00DB1787"/>
    <w:rsid w:val="00DB1A15"/>
    <w:rsid w:val="00DC021D"/>
    <w:rsid w:val="00DC2355"/>
    <w:rsid w:val="00DC31BE"/>
    <w:rsid w:val="00DC50D7"/>
    <w:rsid w:val="00DC610A"/>
    <w:rsid w:val="00DC6526"/>
    <w:rsid w:val="00DC7F17"/>
    <w:rsid w:val="00DD2479"/>
    <w:rsid w:val="00DD27DB"/>
    <w:rsid w:val="00DD553A"/>
    <w:rsid w:val="00DD5A7A"/>
    <w:rsid w:val="00DE07CA"/>
    <w:rsid w:val="00DE2391"/>
    <w:rsid w:val="00DE2887"/>
    <w:rsid w:val="00DE2B00"/>
    <w:rsid w:val="00DE2E92"/>
    <w:rsid w:val="00DE6CF4"/>
    <w:rsid w:val="00DF10C4"/>
    <w:rsid w:val="00DF19CC"/>
    <w:rsid w:val="00DF21D1"/>
    <w:rsid w:val="00DF2B7A"/>
    <w:rsid w:val="00DF3A60"/>
    <w:rsid w:val="00DF511D"/>
    <w:rsid w:val="00DF5364"/>
    <w:rsid w:val="00DF632B"/>
    <w:rsid w:val="00E01156"/>
    <w:rsid w:val="00E01794"/>
    <w:rsid w:val="00E01A06"/>
    <w:rsid w:val="00E04DC4"/>
    <w:rsid w:val="00E111E9"/>
    <w:rsid w:val="00E1462A"/>
    <w:rsid w:val="00E2302F"/>
    <w:rsid w:val="00E25B01"/>
    <w:rsid w:val="00E276CF"/>
    <w:rsid w:val="00E2791E"/>
    <w:rsid w:val="00E32888"/>
    <w:rsid w:val="00E35B47"/>
    <w:rsid w:val="00E36980"/>
    <w:rsid w:val="00E36F5B"/>
    <w:rsid w:val="00E416F2"/>
    <w:rsid w:val="00E465A1"/>
    <w:rsid w:val="00E47427"/>
    <w:rsid w:val="00E47ECA"/>
    <w:rsid w:val="00E50FB5"/>
    <w:rsid w:val="00E51373"/>
    <w:rsid w:val="00E52F75"/>
    <w:rsid w:val="00E55F93"/>
    <w:rsid w:val="00E5754A"/>
    <w:rsid w:val="00E60D33"/>
    <w:rsid w:val="00E64D3D"/>
    <w:rsid w:val="00E65AA8"/>
    <w:rsid w:val="00E71040"/>
    <w:rsid w:val="00E717FC"/>
    <w:rsid w:val="00E734F3"/>
    <w:rsid w:val="00E75072"/>
    <w:rsid w:val="00E750DA"/>
    <w:rsid w:val="00E805DD"/>
    <w:rsid w:val="00E8068A"/>
    <w:rsid w:val="00E81233"/>
    <w:rsid w:val="00E82861"/>
    <w:rsid w:val="00E87493"/>
    <w:rsid w:val="00E919D9"/>
    <w:rsid w:val="00E92855"/>
    <w:rsid w:val="00E93192"/>
    <w:rsid w:val="00E94F82"/>
    <w:rsid w:val="00EA3D45"/>
    <w:rsid w:val="00EA720E"/>
    <w:rsid w:val="00EB2175"/>
    <w:rsid w:val="00EB2B63"/>
    <w:rsid w:val="00EB49C0"/>
    <w:rsid w:val="00EB60ED"/>
    <w:rsid w:val="00EC1A14"/>
    <w:rsid w:val="00EC21F4"/>
    <w:rsid w:val="00EC4BFC"/>
    <w:rsid w:val="00ED08BD"/>
    <w:rsid w:val="00ED1BD7"/>
    <w:rsid w:val="00ED2B64"/>
    <w:rsid w:val="00ED6349"/>
    <w:rsid w:val="00ED7D66"/>
    <w:rsid w:val="00EE53FB"/>
    <w:rsid w:val="00EE5FEB"/>
    <w:rsid w:val="00EE6739"/>
    <w:rsid w:val="00EE71BA"/>
    <w:rsid w:val="00EF11A7"/>
    <w:rsid w:val="00EF1E69"/>
    <w:rsid w:val="00EF4687"/>
    <w:rsid w:val="00EF4B65"/>
    <w:rsid w:val="00F047B2"/>
    <w:rsid w:val="00F07BBE"/>
    <w:rsid w:val="00F07E72"/>
    <w:rsid w:val="00F11FD3"/>
    <w:rsid w:val="00F15AAF"/>
    <w:rsid w:val="00F169E4"/>
    <w:rsid w:val="00F17F1C"/>
    <w:rsid w:val="00F2137A"/>
    <w:rsid w:val="00F21FD0"/>
    <w:rsid w:val="00F24019"/>
    <w:rsid w:val="00F26D48"/>
    <w:rsid w:val="00F279AC"/>
    <w:rsid w:val="00F31626"/>
    <w:rsid w:val="00F32501"/>
    <w:rsid w:val="00F36239"/>
    <w:rsid w:val="00F37EB1"/>
    <w:rsid w:val="00F4023A"/>
    <w:rsid w:val="00F45AD2"/>
    <w:rsid w:val="00F545C8"/>
    <w:rsid w:val="00F576F3"/>
    <w:rsid w:val="00F603D3"/>
    <w:rsid w:val="00F60A7D"/>
    <w:rsid w:val="00F61F3B"/>
    <w:rsid w:val="00F6244C"/>
    <w:rsid w:val="00F63C14"/>
    <w:rsid w:val="00F645AA"/>
    <w:rsid w:val="00F65195"/>
    <w:rsid w:val="00F70103"/>
    <w:rsid w:val="00F705CC"/>
    <w:rsid w:val="00F7256B"/>
    <w:rsid w:val="00F752E5"/>
    <w:rsid w:val="00F77FC4"/>
    <w:rsid w:val="00F80530"/>
    <w:rsid w:val="00F8088F"/>
    <w:rsid w:val="00F874FA"/>
    <w:rsid w:val="00F8770D"/>
    <w:rsid w:val="00F900E7"/>
    <w:rsid w:val="00F9035C"/>
    <w:rsid w:val="00F918B3"/>
    <w:rsid w:val="00F92CDD"/>
    <w:rsid w:val="00FA011B"/>
    <w:rsid w:val="00FA0976"/>
    <w:rsid w:val="00FA4118"/>
    <w:rsid w:val="00FB1CB9"/>
    <w:rsid w:val="00FB284F"/>
    <w:rsid w:val="00FB4EBB"/>
    <w:rsid w:val="00FC01F3"/>
    <w:rsid w:val="00FC0675"/>
    <w:rsid w:val="00FC1617"/>
    <w:rsid w:val="00FC4BDF"/>
    <w:rsid w:val="00FC4DD1"/>
    <w:rsid w:val="00FD67FE"/>
    <w:rsid w:val="00FE0620"/>
    <w:rsid w:val="00FE08DB"/>
    <w:rsid w:val="00FE0F02"/>
    <w:rsid w:val="00FE5B05"/>
    <w:rsid w:val="00FE6E7B"/>
    <w:rsid w:val="00FE742C"/>
    <w:rsid w:val="00FE7A22"/>
    <w:rsid w:val="00FF149B"/>
    <w:rsid w:val="00FF1A98"/>
    <w:rsid w:val="00FF20EB"/>
    <w:rsid w:val="00FF2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B8F01"/>
  <w15:chartTrackingRefBased/>
  <w15:docId w15:val="{EAC820EB-1051-4917-9B98-F1A9E44B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3E6F"/>
    <w:pPr>
      <w:tabs>
        <w:tab w:val="center" w:pos="4320"/>
        <w:tab w:val="right" w:pos="8640"/>
      </w:tabs>
    </w:pPr>
  </w:style>
  <w:style w:type="character" w:styleId="PageNumber">
    <w:name w:val="page number"/>
    <w:basedOn w:val="DefaultParagraphFont"/>
    <w:rsid w:val="005C3E6F"/>
  </w:style>
  <w:style w:type="paragraph" w:styleId="FootnoteText">
    <w:name w:val="footnote text"/>
    <w:basedOn w:val="Normal"/>
    <w:link w:val="FootnoteTextChar"/>
    <w:rsid w:val="0023667B"/>
    <w:rPr>
      <w:sz w:val="20"/>
      <w:szCs w:val="20"/>
    </w:rPr>
  </w:style>
  <w:style w:type="character" w:customStyle="1" w:styleId="FootnoteTextChar">
    <w:name w:val="Footnote Text Char"/>
    <w:basedOn w:val="DefaultParagraphFont"/>
    <w:link w:val="FootnoteText"/>
    <w:rsid w:val="0023667B"/>
  </w:style>
  <w:style w:type="character" w:styleId="FootnoteReference">
    <w:name w:val="footnote reference"/>
    <w:rsid w:val="0023667B"/>
    <w:rPr>
      <w:vertAlign w:val="superscript"/>
    </w:rPr>
  </w:style>
  <w:style w:type="paragraph" w:styleId="Header">
    <w:name w:val="header"/>
    <w:basedOn w:val="Normal"/>
    <w:link w:val="HeaderChar"/>
    <w:rsid w:val="007D08E2"/>
    <w:pPr>
      <w:tabs>
        <w:tab w:val="center" w:pos="4680"/>
        <w:tab w:val="right" w:pos="9360"/>
      </w:tabs>
    </w:pPr>
  </w:style>
  <w:style w:type="character" w:customStyle="1" w:styleId="HeaderChar">
    <w:name w:val="Header Char"/>
    <w:link w:val="Header"/>
    <w:rsid w:val="007D08E2"/>
    <w:rPr>
      <w:sz w:val="24"/>
      <w:szCs w:val="24"/>
    </w:rPr>
  </w:style>
  <w:style w:type="character" w:customStyle="1" w:styleId="FooterChar">
    <w:name w:val="Footer Char"/>
    <w:link w:val="Footer"/>
    <w:uiPriority w:val="99"/>
    <w:rsid w:val="007D08E2"/>
    <w:rPr>
      <w:sz w:val="24"/>
      <w:szCs w:val="24"/>
    </w:rPr>
  </w:style>
  <w:style w:type="paragraph" w:styleId="BalloonText">
    <w:name w:val="Balloon Text"/>
    <w:basedOn w:val="Normal"/>
    <w:link w:val="BalloonTextChar"/>
    <w:rsid w:val="00AD0D3F"/>
    <w:rPr>
      <w:rFonts w:ascii="Tahoma" w:hAnsi="Tahoma" w:cs="Tahoma"/>
      <w:sz w:val="16"/>
      <w:szCs w:val="16"/>
    </w:rPr>
  </w:style>
  <w:style w:type="character" w:customStyle="1" w:styleId="BalloonTextChar">
    <w:name w:val="Balloon Text Char"/>
    <w:link w:val="BalloonText"/>
    <w:rsid w:val="00AD0D3F"/>
    <w:rPr>
      <w:rFonts w:ascii="Tahoma" w:hAnsi="Tahoma" w:cs="Tahoma"/>
      <w:sz w:val="16"/>
      <w:szCs w:val="16"/>
    </w:rPr>
  </w:style>
  <w:style w:type="paragraph" w:styleId="ListParagraph">
    <w:name w:val="List Paragraph"/>
    <w:basedOn w:val="Normal"/>
    <w:uiPriority w:val="34"/>
    <w:qFormat/>
    <w:rsid w:val="00052D7C"/>
    <w:pPr>
      <w:ind w:left="720"/>
    </w:pPr>
  </w:style>
  <w:style w:type="paragraph" w:styleId="Revision">
    <w:name w:val="Revision"/>
    <w:hidden/>
    <w:uiPriority w:val="99"/>
    <w:semiHidden/>
    <w:rsid w:val="003013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DC0BD-35D4-48E6-A131-6C46E107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sweber01</dc:creator>
  <cp:keywords/>
  <cp:lastModifiedBy>LaPointe, Donald (DPH)</cp:lastModifiedBy>
  <cp:revision>4</cp:revision>
  <cp:lastPrinted>2023-06-07T18:14:00Z</cp:lastPrinted>
  <dcterms:created xsi:type="dcterms:W3CDTF">2023-06-26T14:31:00Z</dcterms:created>
  <dcterms:modified xsi:type="dcterms:W3CDTF">2023-06-26T14:33:00Z</dcterms:modified>
</cp:coreProperties>
</file>