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D2" w:rsidRPr="00246A25" w:rsidRDefault="003F1DD2" w:rsidP="003F1DD2">
      <w:pPr>
        <w:jc w:val="center"/>
        <w:rPr>
          <w:sz w:val="24"/>
          <w:szCs w:val="24"/>
        </w:rPr>
      </w:pPr>
      <w:bookmarkStart w:id="0" w:name="_GoBack"/>
      <w:bookmarkEnd w:id="0"/>
      <w:r w:rsidRPr="00246A25">
        <w:rPr>
          <w:sz w:val="24"/>
          <w:szCs w:val="24"/>
        </w:rPr>
        <w:t>COMMONWEALTH OF MASSACHUSETTS</w:t>
      </w:r>
    </w:p>
    <w:p w:rsidR="003F1DD2" w:rsidRPr="00246A25" w:rsidRDefault="003F1DD2" w:rsidP="003F1DD2">
      <w:pPr>
        <w:rPr>
          <w:sz w:val="24"/>
          <w:szCs w:val="24"/>
        </w:rPr>
      </w:pPr>
    </w:p>
    <w:p w:rsidR="003F1DD2" w:rsidRPr="00246A25" w:rsidRDefault="003F1DD2" w:rsidP="003F1DD2">
      <w:pPr>
        <w:rPr>
          <w:sz w:val="24"/>
          <w:szCs w:val="24"/>
        </w:rPr>
      </w:pPr>
      <w:r>
        <w:rPr>
          <w:sz w:val="24"/>
          <w:szCs w:val="24"/>
        </w:rPr>
        <w:t>MIDDLESEX, SS</w:t>
      </w:r>
      <w:r>
        <w:rPr>
          <w:sz w:val="24"/>
          <w:szCs w:val="24"/>
        </w:rPr>
        <w:tab/>
      </w:r>
      <w:r>
        <w:rPr>
          <w:sz w:val="24"/>
          <w:szCs w:val="24"/>
        </w:rPr>
        <w:tab/>
      </w:r>
      <w:r>
        <w:rPr>
          <w:sz w:val="24"/>
          <w:szCs w:val="24"/>
        </w:rPr>
        <w:tab/>
      </w:r>
      <w:r>
        <w:rPr>
          <w:sz w:val="24"/>
          <w:szCs w:val="24"/>
        </w:rPr>
        <w:tab/>
      </w:r>
      <w:r>
        <w:rPr>
          <w:sz w:val="24"/>
          <w:szCs w:val="24"/>
        </w:rPr>
        <w:tab/>
        <w:t>BOARD OF R</w:t>
      </w:r>
      <w:r w:rsidRPr="00246A25">
        <w:rPr>
          <w:sz w:val="24"/>
          <w:szCs w:val="24"/>
        </w:rPr>
        <w:t>EGISTRATION</w:t>
      </w:r>
    </w:p>
    <w:p w:rsidR="003F1DD2" w:rsidRDefault="003F1DD2" w:rsidP="003F1DD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46A25">
        <w:rPr>
          <w:sz w:val="24"/>
          <w:szCs w:val="24"/>
        </w:rPr>
        <w:t>IN MEDICINE</w:t>
      </w:r>
    </w:p>
    <w:p w:rsidR="003F1DD2" w:rsidRDefault="003F1DD2" w:rsidP="003F1DD2">
      <w:pPr>
        <w:rPr>
          <w:sz w:val="24"/>
          <w:szCs w:val="24"/>
        </w:rPr>
      </w:pPr>
    </w:p>
    <w:p w:rsidR="00417E13" w:rsidRPr="003F1DD2" w:rsidRDefault="00417E13" w:rsidP="003F1DD2">
      <w:pPr>
        <w:pStyle w:val="Heading1"/>
      </w:pPr>
      <w:r w:rsidRPr="003F1DD2">
        <w:tab/>
      </w:r>
      <w:r w:rsidRPr="003F1DD2">
        <w:tab/>
      </w:r>
      <w:r w:rsidRPr="003F1DD2">
        <w:tab/>
      </w:r>
      <w:r w:rsidRPr="003F1DD2">
        <w:tab/>
      </w:r>
      <w:r w:rsidRPr="003F1DD2">
        <w:tab/>
      </w:r>
      <w:r w:rsidRPr="003F1DD2">
        <w:tab/>
      </w:r>
      <w:r w:rsidRPr="003F1DD2">
        <w:tab/>
        <w:t>Adjudicatory Case</w:t>
      </w:r>
      <w:r w:rsidR="003F1DD2">
        <w:t xml:space="preserve"> </w:t>
      </w:r>
      <w:r w:rsidR="003F154F">
        <w:t>2015-017</w:t>
      </w:r>
    </w:p>
    <w:p w:rsidR="00417E13" w:rsidRPr="003F1DD2" w:rsidRDefault="003F1DD2">
      <w:pPr>
        <w:rPr>
          <w:sz w:val="24"/>
        </w:rPr>
      </w:pPr>
      <w:r>
        <w:rPr>
          <w:sz w:val="24"/>
        </w:rPr>
        <w:tab/>
      </w:r>
      <w:r>
        <w:rPr>
          <w:sz w:val="24"/>
        </w:rPr>
        <w:tab/>
      </w:r>
      <w:r>
        <w:rPr>
          <w:sz w:val="24"/>
        </w:rPr>
        <w:tab/>
      </w:r>
      <w:r>
        <w:rPr>
          <w:sz w:val="24"/>
        </w:rPr>
        <w:tab/>
      </w:r>
      <w:r>
        <w:rPr>
          <w:sz w:val="24"/>
        </w:rPr>
        <w:tab/>
      </w:r>
      <w:r>
        <w:rPr>
          <w:sz w:val="24"/>
        </w:rPr>
        <w:tab/>
      </w:r>
      <w:r>
        <w:rPr>
          <w:sz w:val="24"/>
        </w:rPr>
        <w:tab/>
        <w:t>(RM-1</w:t>
      </w:r>
      <w:r w:rsidR="003F154F">
        <w:rPr>
          <w:sz w:val="24"/>
        </w:rPr>
        <w:t>5-193</w:t>
      </w:r>
      <w:r w:rsidR="00417E13" w:rsidRPr="003F1DD2">
        <w:rPr>
          <w:sz w:val="24"/>
        </w:rPr>
        <w:t>)</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p>
    <w:p w:rsidR="00417E13" w:rsidRPr="003F1DD2" w:rsidRDefault="00417E13">
      <w:pPr>
        <w:rPr>
          <w:sz w:val="24"/>
        </w:rPr>
      </w:pPr>
      <w:r w:rsidRPr="003F1DD2">
        <w:rPr>
          <w:sz w:val="24"/>
        </w:rPr>
        <w:t>__________________________</w:t>
      </w:r>
      <w:r w:rsidR="003F1DD2">
        <w:rPr>
          <w:sz w:val="24"/>
        </w:rPr>
        <w:t xml:space="preserve"> </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003F1DD2">
        <w:rPr>
          <w:sz w:val="24"/>
        </w:rPr>
        <w:t xml:space="preserve">    </w:t>
      </w:r>
      <w:r w:rsidRPr="003F1DD2">
        <w:rPr>
          <w:sz w:val="24"/>
        </w:rPr>
        <w:t>)</w:t>
      </w:r>
    </w:p>
    <w:p w:rsidR="00417E13" w:rsidRPr="003F1DD2" w:rsidRDefault="003F1DD2">
      <w:pPr>
        <w:rPr>
          <w:sz w:val="24"/>
        </w:rPr>
      </w:pPr>
      <w:r>
        <w:rPr>
          <w:sz w:val="24"/>
        </w:rPr>
        <w:t>In the Matter of</w:t>
      </w:r>
      <w:r>
        <w:rPr>
          <w:sz w:val="24"/>
        </w:rPr>
        <w:tab/>
      </w:r>
      <w:r>
        <w:rPr>
          <w:sz w:val="24"/>
        </w:rPr>
        <w:tab/>
        <w:t xml:space="preserve">    </w:t>
      </w:r>
      <w:r w:rsidR="00417E13" w:rsidRPr="003F1DD2">
        <w:rPr>
          <w:sz w:val="24"/>
        </w:rPr>
        <w:t>)</w:t>
      </w:r>
    </w:p>
    <w:p w:rsidR="00417E13" w:rsidRPr="003F1DD2" w:rsidRDefault="00417E13">
      <w:pPr>
        <w:rPr>
          <w:b/>
          <w:sz w:val="24"/>
          <w:u w:val="single"/>
        </w:rPr>
      </w:pPr>
      <w:r w:rsidRPr="003F1DD2">
        <w:rPr>
          <w:sz w:val="24"/>
        </w:rPr>
        <w:tab/>
      </w:r>
      <w:r w:rsidRPr="003F1DD2">
        <w:rPr>
          <w:sz w:val="24"/>
        </w:rPr>
        <w:tab/>
      </w:r>
      <w:r w:rsidRPr="003F1DD2">
        <w:rPr>
          <w:sz w:val="24"/>
        </w:rPr>
        <w:tab/>
      </w:r>
      <w:r w:rsidRPr="003F1DD2">
        <w:rPr>
          <w:sz w:val="24"/>
        </w:rPr>
        <w:tab/>
      </w:r>
      <w:r w:rsidR="003F1DD2">
        <w:rPr>
          <w:sz w:val="24"/>
        </w:rPr>
        <w:t xml:space="preserve">    </w:t>
      </w:r>
      <w:r w:rsidRPr="003F1DD2">
        <w:rPr>
          <w:sz w:val="24"/>
        </w:rPr>
        <w:t>)</w:t>
      </w:r>
      <w:r w:rsidRPr="003F1DD2">
        <w:rPr>
          <w:sz w:val="24"/>
        </w:rPr>
        <w:tab/>
      </w:r>
      <w:r w:rsidRPr="003F1DD2">
        <w:rPr>
          <w:sz w:val="24"/>
        </w:rPr>
        <w:tab/>
      </w:r>
      <w:r w:rsidRPr="003F1DD2">
        <w:rPr>
          <w:sz w:val="24"/>
        </w:rPr>
        <w:tab/>
      </w:r>
      <w:r w:rsidRPr="003F1DD2">
        <w:rPr>
          <w:b/>
          <w:sz w:val="24"/>
          <w:u w:val="single"/>
        </w:rPr>
        <w:t>Final Decision &amp; Order</w:t>
      </w:r>
    </w:p>
    <w:p w:rsidR="00417E13" w:rsidRPr="003F1DD2" w:rsidRDefault="003F154F">
      <w:pPr>
        <w:rPr>
          <w:sz w:val="24"/>
        </w:rPr>
      </w:pPr>
      <w:r>
        <w:rPr>
          <w:sz w:val="24"/>
        </w:rPr>
        <w:t>Medhat Michael</w:t>
      </w:r>
      <w:r w:rsidR="00395781">
        <w:rPr>
          <w:sz w:val="24"/>
        </w:rPr>
        <w:t>, M.D.</w:t>
      </w:r>
      <w:r w:rsidR="003F1DD2">
        <w:rPr>
          <w:sz w:val="24"/>
        </w:rPr>
        <w:tab/>
        <w:t xml:space="preserve">    </w:t>
      </w:r>
      <w:r w:rsidR="00417E13" w:rsidRPr="003F1DD2">
        <w:rPr>
          <w:sz w:val="24"/>
        </w:rPr>
        <w:t>)</w:t>
      </w:r>
    </w:p>
    <w:p w:rsidR="00417E13" w:rsidRPr="003F1DD2" w:rsidRDefault="003F1DD2">
      <w:pPr>
        <w:rPr>
          <w:sz w:val="24"/>
        </w:rPr>
      </w:pPr>
      <w:r>
        <w:rPr>
          <w:sz w:val="24"/>
        </w:rPr>
        <w:t>__________________________</w:t>
      </w:r>
      <w:r w:rsidR="00417E13" w:rsidRPr="003F1DD2">
        <w:rPr>
          <w:sz w:val="24"/>
        </w:rPr>
        <w:t>)</w:t>
      </w:r>
    </w:p>
    <w:p w:rsidR="00417E13" w:rsidRPr="003F1DD2" w:rsidRDefault="00417E13">
      <w:pPr>
        <w:rPr>
          <w:sz w:val="24"/>
        </w:rPr>
      </w:pPr>
    </w:p>
    <w:p w:rsidR="00417E13" w:rsidRPr="003F1DD2" w:rsidRDefault="00417E13">
      <w:pPr>
        <w:rPr>
          <w:sz w:val="24"/>
        </w:rPr>
      </w:pPr>
    </w:p>
    <w:p w:rsidR="00027BFB" w:rsidRDefault="00417E13" w:rsidP="006735D1">
      <w:pPr>
        <w:spacing w:line="480" w:lineRule="auto"/>
        <w:rPr>
          <w:sz w:val="24"/>
        </w:rPr>
      </w:pPr>
      <w:r w:rsidRPr="003F1DD2">
        <w:tab/>
      </w:r>
      <w:r w:rsidRPr="00AC6FCF">
        <w:rPr>
          <w:sz w:val="24"/>
          <w:szCs w:val="24"/>
        </w:rPr>
        <w:t xml:space="preserve">This matter came before the Board for final disposition on the basis of the Administrative Magistrate’s </w:t>
      </w:r>
      <w:r w:rsidR="008228AC" w:rsidRPr="00AC6FCF">
        <w:rPr>
          <w:sz w:val="24"/>
          <w:szCs w:val="24"/>
        </w:rPr>
        <w:t>Summary of Recommended Decision on Motion for</w:t>
      </w:r>
      <w:r w:rsidR="003F1DD2" w:rsidRPr="00AC6FCF">
        <w:rPr>
          <w:sz w:val="24"/>
          <w:szCs w:val="24"/>
        </w:rPr>
        <w:t xml:space="preserve"> Summary Decision (“Recommended Decision”)</w:t>
      </w:r>
      <w:r w:rsidRPr="00AC6FCF">
        <w:rPr>
          <w:sz w:val="24"/>
          <w:szCs w:val="24"/>
        </w:rPr>
        <w:t xml:space="preserve">, dated </w:t>
      </w:r>
      <w:r w:rsidR="008228AC" w:rsidRPr="00AC6FCF">
        <w:rPr>
          <w:sz w:val="24"/>
          <w:szCs w:val="24"/>
        </w:rPr>
        <w:t>August 8, 2018</w:t>
      </w:r>
      <w:r w:rsidR="008C5FA9" w:rsidRPr="00AC6FCF">
        <w:rPr>
          <w:sz w:val="24"/>
          <w:szCs w:val="24"/>
        </w:rPr>
        <w:t xml:space="preserve">.  </w:t>
      </w:r>
      <w:r w:rsidRPr="00AC6FCF">
        <w:rPr>
          <w:sz w:val="24"/>
          <w:szCs w:val="24"/>
        </w:rPr>
        <w:t>After full consideration of the Recommended Decision, which is attached heret</w:t>
      </w:r>
      <w:r w:rsidR="004545BE" w:rsidRPr="00AC6FCF">
        <w:rPr>
          <w:sz w:val="24"/>
          <w:szCs w:val="24"/>
        </w:rPr>
        <w:t>o and incorporated by reference;</w:t>
      </w:r>
      <w:r w:rsidR="003772C0" w:rsidRPr="00AC6FCF">
        <w:rPr>
          <w:sz w:val="24"/>
          <w:szCs w:val="24"/>
        </w:rPr>
        <w:t xml:space="preserve"> </w:t>
      </w:r>
      <w:r w:rsidR="008228AC" w:rsidRPr="00AC6FCF">
        <w:rPr>
          <w:sz w:val="24"/>
          <w:szCs w:val="24"/>
        </w:rPr>
        <w:t>Respondent’s Obj</w:t>
      </w:r>
      <w:r w:rsidR="004545BE" w:rsidRPr="00AC6FCF">
        <w:rPr>
          <w:sz w:val="24"/>
          <w:szCs w:val="24"/>
        </w:rPr>
        <w:t>ections to Recommended Decision;</w:t>
      </w:r>
      <w:r w:rsidR="008228AC" w:rsidRPr="00AC6FCF">
        <w:rPr>
          <w:sz w:val="24"/>
          <w:szCs w:val="24"/>
        </w:rPr>
        <w:t xml:space="preserve"> the Petitioner’s Response to the Respondent’s Objections to the</w:t>
      </w:r>
      <w:r w:rsidR="004545BE" w:rsidRPr="00AC6FCF">
        <w:rPr>
          <w:sz w:val="24"/>
          <w:szCs w:val="24"/>
        </w:rPr>
        <w:t xml:space="preserve"> Recommended Decision;</w:t>
      </w:r>
      <w:r w:rsidR="008228AC" w:rsidRPr="00AC6FCF">
        <w:rPr>
          <w:sz w:val="24"/>
          <w:szCs w:val="24"/>
        </w:rPr>
        <w:t xml:space="preserve"> </w:t>
      </w:r>
      <w:r w:rsidR="00AC6FCF" w:rsidRPr="00AC6FCF">
        <w:rPr>
          <w:sz w:val="24"/>
          <w:szCs w:val="24"/>
        </w:rPr>
        <w:t>and the Parties’ respective Memoranda</w:t>
      </w:r>
      <w:r w:rsidR="008228AC" w:rsidRPr="00AC6FCF">
        <w:rPr>
          <w:sz w:val="24"/>
          <w:szCs w:val="24"/>
        </w:rPr>
        <w:t xml:space="preserve"> on Disposition, </w:t>
      </w:r>
      <w:r w:rsidRPr="00AC6FCF">
        <w:rPr>
          <w:sz w:val="24"/>
          <w:szCs w:val="24"/>
        </w:rPr>
        <w:t xml:space="preserve">the Board </w:t>
      </w:r>
      <w:r w:rsidR="00944B8C" w:rsidRPr="00AC6FCF">
        <w:rPr>
          <w:sz w:val="24"/>
          <w:szCs w:val="24"/>
        </w:rPr>
        <w:t>adopts the Re</w:t>
      </w:r>
      <w:r w:rsidR="00AC6FCF" w:rsidRPr="00AC6FCF">
        <w:rPr>
          <w:sz w:val="24"/>
          <w:szCs w:val="24"/>
        </w:rPr>
        <w:t>commended</w:t>
      </w:r>
      <w:r w:rsidR="00AC6FCF">
        <w:rPr>
          <w:sz w:val="24"/>
        </w:rPr>
        <w:t xml:space="preserve"> Decision, </w:t>
      </w:r>
      <w:r w:rsidR="00773AA8">
        <w:rPr>
          <w:sz w:val="24"/>
        </w:rPr>
        <w:t>striking</w:t>
      </w:r>
      <w:r w:rsidR="004F0B33">
        <w:rPr>
          <w:sz w:val="24"/>
        </w:rPr>
        <w:t xml:space="preserve"> </w:t>
      </w:r>
      <w:r w:rsidR="00773AA8">
        <w:rPr>
          <w:sz w:val="24"/>
        </w:rPr>
        <w:t>Conclusions of Law</w:t>
      </w:r>
      <w:r w:rsidR="004F0B33">
        <w:rPr>
          <w:sz w:val="24"/>
        </w:rPr>
        <w:t xml:space="preserve"> that </w:t>
      </w:r>
      <w:r w:rsidR="00773AA8">
        <w:rPr>
          <w:sz w:val="24"/>
        </w:rPr>
        <w:t>were not charged in the Statement of Allegations</w:t>
      </w:r>
      <w:r w:rsidR="00027BFB">
        <w:rPr>
          <w:sz w:val="24"/>
        </w:rPr>
        <w:t xml:space="preserve"> and adding an additional Conclusion of Law,</w:t>
      </w:r>
      <w:r w:rsidR="00773AA8">
        <w:rPr>
          <w:sz w:val="24"/>
        </w:rPr>
        <w:t xml:space="preserve"> </w:t>
      </w:r>
      <w:r w:rsidR="00027BFB">
        <w:rPr>
          <w:sz w:val="24"/>
        </w:rPr>
        <w:t>as follows:</w:t>
      </w:r>
    </w:p>
    <w:p w:rsidR="00AC6FCF" w:rsidRDefault="001E253F" w:rsidP="00027BFB">
      <w:pPr>
        <w:numPr>
          <w:ilvl w:val="0"/>
          <w:numId w:val="7"/>
        </w:numPr>
        <w:spacing w:line="480" w:lineRule="auto"/>
        <w:rPr>
          <w:sz w:val="24"/>
        </w:rPr>
      </w:pPr>
      <w:r>
        <w:rPr>
          <w:sz w:val="24"/>
        </w:rPr>
        <w:t>Striking that portion of paragraph 3 on page 7 that begins with “The Oklahoma Board’s grounds for disciplining […]” through the sentence ending with “[…] substantially the same.”</w:t>
      </w:r>
      <w:r w:rsidR="00027BFB">
        <w:rPr>
          <w:sz w:val="24"/>
        </w:rPr>
        <w:t xml:space="preserve">; and </w:t>
      </w:r>
    </w:p>
    <w:p w:rsidR="00027BFB" w:rsidRDefault="00027BFB" w:rsidP="00027BFB">
      <w:pPr>
        <w:numPr>
          <w:ilvl w:val="0"/>
          <w:numId w:val="7"/>
        </w:numPr>
        <w:spacing w:line="480" w:lineRule="auto"/>
        <w:rPr>
          <w:sz w:val="24"/>
        </w:rPr>
      </w:pPr>
      <w:r>
        <w:rPr>
          <w:sz w:val="24"/>
        </w:rPr>
        <w:t>Adding</w:t>
      </w:r>
      <w:r w:rsidR="00E44C2D">
        <w:rPr>
          <w:sz w:val="24"/>
        </w:rPr>
        <w:t>:</w:t>
      </w:r>
      <w:r>
        <w:rPr>
          <w:sz w:val="24"/>
        </w:rPr>
        <w:t xml:space="preserve"> “Under 243 CMR 1.03(5)(b), physicians are subject to discipline for engaging in conduct that indicates a lack of good moral character and for conduct that undermines the public confidence in the integrity of the medical profession.”  </w:t>
      </w:r>
      <w:r w:rsidRPr="00027BFB">
        <w:rPr>
          <w:sz w:val="24"/>
          <w:u w:val="single"/>
        </w:rPr>
        <w:t xml:space="preserve">Levy v. Board of </w:t>
      </w:r>
      <w:r w:rsidRPr="00027BFB">
        <w:rPr>
          <w:sz w:val="24"/>
          <w:u w:val="single"/>
        </w:rPr>
        <w:lastRenderedPageBreak/>
        <w:t>Registration in Medicine</w:t>
      </w:r>
      <w:r>
        <w:rPr>
          <w:sz w:val="24"/>
        </w:rPr>
        <w:t xml:space="preserve">, 378 Mass. 519 (1979); and </w:t>
      </w:r>
      <w:r w:rsidRPr="00027BFB">
        <w:rPr>
          <w:sz w:val="24"/>
          <w:u w:val="single"/>
        </w:rPr>
        <w:t>Raymond v. Board of Registration in Medicine</w:t>
      </w:r>
      <w:r>
        <w:rPr>
          <w:sz w:val="24"/>
        </w:rPr>
        <w:t>, 387 Mass. 708 (1982).</w:t>
      </w:r>
    </w:p>
    <w:p w:rsidR="00027BFB" w:rsidRDefault="006735D1" w:rsidP="006735D1">
      <w:pPr>
        <w:spacing w:line="480" w:lineRule="auto"/>
        <w:ind w:left="360"/>
      </w:pPr>
      <w:r>
        <w:tab/>
      </w:r>
    </w:p>
    <w:p w:rsidR="00417E13" w:rsidRPr="006735D1" w:rsidRDefault="00417E13" w:rsidP="0033567B">
      <w:pPr>
        <w:spacing w:line="480" w:lineRule="auto"/>
        <w:jc w:val="center"/>
        <w:rPr>
          <w:sz w:val="24"/>
          <w:szCs w:val="24"/>
          <w:u w:val="single"/>
        </w:rPr>
      </w:pPr>
      <w:r w:rsidRPr="006735D1">
        <w:rPr>
          <w:sz w:val="24"/>
          <w:szCs w:val="24"/>
          <w:u w:val="single"/>
        </w:rPr>
        <w:t>Sanction</w:t>
      </w:r>
    </w:p>
    <w:p w:rsidR="006F0678" w:rsidRDefault="00C35324" w:rsidP="00C513E3">
      <w:pPr>
        <w:pStyle w:val="le-brm-normal-32-level"/>
        <w:spacing w:line="480" w:lineRule="auto"/>
        <w:ind w:firstLine="720"/>
        <w:rPr>
          <w:rFonts w:ascii="Times New Roman" w:hAnsi="Times New Roman"/>
          <w:sz w:val="24"/>
          <w:szCs w:val="24"/>
        </w:rPr>
      </w:pPr>
      <w:r>
        <w:rPr>
          <w:rFonts w:ascii="Times New Roman" w:hAnsi="Times New Roman"/>
          <w:sz w:val="24"/>
          <w:szCs w:val="24"/>
        </w:rPr>
        <w:t xml:space="preserve"> </w:t>
      </w:r>
      <w:r w:rsidR="00C513E3">
        <w:rPr>
          <w:rFonts w:ascii="Times New Roman" w:hAnsi="Times New Roman"/>
          <w:sz w:val="24"/>
          <w:szCs w:val="24"/>
        </w:rPr>
        <w:t xml:space="preserve">The Board maintains the authority to discipline a physician upon proof satisfactory that the physician has been disciplined by another jurisdiction in any way by the proper licensing authority for reasons substantially the same as those set forth in </w:t>
      </w:r>
      <w:r w:rsidR="00C513E3" w:rsidRPr="00C55A09">
        <w:rPr>
          <w:rFonts w:ascii="Times New Roman" w:hAnsi="Times New Roman"/>
          <w:sz w:val="24"/>
          <w:szCs w:val="24"/>
        </w:rPr>
        <w:t xml:space="preserve">G.L. c. 112, § </w:t>
      </w:r>
      <w:r w:rsidR="00C513E3">
        <w:rPr>
          <w:rFonts w:ascii="Times New Roman" w:hAnsi="Times New Roman"/>
          <w:sz w:val="24"/>
          <w:szCs w:val="24"/>
        </w:rPr>
        <w:t xml:space="preserve">5 and 243 CMR 1.03(5).  In this case, the Oklahoma </w:t>
      </w:r>
      <w:r w:rsidR="00E84C38">
        <w:rPr>
          <w:rFonts w:ascii="Times New Roman" w:hAnsi="Times New Roman"/>
          <w:sz w:val="24"/>
          <w:szCs w:val="24"/>
        </w:rPr>
        <w:t xml:space="preserve">State </w:t>
      </w:r>
      <w:r w:rsidR="00C513E3">
        <w:rPr>
          <w:rFonts w:ascii="Times New Roman" w:hAnsi="Times New Roman"/>
          <w:sz w:val="24"/>
          <w:szCs w:val="24"/>
        </w:rPr>
        <w:t>Board</w:t>
      </w:r>
      <w:r w:rsidR="00E84C38">
        <w:rPr>
          <w:rFonts w:ascii="Times New Roman" w:hAnsi="Times New Roman"/>
          <w:sz w:val="24"/>
          <w:szCs w:val="24"/>
        </w:rPr>
        <w:t xml:space="preserve"> of Medical Licensure and Supervision (“Oklahoma Board”)</w:t>
      </w:r>
      <w:r w:rsidR="00C513E3">
        <w:rPr>
          <w:rFonts w:ascii="Times New Roman" w:hAnsi="Times New Roman"/>
          <w:sz w:val="24"/>
          <w:szCs w:val="24"/>
        </w:rPr>
        <w:t xml:space="preserve"> </w:t>
      </w:r>
      <w:r w:rsidR="000A321A">
        <w:rPr>
          <w:rFonts w:ascii="Times New Roman" w:hAnsi="Times New Roman"/>
          <w:sz w:val="24"/>
          <w:szCs w:val="24"/>
        </w:rPr>
        <w:t>imposed disciplin</w:t>
      </w:r>
      <w:r w:rsidR="00E84C38">
        <w:rPr>
          <w:rFonts w:ascii="Times New Roman" w:hAnsi="Times New Roman"/>
          <w:sz w:val="24"/>
          <w:szCs w:val="24"/>
        </w:rPr>
        <w:t>e against the Respondent, via a March 6, 2014</w:t>
      </w:r>
      <w:r w:rsidR="000A321A">
        <w:rPr>
          <w:rFonts w:ascii="Times New Roman" w:hAnsi="Times New Roman"/>
          <w:sz w:val="24"/>
          <w:szCs w:val="24"/>
        </w:rPr>
        <w:t xml:space="preserve"> Order Accepting Voluntary Surrender to Jurisdiction, </w:t>
      </w:r>
      <w:r w:rsidR="00C513E3">
        <w:rPr>
          <w:rFonts w:ascii="Times New Roman" w:hAnsi="Times New Roman"/>
          <w:sz w:val="24"/>
          <w:szCs w:val="24"/>
        </w:rPr>
        <w:t xml:space="preserve">in connection with allegations of sexual misconduct with ten (10) patients and seven (7) employees. Furthermore, the Oklahoma Board based its disciplinary action on allegations of obstruction of the Board’s investigation, falsification of medical records, prescribing controlled substances to his spouse, refusal to comply with Board subpoenas, falsification of medical records, and fraudulent license renewal.  </w:t>
      </w:r>
      <w:r w:rsidR="00BA72FF">
        <w:rPr>
          <w:rFonts w:ascii="Times New Roman" w:hAnsi="Times New Roman"/>
          <w:sz w:val="24"/>
          <w:szCs w:val="24"/>
        </w:rPr>
        <w:t xml:space="preserve">Pursuant to </w:t>
      </w:r>
      <w:r w:rsidR="00BA72FF" w:rsidRPr="00BA72FF">
        <w:rPr>
          <w:rFonts w:ascii="Times New Roman" w:hAnsi="Times New Roman"/>
          <w:sz w:val="24"/>
          <w:szCs w:val="24"/>
          <w:u w:val="single"/>
        </w:rPr>
        <w:t>Ramirez v. Board of Registration in Medicine</w:t>
      </w:r>
      <w:r w:rsidR="00BA72FF">
        <w:rPr>
          <w:rFonts w:ascii="Times New Roman" w:hAnsi="Times New Roman"/>
          <w:sz w:val="24"/>
          <w:szCs w:val="24"/>
        </w:rPr>
        <w:t>, 441 Mass. 479, 482 (2004), the Supreme Judicial Court</w:t>
      </w:r>
      <w:r w:rsidR="00E84C38">
        <w:rPr>
          <w:rFonts w:ascii="Times New Roman" w:hAnsi="Times New Roman"/>
          <w:sz w:val="24"/>
          <w:szCs w:val="24"/>
        </w:rPr>
        <w:t xml:space="preserve"> has</w:t>
      </w:r>
      <w:r w:rsidR="00BA72FF">
        <w:rPr>
          <w:rFonts w:ascii="Times New Roman" w:hAnsi="Times New Roman"/>
          <w:sz w:val="24"/>
          <w:szCs w:val="24"/>
        </w:rPr>
        <w:t xml:space="preserve"> found that professional licensing boards need not limit reciprocal discipline to cases “where misconduct has been found by the foreign board or where the physician expressly admits to wrongdoing.”</w:t>
      </w:r>
    </w:p>
    <w:p w:rsidR="00B75913" w:rsidRPr="00C55A09" w:rsidRDefault="00E84C38" w:rsidP="00E21D37">
      <w:pPr>
        <w:pStyle w:val="le-brm-normal-32-level"/>
        <w:spacing w:line="480" w:lineRule="auto"/>
        <w:ind w:firstLine="720"/>
        <w:rPr>
          <w:rFonts w:ascii="Times New Roman" w:hAnsi="Times New Roman"/>
          <w:sz w:val="24"/>
          <w:szCs w:val="24"/>
        </w:rPr>
      </w:pPr>
      <w:r>
        <w:rPr>
          <w:rFonts w:ascii="Times New Roman" w:hAnsi="Times New Roman"/>
          <w:sz w:val="24"/>
          <w:szCs w:val="24"/>
        </w:rPr>
        <w:t>The</w:t>
      </w:r>
      <w:r w:rsidR="006F0678">
        <w:rPr>
          <w:rFonts w:ascii="Times New Roman" w:hAnsi="Times New Roman"/>
          <w:sz w:val="24"/>
          <w:szCs w:val="24"/>
        </w:rPr>
        <w:t xml:space="preserve"> Board may impose reciprocal discipline for conduct that was charged in the Statement of Allegations.  </w:t>
      </w:r>
      <w:r w:rsidR="00E21D37">
        <w:rPr>
          <w:rFonts w:ascii="Times New Roman" w:hAnsi="Times New Roman"/>
          <w:sz w:val="24"/>
          <w:szCs w:val="24"/>
        </w:rPr>
        <w:t xml:space="preserve">In this case, the </w:t>
      </w:r>
      <w:r w:rsidR="00BA72FF">
        <w:rPr>
          <w:rFonts w:ascii="Times New Roman" w:hAnsi="Times New Roman"/>
          <w:sz w:val="24"/>
          <w:szCs w:val="24"/>
        </w:rPr>
        <w:t xml:space="preserve">Board may discipline </w:t>
      </w:r>
      <w:r>
        <w:rPr>
          <w:rFonts w:ascii="Times New Roman" w:hAnsi="Times New Roman"/>
          <w:sz w:val="24"/>
          <w:szCs w:val="24"/>
        </w:rPr>
        <w:t>the Respondent</w:t>
      </w:r>
      <w:r w:rsidR="00BA72FF">
        <w:rPr>
          <w:rFonts w:ascii="Times New Roman" w:hAnsi="Times New Roman"/>
          <w:sz w:val="24"/>
          <w:szCs w:val="24"/>
        </w:rPr>
        <w:t xml:space="preserve"> for engaging</w:t>
      </w:r>
      <w:r w:rsidR="00E21D37">
        <w:rPr>
          <w:rFonts w:ascii="Times New Roman" w:hAnsi="Times New Roman"/>
          <w:sz w:val="24"/>
          <w:szCs w:val="24"/>
        </w:rPr>
        <w:t xml:space="preserve"> in </w:t>
      </w:r>
      <w:r w:rsidR="00C513E3">
        <w:rPr>
          <w:rFonts w:ascii="Times New Roman" w:hAnsi="Times New Roman"/>
          <w:sz w:val="24"/>
          <w:szCs w:val="24"/>
        </w:rPr>
        <w:t>c</w:t>
      </w:r>
      <w:r w:rsidR="00C513E3" w:rsidRPr="0087763F">
        <w:rPr>
          <w:rFonts w:ascii="Times New Roman" w:hAnsi="Times New Roman"/>
          <w:sz w:val="24"/>
          <w:szCs w:val="24"/>
        </w:rPr>
        <w:t xml:space="preserve">onduct which places into question </w:t>
      </w:r>
      <w:r w:rsidR="00E21D37">
        <w:rPr>
          <w:rFonts w:ascii="Times New Roman" w:hAnsi="Times New Roman"/>
          <w:sz w:val="24"/>
          <w:szCs w:val="24"/>
        </w:rPr>
        <w:t>his</w:t>
      </w:r>
      <w:r w:rsidR="00C513E3" w:rsidRPr="0087763F">
        <w:rPr>
          <w:rFonts w:ascii="Times New Roman" w:hAnsi="Times New Roman"/>
          <w:sz w:val="24"/>
          <w:szCs w:val="24"/>
        </w:rPr>
        <w:t xml:space="preserve"> competence to practice medi</w:t>
      </w:r>
      <w:r w:rsidR="00E21D37">
        <w:rPr>
          <w:rFonts w:ascii="Times New Roman" w:hAnsi="Times New Roman"/>
          <w:sz w:val="24"/>
          <w:szCs w:val="24"/>
        </w:rPr>
        <w:t>cine, including but not limited</w:t>
      </w:r>
      <w:r w:rsidR="00C513E3" w:rsidRPr="0087763F">
        <w:rPr>
          <w:rFonts w:ascii="Times New Roman" w:hAnsi="Times New Roman"/>
          <w:sz w:val="24"/>
          <w:szCs w:val="24"/>
        </w:rPr>
        <w:t xml:space="preserve"> to</w:t>
      </w:r>
      <w:r w:rsidR="00E21D37">
        <w:rPr>
          <w:rFonts w:ascii="Times New Roman" w:hAnsi="Times New Roman"/>
          <w:sz w:val="24"/>
          <w:szCs w:val="24"/>
        </w:rPr>
        <w:t>,</w:t>
      </w:r>
      <w:r w:rsidR="00C513E3" w:rsidRPr="0087763F">
        <w:rPr>
          <w:rFonts w:ascii="Times New Roman" w:hAnsi="Times New Roman"/>
          <w:sz w:val="24"/>
          <w:szCs w:val="24"/>
        </w:rPr>
        <w:t xml:space="preserve"> gross miscond</w:t>
      </w:r>
      <w:r w:rsidR="00C513E3">
        <w:rPr>
          <w:rFonts w:ascii="Times New Roman" w:hAnsi="Times New Roman"/>
          <w:sz w:val="24"/>
          <w:szCs w:val="24"/>
        </w:rPr>
        <w:t>uct in the practice of medicine.</w:t>
      </w:r>
      <w:r w:rsidR="002B08A1">
        <w:rPr>
          <w:rFonts w:ascii="Times New Roman" w:hAnsi="Times New Roman"/>
          <w:sz w:val="24"/>
          <w:szCs w:val="24"/>
        </w:rPr>
        <w:t xml:space="preserve">  </w:t>
      </w:r>
      <w:proofErr w:type="gramStart"/>
      <w:r w:rsidR="00E21D37" w:rsidRPr="00E21D37">
        <w:rPr>
          <w:rFonts w:ascii="Times New Roman" w:hAnsi="Times New Roman"/>
          <w:sz w:val="24"/>
          <w:szCs w:val="24"/>
          <w:u w:val="single"/>
        </w:rPr>
        <w:t>See</w:t>
      </w:r>
      <w:r w:rsidR="00E21D37">
        <w:rPr>
          <w:rFonts w:ascii="Times New Roman" w:hAnsi="Times New Roman"/>
          <w:sz w:val="24"/>
          <w:szCs w:val="24"/>
        </w:rPr>
        <w:t xml:space="preserve"> </w:t>
      </w:r>
      <w:r w:rsidR="00E21D37" w:rsidRPr="0087763F">
        <w:rPr>
          <w:rFonts w:ascii="Times New Roman" w:hAnsi="Times New Roman"/>
          <w:sz w:val="24"/>
          <w:szCs w:val="24"/>
        </w:rPr>
        <w:t>G.L. c. 112, § 5, eighth par.</w:t>
      </w:r>
      <w:proofErr w:type="gramEnd"/>
      <w:r w:rsidR="00E21D37" w:rsidRPr="0087763F">
        <w:rPr>
          <w:rFonts w:ascii="Times New Roman" w:hAnsi="Times New Roman"/>
          <w:sz w:val="24"/>
          <w:szCs w:val="24"/>
        </w:rPr>
        <w:t xml:space="preserve"> (c) </w:t>
      </w:r>
      <w:proofErr w:type="gramStart"/>
      <w:r w:rsidR="00E21D37" w:rsidRPr="0087763F">
        <w:rPr>
          <w:rFonts w:ascii="Times New Roman" w:hAnsi="Times New Roman"/>
          <w:sz w:val="24"/>
          <w:szCs w:val="24"/>
        </w:rPr>
        <w:t>and</w:t>
      </w:r>
      <w:proofErr w:type="gramEnd"/>
      <w:r w:rsidR="00E21D37" w:rsidRPr="0087763F">
        <w:rPr>
          <w:rFonts w:ascii="Times New Roman" w:hAnsi="Times New Roman"/>
          <w:sz w:val="24"/>
          <w:szCs w:val="24"/>
        </w:rPr>
        <w:t xml:space="preserve"> 243 1.03(5)(a)3</w:t>
      </w:r>
      <w:r w:rsidR="00E21D37">
        <w:rPr>
          <w:rFonts w:ascii="Times New Roman" w:hAnsi="Times New Roman"/>
          <w:sz w:val="24"/>
          <w:szCs w:val="24"/>
        </w:rPr>
        <w:t xml:space="preserve">.  </w:t>
      </w:r>
      <w:r w:rsidR="00BA72FF">
        <w:rPr>
          <w:rFonts w:ascii="Times New Roman" w:hAnsi="Times New Roman"/>
          <w:sz w:val="24"/>
          <w:szCs w:val="24"/>
        </w:rPr>
        <w:t>The Board may also impose discipl</w:t>
      </w:r>
      <w:r w:rsidR="0090198E">
        <w:rPr>
          <w:rFonts w:ascii="Times New Roman" w:hAnsi="Times New Roman"/>
          <w:sz w:val="24"/>
          <w:szCs w:val="24"/>
        </w:rPr>
        <w:t>i</w:t>
      </w:r>
      <w:r w:rsidR="00BA72FF">
        <w:rPr>
          <w:rFonts w:ascii="Times New Roman" w:hAnsi="Times New Roman"/>
          <w:sz w:val="24"/>
          <w:szCs w:val="24"/>
        </w:rPr>
        <w:t xml:space="preserve">ne for </w:t>
      </w:r>
      <w:r w:rsidR="00C35324">
        <w:rPr>
          <w:rFonts w:ascii="Times New Roman" w:hAnsi="Times New Roman"/>
          <w:sz w:val="24"/>
          <w:szCs w:val="24"/>
        </w:rPr>
        <w:t>conduct that indicates a lack of good moral character and for conduct that undermines the public confidence in the medical profession</w:t>
      </w:r>
      <w:r w:rsidR="00C35324" w:rsidRPr="00C35324">
        <w:rPr>
          <w:rFonts w:ascii="Times New Roman" w:hAnsi="Times New Roman"/>
          <w:i/>
          <w:sz w:val="24"/>
          <w:szCs w:val="24"/>
        </w:rPr>
        <w:t xml:space="preserve">.  </w:t>
      </w:r>
      <w:r w:rsidR="00C35324" w:rsidRPr="00E21D37">
        <w:rPr>
          <w:rFonts w:ascii="Times New Roman" w:hAnsi="Times New Roman"/>
          <w:sz w:val="24"/>
          <w:szCs w:val="24"/>
          <w:u w:val="single"/>
        </w:rPr>
        <w:lastRenderedPageBreak/>
        <w:t>Levy v. Board of Registration in Medicine</w:t>
      </w:r>
      <w:r w:rsidR="00C35324">
        <w:rPr>
          <w:rFonts w:ascii="Times New Roman" w:hAnsi="Times New Roman"/>
          <w:sz w:val="24"/>
          <w:szCs w:val="24"/>
        </w:rPr>
        <w:t xml:space="preserve">, 378 Mass. 519, 527, 392 N.E. 2d 1036, 1041 (1979) and </w:t>
      </w:r>
      <w:r w:rsidR="00C35324" w:rsidRPr="00E21D37">
        <w:rPr>
          <w:rFonts w:ascii="Times New Roman" w:hAnsi="Times New Roman"/>
          <w:sz w:val="24"/>
          <w:szCs w:val="24"/>
          <w:u w:val="single"/>
        </w:rPr>
        <w:t>Raymond v. Board of Registration in Medicine</w:t>
      </w:r>
      <w:r w:rsidR="00C35324">
        <w:rPr>
          <w:rFonts w:ascii="Times New Roman" w:hAnsi="Times New Roman"/>
          <w:sz w:val="24"/>
          <w:szCs w:val="24"/>
        </w:rPr>
        <w:t>, 378 Mass. 709, 454 N.E.2d 391, 394, 395 (1982</w:t>
      </w:r>
      <w:r w:rsidR="00C513E3">
        <w:rPr>
          <w:rFonts w:ascii="Times New Roman" w:hAnsi="Times New Roman"/>
          <w:sz w:val="24"/>
          <w:szCs w:val="24"/>
        </w:rPr>
        <w:t xml:space="preserve">). </w:t>
      </w:r>
    </w:p>
    <w:p w:rsidR="00E21D37" w:rsidRDefault="00E21D37" w:rsidP="00E21D37">
      <w:pPr>
        <w:spacing w:line="480" w:lineRule="auto"/>
        <w:ind w:firstLine="720"/>
        <w:rPr>
          <w:sz w:val="24"/>
          <w:szCs w:val="24"/>
        </w:rPr>
      </w:pPr>
      <w:r w:rsidRPr="001833C5">
        <w:rPr>
          <w:sz w:val="24"/>
          <w:szCs w:val="24"/>
        </w:rPr>
        <w:t xml:space="preserve">The Board’s paramount responsibility is the protection of the public health, safety and welfare.  </w:t>
      </w:r>
      <w:r w:rsidRPr="001833C5">
        <w:rPr>
          <w:sz w:val="24"/>
          <w:szCs w:val="24"/>
          <w:u w:val="single"/>
        </w:rPr>
        <w:t>See</w:t>
      </w:r>
      <w:r w:rsidRPr="001833C5">
        <w:rPr>
          <w:sz w:val="24"/>
          <w:szCs w:val="24"/>
        </w:rPr>
        <w:t xml:space="preserve"> </w:t>
      </w:r>
      <w:r w:rsidRPr="00832367">
        <w:rPr>
          <w:sz w:val="24"/>
          <w:szCs w:val="24"/>
          <w:u w:val="single"/>
        </w:rPr>
        <w:t>Levy v. Board of Registration in Medicine</w:t>
      </w:r>
      <w:r w:rsidRPr="001833C5">
        <w:rPr>
          <w:sz w:val="24"/>
          <w:szCs w:val="24"/>
        </w:rPr>
        <w:t xml:space="preserve">, 378 </w:t>
      </w:r>
      <w:smartTag w:uri="urn:schemas-microsoft-com:office:smarttags" w:element="place">
        <w:smartTag w:uri="urn:schemas-microsoft-com:office:smarttags" w:element="State">
          <w:r w:rsidRPr="001833C5">
            <w:rPr>
              <w:sz w:val="24"/>
              <w:szCs w:val="24"/>
            </w:rPr>
            <w:t>Mass.</w:t>
          </w:r>
        </w:smartTag>
      </w:smartTag>
      <w:r w:rsidRPr="001833C5">
        <w:rPr>
          <w:sz w:val="24"/>
          <w:szCs w:val="24"/>
        </w:rPr>
        <w:t xml:space="preserve"> 519 (1979).</w:t>
      </w:r>
      <w:r>
        <w:rPr>
          <w:sz w:val="24"/>
          <w:szCs w:val="24"/>
        </w:rPr>
        <w:t xml:space="preserve">  </w:t>
      </w:r>
      <w:r w:rsidRPr="001833C5">
        <w:rPr>
          <w:sz w:val="24"/>
          <w:szCs w:val="24"/>
        </w:rPr>
        <w:t xml:space="preserve">The Board </w:t>
      </w:r>
      <w:r>
        <w:rPr>
          <w:sz w:val="24"/>
          <w:szCs w:val="24"/>
        </w:rPr>
        <w:t>has imposed</w:t>
      </w:r>
      <w:r w:rsidRPr="001833C5">
        <w:rPr>
          <w:sz w:val="24"/>
          <w:szCs w:val="24"/>
        </w:rPr>
        <w:t xml:space="preserve"> license revocation for physicians who have engaged in sexual misconduct concurrent with a physician-patient relationship</w:t>
      </w:r>
      <w:r>
        <w:rPr>
          <w:sz w:val="24"/>
          <w:szCs w:val="24"/>
        </w:rPr>
        <w:t xml:space="preserve"> and with employees</w:t>
      </w:r>
      <w:r w:rsidRPr="001833C5">
        <w:rPr>
          <w:sz w:val="24"/>
          <w:szCs w:val="24"/>
        </w:rPr>
        <w:t xml:space="preserve">. </w:t>
      </w:r>
      <w:r>
        <w:rPr>
          <w:sz w:val="24"/>
          <w:szCs w:val="24"/>
        </w:rPr>
        <w:t xml:space="preserve"> In </w:t>
      </w:r>
      <w:r w:rsidRPr="00783D5E">
        <w:rPr>
          <w:sz w:val="24"/>
          <w:szCs w:val="24"/>
          <w:u w:val="single"/>
        </w:rPr>
        <w:t>In the Matter of Salah Abass, M.D.</w:t>
      </w:r>
      <w:r>
        <w:rPr>
          <w:sz w:val="24"/>
          <w:szCs w:val="24"/>
        </w:rPr>
        <w:t xml:space="preserve">, Board of Registration in Medicine, Adjudicatory Case No. 2009-034 (Final Decision and Order, December 19, 2012), </w:t>
      </w:r>
      <w:proofErr w:type="gramStart"/>
      <w:r>
        <w:rPr>
          <w:sz w:val="24"/>
          <w:szCs w:val="24"/>
        </w:rPr>
        <w:t>the</w:t>
      </w:r>
      <w:proofErr w:type="gramEnd"/>
      <w:r>
        <w:rPr>
          <w:sz w:val="24"/>
          <w:szCs w:val="24"/>
        </w:rPr>
        <w:t xml:space="preserve"> Board revoked the license of a physician who sexually assaulted an employee who had previously been a patient of his, among other acts of misconduct.  Similarly, in </w:t>
      </w:r>
      <w:r w:rsidRPr="00832367">
        <w:rPr>
          <w:sz w:val="24"/>
          <w:szCs w:val="24"/>
          <w:u w:val="single"/>
        </w:rPr>
        <w:t>In the Matter of Erol Onel, M.D.</w:t>
      </w:r>
      <w:r>
        <w:rPr>
          <w:sz w:val="24"/>
          <w:szCs w:val="24"/>
        </w:rPr>
        <w:t>, Board of Registration in Medicine, Adjudicatory Case No.</w:t>
      </w:r>
      <w:r w:rsidR="00D27867">
        <w:rPr>
          <w:sz w:val="24"/>
          <w:szCs w:val="24"/>
        </w:rPr>
        <w:t xml:space="preserve"> 2008-006 (Consent Order, February 20, 2008)</w:t>
      </w:r>
      <w:r>
        <w:rPr>
          <w:sz w:val="24"/>
          <w:szCs w:val="24"/>
        </w:rPr>
        <w:t>, the Board re</w:t>
      </w:r>
      <w:r w:rsidR="007116BA">
        <w:rPr>
          <w:sz w:val="24"/>
          <w:szCs w:val="24"/>
        </w:rPr>
        <w:t>voked the license of a urologist</w:t>
      </w:r>
      <w:r>
        <w:rPr>
          <w:sz w:val="24"/>
          <w:szCs w:val="24"/>
        </w:rPr>
        <w:t xml:space="preserve"> who inappropriately </w:t>
      </w:r>
      <w:r w:rsidRPr="007116BA">
        <w:rPr>
          <w:sz w:val="24"/>
          <w:szCs w:val="24"/>
        </w:rPr>
        <w:t xml:space="preserve">touched </w:t>
      </w:r>
      <w:r w:rsidR="007116BA" w:rsidRPr="007116BA">
        <w:rPr>
          <w:sz w:val="24"/>
          <w:szCs w:val="24"/>
        </w:rPr>
        <w:t>two patients and two non-patients, a medical supply salesperson and a hospital employee).</w:t>
      </w:r>
      <w:r>
        <w:rPr>
          <w:sz w:val="24"/>
          <w:szCs w:val="24"/>
        </w:rPr>
        <w:t xml:space="preserve">  </w:t>
      </w:r>
    </w:p>
    <w:p w:rsidR="00446838" w:rsidRPr="00446838" w:rsidRDefault="00641807" w:rsidP="00E21D37">
      <w:pPr>
        <w:pStyle w:val="le-brm-normal-32-level"/>
        <w:spacing w:before="0" w:after="0" w:line="480" w:lineRule="auto"/>
        <w:ind w:firstLine="720"/>
        <w:rPr>
          <w:rFonts w:ascii="Times New Roman" w:hAnsi="Times New Roman"/>
          <w:sz w:val="24"/>
          <w:szCs w:val="24"/>
        </w:rPr>
      </w:pPr>
      <w:r>
        <w:rPr>
          <w:rFonts w:ascii="Times New Roman" w:hAnsi="Times New Roman"/>
          <w:sz w:val="24"/>
          <w:szCs w:val="24"/>
        </w:rPr>
        <w:t>As a function of its obligations to protect the public health, welfare an</w:t>
      </w:r>
      <w:r w:rsidR="00E21D37">
        <w:rPr>
          <w:rFonts w:ascii="Times New Roman" w:hAnsi="Times New Roman"/>
          <w:sz w:val="24"/>
          <w:szCs w:val="24"/>
        </w:rPr>
        <w:t>d safety, it is proper for the B</w:t>
      </w:r>
      <w:r>
        <w:rPr>
          <w:rFonts w:ascii="Times New Roman" w:hAnsi="Times New Roman"/>
          <w:sz w:val="24"/>
          <w:szCs w:val="24"/>
        </w:rPr>
        <w:t xml:space="preserve">oard to exercise its authority to discipline the Respondent.  </w:t>
      </w:r>
      <w:r w:rsidR="00C55A09" w:rsidRPr="0098280E">
        <w:rPr>
          <w:rFonts w:ascii="Times New Roman" w:hAnsi="Times New Roman"/>
          <w:sz w:val="24"/>
          <w:szCs w:val="24"/>
          <w:u w:val="single"/>
        </w:rPr>
        <w:t>See</w:t>
      </w:r>
      <w:r w:rsidR="00C55A09">
        <w:rPr>
          <w:rFonts w:ascii="Times New Roman" w:hAnsi="Times New Roman"/>
          <w:sz w:val="24"/>
          <w:szCs w:val="24"/>
        </w:rPr>
        <w:t xml:space="preserve"> </w:t>
      </w:r>
      <w:r w:rsidRPr="00E21D37">
        <w:rPr>
          <w:rFonts w:ascii="Times New Roman" w:hAnsi="Times New Roman"/>
          <w:sz w:val="24"/>
          <w:szCs w:val="24"/>
          <w:u w:val="single"/>
        </w:rPr>
        <w:t>Levy v. Board of Registration in Medicine</w:t>
      </w:r>
      <w:r w:rsidRPr="00FE6787">
        <w:rPr>
          <w:rFonts w:ascii="Times New Roman" w:hAnsi="Times New Roman"/>
          <w:i/>
          <w:sz w:val="24"/>
          <w:szCs w:val="24"/>
        </w:rPr>
        <w:t>,</w:t>
      </w:r>
      <w:r>
        <w:rPr>
          <w:rFonts w:ascii="Times New Roman" w:hAnsi="Times New Roman"/>
          <w:sz w:val="24"/>
          <w:szCs w:val="24"/>
        </w:rPr>
        <w:t xml:space="preserve"> 378 Mass. 519 (1979).  </w:t>
      </w:r>
      <w:r w:rsidR="00B21471">
        <w:rPr>
          <w:rFonts w:ascii="Times New Roman" w:hAnsi="Times New Roman"/>
          <w:sz w:val="24"/>
          <w:szCs w:val="24"/>
        </w:rPr>
        <w:t xml:space="preserve">Pursuant to 243 CMR 1.03(15), the Board maintains the authority to impose discipline against a physician whose license has been revoked by operation of law.  </w:t>
      </w:r>
      <w:r>
        <w:rPr>
          <w:rFonts w:ascii="Times New Roman" w:hAnsi="Times New Roman"/>
          <w:sz w:val="24"/>
          <w:szCs w:val="24"/>
        </w:rPr>
        <w:t>Therefore, the Board REVOKES the Respondent’s inchoate right to renew his license to practice medicine in the Commonwealth.</w:t>
      </w:r>
      <w:r w:rsidR="00B21471">
        <w:rPr>
          <w:rFonts w:ascii="Times New Roman" w:hAnsi="Times New Roman"/>
          <w:sz w:val="24"/>
          <w:szCs w:val="24"/>
        </w:rPr>
        <w:t xml:space="preserve">  </w:t>
      </w:r>
    </w:p>
    <w:p w:rsidR="00446838" w:rsidRPr="00446838" w:rsidRDefault="00446838" w:rsidP="00446838">
      <w:pPr>
        <w:pStyle w:val="le-brm-normal-32-level"/>
        <w:spacing w:line="480" w:lineRule="auto"/>
        <w:rPr>
          <w:rFonts w:ascii="Times New Roman" w:hAnsi="Times New Roman"/>
          <w:sz w:val="24"/>
          <w:szCs w:val="24"/>
        </w:rPr>
      </w:pPr>
      <w:r w:rsidRPr="00446838">
        <w:rPr>
          <w:rFonts w:ascii="Times New Roman" w:hAnsi="Times New Roman"/>
          <w:sz w:val="24"/>
          <w:szCs w:val="24"/>
        </w:rPr>
        <w:tab/>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w:t>
      </w:r>
      <w:r w:rsidRPr="00446838">
        <w:rPr>
          <w:rFonts w:ascii="Times New Roman" w:hAnsi="Times New Roman"/>
          <w:sz w:val="24"/>
          <w:szCs w:val="24"/>
        </w:rPr>
        <w:lastRenderedPageBreak/>
        <w:t>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The Respondent shall also provide this notification to any such designated entities with which he becomes associated for the duration of this revocation. The Respondent is further directed to certify to the Board within ten (10) days that he has complied with this directive.  The Board expressly reserves the authority to notify independently, at any time, any of the entities designated above, or any other affected entity, of any action taken.</w:t>
      </w:r>
    </w:p>
    <w:p w:rsidR="00446838" w:rsidRPr="00446838" w:rsidRDefault="00446838" w:rsidP="00A01FFD">
      <w:pPr>
        <w:spacing w:line="480" w:lineRule="auto"/>
        <w:rPr>
          <w:sz w:val="24"/>
          <w:szCs w:val="24"/>
        </w:rPr>
      </w:pPr>
      <w:r w:rsidRPr="00446838">
        <w:rPr>
          <w:sz w:val="24"/>
          <w:szCs w:val="24"/>
        </w:rPr>
        <w:tab/>
        <w:t>The Respondent has the right to appeal this final Decision and Order within thirty (30) days, pursuant to G.L. c. 30A, §§ 14 and 15, and G.L. c. 112, § 64.</w:t>
      </w:r>
    </w:p>
    <w:p w:rsidR="00417E13" w:rsidRPr="003F1DD2" w:rsidRDefault="00417E13" w:rsidP="008C5FA9">
      <w:pPr>
        <w:pStyle w:val="le-brm-normal-32-level"/>
        <w:spacing w:line="480" w:lineRule="auto"/>
        <w:rPr>
          <w:sz w:val="24"/>
        </w:rPr>
      </w:pPr>
      <w:r w:rsidRPr="003F1DD2">
        <w:rPr>
          <w:rFonts w:ascii="Times New Roman" w:hAnsi="Times New Roman"/>
          <w:sz w:val="24"/>
        </w:rPr>
        <w:tab/>
      </w:r>
    </w:p>
    <w:p w:rsidR="00417E13" w:rsidRPr="00F07425" w:rsidRDefault="00417E13">
      <w:pPr>
        <w:pStyle w:val="Heading1"/>
        <w:rPr>
          <w:u w:val="single"/>
        </w:rPr>
      </w:pPr>
      <w:r w:rsidRPr="003F1DD2">
        <w:t>DATE:</w:t>
      </w:r>
      <w:r w:rsidR="00F07425">
        <w:t xml:space="preserve"> </w:t>
      </w:r>
      <w:r w:rsidR="00F07425">
        <w:rPr>
          <w:u w:val="single"/>
        </w:rPr>
        <w:t>April 4, 2019</w:t>
      </w:r>
      <w:r w:rsidR="00F07425">
        <w:rPr>
          <w:u w:val="single"/>
        </w:rPr>
        <w:tab/>
      </w:r>
      <w:r w:rsidRPr="003F1DD2">
        <w:tab/>
      </w:r>
      <w:r w:rsidRPr="003F1DD2">
        <w:tab/>
      </w:r>
      <w:r w:rsidRPr="003F1DD2">
        <w:tab/>
      </w:r>
      <w:r w:rsidRPr="003F1DD2">
        <w:tab/>
      </w:r>
      <w:r w:rsidR="00F07425">
        <w:rPr>
          <w:u w:val="single"/>
        </w:rPr>
        <w:t>Signed by Candace Lapidus Sloane, M.D.</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00641807">
        <w:rPr>
          <w:sz w:val="24"/>
        </w:rPr>
        <w:t>Candace Lapidus Sloane</w:t>
      </w:r>
      <w:r w:rsidRPr="003F1DD2">
        <w:rPr>
          <w:sz w:val="24"/>
        </w:rPr>
        <w:t>, M.D.</w:t>
      </w:r>
    </w:p>
    <w:p w:rsidR="00417E13" w:rsidRPr="003F1DD2" w:rsidRDefault="00417E13">
      <w:pPr>
        <w:ind w:firstLine="720"/>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00641807">
        <w:rPr>
          <w:sz w:val="24"/>
        </w:rPr>
        <w:t>Chair</w:t>
      </w:r>
    </w:p>
    <w:sectPr w:rsidR="00417E13" w:rsidRPr="003F1DD2" w:rsidSect="003F1DD2">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3F" w:rsidRDefault="00AA723F">
      <w:r>
        <w:separator/>
      </w:r>
    </w:p>
  </w:endnote>
  <w:endnote w:type="continuationSeparator" w:id="0">
    <w:p w:rsidR="00AA723F" w:rsidRDefault="00AA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13" w:rsidRDefault="00417E13">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B2A2F">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B2A2F">
      <w:rPr>
        <w:noProof/>
        <w:snapToGrid w:val="0"/>
      </w:rPr>
      <w:t>4</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3F" w:rsidRDefault="00AA723F">
      <w:r>
        <w:separator/>
      </w:r>
    </w:p>
  </w:footnote>
  <w:footnote w:type="continuationSeparator" w:id="0">
    <w:p w:rsidR="00AA723F" w:rsidRDefault="00AA7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A64"/>
    <w:multiLevelType w:val="hybridMultilevel"/>
    <w:tmpl w:val="8AC2D948"/>
    <w:lvl w:ilvl="0" w:tplc="4516C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BC02AD"/>
    <w:multiLevelType w:val="hybridMultilevel"/>
    <w:tmpl w:val="CE7E6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AC3A9F"/>
    <w:multiLevelType w:val="hybridMultilevel"/>
    <w:tmpl w:val="A8A0A83A"/>
    <w:lvl w:ilvl="0" w:tplc="0AB2A8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F74954"/>
    <w:multiLevelType w:val="hybridMultilevel"/>
    <w:tmpl w:val="269C9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82E57"/>
    <w:multiLevelType w:val="hybridMultilevel"/>
    <w:tmpl w:val="60F033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4F5C29"/>
    <w:multiLevelType w:val="hybridMultilevel"/>
    <w:tmpl w:val="A92A5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EF6CC2"/>
    <w:multiLevelType w:val="hybridMultilevel"/>
    <w:tmpl w:val="188E5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1F"/>
    <w:rsid w:val="00024545"/>
    <w:rsid w:val="00027BFB"/>
    <w:rsid w:val="00036616"/>
    <w:rsid w:val="00041B0F"/>
    <w:rsid w:val="00043CFF"/>
    <w:rsid w:val="0006349C"/>
    <w:rsid w:val="000A321A"/>
    <w:rsid w:val="001052EB"/>
    <w:rsid w:val="001D3415"/>
    <w:rsid w:val="001E253F"/>
    <w:rsid w:val="00204A50"/>
    <w:rsid w:val="00226D18"/>
    <w:rsid w:val="00237C3B"/>
    <w:rsid w:val="00245655"/>
    <w:rsid w:val="0025437C"/>
    <w:rsid w:val="002871B1"/>
    <w:rsid w:val="002B08A1"/>
    <w:rsid w:val="00331815"/>
    <w:rsid w:val="0033567B"/>
    <w:rsid w:val="003548EA"/>
    <w:rsid w:val="003772C0"/>
    <w:rsid w:val="003852F2"/>
    <w:rsid w:val="00395781"/>
    <w:rsid w:val="003C2A47"/>
    <w:rsid w:val="003C5851"/>
    <w:rsid w:val="003E6D68"/>
    <w:rsid w:val="003F154F"/>
    <w:rsid w:val="003F1DD2"/>
    <w:rsid w:val="003F700D"/>
    <w:rsid w:val="00417E13"/>
    <w:rsid w:val="00424298"/>
    <w:rsid w:val="004257DB"/>
    <w:rsid w:val="00443185"/>
    <w:rsid w:val="00446838"/>
    <w:rsid w:val="004545BE"/>
    <w:rsid w:val="004B7208"/>
    <w:rsid w:val="004F0B33"/>
    <w:rsid w:val="00590973"/>
    <w:rsid w:val="0059345E"/>
    <w:rsid w:val="00641807"/>
    <w:rsid w:val="006735D1"/>
    <w:rsid w:val="006B22AD"/>
    <w:rsid w:val="006F0678"/>
    <w:rsid w:val="006F1A33"/>
    <w:rsid w:val="007116BA"/>
    <w:rsid w:val="0073079B"/>
    <w:rsid w:val="00745347"/>
    <w:rsid w:val="00755CB3"/>
    <w:rsid w:val="00773AA8"/>
    <w:rsid w:val="007A51A6"/>
    <w:rsid w:val="007D3FF5"/>
    <w:rsid w:val="007E1C06"/>
    <w:rsid w:val="007F6F9A"/>
    <w:rsid w:val="008228AC"/>
    <w:rsid w:val="00867114"/>
    <w:rsid w:val="008828D7"/>
    <w:rsid w:val="008C1931"/>
    <w:rsid w:val="008C5FA9"/>
    <w:rsid w:val="008D116B"/>
    <w:rsid w:val="0090198E"/>
    <w:rsid w:val="00941656"/>
    <w:rsid w:val="00944B8C"/>
    <w:rsid w:val="00953FCC"/>
    <w:rsid w:val="009559FC"/>
    <w:rsid w:val="009759FB"/>
    <w:rsid w:val="0098280E"/>
    <w:rsid w:val="009B2A2F"/>
    <w:rsid w:val="009B7532"/>
    <w:rsid w:val="00A01FFD"/>
    <w:rsid w:val="00A02480"/>
    <w:rsid w:val="00A60CB0"/>
    <w:rsid w:val="00A94706"/>
    <w:rsid w:val="00A9546C"/>
    <w:rsid w:val="00AA723F"/>
    <w:rsid w:val="00AC098B"/>
    <w:rsid w:val="00AC5AB4"/>
    <w:rsid w:val="00AC6FCF"/>
    <w:rsid w:val="00AF631F"/>
    <w:rsid w:val="00B21471"/>
    <w:rsid w:val="00B54586"/>
    <w:rsid w:val="00B75913"/>
    <w:rsid w:val="00B80767"/>
    <w:rsid w:val="00BA72FF"/>
    <w:rsid w:val="00BE1AB6"/>
    <w:rsid w:val="00BE1E80"/>
    <w:rsid w:val="00C35324"/>
    <w:rsid w:val="00C513E3"/>
    <w:rsid w:val="00C55A09"/>
    <w:rsid w:val="00CE461B"/>
    <w:rsid w:val="00D27867"/>
    <w:rsid w:val="00D33EBC"/>
    <w:rsid w:val="00D74426"/>
    <w:rsid w:val="00D8257E"/>
    <w:rsid w:val="00E21D37"/>
    <w:rsid w:val="00E44C2D"/>
    <w:rsid w:val="00E764D0"/>
    <w:rsid w:val="00E84C38"/>
    <w:rsid w:val="00ED597C"/>
    <w:rsid w:val="00EF1E42"/>
    <w:rsid w:val="00F04DBA"/>
    <w:rsid w:val="00F07425"/>
    <w:rsid w:val="00F655F2"/>
    <w:rsid w:val="00F8478B"/>
    <w:rsid w:val="00FE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u w:val="single"/>
    </w:rPr>
  </w:style>
  <w:style w:type="paragraph" w:styleId="Heading3">
    <w:name w:val="heading 3"/>
    <w:basedOn w:val="Normal"/>
    <w:next w:val="Normal"/>
    <w:qFormat/>
    <w:pPr>
      <w:keepNext/>
      <w:spacing w:line="480" w:lineRule="auto"/>
      <w:ind w:firstLine="720"/>
      <w:outlineLvl w:val="2"/>
    </w:pPr>
    <w:rPr>
      <w:rFonts w:ascii="Arial" w:hAnsi="Arial" w:cs="Arial"/>
      <w:b/>
      <w:bCs/>
      <w:iCs/>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brm-normal-32-level">
    <w:name w:val="le-brm-normal-32-level"/>
    <w:basedOn w:val="Normal"/>
    <w:pPr>
      <w:spacing w:before="15" w:after="15"/>
    </w:pPr>
    <w:rPr>
      <w:rFonts w:ascii="Courier New" w:hAnsi="Courier New"/>
      <w:color w:val="00000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link w:val="BalloonTextChar"/>
    <w:rsid w:val="0059345E"/>
    <w:rPr>
      <w:rFonts w:ascii="Tahoma" w:hAnsi="Tahoma" w:cs="Tahoma"/>
      <w:sz w:val="16"/>
      <w:szCs w:val="16"/>
    </w:rPr>
  </w:style>
  <w:style w:type="character" w:customStyle="1" w:styleId="BalloonTextChar">
    <w:name w:val="Balloon Text Char"/>
    <w:link w:val="BalloonText"/>
    <w:rsid w:val="0059345E"/>
    <w:rPr>
      <w:rFonts w:ascii="Tahoma" w:hAnsi="Tahoma" w:cs="Tahoma"/>
      <w:sz w:val="16"/>
      <w:szCs w:val="16"/>
    </w:rPr>
  </w:style>
  <w:style w:type="paragraph" w:styleId="ListParagraph">
    <w:name w:val="List Paragraph"/>
    <w:basedOn w:val="Normal"/>
    <w:uiPriority w:val="34"/>
    <w:qFormat/>
    <w:rsid w:val="00C513E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u w:val="single"/>
    </w:rPr>
  </w:style>
  <w:style w:type="paragraph" w:styleId="Heading3">
    <w:name w:val="heading 3"/>
    <w:basedOn w:val="Normal"/>
    <w:next w:val="Normal"/>
    <w:qFormat/>
    <w:pPr>
      <w:keepNext/>
      <w:spacing w:line="480" w:lineRule="auto"/>
      <w:ind w:firstLine="720"/>
      <w:outlineLvl w:val="2"/>
    </w:pPr>
    <w:rPr>
      <w:rFonts w:ascii="Arial" w:hAnsi="Arial" w:cs="Arial"/>
      <w:b/>
      <w:bCs/>
      <w:iCs/>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brm-normal-32-level">
    <w:name w:val="le-brm-normal-32-level"/>
    <w:basedOn w:val="Normal"/>
    <w:pPr>
      <w:spacing w:before="15" w:after="15"/>
    </w:pPr>
    <w:rPr>
      <w:rFonts w:ascii="Courier New" w:hAnsi="Courier New"/>
      <w:color w:val="00000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link w:val="BalloonTextChar"/>
    <w:rsid w:val="0059345E"/>
    <w:rPr>
      <w:rFonts w:ascii="Tahoma" w:hAnsi="Tahoma" w:cs="Tahoma"/>
      <w:sz w:val="16"/>
      <w:szCs w:val="16"/>
    </w:rPr>
  </w:style>
  <w:style w:type="character" w:customStyle="1" w:styleId="BalloonTextChar">
    <w:name w:val="Balloon Text Char"/>
    <w:link w:val="BalloonText"/>
    <w:rsid w:val="0059345E"/>
    <w:rPr>
      <w:rFonts w:ascii="Tahoma" w:hAnsi="Tahoma" w:cs="Tahoma"/>
      <w:sz w:val="16"/>
      <w:szCs w:val="16"/>
    </w:rPr>
  </w:style>
  <w:style w:type="paragraph" w:styleId="ListParagraph">
    <w:name w:val="List Paragraph"/>
    <w:basedOn w:val="Normal"/>
    <w:uiPriority w:val="34"/>
    <w:qFormat/>
    <w:rsid w:val="00C513E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3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2</cp:revision>
  <cp:lastPrinted>2019-03-27T14:29:00Z</cp:lastPrinted>
  <dcterms:created xsi:type="dcterms:W3CDTF">2019-04-10T18:56:00Z</dcterms:created>
  <dcterms:modified xsi:type="dcterms:W3CDTF">2019-04-10T18:56:00Z</dcterms:modified>
</cp:coreProperties>
</file>