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B97D" w14:textId="77777777" w:rsidR="004C0CCE" w:rsidRDefault="004C0CCE" w:rsidP="00CF3F01">
      <w:pPr>
        <w:spacing w:line="360" w:lineRule="auto"/>
        <w:jc w:val="center"/>
      </w:pPr>
      <w:r>
        <w:t>COMMONWEALTH OF MASSACHUSETTS</w:t>
      </w:r>
    </w:p>
    <w:p w14:paraId="6691D197" w14:textId="77777777" w:rsidR="004C0CCE" w:rsidRDefault="004C0CCE" w:rsidP="00CF3F01">
      <w:pPr>
        <w:spacing w:line="360" w:lineRule="auto"/>
        <w:jc w:val="center"/>
      </w:pPr>
      <w:r>
        <w:t>BOARD OF REGISTRATION IN MEDICINE</w:t>
      </w:r>
    </w:p>
    <w:p w14:paraId="03227E40" w14:textId="77777777" w:rsidR="004C0CCE" w:rsidRDefault="004C0CCE" w:rsidP="00CF3F01">
      <w:pPr>
        <w:spacing w:line="360" w:lineRule="auto"/>
      </w:pPr>
    </w:p>
    <w:p w14:paraId="5D522268" w14:textId="77777777" w:rsidR="004C0CCE" w:rsidRDefault="004C0CCE" w:rsidP="00CF3F01">
      <w:pPr>
        <w:spacing w:line="360" w:lineRule="auto"/>
      </w:pPr>
    </w:p>
    <w:p w14:paraId="32FEE2BA" w14:textId="77777777" w:rsidR="004C0CCE" w:rsidRDefault="004C0CCE" w:rsidP="00CF3F01">
      <w:pPr>
        <w:spacing w:line="360" w:lineRule="auto"/>
        <w:jc w:val="both"/>
      </w:pPr>
      <w:r>
        <w:t>MIDDLESEX, SS</w:t>
      </w:r>
      <w:r>
        <w:tab/>
      </w:r>
      <w:r>
        <w:tab/>
      </w:r>
      <w:r>
        <w:tab/>
      </w:r>
      <w:r>
        <w:tab/>
      </w:r>
      <w:r>
        <w:tab/>
        <w:t>Adjudicatory Case No. 2022-051</w:t>
      </w:r>
    </w:p>
    <w:p w14:paraId="774CB61C" w14:textId="77777777" w:rsidR="004C0CCE" w:rsidRDefault="004C0CCE" w:rsidP="00CF3F01">
      <w:pPr>
        <w:spacing w:line="360" w:lineRule="auto"/>
        <w:jc w:val="both"/>
      </w:pPr>
      <w:r>
        <w:tab/>
      </w:r>
      <w:r>
        <w:tab/>
      </w:r>
      <w:r>
        <w:tab/>
      </w:r>
      <w:r>
        <w:tab/>
      </w:r>
      <w:r>
        <w:tab/>
      </w:r>
      <w:r>
        <w:tab/>
      </w:r>
      <w:r>
        <w:tab/>
        <w:t>(RM-22-0588)</w:t>
      </w:r>
    </w:p>
    <w:p w14:paraId="54F34762" w14:textId="77777777" w:rsidR="004C0CCE" w:rsidRDefault="004C0CCE" w:rsidP="00CF3F01">
      <w:pPr>
        <w:spacing w:line="360" w:lineRule="auto"/>
        <w:jc w:val="both"/>
      </w:pPr>
      <w:r>
        <w:t>________________________</w:t>
      </w:r>
    </w:p>
    <w:p w14:paraId="14065425" w14:textId="77777777" w:rsidR="004C0CCE" w:rsidRDefault="004C0CCE" w:rsidP="00CF3F01">
      <w:pPr>
        <w:spacing w:line="360" w:lineRule="auto"/>
        <w:jc w:val="both"/>
      </w:pPr>
      <w:r>
        <w:tab/>
      </w:r>
      <w:r>
        <w:tab/>
      </w:r>
      <w:r>
        <w:tab/>
      </w:r>
      <w:r>
        <w:tab/>
        <w:t>)</w:t>
      </w:r>
    </w:p>
    <w:p w14:paraId="51D6C53D" w14:textId="5178B21A" w:rsidR="004C0CCE" w:rsidRDefault="004C0CCE" w:rsidP="00CF3F01">
      <w:pPr>
        <w:spacing w:line="360" w:lineRule="auto"/>
        <w:jc w:val="both"/>
      </w:pPr>
      <w:r>
        <w:t xml:space="preserve">In the Matter of </w:t>
      </w:r>
      <w:r>
        <w:tab/>
      </w:r>
      <w:r>
        <w:tab/>
        <w:t>)</w:t>
      </w:r>
      <w:r>
        <w:tab/>
      </w:r>
      <w:r>
        <w:tab/>
      </w:r>
      <w:r>
        <w:tab/>
        <w:t xml:space="preserve">    </w:t>
      </w:r>
      <w:r>
        <w:tab/>
      </w:r>
      <w:r>
        <w:tab/>
      </w:r>
      <w:r>
        <w:tab/>
      </w:r>
      <w:r>
        <w:tab/>
      </w:r>
      <w:r>
        <w:tab/>
      </w:r>
      <w:r>
        <w:tab/>
      </w:r>
      <w:r>
        <w:tab/>
      </w:r>
      <w:r>
        <w:tab/>
      </w:r>
      <w:r>
        <w:tab/>
      </w:r>
      <w:r>
        <w:tab/>
        <w:t>)</w:t>
      </w:r>
      <w:r>
        <w:tab/>
      </w:r>
      <w:r>
        <w:tab/>
      </w:r>
      <w:r>
        <w:tab/>
        <w:t>Final Decision and Order</w:t>
      </w:r>
    </w:p>
    <w:p w14:paraId="37599F09" w14:textId="77777777" w:rsidR="004C0CCE" w:rsidRDefault="004C0CCE" w:rsidP="00CF3F01">
      <w:pPr>
        <w:spacing w:line="360" w:lineRule="auto"/>
        <w:jc w:val="both"/>
      </w:pPr>
      <w:r>
        <w:t>Erkan Mutlukan, M.D.</w:t>
      </w:r>
      <w:r>
        <w:tab/>
        <w:t>)</w:t>
      </w:r>
      <w:r>
        <w:tab/>
      </w:r>
      <w:r>
        <w:tab/>
      </w:r>
      <w:r>
        <w:tab/>
        <w:t xml:space="preserve"> </w:t>
      </w:r>
    </w:p>
    <w:p w14:paraId="45B65C72" w14:textId="77777777" w:rsidR="0005482B" w:rsidRDefault="004C0CCE" w:rsidP="00CF3F01">
      <w:pPr>
        <w:spacing w:line="360" w:lineRule="auto"/>
        <w:jc w:val="both"/>
      </w:pPr>
      <w:r>
        <w:t xml:space="preserve">________________________)            </w:t>
      </w:r>
    </w:p>
    <w:p w14:paraId="017011FF" w14:textId="288D099C" w:rsidR="004C0CCE" w:rsidRDefault="004C0CCE" w:rsidP="00CF3F01">
      <w:pPr>
        <w:spacing w:line="360" w:lineRule="auto"/>
        <w:jc w:val="both"/>
      </w:pPr>
      <w:r>
        <w:t xml:space="preserve">           </w:t>
      </w:r>
      <w:r>
        <w:tab/>
      </w:r>
    </w:p>
    <w:p w14:paraId="273BF618" w14:textId="087FDC98" w:rsidR="00A2691B" w:rsidRDefault="00B478EB" w:rsidP="00CF3F01">
      <w:pPr>
        <w:spacing w:line="360" w:lineRule="auto"/>
        <w:ind w:firstLine="720"/>
        <w:jc w:val="both"/>
      </w:pPr>
      <w:r>
        <w:t xml:space="preserve">This matter came before the Board for </w:t>
      </w:r>
      <w:r w:rsidR="00FB06FE">
        <w:t xml:space="preserve">imposition of </w:t>
      </w:r>
      <w:r w:rsidR="00FD168A">
        <w:t xml:space="preserve">a sanction, </w:t>
      </w:r>
      <w:r w:rsidR="00FB06FE">
        <w:t xml:space="preserve">following the </w:t>
      </w:r>
      <w:r>
        <w:t xml:space="preserve">Board of Registration in Medicine’s February </w:t>
      </w:r>
      <w:r w:rsidR="00175B1C">
        <w:t xml:space="preserve">27, 2025 </w:t>
      </w:r>
      <w:r w:rsidR="1804DDA5">
        <w:t>consideration of</w:t>
      </w:r>
      <w:r w:rsidR="1AA5D3BD">
        <w:t xml:space="preserve"> the </w:t>
      </w:r>
      <w:r w:rsidR="00FB06FE">
        <w:t>Division of Administrative Law Appeals’ (DALA)</w:t>
      </w:r>
      <w:r w:rsidR="00C019A6">
        <w:t xml:space="preserve"> </w:t>
      </w:r>
      <w:r w:rsidR="00175B1C">
        <w:t xml:space="preserve">October 9, 2024 </w:t>
      </w:r>
      <w:r w:rsidR="006F1E9F">
        <w:t>Recommended Decision on Petitioner’s Motion for Partial Summary Decision</w:t>
      </w:r>
      <w:r w:rsidR="3B90D56C">
        <w:t xml:space="preserve">, rejection of the Respondent’s </w:t>
      </w:r>
      <w:r w:rsidR="7B5C0EAF">
        <w:t xml:space="preserve">objections thereto, and adoption of the Findings of Fact and Conclusions of Law in the Recommended Decision. </w:t>
      </w:r>
      <w:r w:rsidR="00F50F12">
        <w:t xml:space="preserve">After full consideration of the </w:t>
      </w:r>
      <w:r w:rsidR="00126F80">
        <w:t xml:space="preserve">Recommended Decision and Parties’ Memoranda on Disposition and after hearing from the Parties, </w:t>
      </w:r>
      <w:r w:rsidR="00F50F12">
        <w:t xml:space="preserve">the Board adds the following: </w:t>
      </w:r>
    </w:p>
    <w:p w14:paraId="43CAFFEC" w14:textId="77777777" w:rsidR="00EC4726" w:rsidRDefault="00EC4726" w:rsidP="00CF3F01">
      <w:pPr>
        <w:spacing w:line="360" w:lineRule="auto"/>
        <w:ind w:firstLine="720"/>
        <w:jc w:val="both"/>
      </w:pPr>
    </w:p>
    <w:p w14:paraId="23524DB2" w14:textId="30CD79DA" w:rsidR="00A2691B" w:rsidRDefault="00A2691B" w:rsidP="00CF3F01">
      <w:pPr>
        <w:spacing w:line="360" w:lineRule="auto"/>
        <w:ind w:firstLine="720"/>
        <w:jc w:val="center"/>
        <w:rPr>
          <w:u w:val="single"/>
        </w:rPr>
      </w:pPr>
      <w:r w:rsidRPr="00A2691B">
        <w:rPr>
          <w:u w:val="single"/>
        </w:rPr>
        <w:t>Sanction</w:t>
      </w:r>
    </w:p>
    <w:p w14:paraId="6323D189" w14:textId="77777777" w:rsidR="00A2691B" w:rsidRDefault="00A2691B" w:rsidP="00CF3F01">
      <w:pPr>
        <w:spacing w:line="360" w:lineRule="auto"/>
        <w:ind w:firstLine="720"/>
        <w:jc w:val="center"/>
        <w:rPr>
          <w:u w:val="single"/>
        </w:rPr>
      </w:pPr>
    </w:p>
    <w:p w14:paraId="768E250E" w14:textId="7482712E" w:rsidR="006A7326" w:rsidRDefault="00294DB3" w:rsidP="00CF3F01">
      <w:pPr>
        <w:spacing w:line="360" w:lineRule="auto"/>
        <w:ind w:firstLine="720"/>
        <w:jc w:val="both"/>
      </w:pPr>
      <w:r>
        <w:t>The record demonstrates that</w:t>
      </w:r>
      <w:r w:rsidR="78B1409C">
        <w:t>, after a full hearing before the Medical Practitioners Tribunal (Tribunal),</w:t>
      </w:r>
      <w:r w:rsidR="00C16DC4">
        <w:t xml:space="preserve"> the General Medical Council (GMC) of the United Kingdom “erased” the Respondent’s license based on numerous incidents</w:t>
      </w:r>
      <w:r w:rsidR="00731198">
        <w:t>, over the span of nearly two years,</w:t>
      </w:r>
      <w:r>
        <w:t xml:space="preserve"> </w:t>
      </w:r>
      <w:r w:rsidR="00C16DC4">
        <w:t xml:space="preserve">in which </w:t>
      </w:r>
      <w:r>
        <w:t>the Respondent</w:t>
      </w:r>
      <w:r w:rsidR="00C16DC4">
        <w:t>’s</w:t>
      </w:r>
      <w:r>
        <w:t xml:space="preserve"> </w:t>
      </w:r>
      <w:r w:rsidR="00C16DC4">
        <w:t xml:space="preserve">conduct </w:t>
      </w:r>
      <w:r w:rsidR="00EC4726">
        <w:t>towards patients, patient family members, colleagues, and others was offensive</w:t>
      </w:r>
      <w:r w:rsidR="006D1EF4">
        <w:t>,</w:t>
      </w:r>
      <w:r w:rsidR="00EC4726">
        <w:t xml:space="preserve"> </w:t>
      </w:r>
      <w:r w:rsidR="006D1EF4">
        <w:t>inappropriate,</w:t>
      </w:r>
      <w:r w:rsidR="00731198">
        <w:t xml:space="preserve"> </w:t>
      </w:r>
      <w:r w:rsidR="006D1EF4">
        <w:t xml:space="preserve">and aggressive, and left his </w:t>
      </w:r>
      <w:r w:rsidR="00EC4726">
        <w:t>targets intimidated, frightened, and</w:t>
      </w:r>
      <w:r w:rsidR="006D1EF4">
        <w:t>/</w:t>
      </w:r>
      <w:r w:rsidR="00EC4726">
        <w:t>or concerned that they would be assaulted</w:t>
      </w:r>
      <w:r w:rsidR="006D1EF4">
        <w:t>.</w:t>
      </w:r>
      <w:r w:rsidR="00EC4726">
        <w:t xml:space="preserve"> </w:t>
      </w:r>
      <w:r w:rsidR="00126F80">
        <w:t xml:space="preserve">The incidents included physical aggression and the use </w:t>
      </w:r>
      <w:r w:rsidR="0097206A">
        <w:t>of racially</w:t>
      </w:r>
      <w:r w:rsidR="00EC4726">
        <w:t xml:space="preserve"> derogatory language</w:t>
      </w:r>
      <w:r w:rsidR="00C16DC4">
        <w:t xml:space="preserve">. </w:t>
      </w:r>
      <w:r w:rsidR="00CA6A75">
        <w:t xml:space="preserve"> The Board finds the racially derogatory language</w:t>
      </w:r>
      <w:r w:rsidR="00FF12A4">
        <w:t xml:space="preserve"> used</w:t>
      </w:r>
      <w:r w:rsidR="00CA6A75">
        <w:t xml:space="preserve"> to be particularly offense</w:t>
      </w:r>
      <w:r w:rsidR="00FF12A4">
        <w:t xml:space="preserve"> and hateful.</w:t>
      </w:r>
    </w:p>
    <w:p w14:paraId="6755D8FD" w14:textId="262FEBDB" w:rsidR="007035F0" w:rsidRDefault="006D76BC" w:rsidP="00CF3F01">
      <w:pPr>
        <w:spacing w:line="360" w:lineRule="auto"/>
        <w:ind w:firstLine="720"/>
        <w:jc w:val="both"/>
      </w:pPr>
      <w:r>
        <w:lastRenderedPageBreak/>
        <w:t xml:space="preserve"> “Taken together, the incidents…warrant discipline…based on gross misconduct”</w:t>
      </w:r>
      <w:r w:rsidR="006A7326">
        <w:rPr>
          <w:rStyle w:val="FootnoteReference"/>
        </w:rPr>
        <w:footnoteReference w:id="1"/>
      </w:r>
      <w:r w:rsidR="00203375">
        <w:t xml:space="preserve"> pursuant to 243 CMR 1.03(5)(a)3, engaging in misconduct</w:t>
      </w:r>
      <w:r w:rsidR="003C421B">
        <w:t xml:space="preserve"> in the practice of medicine</w:t>
      </w:r>
      <w:r w:rsidR="00B35912">
        <w:t xml:space="preserve">, pursuant to 243 CMR 1.03(5)(a)18, violating a rule or regulation of the Board, namely, </w:t>
      </w:r>
      <w:r w:rsidR="00A26A3E">
        <w:t>Board Polic</w:t>
      </w:r>
      <w:r w:rsidR="00833DCE">
        <w:t xml:space="preserve">y 01-01 “Disruptive Physician Behavior” (adopted June 13, 2001), and engaging in conduct that </w:t>
      </w:r>
      <w:r w:rsidR="005751C6">
        <w:t>undermines public confidence in the integrity of the medical profession</w:t>
      </w:r>
      <w:r w:rsidR="003C487C">
        <w:t xml:space="preserve">, pursuant to </w:t>
      </w:r>
      <w:r w:rsidR="005751C6" w:rsidRPr="65D0FF57">
        <w:rPr>
          <w:i/>
          <w:iCs/>
        </w:rPr>
        <w:t>Raymond</w:t>
      </w:r>
      <w:r w:rsidR="00E50ECF" w:rsidRPr="65D0FF57">
        <w:rPr>
          <w:i/>
          <w:iCs/>
        </w:rPr>
        <w:t xml:space="preserve"> v. Bd. of Reg. in Med.</w:t>
      </w:r>
      <w:r w:rsidR="00E50ECF">
        <w:t>,</w:t>
      </w:r>
      <w:r w:rsidR="005751C6">
        <w:t xml:space="preserve"> 387 Mass. at 713; </w:t>
      </w:r>
      <w:r w:rsidR="005751C6" w:rsidRPr="65D0FF57">
        <w:rPr>
          <w:i/>
          <w:iCs/>
        </w:rPr>
        <w:t>Levy v. Bd of Reg. in Med.</w:t>
      </w:r>
      <w:r w:rsidR="005751C6">
        <w:t>, 378 Mass. 519 (1979).</w:t>
      </w:r>
    </w:p>
    <w:p w14:paraId="1A1BE257" w14:textId="0C50EDE0" w:rsidR="3C5DA9ED" w:rsidRDefault="003F68D2" w:rsidP="00CF3F01">
      <w:pPr>
        <w:spacing w:line="360" w:lineRule="auto"/>
        <w:ind w:right="90" w:firstLine="720"/>
        <w:jc w:val="both"/>
      </w:pPr>
      <w:r>
        <w:t>“</w:t>
      </w:r>
      <w:r w:rsidR="330A4563">
        <w:t>When determining the appropriate sanction...the Board takes into consideration the nature of the offense, whether the...conduct occurred during the course of the practice of medicine or was related to the practice of medicine, the impact of the physician’s misco</w:t>
      </w:r>
      <w:r w:rsidR="44A0F9EC">
        <w:t>nduct and any mitigating or aggravating factors.</w:t>
      </w:r>
      <w:r>
        <w:t xml:space="preserve">” </w:t>
      </w:r>
      <w:r w:rsidR="3C5DA9ED" w:rsidRPr="65D0FF57">
        <w:rPr>
          <w:i/>
          <w:iCs/>
        </w:rPr>
        <w:t>In the Matter of Ronald S. Grusd, M.D.</w:t>
      </w:r>
      <w:r w:rsidR="3C5DA9ED">
        <w:t xml:space="preserve">, Board of Registration in Medicine, </w:t>
      </w:r>
      <w:r>
        <w:t>A</w:t>
      </w:r>
      <w:r w:rsidR="3C5DA9ED">
        <w:t>djudicatory Case No. 2018-032 (Final Decision &amp; Order, October 22, 2020).</w:t>
      </w:r>
    </w:p>
    <w:p w14:paraId="3B1AE0A5" w14:textId="4820D598" w:rsidR="3D41B349" w:rsidRDefault="3D41B349" w:rsidP="00CF3F01">
      <w:pPr>
        <w:spacing w:line="360" w:lineRule="auto"/>
        <w:ind w:firstLine="720"/>
        <w:jc w:val="both"/>
        <w:rPr>
          <w:color w:val="000000" w:themeColor="text1"/>
        </w:rPr>
      </w:pPr>
      <w:r w:rsidRPr="515CE8C0">
        <w:rPr>
          <w:color w:val="000000" w:themeColor="text1"/>
        </w:rPr>
        <w:t xml:space="preserve">The Board often has imposed a reprimand for disruptive behavior and has imposed this sanction in wide-ranging circumstances, including: i) a case where a physician, frustrated by his facility’s admitting patients he believed should be transferred to other hospitals, refused to go into the hospital when contacted by nurses. </w:t>
      </w:r>
      <w:r w:rsidRPr="515CE8C0">
        <w:rPr>
          <w:color w:val="000000" w:themeColor="text1"/>
          <w:u w:val="single"/>
        </w:rPr>
        <w:t>See</w:t>
      </w:r>
      <w:r w:rsidRPr="515CE8C0">
        <w:rPr>
          <w:color w:val="000000" w:themeColor="text1"/>
        </w:rPr>
        <w:t xml:space="preserve"> </w:t>
      </w:r>
      <w:r w:rsidRPr="515CE8C0">
        <w:rPr>
          <w:i/>
          <w:iCs/>
          <w:color w:val="000000" w:themeColor="text1"/>
        </w:rPr>
        <w:t>In the Matter of Timothy Soul-Regine, M.D.</w:t>
      </w:r>
      <w:r w:rsidRPr="515CE8C0">
        <w:rPr>
          <w:color w:val="000000" w:themeColor="text1"/>
        </w:rPr>
        <w:t xml:space="preserve">, Board of Registration in Medicine, Adjudicatory Case No. 2013-042 (Consent Order, September 11, 2013); and ii) a case where a physician engaged in disruptive behavior on four separate occasions, including one where he threatened violence, but had completed a behavioral assessment, engaged in psychotherapy, and completed a course in workplace conflict prior to the imposition of discipline. </w:t>
      </w:r>
      <w:r w:rsidRPr="515CE8C0">
        <w:rPr>
          <w:color w:val="000000" w:themeColor="text1"/>
          <w:u w:val="single"/>
        </w:rPr>
        <w:t>See</w:t>
      </w:r>
      <w:r w:rsidRPr="515CE8C0">
        <w:rPr>
          <w:color w:val="000000" w:themeColor="text1"/>
        </w:rPr>
        <w:t xml:space="preserve"> </w:t>
      </w:r>
      <w:r w:rsidRPr="515CE8C0">
        <w:rPr>
          <w:i/>
          <w:iCs/>
          <w:color w:val="000000" w:themeColor="text1"/>
        </w:rPr>
        <w:t>In the Matter of Paul Silverstein, M.D.</w:t>
      </w:r>
      <w:r w:rsidRPr="515CE8C0">
        <w:rPr>
          <w:color w:val="000000" w:themeColor="text1"/>
        </w:rPr>
        <w:t xml:space="preserve">, Board of Registration in Medicine, Adjudicatory Case No. 2007-066 (Consent Order, December 19, 2007). </w:t>
      </w:r>
    </w:p>
    <w:p w14:paraId="345A1E24" w14:textId="17F17553" w:rsidR="3D41B349" w:rsidRDefault="3D41B349" w:rsidP="00CF3F01">
      <w:pPr>
        <w:spacing w:line="360" w:lineRule="auto"/>
        <w:ind w:firstLine="720"/>
        <w:jc w:val="both"/>
        <w:rPr>
          <w:color w:val="000000" w:themeColor="text1"/>
        </w:rPr>
      </w:pPr>
      <w:r w:rsidRPr="515CE8C0">
        <w:rPr>
          <w:color w:val="000000" w:themeColor="text1"/>
        </w:rPr>
        <w:t>In some</w:t>
      </w:r>
      <w:r w:rsidRPr="515CE8C0">
        <w:rPr>
          <w:b/>
          <w:bCs/>
          <w:color w:val="000000" w:themeColor="text1"/>
        </w:rPr>
        <w:t xml:space="preserve"> </w:t>
      </w:r>
      <w:r w:rsidRPr="515CE8C0">
        <w:rPr>
          <w:color w:val="000000" w:themeColor="text1"/>
        </w:rPr>
        <w:t xml:space="preserve">instances, the Board has imposed indefinite suspension of a physician’s license based on disruptive behavior and allowed a petition to stay the suspension upon the physician’s entry into a Probation Agreement. </w:t>
      </w:r>
      <w:r w:rsidR="001B1C38" w:rsidRPr="001B1C38">
        <w:rPr>
          <w:color w:val="000000" w:themeColor="text1"/>
          <w:u w:val="single"/>
        </w:rPr>
        <w:t>See</w:t>
      </w:r>
      <w:r w:rsidR="001B1C38">
        <w:rPr>
          <w:color w:val="000000" w:themeColor="text1"/>
        </w:rPr>
        <w:t xml:space="preserve"> </w:t>
      </w:r>
      <w:r w:rsidR="001B1C38" w:rsidRPr="001B1C38">
        <w:rPr>
          <w:i/>
          <w:iCs/>
          <w:color w:val="000000" w:themeColor="text1"/>
        </w:rPr>
        <w:t>In the Matter of Sheldon Schwartz, M.D.</w:t>
      </w:r>
      <w:r w:rsidR="001B1C38">
        <w:rPr>
          <w:color w:val="000000" w:themeColor="text1"/>
        </w:rPr>
        <w:t xml:space="preserve">, Board of Registration in Medicine, Adjudicatory Case No. 2015-037 (Final Decision and Order, May 20, 2021(Board indefinitely suspended physician for two disruptive incidents in February and May 2013, involving offensive language and uncooperative behavior in the presence of </w:t>
      </w:r>
      <w:r w:rsidR="008B164A">
        <w:rPr>
          <w:color w:val="000000" w:themeColor="text1"/>
        </w:rPr>
        <w:t>patients</w:t>
      </w:r>
      <w:r w:rsidR="001B1C38">
        <w:rPr>
          <w:color w:val="000000" w:themeColor="text1"/>
        </w:rPr>
        <w:t xml:space="preserve">.); </w:t>
      </w:r>
      <w:r w:rsidRPr="515CE8C0">
        <w:rPr>
          <w:color w:val="000000" w:themeColor="text1"/>
          <w:u w:val="single"/>
        </w:rPr>
        <w:t>See</w:t>
      </w:r>
      <w:r w:rsidRPr="515CE8C0">
        <w:rPr>
          <w:i/>
          <w:iCs/>
          <w:color w:val="000000" w:themeColor="text1"/>
        </w:rPr>
        <w:t xml:space="preserve"> </w:t>
      </w:r>
      <w:r w:rsidRPr="515CE8C0">
        <w:rPr>
          <w:color w:val="000000" w:themeColor="text1"/>
          <w:u w:val="single"/>
        </w:rPr>
        <w:t>e.g</w:t>
      </w:r>
      <w:r w:rsidRPr="515CE8C0">
        <w:rPr>
          <w:i/>
          <w:iCs/>
          <w:color w:val="000000" w:themeColor="text1"/>
        </w:rPr>
        <w:t>., In the Matter of Peter J. Mulhern, M.D.</w:t>
      </w:r>
      <w:r w:rsidRPr="515CE8C0">
        <w:rPr>
          <w:color w:val="000000" w:themeColor="text1"/>
        </w:rPr>
        <w:t xml:space="preserve">, Board of Registration in Medicine, Adjudicatory Case Nos. 2005-007 and 2005-046 (Final Decision and Order, September 5, 2007)(the Board suspended the physician’s  inchoate right to renew his license and conditioned a petition to stay </w:t>
      </w:r>
      <w:r w:rsidRPr="515CE8C0">
        <w:rPr>
          <w:color w:val="000000" w:themeColor="text1"/>
        </w:rPr>
        <w:lastRenderedPageBreak/>
        <w:t xml:space="preserve">on the physician’s  demonstrate his fitness to practice and entering a Probation Agreement, where the physician’s disruptive behavior included multiple acts on multiple days and included his throwing a sandbag in anger and injuring a co-worker’s foot, and threatening to punch another physician). </w:t>
      </w:r>
    </w:p>
    <w:p w14:paraId="58A34A5E" w14:textId="08BC53FD" w:rsidR="3D41B349" w:rsidRDefault="3D41B349" w:rsidP="00CF3F01">
      <w:pPr>
        <w:spacing w:line="360" w:lineRule="auto"/>
        <w:ind w:firstLine="720"/>
        <w:jc w:val="both"/>
      </w:pPr>
      <w:r w:rsidRPr="515CE8C0">
        <w:rPr>
          <w:color w:val="000000" w:themeColor="text1"/>
        </w:rPr>
        <w:t>The Board distinguish</w:t>
      </w:r>
      <w:r w:rsidR="09595E82" w:rsidRPr="515CE8C0">
        <w:rPr>
          <w:color w:val="000000" w:themeColor="text1"/>
        </w:rPr>
        <w:t>es</w:t>
      </w:r>
      <w:r w:rsidRPr="515CE8C0">
        <w:rPr>
          <w:color w:val="000000" w:themeColor="text1"/>
        </w:rPr>
        <w:t xml:space="preserve"> th</w:t>
      </w:r>
      <w:r w:rsidR="001B1C38">
        <w:rPr>
          <w:color w:val="000000" w:themeColor="text1"/>
        </w:rPr>
        <w:t>e pendant case</w:t>
      </w:r>
      <w:r w:rsidRPr="515CE8C0">
        <w:rPr>
          <w:color w:val="000000" w:themeColor="text1"/>
        </w:rPr>
        <w:t xml:space="preserve"> from </w:t>
      </w:r>
      <w:r w:rsidRPr="515CE8C0">
        <w:rPr>
          <w:i/>
          <w:iCs/>
          <w:color w:val="000000" w:themeColor="text1"/>
        </w:rPr>
        <w:t>Schwart</w:t>
      </w:r>
      <w:r w:rsidR="001B1C38">
        <w:rPr>
          <w:i/>
          <w:iCs/>
          <w:color w:val="000000" w:themeColor="text1"/>
        </w:rPr>
        <w:t>z</w:t>
      </w:r>
      <w:r w:rsidR="00DD2BA1">
        <w:rPr>
          <w:i/>
          <w:iCs/>
          <w:color w:val="000000" w:themeColor="text1"/>
        </w:rPr>
        <w:t xml:space="preserve"> </w:t>
      </w:r>
      <w:r w:rsidR="00DD2BA1" w:rsidRPr="00DD2BA1">
        <w:rPr>
          <w:color w:val="000000" w:themeColor="text1"/>
        </w:rPr>
        <w:t>and</w:t>
      </w:r>
      <w:r w:rsidRPr="515CE8C0">
        <w:rPr>
          <w:i/>
          <w:iCs/>
          <w:color w:val="000000" w:themeColor="text1"/>
        </w:rPr>
        <w:t xml:space="preserve"> Mulhern</w:t>
      </w:r>
      <w:r w:rsidR="00DD2BA1">
        <w:rPr>
          <w:i/>
          <w:iCs/>
          <w:color w:val="000000" w:themeColor="text1"/>
        </w:rPr>
        <w:t xml:space="preserve">, </w:t>
      </w:r>
      <w:r w:rsidR="008B164A" w:rsidRPr="00DD2BA1">
        <w:rPr>
          <w:color w:val="000000" w:themeColor="text1"/>
        </w:rPr>
        <w:t xml:space="preserve">based </w:t>
      </w:r>
      <w:r w:rsidR="008B164A" w:rsidRPr="515CE8C0">
        <w:rPr>
          <w:color w:val="000000" w:themeColor="text1"/>
        </w:rPr>
        <w:t>on</w:t>
      </w:r>
      <w:r w:rsidR="00DD2BA1">
        <w:rPr>
          <w:color w:val="000000" w:themeColor="text1"/>
        </w:rPr>
        <w:t xml:space="preserve"> the duration of the wrong-doing</w:t>
      </w:r>
      <w:r w:rsidR="00FF12A4">
        <w:rPr>
          <w:color w:val="000000" w:themeColor="text1"/>
        </w:rPr>
        <w:t xml:space="preserve">,the </w:t>
      </w:r>
      <w:r w:rsidR="00DD2BA1">
        <w:rPr>
          <w:color w:val="000000" w:themeColor="text1"/>
        </w:rPr>
        <w:t>number and scope of individuals impacted</w:t>
      </w:r>
      <w:r w:rsidR="00FF12A4">
        <w:rPr>
          <w:color w:val="000000" w:themeColor="text1"/>
        </w:rPr>
        <w:t>, and the use of particularly offensive and hateful racially derogatory language</w:t>
      </w:r>
      <w:r w:rsidR="00DD2BA1">
        <w:rPr>
          <w:color w:val="000000" w:themeColor="text1"/>
        </w:rPr>
        <w:t xml:space="preserve">. </w:t>
      </w:r>
      <w:r w:rsidR="00A5659C">
        <w:t>“[C]ollectively, these incidents…are a flagrant and extreme departure from professional norms.”</w:t>
      </w:r>
      <w:r w:rsidR="00A5659C">
        <w:rPr>
          <w:rStyle w:val="FootnoteReference"/>
        </w:rPr>
        <w:footnoteReference w:id="2"/>
      </w:r>
    </w:p>
    <w:p w14:paraId="35221EBC" w14:textId="5ECA9890" w:rsidR="00DE6148" w:rsidRPr="000769AE" w:rsidRDefault="00DE6148" w:rsidP="000769AE">
      <w:pPr>
        <w:spacing w:line="360" w:lineRule="auto"/>
        <w:ind w:firstLine="720"/>
        <w:jc w:val="both"/>
      </w:pPr>
      <w:r>
        <w:t xml:space="preserve">The Board identifies no mitigating circumstances in the pendant matter. The Board acknowledges the Respondent’s stated contributions to Ophthalmic Science but is cognizant that “[m]ere intellectual power and scientific achievement without uprightness of character may be more harmful than ignorance.” </w:t>
      </w:r>
      <w:r w:rsidRPr="00DE6148">
        <w:rPr>
          <w:i/>
          <w:iCs/>
        </w:rPr>
        <w:t>Lawrence v. Board of Registration in Medicine</w:t>
      </w:r>
      <w:r>
        <w:t>, 239 Mass. 424 428-429 (1921).</w:t>
      </w:r>
    </w:p>
    <w:p w14:paraId="571BEE3A" w14:textId="445FBCE1" w:rsidR="3D41B349" w:rsidRDefault="3D41B349" w:rsidP="00CF3F01">
      <w:pPr>
        <w:spacing w:line="360" w:lineRule="auto"/>
        <w:ind w:firstLine="720"/>
        <w:jc w:val="both"/>
        <w:rPr>
          <w:color w:val="000000" w:themeColor="text1"/>
        </w:rPr>
      </w:pPr>
      <w:r w:rsidRPr="515CE8C0">
        <w:rPr>
          <w:color w:val="000000" w:themeColor="text1"/>
        </w:rPr>
        <w:t xml:space="preserve">The Board may </w:t>
      </w:r>
      <w:r w:rsidR="008B164A" w:rsidRPr="515CE8C0">
        <w:rPr>
          <w:color w:val="000000" w:themeColor="text1"/>
        </w:rPr>
        <w:t>conclude</w:t>
      </w:r>
      <w:r w:rsidRPr="515CE8C0">
        <w:rPr>
          <w:color w:val="000000" w:themeColor="text1"/>
        </w:rPr>
        <w:t xml:space="preserve"> that revocation is the appropriate sanction in this matter, given the Respondent’s “flagrant and extreme departure from professional norms,” over an extended period and directed towards a broad scope of health care recipients and providers. The Board conclude</w:t>
      </w:r>
      <w:r w:rsidR="00CA6A75">
        <w:rPr>
          <w:color w:val="000000" w:themeColor="text1"/>
        </w:rPr>
        <w:t>s</w:t>
      </w:r>
      <w:r w:rsidRPr="515CE8C0">
        <w:rPr>
          <w:color w:val="000000" w:themeColor="text1"/>
        </w:rPr>
        <w:t xml:space="preserve"> that the Respondent’s admission in his </w:t>
      </w:r>
      <w:r w:rsidR="00CA373F">
        <w:rPr>
          <w:color w:val="000000" w:themeColor="text1"/>
        </w:rPr>
        <w:t>November 7, 2024</w:t>
      </w:r>
      <w:r w:rsidRPr="515CE8C0">
        <w:rPr>
          <w:color w:val="000000" w:themeColor="text1"/>
        </w:rPr>
        <w:t xml:space="preserve"> correspondence that  he became “very disruptive recently…[and] got [himself] into the disgraceful and unprofessional conduct of foul language, sarcasm, arrogance, agitation and insults and fully disruptive behavior in phone calls to medical practices of [a Massachusetts health care facility]”</w:t>
      </w:r>
      <w:r w:rsidR="00ED27FC">
        <w:rPr>
          <w:rStyle w:val="FootnoteReference"/>
          <w:color w:val="000000" w:themeColor="text1"/>
        </w:rPr>
        <w:footnoteReference w:id="3"/>
      </w:r>
      <w:r w:rsidRPr="515CE8C0">
        <w:rPr>
          <w:color w:val="000000" w:themeColor="text1"/>
        </w:rPr>
        <w:t xml:space="preserve"> reinforces doubt as to the Respondent’s impulse control and ability to be remediated. </w:t>
      </w:r>
    </w:p>
    <w:p w14:paraId="0A851138" w14:textId="4800B23B" w:rsidR="00700F75" w:rsidRDefault="00EE3453" w:rsidP="00132AB9">
      <w:pPr>
        <w:spacing w:line="360" w:lineRule="auto"/>
        <w:ind w:firstLine="720"/>
        <w:jc w:val="both"/>
      </w:pPr>
      <w:r>
        <w:rPr>
          <w:color w:val="000000" w:themeColor="text1"/>
        </w:rPr>
        <w:t>Based on the scope and duration of the Respondent’s gross misconduct, and c</w:t>
      </w:r>
      <w:r w:rsidR="00883688">
        <w:rPr>
          <w:color w:val="000000" w:themeColor="text1"/>
        </w:rPr>
        <w:t>onsistent with the Board’s responsibility to “promote public health and safety,”</w:t>
      </w:r>
      <w:r w:rsidR="00883688">
        <w:rPr>
          <w:rStyle w:val="FootnoteReference"/>
          <w:color w:val="000000" w:themeColor="text1"/>
        </w:rPr>
        <w:footnoteReference w:id="4"/>
      </w:r>
      <w:r w:rsidR="00883688">
        <w:rPr>
          <w:color w:val="000000" w:themeColor="text1"/>
        </w:rPr>
        <w:t xml:space="preserve"> the Board REVOKES the </w:t>
      </w:r>
      <w:r>
        <w:rPr>
          <w:color w:val="000000" w:themeColor="text1"/>
        </w:rPr>
        <w:t xml:space="preserve">Respondent’s license to practice medicine. </w:t>
      </w:r>
      <w:r w:rsidR="00700F75" w:rsidRPr="003B5244">
        <w:t>The sanction is imposed for each violation of the law, and not a combination of any or all of them</w:t>
      </w:r>
      <w:r w:rsidR="00700F75">
        <w:t>.</w:t>
      </w:r>
      <w:r w:rsidR="00512C16">
        <w:t xml:space="preserve"> </w:t>
      </w:r>
      <w:r w:rsidR="006F4C51">
        <w:t xml:space="preserve">Given the imposition of said sanction, it is not necessary for the Board to address the remaining allegations in the SOA. Thereby, paragraphs </w:t>
      </w:r>
      <w:r w:rsidR="007E05B2">
        <w:t>8</w:t>
      </w:r>
      <w:r w:rsidR="006F4C51">
        <w:t>-</w:t>
      </w:r>
      <w:r w:rsidR="000B1C1A">
        <w:t>2</w:t>
      </w:r>
      <w:r w:rsidR="007E05B2">
        <w:t>7</w:t>
      </w:r>
      <w:r w:rsidR="006F4C51">
        <w:t xml:space="preserve"> </w:t>
      </w:r>
      <w:r w:rsidR="007E05B2">
        <w:t xml:space="preserve">of the SOA </w:t>
      </w:r>
      <w:r w:rsidR="006F4C51">
        <w:t>are dismissed.</w:t>
      </w:r>
    </w:p>
    <w:p w14:paraId="3ED6AEE0" w14:textId="5F1DFC1E" w:rsidR="00075EE6" w:rsidRDefault="00700F75" w:rsidP="00E27A55">
      <w:pPr>
        <w:spacing w:line="360" w:lineRule="auto"/>
        <w:jc w:val="both"/>
      </w:pPr>
      <w:r>
        <w:lastRenderedPageBreak/>
        <w:tab/>
      </w:r>
      <w:r w:rsidR="00E27A55">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w:t>
      </w:r>
      <w:r w:rsidR="001F04C2">
        <w:t>revocation</w:t>
      </w:r>
      <w:r w:rsidR="00E27A55">
        <w:t>. The Respondent is further directed to certify to the Board within ten (10) days that he has complied with this directive.</w:t>
      </w:r>
      <w:r w:rsidR="00ED2833">
        <w:t xml:space="preserve"> The Board expressly reserves the </w:t>
      </w:r>
      <w:r w:rsidR="00B107AC">
        <w:t xml:space="preserve">authority </w:t>
      </w:r>
      <w:r w:rsidR="00ED2833">
        <w:t>to</w:t>
      </w:r>
      <w:r w:rsidR="00B107AC">
        <w:t xml:space="preserve"> independently notify, at any time, any of the </w:t>
      </w:r>
      <w:r w:rsidR="00AC00A2">
        <w:t xml:space="preserve">entities designated above, or any other affected entity, of any action it has taken. </w:t>
      </w:r>
    </w:p>
    <w:p w14:paraId="3F719815" w14:textId="3BEDF4F5" w:rsidR="00E27A55" w:rsidRDefault="00075EE6" w:rsidP="00E27A55">
      <w:pPr>
        <w:spacing w:line="360" w:lineRule="auto"/>
        <w:jc w:val="both"/>
      </w:pPr>
      <w:r>
        <w:tab/>
        <w:t>The Respondent has the right to appeal this Final Decision and Order within thirty (30) days, pursuant to G.L. c. 30A</w:t>
      </w:r>
      <w:r w:rsidR="00DE4039">
        <w:t>,</w:t>
      </w:r>
      <w:r w:rsidR="00B217B4">
        <w:t xml:space="preserve"> §§</w:t>
      </w:r>
      <w:r w:rsidR="005144F2">
        <w:t>14</w:t>
      </w:r>
      <w:r w:rsidR="00B217B4">
        <w:t xml:space="preserve"> </w:t>
      </w:r>
      <w:r w:rsidR="005144F2">
        <w:t>and</w:t>
      </w:r>
      <w:r w:rsidR="00B217B4">
        <w:t xml:space="preserve"> </w:t>
      </w:r>
      <w:r w:rsidR="005144F2">
        <w:t xml:space="preserve">15, and G.L. c. 112, </w:t>
      </w:r>
      <w:r w:rsidR="00B217B4">
        <w:t>§</w:t>
      </w:r>
      <w:r w:rsidR="005144F2">
        <w:t xml:space="preserve"> 64.</w:t>
      </w:r>
      <w:r w:rsidR="00ED2833">
        <w:t xml:space="preserve"> </w:t>
      </w:r>
    </w:p>
    <w:p w14:paraId="3B58074F" w14:textId="77777777" w:rsidR="00E27A55" w:rsidRDefault="00E27A55" w:rsidP="00F457E6">
      <w:pPr>
        <w:spacing w:line="360" w:lineRule="auto"/>
        <w:jc w:val="both"/>
      </w:pPr>
    </w:p>
    <w:p w14:paraId="68AAAF86" w14:textId="77777777" w:rsidR="00E27A55" w:rsidRDefault="00E27A55" w:rsidP="00F457E6">
      <w:pPr>
        <w:spacing w:line="360" w:lineRule="auto"/>
        <w:jc w:val="both"/>
      </w:pPr>
    </w:p>
    <w:p w14:paraId="65E7BAAF" w14:textId="12259598" w:rsidR="00700F75" w:rsidRPr="00385E03" w:rsidRDefault="00700F75" w:rsidP="00CF3F01">
      <w:pPr>
        <w:spacing w:line="360" w:lineRule="auto"/>
      </w:pPr>
      <w:r w:rsidRPr="00385E03">
        <w:t>Date</w:t>
      </w:r>
      <w:r w:rsidR="008B164A" w:rsidRPr="00385E03">
        <w:t>: April</w:t>
      </w:r>
      <w:r w:rsidR="00512C16">
        <w:t xml:space="preserve"> 10, 2025</w:t>
      </w:r>
      <w:r>
        <w:tab/>
      </w:r>
      <w:r w:rsidRPr="00385E03">
        <w:t xml:space="preserve"> </w:t>
      </w:r>
      <w:r w:rsidRPr="00385E03">
        <w:tab/>
      </w:r>
      <w:r w:rsidRPr="00385E03">
        <w:tab/>
      </w:r>
      <w:r w:rsidR="002C7288">
        <w:rPr>
          <w:u w:val="single"/>
        </w:rPr>
        <w:t>Signedy by Frank M. O’Donnell, J.D., M.P.A.</w:t>
      </w:r>
      <w:r>
        <w:rPr>
          <w:u w:val="single"/>
        </w:rPr>
        <w:t xml:space="preserve"> </w:t>
      </w:r>
    </w:p>
    <w:p w14:paraId="05F1C543" w14:textId="551B5742" w:rsidR="00700F75" w:rsidRPr="00385E03" w:rsidRDefault="00700F75" w:rsidP="00CF3F01">
      <w:pPr>
        <w:spacing w:line="360" w:lineRule="auto"/>
      </w:pPr>
      <w:r w:rsidRPr="00385E03">
        <w:tab/>
      </w:r>
      <w:r w:rsidRPr="00385E03">
        <w:tab/>
      </w:r>
      <w:r w:rsidRPr="00385E03">
        <w:tab/>
      </w:r>
      <w:r w:rsidRPr="00385E03">
        <w:tab/>
      </w:r>
      <w:r w:rsidRPr="00385E03">
        <w:tab/>
      </w:r>
      <w:r w:rsidR="00512C16">
        <w:t>Frank M. O’Donnell, J.D., M.P.A.</w:t>
      </w:r>
    </w:p>
    <w:p w14:paraId="27294E38" w14:textId="2EF12A65" w:rsidR="00700F75" w:rsidRPr="00385E03" w:rsidRDefault="00700F75" w:rsidP="00CF3F01">
      <w:pPr>
        <w:spacing w:line="360" w:lineRule="auto"/>
      </w:pPr>
      <w:r w:rsidRPr="00385E03">
        <w:tab/>
      </w:r>
      <w:r w:rsidRPr="00385E03">
        <w:tab/>
      </w:r>
      <w:r w:rsidRPr="00385E03">
        <w:tab/>
      </w:r>
      <w:r w:rsidRPr="00385E03">
        <w:tab/>
      </w:r>
      <w:r w:rsidRPr="00385E03">
        <w:tab/>
      </w:r>
      <w:r w:rsidR="00512C16">
        <w:t>Vice Chair</w:t>
      </w:r>
    </w:p>
    <w:p w14:paraId="507127F8" w14:textId="76AA7AA1" w:rsidR="00700F75" w:rsidRDefault="00700F75" w:rsidP="00CF3F01">
      <w:pPr>
        <w:spacing w:line="360" w:lineRule="auto"/>
        <w:ind w:firstLine="720"/>
        <w:jc w:val="both"/>
      </w:pPr>
      <w:r w:rsidRPr="00385E03">
        <w:tab/>
      </w:r>
    </w:p>
    <w:p w14:paraId="35CF08B8" w14:textId="77777777" w:rsidR="00700F75" w:rsidRDefault="00700F75" w:rsidP="005751C6">
      <w:pPr>
        <w:spacing w:line="276" w:lineRule="auto"/>
        <w:ind w:firstLine="720"/>
        <w:jc w:val="both"/>
      </w:pPr>
    </w:p>
    <w:p w14:paraId="08A71702" w14:textId="77777777" w:rsidR="00700F75" w:rsidRDefault="00700F75" w:rsidP="005751C6">
      <w:pPr>
        <w:spacing w:line="276" w:lineRule="auto"/>
        <w:ind w:firstLine="720"/>
        <w:jc w:val="both"/>
      </w:pPr>
    </w:p>
    <w:p w14:paraId="2F77CEDA" w14:textId="77777777" w:rsidR="00700F75" w:rsidRDefault="00700F75" w:rsidP="005751C6">
      <w:pPr>
        <w:spacing w:line="276" w:lineRule="auto"/>
        <w:ind w:firstLine="720"/>
        <w:jc w:val="both"/>
      </w:pPr>
    </w:p>
    <w:p w14:paraId="274B30A2" w14:textId="77777777" w:rsidR="00700F75" w:rsidRDefault="00700F75" w:rsidP="005751C6">
      <w:pPr>
        <w:spacing w:line="276" w:lineRule="auto"/>
        <w:ind w:firstLine="720"/>
        <w:jc w:val="both"/>
      </w:pPr>
    </w:p>
    <w:p w14:paraId="22929961" w14:textId="77777777" w:rsidR="00700F75" w:rsidRDefault="00700F75" w:rsidP="005751C6">
      <w:pPr>
        <w:spacing w:line="276" w:lineRule="auto"/>
        <w:ind w:firstLine="720"/>
        <w:jc w:val="both"/>
      </w:pPr>
    </w:p>
    <w:p w14:paraId="0626A99B" w14:textId="77777777" w:rsidR="00700F75" w:rsidRDefault="00700F75" w:rsidP="005751C6">
      <w:pPr>
        <w:spacing w:line="276" w:lineRule="auto"/>
        <w:ind w:firstLine="720"/>
        <w:jc w:val="both"/>
      </w:pPr>
    </w:p>
    <w:p w14:paraId="5397A749" w14:textId="77777777" w:rsidR="00F23B80" w:rsidRDefault="00F23B80" w:rsidP="005751C6">
      <w:pPr>
        <w:spacing w:line="276" w:lineRule="auto"/>
        <w:ind w:firstLine="720"/>
        <w:jc w:val="both"/>
      </w:pPr>
    </w:p>
    <w:p w14:paraId="2CE712C9" w14:textId="77777777" w:rsidR="00F23B80" w:rsidRPr="005751C6" w:rsidRDefault="00F23B80" w:rsidP="005751C6">
      <w:pPr>
        <w:spacing w:line="276" w:lineRule="auto"/>
        <w:ind w:firstLine="720"/>
        <w:jc w:val="both"/>
      </w:pPr>
    </w:p>
    <w:sectPr w:rsidR="00F23B80" w:rsidRPr="005751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66EA" w14:textId="77777777" w:rsidR="00F7007F" w:rsidRDefault="00F7007F" w:rsidP="004C0CCE">
      <w:r>
        <w:separator/>
      </w:r>
    </w:p>
  </w:endnote>
  <w:endnote w:type="continuationSeparator" w:id="0">
    <w:p w14:paraId="348FE6A2" w14:textId="77777777" w:rsidR="00F7007F" w:rsidRDefault="00F7007F" w:rsidP="004C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DDEA" w14:textId="77777777" w:rsidR="00CF5895" w:rsidRDefault="00CF5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540155"/>
      <w:docPartObj>
        <w:docPartGallery w:val="Page Numbers (Bottom of Page)"/>
        <w:docPartUnique/>
      </w:docPartObj>
    </w:sdtPr>
    <w:sdtEndPr>
      <w:rPr>
        <w:noProof/>
      </w:rPr>
    </w:sdtEndPr>
    <w:sdtContent>
      <w:p w14:paraId="4A058196" w14:textId="22A01F6F" w:rsidR="00CF5895" w:rsidRDefault="00CF5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8CE990" w14:textId="320EEF40" w:rsidR="515CE8C0" w:rsidRDefault="515CE8C0" w:rsidP="515CE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8094F" w14:textId="77777777" w:rsidR="00CF5895" w:rsidRDefault="00CF5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FEDB7" w14:textId="77777777" w:rsidR="00F7007F" w:rsidRDefault="00F7007F" w:rsidP="004C0CCE">
      <w:r>
        <w:separator/>
      </w:r>
    </w:p>
  </w:footnote>
  <w:footnote w:type="continuationSeparator" w:id="0">
    <w:p w14:paraId="15C01ADF" w14:textId="77777777" w:rsidR="00F7007F" w:rsidRDefault="00F7007F" w:rsidP="004C0CCE">
      <w:r>
        <w:continuationSeparator/>
      </w:r>
    </w:p>
  </w:footnote>
  <w:footnote w:id="1">
    <w:p w14:paraId="5123F9AC" w14:textId="124668CC" w:rsidR="006A7326" w:rsidRDefault="006A7326">
      <w:pPr>
        <w:pStyle w:val="FootnoteText"/>
      </w:pPr>
      <w:r>
        <w:rPr>
          <w:rStyle w:val="FootnoteReference"/>
        </w:rPr>
        <w:footnoteRef/>
      </w:r>
      <w:r>
        <w:t xml:space="preserve"> </w:t>
      </w:r>
      <w:r w:rsidR="00A5659C">
        <w:t>Recommended Decision at p. 19.</w:t>
      </w:r>
    </w:p>
  </w:footnote>
  <w:footnote w:id="2">
    <w:p w14:paraId="1BC085B2" w14:textId="727A359D" w:rsidR="00A5659C" w:rsidRDefault="00A5659C">
      <w:pPr>
        <w:pStyle w:val="FootnoteText"/>
      </w:pPr>
      <w:r>
        <w:rPr>
          <w:rStyle w:val="FootnoteReference"/>
        </w:rPr>
        <w:footnoteRef/>
      </w:r>
      <w:r>
        <w:t xml:space="preserve"> Recommended Decision at p. 19.</w:t>
      </w:r>
    </w:p>
  </w:footnote>
  <w:footnote w:id="3">
    <w:p w14:paraId="761EA4E7" w14:textId="2E430F0F" w:rsidR="00ED27FC" w:rsidRDefault="00ED27FC">
      <w:pPr>
        <w:pStyle w:val="FootnoteText"/>
      </w:pPr>
      <w:r>
        <w:rPr>
          <w:rStyle w:val="FootnoteReference"/>
        </w:rPr>
        <w:footnoteRef/>
      </w:r>
      <w:r>
        <w:t xml:space="preserve"> Respondent’s Objections at p. 5.</w:t>
      </w:r>
    </w:p>
  </w:footnote>
  <w:footnote w:id="4">
    <w:p w14:paraId="65A8CFB9" w14:textId="66AA75F3" w:rsidR="00883688" w:rsidRDefault="00883688">
      <w:pPr>
        <w:pStyle w:val="FootnoteText"/>
      </w:pPr>
      <w:r>
        <w:rPr>
          <w:rStyle w:val="FootnoteReference"/>
        </w:rPr>
        <w:footnoteRef/>
      </w:r>
      <w:r>
        <w:t xml:space="preserve"> </w:t>
      </w:r>
      <w:r w:rsidRPr="00883688">
        <w:rPr>
          <w:i/>
          <w:iCs/>
        </w:rPr>
        <w:t>Levy v. Board of Registration in Medicine</w:t>
      </w:r>
      <w:r>
        <w:t>, 378 Mass. 519, 524 (1979).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8F5E" w14:textId="77777777" w:rsidR="00CF5895" w:rsidRDefault="00CF5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15CE8C0" w14:paraId="76B977BF" w14:textId="77777777" w:rsidTr="515CE8C0">
      <w:trPr>
        <w:trHeight w:val="300"/>
      </w:trPr>
      <w:tc>
        <w:tcPr>
          <w:tcW w:w="3120" w:type="dxa"/>
        </w:tcPr>
        <w:p w14:paraId="3E52C3D4" w14:textId="00626492" w:rsidR="515CE8C0" w:rsidRDefault="515CE8C0" w:rsidP="515CE8C0">
          <w:pPr>
            <w:pStyle w:val="Header"/>
            <w:ind w:left="-115"/>
          </w:pPr>
        </w:p>
      </w:tc>
      <w:tc>
        <w:tcPr>
          <w:tcW w:w="3120" w:type="dxa"/>
        </w:tcPr>
        <w:p w14:paraId="54BFF2B1" w14:textId="34FD7EDA" w:rsidR="515CE8C0" w:rsidRDefault="515CE8C0" w:rsidP="515CE8C0">
          <w:pPr>
            <w:pStyle w:val="Header"/>
            <w:jc w:val="center"/>
          </w:pPr>
        </w:p>
      </w:tc>
      <w:tc>
        <w:tcPr>
          <w:tcW w:w="3120" w:type="dxa"/>
        </w:tcPr>
        <w:p w14:paraId="7F5F01AE" w14:textId="45B21F4D" w:rsidR="515CE8C0" w:rsidRDefault="515CE8C0" w:rsidP="515CE8C0">
          <w:pPr>
            <w:pStyle w:val="Header"/>
            <w:ind w:right="-115"/>
            <w:jc w:val="right"/>
          </w:pPr>
        </w:p>
      </w:tc>
    </w:tr>
  </w:tbl>
  <w:p w14:paraId="70D2E174" w14:textId="523E975D" w:rsidR="515CE8C0" w:rsidRDefault="515CE8C0" w:rsidP="515CE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8785" w14:textId="77777777" w:rsidR="00CF5895" w:rsidRDefault="00CF5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06"/>
    <w:rsid w:val="00020C37"/>
    <w:rsid w:val="0003718F"/>
    <w:rsid w:val="0005482B"/>
    <w:rsid w:val="0005DF1E"/>
    <w:rsid w:val="00061416"/>
    <w:rsid w:val="00075EE6"/>
    <w:rsid w:val="000769AE"/>
    <w:rsid w:val="00096246"/>
    <w:rsid w:val="000B1C1A"/>
    <w:rsid w:val="000C3BF6"/>
    <w:rsid w:val="00110985"/>
    <w:rsid w:val="00126F80"/>
    <w:rsid w:val="00132AB9"/>
    <w:rsid w:val="00141C35"/>
    <w:rsid w:val="00172A49"/>
    <w:rsid w:val="0017409D"/>
    <w:rsid w:val="00175B1C"/>
    <w:rsid w:val="001A7BF9"/>
    <w:rsid w:val="001B1C38"/>
    <w:rsid w:val="001B3A0A"/>
    <w:rsid w:val="001E0D7E"/>
    <w:rsid w:val="001F04C2"/>
    <w:rsid w:val="00203375"/>
    <w:rsid w:val="00232B3D"/>
    <w:rsid w:val="00255609"/>
    <w:rsid w:val="00260287"/>
    <w:rsid w:val="002672F0"/>
    <w:rsid w:val="00294DB3"/>
    <w:rsid w:val="002C7288"/>
    <w:rsid w:val="002D15ED"/>
    <w:rsid w:val="002D67F6"/>
    <w:rsid w:val="002F3F14"/>
    <w:rsid w:val="0033649B"/>
    <w:rsid w:val="00351CC3"/>
    <w:rsid w:val="00381E74"/>
    <w:rsid w:val="003A70E2"/>
    <w:rsid w:val="003C421B"/>
    <w:rsid w:val="003C487C"/>
    <w:rsid w:val="003D1D4D"/>
    <w:rsid w:val="003F68D2"/>
    <w:rsid w:val="004044AB"/>
    <w:rsid w:val="00433DB4"/>
    <w:rsid w:val="00452FCE"/>
    <w:rsid w:val="004B19E5"/>
    <w:rsid w:val="004C0CCE"/>
    <w:rsid w:val="004D10E6"/>
    <w:rsid w:val="004F1AE9"/>
    <w:rsid w:val="00512C16"/>
    <w:rsid w:val="005144F2"/>
    <w:rsid w:val="005751C6"/>
    <w:rsid w:val="005F0BB4"/>
    <w:rsid w:val="005F6213"/>
    <w:rsid w:val="00603A5D"/>
    <w:rsid w:val="00644EBE"/>
    <w:rsid w:val="006477AB"/>
    <w:rsid w:val="00660A61"/>
    <w:rsid w:val="00687622"/>
    <w:rsid w:val="006A7326"/>
    <w:rsid w:val="006D1EF4"/>
    <w:rsid w:val="006D76BC"/>
    <w:rsid w:val="006E4BE9"/>
    <w:rsid w:val="006F1E9F"/>
    <w:rsid w:val="006F4C51"/>
    <w:rsid w:val="00700F75"/>
    <w:rsid w:val="007035F0"/>
    <w:rsid w:val="00731198"/>
    <w:rsid w:val="00796653"/>
    <w:rsid w:val="007A2806"/>
    <w:rsid w:val="007E05B2"/>
    <w:rsid w:val="00833DCE"/>
    <w:rsid w:val="00854B55"/>
    <w:rsid w:val="008628B8"/>
    <w:rsid w:val="00870193"/>
    <w:rsid w:val="00875A92"/>
    <w:rsid w:val="00883688"/>
    <w:rsid w:val="00884667"/>
    <w:rsid w:val="008915AC"/>
    <w:rsid w:val="008B164A"/>
    <w:rsid w:val="008C635D"/>
    <w:rsid w:val="008E422D"/>
    <w:rsid w:val="009301B5"/>
    <w:rsid w:val="0097206A"/>
    <w:rsid w:val="009A091F"/>
    <w:rsid w:val="009C285D"/>
    <w:rsid w:val="009F26CF"/>
    <w:rsid w:val="00A2691B"/>
    <w:rsid w:val="00A26A3E"/>
    <w:rsid w:val="00A5659C"/>
    <w:rsid w:val="00A64C35"/>
    <w:rsid w:val="00AC00A2"/>
    <w:rsid w:val="00AC7BF7"/>
    <w:rsid w:val="00AD5227"/>
    <w:rsid w:val="00B107AC"/>
    <w:rsid w:val="00B217B4"/>
    <w:rsid w:val="00B35912"/>
    <w:rsid w:val="00B36F70"/>
    <w:rsid w:val="00B446A5"/>
    <w:rsid w:val="00B478EB"/>
    <w:rsid w:val="00B527A6"/>
    <w:rsid w:val="00BC18C2"/>
    <w:rsid w:val="00BC2828"/>
    <w:rsid w:val="00BC4594"/>
    <w:rsid w:val="00BD60F1"/>
    <w:rsid w:val="00BE1B27"/>
    <w:rsid w:val="00C019A6"/>
    <w:rsid w:val="00C16DC4"/>
    <w:rsid w:val="00CA373F"/>
    <w:rsid w:val="00CA5943"/>
    <w:rsid w:val="00CA6A75"/>
    <w:rsid w:val="00CD021F"/>
    <w:rsid w:val="00CF3F01"/>
    <w:rsid w:val="00CF5895"/>
    <w:rsid w:val="00D311E3"/>
    <w:rsid w:val="00D65473"/>
    <w:rsid w:val="00D906D5"/>
    <w:rsid w:val="00DA5987"/>
    <w:rsid w:val="00DB1FF2"/>
    <w:rsid w:val="00DD2BA1"/>
    <w:rsid w:val="00DE4039"/>
    <w:rsid w:val="00DE6148"/>
    <w:rsid w:val="00E06583"/>
    <w:rsid w:val="00E27A55"/>
    <w:rsid w:val="00E50ECF"/>
    <w:rsid w:val="00EC4726"/>
    <w:rsid w:val="00ED27FC"/>
    <w:rsid w:val="00ED2833"/>
    <w:rsid w:val="00EE3453"/>
    <w:rsid w:val="00F23B80"/>
    <w:rsid w:val="00F45459"/>
    <w:rsid w:val="00F457E6"/>
    <w:rsid w:val="00F50F12"/>
    <w:rsid w:val="00F7007F"/>
    <w:rsid w:val="00FB06FE"/>
    <w:rsid w:val="00FB3475"/>
    <w:rsid w:val="00FC1999"/>
    <w:rsid w:val="00FD059B"/>
    <w:rsid w:val="00FD168A"/>
    <w:rsid w:val="00FF12A4"/>
    <w:rsid w:val="09595E82"/>
    <w:rsid w:val="0CA60525"/>
    <w:rsid w:val="0F5F71DD"/>
    <w:rsid w:val="1804DDA5"/>
    <w:rsid w:val="1AA5D3BD"/>
    <w:rsid w:val="32D09937"/>
    <w:rsid w:val="330A4563"/>
    <w:rsid w:val="3388872D"/>
    <w:rsid w:val="3B90D56C"/>
    <w:rsid w:val="3C5DA9ED"/>
    <w:rsid w:val="3D41B349"/>
    <w:rsid w:val="41D993A3"/>
    <w:rsid w:val="4341069B"/>
    <w:rsid w:val="44A0F9EC"/>
    <w:rsid w:val="4D001F09"/>
    <w:rsid w:val="515CE8C0"/>
    <w:rsid w:val="542C65F6"/>
    <w:rsid w:val="54564A41"/>
    <w:rsid w:val="5813249D"/>
    <w:rsid w:val="602E0A9C"/>
    <w:rsid w:val="609BF278"/>
    <w:rsid w:val="61B0CAE7"/>
    <w:rsid w:val="6288A242"/>
    <w:rsid w:val="65D0FF57"/>
    <w:rsid w:val="6D0694CA"/>
    <w:rsid w:val="70FA5BC3"/>
    <w:rsid w:val="73C41264"/>
    <w:rsid w:val="73D7CEDA"/>
    <w:rsid w:val="77660059"/>
    <w:rsid w:val="776865D6"/>
    <w:rsid w:val="78B1409C"/>
    <w:rsid w:val="7B5C0EAF"/>
    <w:rsid w:val="7C8249DD"/>
    <w:rsid w:val="7EBEB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08D4"/>
  <w15:chartTrackingRefBased/>
  <w15:docId w15:val="{DFB0D84A-6595-4DF1-A11D-A598C1C0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C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A28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28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28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28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A28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A28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A28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A28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A280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8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8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8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8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8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806"/>
    <w:rPr>
      <w:rFonts w:eastAsiaTheme="majorEastAsia" w:cstheme="majorBidi"/>
      <w:color w:val="272727" w:themeColor="text1" w:themeTint="D8"/>
    </w:rPr>
  </w:style>
  <w:style w:type="paragraph" w:styleId="Title">
    <w:name w:val="Title"/>
    <w:basedOn w:val="Normal"/>
    <w:next w:val="Normal"/>
    <w:link w:val="TitleChar"/>
    <w:uiPriority w:val="10"/>
    <w:qFormat/>
    <w:rsid w:val="007A28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28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8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28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80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A2806"/>
    <w:rPr>
      <w:i/>
      <w:iCs/>
      <w:color w:val="404040" w:themeColor="text1" w:themeTint="BF"/>
    </w:rPr>
  </w:style>
  <w:style w:type="paragraph" w:styleId="ListParagraph">
    <w:name w:val="List Paragraph"/>
    <w:basedOn w:val="Normal"/>
    <w:uiPriority w:val="34"/>
    <w:qFormat/>
    <w:rsid w:val="007A28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A2806"/>
    <w:rPr>
      <w:i/>
      <w:iCs/>
      <w:color w:val="0F4761" w:themeColor="accent1" w:themeShade="BF"/>
    </w:rPr>
  </w:style>
  <w:style w:type="paragraph" w:styleId="IntenseQuote">
    <w:name w:val="Intense Quote"/>
    <w:basedOn w:val="Normal"/>
    <w:next w:val="Normal"/>
    <w:link w:val="IntenseQuoteChar"/>
    <w:uiPriority w:val="30"/>
    <w:qFormat/>
    <w:rsid w:val="007A28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A2806"/>
    <w:rPr>
      <w:i/>
      <w:iCs/>
      <w:color w:val="0F4761" w:themeColor="accent1" w:themeShade="BF"/>
    </w:rPr>
  </w:style>
  <w:style w:type="character" w:styleId="IntenseReference">
    <w:name w:val="Intense Reference"/>
    <w:basedOn w:val="DefaultParagraphFont"/>
    <w:uiPriority w:val="32"/>
    <w:qFormat/>
    <w:rsid w:val="007A2806"/>
    <w:rPr>
      <w:b/>
      <w:bCs/>
      <w:smallCaps/>
      <w:color w:val="0F4761" w:themeColor="accent1" w:themeShade="BF"/>
      <w:spacing w:val="5"/>
    </w:rPr>
  </w:style>
  <w:style w:type="paragraph" w:styleId="FootnoteText">
    <w:name w:val="footnote text"/>
    <w:basedOn w:val="Normal"/>
    <w:link w:val="FootnoteTextChar"/>
    <w:unhideWhenUsed/>
    <w:rsid w:val="004C0CCE"/>
    <w:rPr>
      <w:sz w:val="20"/>
      <w:szCs w:val="20"/>
    </w:rPr>
  </w:style>
  <w:style w:type="character" w:customStyle="1" w:styleId="FootnoteTextChar">
    <w:name w:val="Footnote Text Char"/>
    <w:basedOn w:val="DefaultParagraphFont"/>
    <w:link w:val="FootnoteText"/>
    <w:rsid w:val="004C0CC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4C0CCE"/>
    <w:rPr>
      <w:vertAlign w:val="superscript"/>
    </w:rPr>
  </w:style>
  <w:style w:type="paragraph" w:customStyle="1" w:styleId="Default">
    <w:name w:val="Default"/>
    <w:rsid w:val="00700F7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CA6A75"/>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315436">
      <w:bodyDiv w:val="1"/>
      <w:marLeft w:val="0"/>
      <w:marRight w:val="0"/>
      <w:marTop w:val="0"/>
      <w:marBottom w:val="0"/>
      <w:divBdr>
        <w:top w:val="none" w:sz="0" w:space="0" w:color="auto"/>
        <w:left w:val="none" w:sz="0" w:space="0" w:color="auto"/>
        <w:bottom w:val="none" w:sz="0" w:space="0" w:color="auto"/>
        <w:right w:val="none" w:sz="0" w:space="0" w:color="auto"/>
      </w:divBdr>
    </w:div>
    <w:div w:id="20851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0210-FD85-4BDA-824D-144BA8340ED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Rebecca (DPH)</dc:creator>
  <cp:keywords/>
  <dc:description/>
  <cp:lastModifiedBy>LaPointe, Donald (DPH)</cp:lastModifiedBy>
  <cp:revision>8</cp:revision>
  <cp:lastPrinted>2025-04-02T20:48:00Z</cp:lastPrinted>
  <dcterms:created xsi:type="dcterms:W3CDTF">2025-04-03T13:42:00Z</dcterms:created>
  <dcterms:modified xsi:type="dcterms:W3CDTF">2025-04-15T13:57:00Z</dcterms:modified>
</cp:coreProperties>
</file>