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B97D" w14:textId="77777777" w:rsidR="004C0CCE" w:rsidRPr="006C1C50" w:rsidRDefault="004C0CCE" w:rsidP="00CF3F01">
      <w:pPr>
        <w:spacing w:line="360" w:lineRule="auto"/>
        <w:jc w:val="center"/>
        <w:rPr>
          <w:sz w:val="22"/>
          <w:szCs w:val="22"/>
        </w:rPr>
      </w:pPr>
      <w:r w:rsidRPr="006C1C50">
        <w:rPr>
          <w:sz w:val="22"/>
          <w:szCs w:val="22"/>
        </w:rPr>
        <w:t>COMMONWEALTH OF MASSACHUSETTS</w:t>
      </w:r>
    </w:p>
    <w:p w14:paraId="6691D197" w14:textId="77777777" w:rsidR="004C0CCE" w:rsidRPr="006C1C50" w:rsidRDefault="004C0CCE" w:rsidP="00CF3F01">
      <w:pPr>
        <w:spacing w:line="360" w:lineRule="auto"/>
        <w:jc w:val="center"/>
        <w:rPr>
          <w:sz w:val="22"/>
          <w:szCs w:val="22"/>
        </w:rPr>
      </w:pPr>
      <w:r w:rsidRPr="006C1C50">
        <w:rPr>
          <w:sz w:val="22"/>
          <w:szCs w:val="22"/>
        </w:rPr>
        <w:t>BOARD OF REGISTRATION IN MEDICINE</w:t>
      </w:r>
    </w:p>
    <w:p w14:paraId="5D522268" w14:textId="77777777" w:rsidR="004C0CCE" w:rsidRPr="006C1C50" w:rsidRDefault="004C0CCE" w:rsidP="00CF3F01">
      <w:pPr>
        <w:spacing w:line="360" w:lineRule="auto"/>
        <w:rPr>
          <w:sz w:val="22"/>
          <w:szCs w:val="22"/>
        </w:rPr>
      </w:pPr>
    </w:p>
    <w:p w14:paraId="32FEE2BA" w14:textId="03FA10C8" w:rsidR="004C0CCE" w:rsidRPr="006C1C50" w:rsidRDefault="004C0CCE" w:rsidP="00E8638E">
      <w:pPr>
        <w:jc w:val="both"/>
        <w:rPr>
          <w:sz w:val="22"/>
          <w:szCs w:val="22"/>
        </w:rPr>
      </w:pPr>
      <w:r w:rsidRPr="006C1C50">
        <w:rPr>
          <w:sz w:val="22"/>
          <w:szCs w:val="22"/>
        </w:rPr>
        <w:t>MIDDLESEX, SS</w:t>
      </w: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t>Adjudicatory Case No. 202</w:t>
      </w:r>
      <w:r w:rsidR="00EB0BD2" w:rsidRPr="006C1C50">
        <w:rPr>
          <w:sz w:val="22"/>
          <w:szCs w:val="22"/>
        </w:rPr>
        <w:t>4</w:t>
      </w:r>
      <w:r w:rsidR="00B1414F" w:rsidRPr="006C1C50">
        <w:rPr>
          <w:sz w:val="22"/>
          <w:szCs w:val="22"/>
        </w:rPr>
        <w:t>-</w:t>
      </w:r>
      <w:r w:rsidRPr="006C1C50">
        <w:rPr>
          <w:sz w:val="22"/>
          <w:szCs w:val="22"/>
        </w:rPr>
        <w:t>05</w:t>
      </w:r>
      <w:r w:rsidR="00B1414F" w:rsidRPr="006C1C50">
        <w:rPr>
          <w:sz w:val="22"/>
          <w:szCs w:val="22"/>
        </w:rPr>
        <w:t>2</w:t>
      </w:r>
    </w:p>
    <w:p w14:paraId="774CB61C" w14:textId="0E983E89" w:rsidR="004C0CCE" w:rsidRPr="006C1C50" w:rsidRDefault="004C0CCE" w:rsidP="00E8638E">
      <w:pPr>
        <w:jc w:val="both"/>
        <w:rPr>
          <w:sz w:val="22"/>
          <w:szCs w:val="22"/>
        </w:rPr>
      </w:pP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t>(RM-</w:t>
      </w:r>
      <w:r w:rsidR="0076431A" w:rsidRPr="006C1C50">
        <w:rPr>
          <w:sz w:val="22"/>
          <w:szCs w:val="22"/>
        </w:rPr>
        <w:t>24</w:t>
      </w:r>
      <w:r w:rsidRPr="006C1C50">
        <w:rPr>
          <w:sz w:val="22"/>
          <w:szCs w:val="22"/>
        </w:rPr>
        <w:t>-0</w:t>
      </w:r>
      <w:r w:rsidR="0076431A" w:rsidRPr="006C1C50">
        <w:rPr>
          <w:sz w:val="22"/>
          <w:szCs w:val="22"/>
        </w:rPr>
        <w:t>608</w:t>
      </w:r>
      <w:r w:rsidRPr="006C1C50">
        <w:rPr>
          <w:sz w:val="22"/>
          <w:szCs w:val="22"/>
        </w:rPr>
        <w:t>)</w:t>
      </w:r>
    </w:p>
    <w:p w14:paraId="54F34762" w14:textId="77777777" w:rsidR="004C0CCE" w:rsidRPr="006C1C50" w:rsidRDefault="004C0CCE" w:rsidP="00CF3F01">
      <w:pPr>
        <w:spacing w:line="360" w:lineRule="auto"/>
        <w:jc w:val="both"/>
        <w:rPr>
          <w:sz w:val="22"/>
          <w:szCs w:val="22"/>
        </w:rPr>
      </w:pPr>
      <w:r w:rsidRPr="006C1C50">
        <w:rPr>
          <w:sz w:val="22"/>
          <w:szCs w:val="22"/>
        </w:rPr>
        <w:t>________________________</w:t>
      </w:r>
    </w:p>
    <w:p w14:paraId="14065425" w14:textId="77777777" w:rsidR="004C0CCE" w:rsidRPr="006C1C50" w:rsidRDefault="004C0CCE" w:rsidP="00CF3F01">
      <w:pPr>
        <w:spacing w:line="360" w:lineRule="auto"/>
        <w:jc w:val="both"/>
        <w:rPr>
          <w:sz w:val="22"/>
          <w:szCs w:val="22"/>
        </w:rPr>
      </w:pPr>
      <w:r w:rsidRPr="006C1C50">
        <w:rPr>
          <w:sz w:val="22"/>
          <w:szCs w:val="22"/>
        </w:rPr>
        <w:tab/>
      </w:r>
      <w:r w:rsidRPr="006C1C50">
        <w:rPr>
          <w:sz w:val="22"/>
          <w:szCs w:val="22"/>
        </w:rPr>
        <w:tab/>
      </w:r>
      <w:r w:rsidRPr="006C1C50">
        <w:rPr>
          <w:sz w:val="22"/>
          <w:szCs w:val="22"/>
        </w:rPr>
        <w:tab/>
      </w:r>
      <w:r w:rsidRPr="006C1C50">
        <w:rPr>
          <w:sz w:val="22"/>
          <w:szCs w:val="22"/>
        </w:rPr>
        <w:tab/>
        <w:t>)</w:t>
      </w:r>
    </w:p>
    <w:p w14:paraId="51D6C53D" w14:textId="5178B21A" w:rsidR="004C0CCE" w:rsidRPr="006C1C50" w:rsidRDefault="004C0CCE" w:rsidP="00CF3F01">
      <w:pPr>
        <w:spacing w:line="360" w:lineRule="auto"/>
        <w:jc w:val="both"/>
        <w:rPr>
          <w:sz w:val="22"/>
          <w:szCs w:val="22"/>
        </w:rPr>
      </w:pPr>
      <w:r w:rsidRPr="006C1C50">
        <w:rPr>
          <w:sz w:val="22"/>
          <w:szCs w:val="22"/>
        </w:rPr>
        <w:t xml:space="preserve">In the Matter of </w:t>
      </w:r>
      <w:r w:rsidRPr="006C1C50">
        <w:rPr>
          <w:sz w:val="22"/>
          <w:szCs w:val="22"/>
        </w:rPr>
        <w:tab/>
      </w:r>
      <w:r w:rsidRPr="006C1C50">
        <w:rPr>
          <w:sz w:val="22"/>
          <w:szCs w:val="22"/>
        </w:rPr>
        <w:tab/>
        <w:t>)</w:t>
      </w:r>
      <w:r w:rsidRPr="006C1C50">
        <w:rPr>
          <w:sz w:val="22"/>
          <w:szCs w:val="22"/>
        </w:rPr>
        <w:tab/>
      </w:r>
      <w:r w:rsidRPr="006C1C50">
        <w:rPr>
          <w:sz w:val="22"/>
          <w:szCs w:val="22"/>
        </w:rPr>
        <w:tab/>
      </w:r>
      <w:r w:rsidRPr="006C1C50">
        <w:rPr>
          <w:sz w:val="22"/>
          <w:szCs w:val="22"/>
        </w:rPr>
        <w:tab/>
        <w:t xml:space="preserve">    </w:t>
      </w: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r>
      <w:r w:rsidRPr="006C1C50">
        <w:rPr>
          <w:sz w:val="22"/>
          <w:szCs w:val="22"/>
        </w:rPr>
        <w:tab/>
        <w:t>)</w:t>
      </w:r>
      <w:r w:rsidRPr="006C1C50">
        <w:rPr>
          <w:sz w:val="22"/>
          <w:szCs w:val="22"/>
        </w:rPr>
        <w:tab/>
      </w:r>
      <w:r w:rsidRPr="006C1C50">
        <w:rPr>
          <w:sz w:val="22"/>
          <w:szCs w:val="22"/>
        </w:rPr>
        <w:tab/>
      </w:r>
      <w:r w:rsidRPr="006C1C50">
        <w:rPr>
          <w:sz w:val="22"/>
          <w:szCs w:val="22"/>
        </w:rPr>
        <w:tab/>
        <w:t>Final Decision and Order</w:t>
      </w:r>
    </w:p>
    <w:p w14:paraId="37599F09" w14:textId="0EEC252D" w:rsidR="004C0CCE" w:rsidRPr="006C1C50" w:rsidRDefault="0076431A" w:rsidP="00CF3F01">
      <w:pPr>
        <w:spacing w:line="360" w:lineRule="auto"/>
        <w:jc w:val="both"/>
        <w:rPr>
          <w:sz w:val="22"/>
          <w:szCs w:val="22"/>
        </w:rPr>
      </w:pPr>
      <w:r w:rsidRPr="006C1C50">
        <w:rPr>
          <w:sz w:val="22"/>
          <w:szCs w:val="22"/>
        </w:rPr>
        <w:t>Trung N. Nguyen, D.O.</w:t>
      </w:r>
      <w:r w:rsidR="006C1C50">
        <w:rPr>
          <w:sz w:val="22"/>
          <w:szCs w:val="22"/>
        </w:rPr>
        <w:tab/>
      </w:r>
      <w:r w:rsidR="004C0CCE" w:rsidRPr="006C1C50">
        <w:rPr>
          <w:sz w:val="22"/>
          <w:szCs w:val="22"/>
        </w:rPr>
        <w:tab/>
        <w:t>)</w:t>
      </w:r>
      <w:r w:rsidR="004C0CCE" w:rsidRPr="006C1C50">
        <w:rPr>
          <w:sz w:val="22"/>
          <w:szCs w:val="22"/>
        </w:rPr>
        <w:tab/>
      </w:r>
      <w:r w:rsidR="004C0CCE" w:rsidRPr="006C1C50">
        <w:rPr>
          <w:sz w:val="22"/>
          <w:szCs w:val="22"/>
        </w:rPr>
        <w:tab/>
      </w:r>
      <w:r w:rsidR="004C0CCE" w:rsidRPr="006C1C50">
        <w:rPr>
          <w:sz w:val="22"/>
          <w:szCs w:val="22"/>
        </w:rPr>
        <w:tab/>
        <w:t xml:space="preserve"> </w:t>
      </w:r>
    </w:p>
    <w:p w14:paraId="45B65C72" w14:textId="145ADBEF" w:rsidR="0005482B" w:rsidRPr="006C1C50" w:rsidRDefault="004C0CCE" w:rsidP="00CF3F01">
      <w:pPr>
        <w:spacing w:line="360" w:lineRule="auto"/>
        <w:jc w:val="both"/>
        <w:rPr>
          <w:sz w:val="22"/>
          <w:szCs w:val="22"/>
        </w:rPr>
      </w:pPr>
      <w:r w:rsidRPr="006C1C50">
        <w:rPr>
          <w:sz w:val="22"/>
          <w:szCs w:val="22"/>
        </w:rPr>
        <w:t>________________________</w:t>
      </w:r>
      <w:r w:rsidR="006C1C50">
        <w:rPr>
          <w:sz w:val="22"/>
          <w:szCs w:val="22"/>
        </w:rPr>
        <w:tab/>
      </w:r>
      <w:r w:rsidRPr="006C1C50">
        <w:rPr>
          <w:sz w:val="22"/>
          <w:szCs w:val="22"/>
        </w:rPr>
        <w:t xml:space="preserve">)            </w:t>
      </w:r>
    </w:p>
    <w:p w14:paraId="017011FF" w14:textId="288D099C" w:rsidR="004C0CCE" w:rsidRPr="0048619D" w:rsidRDefault="004C0CCE" w:rsidP="0048619D">
      <w:pPr>
        <w:spacing w:line="360" w:lineRule="auto"/>
        <w:jc w:val="both"/>
      </w:pPr>
      <w:r w:rsidRPr="006C1C50">
        <w:rPr>
          <w:sz w:val="22"/>
          <w:szCs w:val="22"/>
        </w:rPr>
        <w:t xml:space="preserve">           </w:t>
      </w:r>
      <w:r w:rsidRPr="006C1C50">
        <w:rPr>
          <w:sz w:val="22"/>
          <w:szCs w:val="22"/>
        </w:rPr>
        <w:tab/>
      </w:r>
    </w:p>
    <w:p w14:paraId="273BF618" w14:textId="21003FFE" w:rsidR="00A2691B" w:rsidRPr="0048619D" w:rsidRDefault="00B478EB" w:rsidP="0048619D">
      <w:pPr>
        <w:spacing w:line="360" w:lineRule="auto"/>
        <w:ind w:firstLine="720"/>
        <w:jc w:val="both"/>
      </w:pPr>
      <w:r w:rsidRPr="0048619D">
        <w:t xml:space="preserve">This matter came before the Board </w:t>
      </w:r>
      <w:r w:rsidR="00A87C71" w:rsidRPr="0048619D">
        <w:t xml:space="preserve">of Registration in Medicine (Board) </w:t>
      </w:r>
      <w:r w:rsidRPr="0048619D">
        <w:t xml:space="preserve">for </w:t>
      </w:r>
      <w:r w:rsidR="00FB06FE" w:rsidRPr="0048619D">
        <w:t xml:space="preserve">imposition of </w:t>
      </w:r>
      <w:r w:rsidR="00FD168A" w:rsidRPr="0048619D">
        <w:t xml:space="preserve">a sanction, </w:t>
      </w:r>
      <w:r w:rsidR="00FB06FE" w:rsidRPr="0048619D">
        <w:t xml:space="preserve">following the </w:t>
      </w:r>
      <w:r w:rsidRPr="0048619D">
        <w:t xml:space="preserve">Board </w:t>
      </w:r>
      <w:r w:rsidR="00A87C71" w:rsidRPr="0048619D">
        <w:t xml:space="preserve">‘s </w:t>
      </w:r>
      <w:r w:rsidR="00585734" w:rsidRPr="0048619D">
        <w:t xml:space="preserve">June 26, 2025 </w:t>
      </w:r>
      <w:r w:rsidR="00DB72F8" w:rsidRPr="0048619D">
        <w:t>adoption of the Findings of Facts and Conclusions of Law</w:t>
      </w:r>
      <w:r w:rsidR="000D609F" w:rsidRPr="0048619D">
        <w:t xml:space="preserve"> in the </w:t>
      </w:r>
      <w:r w:rsidR="00FB06FE" w:rsidRPr="0048619D">
        <w:t>Division of Administrative Law Appeals’ (DALA)</w:t>
      </w:r>
      <w:r w:rsidR="00C019A6" w:rsidRPr="0048619D">
        <w:t xml:space="preserve"> </w:t>
      </w:r>
      <w:r w:rsidR="00585734" w:rsidRPr="0048619D">
        <w:t>March 18, 2025 R</w:t>
      </w:r>
      <w:r w:rsidR="006F1E9F" w:rsidRPr="0048619D">
        <w:t>ecommended Decision on Petitioner’s Motion for Summary Decision</w:t>
      </w:r>
      <w:r w:rsidR="003B086F" w:rsidRPr="0048619D">
        <w:t xml:space="preserve">. </w:t>
      </w:r>
      <w:r w:rsidR="000E5075" w:rsidRPr="0048619D">
        <w:t>(</w:t>
      </w:r>
      <w:r w:rsidR="003B086F" w:rsidRPr="0048619D">
        <w:t xml:space="preserve">The Board’s June </w:t>
      </w:r>
      <w:r w:rsidR="005D5A0B">
        <w:t>2</w:t>
      </w:r>
      <w:r w:rsidR="003B086F" w:rsidRPr="0048619D">
        <w:t xml:space="preserve">6, 2025 Ruling on Objections is </w:t>
      </w:r>
      <w:r w:rsidR="008D528B" w:rsidRPr="0048619D">
        <w:t>attached hereto and incorporated herein.</w:t>
      </w:r>
      <w:r w:rsidR="000E5075" w:rsidRPr="0048619D">
        <w:t>)</w:t>
      </w:r>
      <w:r w:rsidR="7B5C0EAF" w:rsidRPr="0048619D">
        <w:t xml:space="preserve"> </w:t>
      </w:r>
      <w:r w:rsidR="00A17CA9" w:rsidRPr="0048619D">
        <w:t>Neither Party chose to submit a Memorandum on Disposition.</w:t>
      </w:r>
      <w:r w:rsidR="004145A6" w:rsidRPr="0048619D">
        <w:t xml:space="preserve"> </w:t>
      </w:r>
      <w:r w:rsidR="00A17CA9" w:rsidRPr="0048619D">
        <w:t xml:space="preserve">After </w:t>
      </w:r>
      <w:r w:rsidR="00F50F12" w:rsidRPr="0048619D">
        <w:t xml:space="preserve">full consideration of the </w:t>
      </w:r>
      <w:r w:rsidR="00126F80" w:rsidRPr="0048619D">
        <w:t>Recommended Decision</w:t>
      </w:r>
      <w:r w:rsidR="00134489" w:rsidRPr="0048619D">
        <w:t xml:space="preserve"> and </w:t>
      </w:r>
      <w:r w:rsidR="00977EC0" w:rsidRPr="0048619D">
        <w:t xml:space="preserve">having </w:t>
      </w:r>
      <w:r w:rsidR="00134489" w:rsidRPr="0048619D">
        <w:t>provid</w:t>
      </w:r>
      <w:r w:rsidR="001C6D7E" w:rsidRPr="0048619D">
        <w:t>ed</w:t>
      </w:r>
      <w:r w:rsidR="00134489" w:rsidRPr="0048619D">
        <w:t xml:space="preserve"> the Parties an opportunity to be heard, t</w:t>
      </w:r>
      <w:r w:rsidR="00F50F12" w:rsidRPr="0048619D">
        <w:t xml:space="preserve">he Board adds the following: </w:t>
      </w:r>
    </w:p>
    <w:p w14:paraId="23524DB2" w14:textId="30CD79DA" w:rsidR="00A2691B" w:rsidRPr="0048619D" w:rsidRDefault="00A2691B" w:rsidP="0048619D">
      <w:pPr>
        <w:spacing w:line="360" w:lineRule="auto"/>
        <w:ind w:firstLine="720"/>
        <w:jc w:val="center"/>
        <w:rPr>
          <w:u w:val="single"/>
        </w:rPr>
      </w:pPr>
      <w:r w:rsidRPr="0048619D">
        <w:rPr>
          <w:u w:val="single"/>
        </w:rPr>
        <w:t>Sanction</w:t>
      </w:r>
    </w:p>
    <w:p w14:paraId="656E14E5" w14:textId="71D68EBA" w:rsidR="00491632" w:rsidRPr="0048619D" w:rsidRDefault="00294DB3" w:rsidP="0048619D">
      <w:pPr>
        <w:spacing w:line="360" w:lineRule="auto"/>
        <w:ind w:firstLine="720"/>
        <w:jc w:val="both"/>
      </w:pPr>
      <w:r w:rsidRPr="0048619D">
        <w:t>The record demonstrates that</w:t>
      </w:r>
      <w:r w:rsidR="00491632" w:rsidRPr="0048619D">
        <w:t xml:space="preserve"> </w:t>
      </w:r>
      <w:r w:rsidR="00A33946">
        <w:t xml:space="preserve">on March 8, 2023 </w:t>
      </w:r>
      <w:r w:rsidR="00491632" w:rsidRPr="0048619D">
        <w:t>the Kentucky Board of Medicine (Kentucky Board) disciplined</w:t>
      </w:r>
      <w:r w:rsidR="003411DF" w:rsidRPr="0048619D">
        <w:rPr>
          <w:rStyle w:val="FootnoteReference"/>
        </w:rPr>
        <w:footnoteReference w:id="1"/>
      </w:r>
      <w:r w:rsidR="00491632" w:rsidRPr="0048619D">
        <w:t xml:space="preserve"> </w:t>
      </w:r>
      <w:r w:rsidR="009009A7" w:rsidRPr="0048619D">
        <w:t>Trung N. Nguyen, D.O. (</w:t>
      </w:r>
      <w:r w:rsidR="00491632" w:rsidRPr="0048619D">
        <w:t>Respondent</w:t>
      </w:r>
      <w:r w:rsidR="009009A7" w:rsidRPr="0048619D">
        <w:t>)</w:t>
      </w:r>
      <w:r w:rsidR="00491632" w:rsidRPr="0048619D">
        <w:t xml:space="preserve"> for:</w:t>
      </w:r>
    </w:p>
    <w:p w14:paraId="4B2478FF" w14:textId="77777777" w:rsidR="00491632" w:rsidRPr="0048619D" w:rsidRDefault="00491632" w:rsidP="0048619D">
      <w:pPr>
        <w:spacing w:line="360" w:lineRule="auto"/>
        <w:ind w:left="1440" w:right="360" w:hanging="360"/>
        <w:jc w:val="both"/>
      </w:pPr>
      <w:r w:rsidRPr="0048619D">
        <w:t xml:space="preserve">1. </w:t>
      </w:r>
      <w:r w:rsidRPr="0048619D">
        <w:tab/>
        <w:t>engaging in “dishonorable, unethical, or unprofessional conduct of a character likely to deceive, defraud, or harm the public;”</w:t>
      </w:r>
      <w:r w:rsidRPr="0048619D">
        <w:rPr>
          <w:rStyle w:val="FootnoteReference"/>
        </w:rPr>
        <w:footnoteReference w:id="2"/>
      </w:r>
      <w:r w:rsidRPr="0048619D">
        <w:t xml:space="preserve"> and</w:t>
      </w:r>
    </w:p>
    <w:p w14:paraId="163D2417" w14:textId="2C585496" w:rsidR="00390122" w:rsidRPr="0048619D" w:rsidRDefault="00491632" w:rsidP="0048619D">
      <w:pPr>
        <w:spacing w:line="360" w:lineRule="auto"/>
        <w:ind w:left="1430" w:right="360" w:hanging="350"/>
        <w:jc w:val="both"/>
      </w:pPr>
      <w:r w:rsidRPr="0048619D">
        <w:t xml:space="preserve">2. </w:t>
      </w:r>
      <w:r w:rsidRPr="0048619D">
        <w:tab/>
      </w:r>
      <w:r w:rsidRPr="0048619D">
        <w:tab/>
        <w:t>violating, or attempting to violate, provisions of the Kentucky medical practice act</w:t>
      </w:r>
      <w:r w:rsidRPr="0048619D">
        <w:rPr>
          <w:rStyle w:val="FootnoteReference"/>
        </w:rPr>
        <w:footnoteReference w:id="3"/>
      </w:r>
      <w:r w:rsidRPr="0048619D">
        <w:t xml:space="preserve"> </w:t>
      </w:r>
      <w:r w:rsidR="00A21162" w:rsidRPr="0048619D">
        <w:t xml:space="preserve">when prescribing amphetamine and amphetamine-like anorectic controlled </w:t>
      </w:r>
      <w:r w:rsidR="00A21162" w:rsidRPr="0048619D">
        <w:lastRenderedPageBreak/>
        <w:t xml:space="preserve">substances in telehealth treatment of </w:t>
      </w:r>
      <w:r w:rsidR="00C96729" w:rsidRPr="0048619D">
        <w:t>patients with obesity</w:t>
      </w:r>
      <w:r w:rsidR="00AB178D" w:rsidRPr="0048619D">
        <w:t>.</w:t>
      </w:r>
      <w:r w:rsidR="003411DF" w:rsidRPr="0048619D">
        <w:t xml:space="preserve"> Specifically, the Respondent:</w:t>
      </w:r>
    </w:p>
    <w:p w14:paraId="486F961A" w14:textId="411456BC" w:rsidR="00025DAD" w:rsidRPr="0048619D" w:rsidRDefault="00390122" w:rsidP="0048619D">
      <w:pPr>
        <w:spacing w:line="360" w:lineRule="auto"/>
        <w:ind w:left="1440" w:hanging="360"/>
        <w:jc w:val="both"/>
      </w:pPr>
      <w:r w:rsidRPr="0048619D">
        <w:t>1.</w:t>
      </w:r>
      <w:r w:rsidR="00DE2DCB" w:rsidRPr="0048619D">
        <w:t xml:space="preserve"> </w:t>
      </w:r>
      <w:r w:rsidR="0048619D">
        <w:t>f</w:t>
      </w:r>
      <w:r w:rsidR="00886703" w:rsidRPr="0048619D">
        <w:t>ailed</w:t>
      </w:r>
      <w:r w:rsidR="00066176" w:rsidRPr="0048619D">
        <w:t xml:space="preserve">, </w:t>
      </w:r>
      <w:r w:rsidR="00025DAD" w:rsidRPr="0048619D">
        <w:t>prior to prescribing</w:t>
      </w:r>
      <w:r w:rsidR="00690A25" w:rsidRPr="0048619D">
        <w:t>,</w:t>
      </w:r>
      <w:r w:rsidR="00025DAD" w:rsidRPr="0048619D">
        <w:t xml:space="preserve"> to provide patients with supportive and collateral therapies;</w:t>
      </w:r>
    </w:p>
    <w:p w14:paraId="57C61132" w14:textId="56BFFF79" w:rsidR="00F00ACB" w:rsidRPr="0048619D" w:rsidRDefault="00025DAD" w:rsidP="0048619D">
      <w:pPr>
        <w:spacing w:line="360" w:lineRule="auto"/>
        <w:ind w:left="1440" w:hanging="360"/>
        <w:jc w:val="both"/>
      </w:pPr>
      <w:r w:rsidRPr="0048619D">
        <w:t xml:space="preserve">2. </w:t>
      </w:r>
      <w:r w:rsidR="0078619C" w:rsidRPr="0048619D">
        <w:t xml:space="preserve"> </w:t>
      </w:r>
      <w:r w:rsidR="0048619D">
        <w:t xml:space="preserve"> </w:t>
      </w:r>
      <w:r w:rsidRPr="0048619D">
        <w:t xml:space="preserve">failed to keep adequate patient records </w:t>
      </w:r>
      <w:r w:rsidR="00DC5A25" w:rsidRPr="0048619D">
        <w:t>with patients’</w:t>
      </w:r>
      <w:r w:rsidRPr="0048619D">
        <w:t xml:space="preserve"> medical, social and family</w:t>
      </w:r>
    </w:p>
    <w:p w14:paraId="62D74AA2" w14:textId="1EB89B34" w:rsidR="00025DAD" w:rsidRPr="0048619D" w:rsidRDefault="007733B7" w:rsidP="0048619D">
      <w:pPr>
        <w:spacing w:line="360" w:lineRule="auto"/>
        <w:ind w:left="720"/>
        <w:jc w:val="both"/>
      </w:pPr>
      <w:r w:rsidRPr="0048619D">
        <w:t xml:space="preserve">        </w:t>
      </w:r>
      <w:r w:rsidR="00F00ACB" w:rsidRPr="0048619D">
        <w:t xml:space="preserve">  </w:t>
      </w:r>
      <w:r w:rsidR="00025DAD" w:rsidRPr="0048619D">
        <w:t xml:space="preserve"> </w:t>
      </w:r>
      <w:r w:rsidR="0048619D">
        <w:t xml:space="preserve"> </w:t>
      </w:r>
      <w:r w:rsidR="00025DAD" w:rsidRPr="0048619D">
        <w:t>histor</w:t>
      </w:r>
      <w:r w:rsidR="00DC5A25" w:rsidRPr="0048619D">
        <w:t>ie</w:t>
      </w:r>
      <w:r w:rsidR="005208E6" w:rsidRPr="0048619D">
        <w:t>s</w:t>
      </w:r>
      <w:r w:rsidR="00025DAD" w:rsidRPr="0048619D">
        <w:t>;</w:t>
      </w:r>
    </w:p>
    <w:p w14:paraId="755A36E7" w14:textId="2B26CFFE" w:rsidR="00025DAD" w:rsidRPr="0048619D" w:rsidRDefault="00025DAD" w:rsidP="0048619D">
      <w:pPr>
        <w:spacing w:line="360" w:lineRule="auto"/>
        <w:ind w:left="1440" w:hanging="360"/>
        <w:jc w:val="both"/>
      </w:pPr>
      <w:r w:rsidRPr="0048619D">
        <w:t xml:space="preserve">3. </w:t>
      </w:r>
      <w:r w:rsidR="0048619D">
        <w:t xml:space="preserve"> </w:t>
      </w:r>
      <w:r w:rsidRPr="0048619D">
        <w:t xml:space="preserve">failed to perform </w:t>
      </w:r>
      <w:r w:rsidR="00FD1466" w:rsidRPr="0048619D">
        <w:t xml:space="preserve">laboratory tests </w:t>
      </w:r>
      <w:r w:rsidRPr="0048619D">
        <w:t>and document the results</w:t>
      </w:r>
      <w:r w:rsidR="00FD1466" w:rsidRPr="0048619D">
        <w:t>;</w:t>
      </w:r>
      <w:r w:rsidRPr="0048619D">
        <w:t xml:space="preserve"> </w:t>
      </w:r>
    </w:p>
    <w:p w14:paraId="65335F7B" w14:textId="0B05FC4C" w:rsidR="00025DAD" w:rsidRPr="0048619D" w:rsidRDefault="00025DAD" w:rsidP="0048619D">
      <w:pPr>
        <w:spacing w:line="360" w:lineRule="auto"/>
        <w:ind w:left="1440" w:hanging="360"/>
        <w:jc w:val="both"/>
      </w:pPr>
      <w:r w:rsidRPr="0048619D">
        <w:t xml:space="preserve">4. </w:t>
      </w:r>
      <w:r w:rsidR="0048619D">
        <w:t xml:space="preserve"> </w:t>
      </w:r>
      <w:r w:rsidRPr="0048619D">
        <w:t xml:space="preserve">failed to perform and document the results of physical examinations; and </w:t>
      </w:r>
    </w:p>
    <w:p w14:paraId="05380B13" w14:textId="7FACABD9" w:rsidR="009F2F29" w:rsidRPr="0048619D" w:rsidRDefault="009F2F29" w:rsidP="0048619D">
      <w:pPr>
        <w:tabs>
          <w:tab w:val="left" w:pos="1080"/>
        </w:tabs>
        <w:spacing w:line="360" w:lineRule="auto"/>
        <w:ind w:left="1440" w:hanging="360"/>
        <w:jc w:val="both"/>
      </w:pPr>
      <w:r w:rsidRPr="0048619D">
        <w:t xml:space="preserve">5. </w:t>
      </w:r>
      <w:r w:rsidR="0048619D">
        <w:t xml:space="preserve"> </w:t>
      </w:r>
      <w:r w:rsidR="0020021D" w:rsidRPr="0048619D">
        <w:t>failed</w:t>
      </w:r>
      <w:r w:rsidR="000E2714" w:rsidRPr="0048619D">
        <w:t xml:space="preserve"> </w:t>
      </w:r>
      <w:r w:rsidR="0020021D" w:rsidRPr="0048619D">
        <w:t xml:space="preserve">to </w:t>
      </w:r>
      <w:r w:rsidR="000E2714" w:rsidRPr="0048619D">
        <w:t xml:space="preserve">obtain and review </w:t>
      </w:r>
      <w:r w:rsidR="000D467B" w:rsidRPr="0048619D">
        <w:t xml:space="preserve">state prescription monitoring </w:t>
      </w:r>
      <w:r w:rsidR="000E2714" w:rsidRPr="0048619D">
        <w:t>reports for his patients.</w:t>
      </w:r>
    </w:p>
    <w:p w14:paraId="48BBB90D" w14:textId="5A03D320" w:rsidR="00473985" w:rsidRPr="0048619D" w:rsidRDefault="00473985" w:rsidP="0048619D">
      <w:pPr>
        <w:spacing w:line="360" w:lineRule="auto"/>
        <w:ind w:right="360" w:firstLine="720"/>
        <w:jc w:val="both"/>
      </w:pPr>
      <w:r w:rsidRPr="0048619D">
        <w:t>The record demonstrates, too, that, on May 18, 2023, the Maine Board of Osteopathic Licensures (Maine Board) suspended the Respondent’s license based on his denial of pending allegations on his license renewal application and the Board’s review of unspecified disciplinary documents from other jurisdictions.</w:t>
      </w:r>
      <w:r w:rsidRPr="0048619D">
        <w:rPr>
          <w:rStyle w:val="FootnoteReference"/>
        </w:rPr>
        <w:footnoteReference w:id="4"/>
      </w:r>
      <w:r w:rsidRPr="0048619D">
        <w:t xml:space="preserve"> The Maine Board </w:t>
      </w:r>
      <w:r w:rsidR="002A5B0D" w:rsidRPr="0048619D">
        <w:t>disciplined the Respondent for</w:t>
      </w:r>
      <w:r w:rsidR="001509F0" w:rsidRPr="0048619D">
        <w:t xml:space="preserve">: </w:t>
      </w:r>
    </w:p>
    <w:p w14:paraId="64B7126B" w14:textId="7443DA79" w:rsidR="00473985" w:rsidRPr="0048619D" w:rsidRDefault="00473985" w:rsidP="0048619D">
      <w:pPr>
        <w:pStyle w:val="ListParagraph"/>
        <w:numPr>
          <w:ilvl w:val="0"/>
          <w:numId w:val="2"/>
        </w:numPr>
        <w:spacing w:line="360" w:lineRule="auto"/>
        <w:ind w:right="360"/>
        <w:jc w:val="both"/>
        <w:rPr>
          <w:rFonts w:ascii="Times New Roman" w:hAnsi="Times New Roman" w:cs="Times New Roman"/>
          <w:sz w:val="24"/>
          <w:szCs w:val="24"/>
        </w:rPr>
      </w:pPr>
      <w:r w:rsidRPr="0048619D">
        <w:rPr>
          <w:rFonts w:ascii="Times New Roman" w:hAnsi="Times New Roman" w:cs="Times New Roman"/>
          <w:sz w:val="24"/>
          <w:szCs w:val="24"/>
        </w:rPr>
        <w:t>fraud or deceit in obtaining a license;</w:t>
      </w:r>
      <w:r w:rsidRPr="0048619D">
        <w:rPr>
          <w:rStyle w:val="FootnoteReference"/>
          <w:rFonts w:ascii="Times New Roman" w:hAnsi="Times New Roman" w:cs="Times New Roman"/>
          <w:sz w:val="24"/>
          <w:szCs w:val="24"/>
        </w:rPr>
        <w:footnoteReference w:id="5"/>
      </w:r>
    </w:p>
    <w:p w14:paraId="5E4A85E2" w14:textId="42F7E0A1" w:rsidR="00473985" w:rsidRPr="0048619D" w:rsidRDefault="00C04725" w:rsidP="0048619D">
      <w:pPr>
        <w:pStyle w:val="ListParagraph"/>
        <w:numPr>
          <w:ilvl w:val="0"/>
          <w:numId w:val="2"/>
        </w:numPr>
        <w:spacing w:line="360" w:lineRule="auto"/>
        <w:ind w:right="360"/>
        <w:jc w:val="both"/>
        <w:rPr>
          <w:rFonts w:ascii="Times New Roman" w:hAnsi="Times New Roman" w:cs="Times New Roman"/>
          <w:sz w:val="24"/>
          <w:szCs w:val="24"/>
        </w:rPr>
      </w:pPr>
      <w:r w:rsidRPr="0048619D">
        <w:rPr>
          <w:rFonts w:ascii="Times New Roman" w:hAnsi="Times New Roman" w:cs="Times New Roman"/>
          <w:sz w:val="24"/>
          <w:szCs w:val="24"/>
        </w:rPr>
        <w:t>incompetence in the practice of medicine</w:t>
      </w:r>
      <w:r w:rsidR="00473985" w:rsidRPr="0048619D">
        <w:rPr>
          <w:rFonts w:ascii="Times New Roman" w:hAnsi="Times New Roman" w:cs="Times New Roman"/>
          <w:sz w:val="24"/>
          <w:szCs w:val="24"/>
        </w:rPr>
        <w:t>;</w:t>
      </w:r>
      <w:r w:rsidR="00473985" w:rsidRPr="0048619D">
        <w:rPr>
          <w:rStyle w:val="FootnoteReference"/>
          <w:rFonts w:ascii="Times New Roman" w:hAnsi="Times New Roman" w:cs="Times New Roman"/>
          <w:sz w:val="24"/>
          <w:szCs w:val="24"/>
        </w:rPr>
        <w:footnoteReference w:id="6"/>
      </w:r>
    </w:p>
    <w:p w14:paraId="6BFF2855" w14:textId="6DE59447" w:rsidR="00473985" w:rsidRPr="0048619D" w:rsidRDefault="00473985" w:rsidP="0048619D">
      <w:pPr>
        <w:pStyle w:val="ListParagraph"/>
        <w:numPr>
          <w:ilvl w:val="0"/>
          <w:numId w:val="2"/>
        </w:numPr>
        <w:spacing w:line="360" w:lineRule="auto"/>
        <w:ind w:right="360"/>
        <w:jc w:val="both"/>
        <w:rPr>
          <w:rFonts w:ascii="Times New Roman" w:hAnsi="Times New Roman" w:cs="Times New Roman"/>
          <w:sz w:val="24"/>
          <w:szCs w:val="24"/>
        </w:rPr>
      </w:pPr>
      <w:r w:rsidRPr="0048619D">
        <w:rPr>
          <w:rFonts w:ascii="Times New Roman" w:hAnsi="Times New Roman" w:cs="Times New Roman"/>
          <w:sz w:val="24"/>
          <w:szCs w:val="24"/>
        </w:rPr>
        <w:t>unprofessional conduct;</w:t>
      </w:r>
      <w:r w:rsidRPr="0048619D">
        <w:rPr>
          <w:rStyle w:val="FootnoteReference"/>
          <w:rFonts w:ascii="Times New Roman" w:hAnsi="Times New Roman" w:cs="Times New Roman"/>
          <w:sz w:val="24"/>
          <w:szCs w:val="24"/>
        </w:rPr>
        <w:footnoteReference w:id="7"/>
      </w:r>
      <w:r w:rsidRPr="0048619D">
        <w:rPr>
          <w:rFonts w:ascii="Times New Roman" w:hAnsi="Times New Roman" w:cs="Times New Roman"/>
          <w:sz w:val="24"/>
          <w:szCs w:val="24"/>
        </w:rPr>
        <w:t xml:space="preserve"> an</w:t>
      </w:r>
      <w:r w:rsidR="00C04725" w:rsidRPr="0048619D">
        <w:rPr>
          <w:rFonts w:ascii="Times New Roman" w:hAnsi="Times New Roman" w:cs="Times New Roman"/>
          <w:sz w:val="24"/>
          <w:szCs w:val="24"/>
        </w:rPr>
        <w:t>d</w:t>
      </w:r>
    </w:p>
    <w:p w14:paraId="3347A35B" w14:textId="7FCCF5EE" w:rsidR="00CE49EC" w:rsidRPr="0048619D" w:rsidRDefault="00466A53" w:rsidP="0048619D">
      <w:pPr>
        <w:pStyle w:val="ListParagraph"/>
        <w:numPr>
          <w:ilvl w:val="0"/>
          <w:numId w:val="2"/>
        </w:numPr>
        <w:spacing w:line="360" w:lineRule="auto"/>
        <w:ind w:right="360"/>
        <w:jc w:val="both"/>
        <w:rPr>
          <w:rFonts w:ascii="Times New Roman" w:hAnsi="Times New Roman" w:cs="Times New Roman"/>
          <w:sz w:val="24"/>
          <w:szCs w:val="24"/>
        </w:rPr>
      </w:pPr>
      <w:r w:rsidRPr="0048619D">
        <w:rPr>
          <w:rFonts w:ascii="Times New Roman" w:hAnsi="Times New Roman" w:cs="Times New Roman"/>
          <w:sz w:val="24"/>
          <w:szCs w:val="24"/>
        </w:rPr>
        <w:t xml:space="preserve">institution of </w:t>
      </w:r>
      <w:r w:rsidR="00473985" w:rsidRPr="0048619D">
        <w:rPr>
          <w:rFonts w:ascii="Times New Roman" w:hAnsi="Times New Roman" w:cs="Times New Roman"/>
          <w:sz w:val="24"/>
          <w:szCs w:val="24"/>
        </w:rPr>
        <w:t>disciplinary action by another state</w:t>
      </w:r>
      <w:r w:rsidR="00DC4E98" w:rsidRPr="0048619D">
        <w:rPr>
          <w:rFonts w:ascii="Times New Roman" w:hAnsi="Times New Roman" w:cs="Times New Roman"/>
          <w:sz w:val="24"/>
          <w:szCs w:val="24"/>
        </w:rPr>
        <w:t xml:space="preserve"> </w:t>
      </w:r>
      <w:r w:rsidR="00723AF3" w:rsidRPr="0048619D">
        <w:rPr>
          <w:rFonts w:ascii="Times New Roman" w:hAnsi="Times New Roman" w:cs="Times New Roman"/>
          <w:sz w:val="24"/>
          <w:szCs w:val="24"/>
        </w:rPr>
        <w:t>for conduct</w:t>
      </w:r>
      <w:r w:rsidR="002960F4" w:rsidRPr="0048619D">
        <w:rPr>
          <w:rFonts w:ascii="Times New Roman" w:hAnsi="Times New Roman" w:cs="Times New Roman"/>
          <w:sz w:val="24"/>
          <w:szCs w:val="24"/>
        </w:rPr>
        <w:t xml:space="preserve"> </w:t>
      </w:r>
      <w:r w:rsidR="00723AF3" w:rsidRPr="0048619D">
        <w:rPr>
          <w:rFonts w:ascii="Times New Roman" w:hAnsi="Times New Roman" w:cs="Times New Roman"/>
          <w:sz w:val="24"/>
          <w:szCs w:val="24"/>
        </w:rPr>
        <w:t>which</w:t>
      </w:r>
      <w:r w:rsidR="004559F3" w:rsidRPr="0048619D">
        <w:rPr>
          <w:rFonts w:ascii="Times New Roman" w:hAnsi="Times New Roman" w:cs="Times New Roman"/>
          <w:sz w:val="24"/>
          <w:szCs w:val="24"/>
        </w:rPr>
        <w:t>,</w:t>
      </w:r>
      <w:r w:rsidR="002960F4" w:rsidRPr="0048619D">
        <w:rPr>
          <w:rFonts w:ascii="Times New Roman" w:hAnsi="Times New Roman" w:cs="Times New Roman"/>
          <w:sz w:val="24"/>
          <w:szCs w:val="24"/>
        </w:rPr>
        <w:t xml:space="preserve"> if</w:t>
      </w:r>
      <w:r w:rsidR="004559F3" w:rsidRPr="0048619D">
        <w:rPr>
          <w:rFonts w:ascii="Times New Roman" w:hAnsi="Times New Roman" w:cs="Times New Roman"/>
          <w:sz w:val="24"/>
          <w:szCs w:val="24"/>
        </w:rPr>
        <w:t xml:space="preserve"> </w:t>
      </w:r>
      <w:r w:rsidR="002960F4" w:rsidRPr="0048619D">
        <w:rPr>
          <w:rFonts w:ascii="Times New Roman" w:hAnsi="Times New Roman" w:cs="Times New Roman"/>
          <w:sz w:val="24"/>
          <w:szCs w:val="24"/>
        </w:rPr>
        <w:t>committed by a Maine licensee</w:t>
      </w:r>
      <w:r w:rsidR="000A08DF" w:rsidRPr="0048619D">
        <w:rPr>
          <w:rFonts w:ascii="Times New Roman" w:hAnsi="Times New Roman" w:cs="Times New Roman"/>
          <w:sz w:val="24"/>
          <w:szCs w:val="24"/>
        </w:rPr>
        <w:t xml:space="preserve">, would </w:t>
      </w:r>
      <w:r w:rsidR="00473985" w:rsidRPr="0048619D">
        <w:rPr>
          <w:rFonts w:ascii="Times New Roman" w:hAnsi="Times New Roman" w:cs="Times New Roman"/>
          <w:sz w:val="24"/>
          <w:szCs w:val="24"/>
        </w:rPr>
        <w:t>constitute grounds for discipline.</w:t>
      </w:r>
      <w:r w:rsidR="00473985" w:rsidRPr="0048619D">
        <w:rPr>
          <w:rStyle w:val="FootnoteReference"/>
          <w:rFonts w:ascii="Times New Roman" w:hAnsi="Times New Roman" w:cs="Times New Roman"/>
          <w:sz w:val="24"/>
          <w:szCs w:val="24"/>
        </w:rPr>
        <w:footnoteReference w:id="8"/>
      </w:r>
    </w:p>
    <w:p w14:paraId="0D768939" w14:textId="7760472F" w:rsidR="00B81233" w:rsidRPr="0048619D" w:rsidRDefault="002607B3" w:rsidP="0048619D">
      <w:pPr>
        <w:spacing w:line="360" w:lineRule="auto"/>
        <w:ind w:right="90"/>
        <w:jc w:val="both"/>
      </w:pPr>
      <w:r w:rsidRPr="0048619D">
        <w:tab/>
      </w:r>
      <w:r w:rsidR="00BE45F8" w:rsidRPr="0048619D">
        <w:t>When the Board imposes reciprocal discipline, it “may impose any sanction consistent with its policies and precedent” and based on the out-of-state facts.</w:t>
      </w:r>
      <w:r w:rsidR="00BE45F8" w:rsidRPr="0048619D">
        <w:rPr>
          <w:rStyle w:val="FootnoteReference"/>
        </w:rPr>
        <w:footnoteReference w:id="9"/>
      </w:r>
      <w:r w:rsidR="00BE45F8" w:rsidRPr="0048619D">
        <w:t xml:space="preserve"> The Board is not bound by the out-of-state sanction.</w:t>
      </w:r>
      <w:r w:rsidR="00BE45F8" w:rsidRPr="0048619D">
        <w:rPr>
          <w:rStyle w:val="FootnoteReference"/>
        </w:rPr>
        <w:footnoteReference w:id="10"/>
      </w:r>
      <w:r w:rsidR="00BE45F8" w:rsidRPr="0048619D">
        <w:t xml:space="preserve"> </w:t>
      </w:r>
      <w:r w:rsidR="00B81233" w:rsidRPr="0048619D">
        <w:t xml:space="preserve">When determining the appropriate sanction, the Board is guided by its paramount duty to ensure the health and safety of patients. Accordingly, the Board considers both </w:t>
      </w:r>
      <w:r w:rsidR="00B81233" w:rsidRPr="0048619D">
        <w:lastRenderedPageBreak/>
        <w:t>the nature and extent of the physician’s wrong-doing and mitigating factors, including documented remediation of deficits.</w:t>
      </w:r>
    </w:p>
    <w:p w14:paraId="39159EED" w14:textId="08DD6B89" w:rsidR="00E2688C" w:rsidRPr="0048619D" w:rsidRDefault="00B81233" w:rsidP="0048619D">
      <w:pPr>
        <w:spacing w:line="360" w:lineRule="auto"/>
        <w:ind w:right="90"/>
        <w:jc w:val="both"/>
      </w:pPr>
      <w:r w:rsidRPr="0048619D">
        <w:tab/>
        <w:t xml:space="preserve">When a physician’s </w:t>
      </w:r>
      <w:r w:rsidR="006964EF" w:rsidRPr="0048619D">
        <w:t xml:space="preserve">wrong-doing has been limited to a failure to maintain adequate medical records, the Board has often imposed </w:t>
      </w:r>
      <w:r w:rsidR="00AC7F40" w:rsidRPr="0048619D">
        <w:t xml:space="preserve">lesser </w:t>
      </w:r>
      <w:r w:rsidR="006964EF" w:rsidRPr="0048619D">
        <w:t>sanctions</w:t>
      </w:r>
      <w:r w:rsidR="00AC7F40" w:rsidRPr="0048619D">
        <w:t>, such</w:t>
      </w:r>
      <w:r w:rsidR="006964EF" w:rsidRPr="0048619D">
        <w:t xml:space="preserve"> </w:t>
      </w:r>
      <w:r w:rsidR="00AC7F40" w:rsidRPr="0048619D">
        <w:t>as</w:t>
      </w:r>
      <w:r w:rsidR="00B325C2" w:rsidRPr="0048619D">
        <w:t xml:space="preserve"> admonishment</w:t>
      </w:r>
      <w:r w:rsidR="00AC7F40" w:rsidRPr="0048619D">
        <w:t>,</w:t>
      </w:r>
      <w:r w:rsidR="00B325C2" w:rsidRPr="0048619D">
        <w:t xml:space="preserve"> </w:t>
      </w:r>
      <w:r w:rsidR="006964EF" w:rsidRPr="0048619D">
        <w:t>reprimand, required continuing medical education, and/or a fine.</w:t>
      </w:r>
      <w:r w:rsidR="00450B5D" w:rsidRPr="0048619D">
        <w:rPr>
          <w:rStyle w:val="FootnoteReference"/>
        </w:rPr>
        <w:footnoteReference w:id="11"/>
      </w:r>
      <w:r w:rsidR="006964EF" w:rsidRPr="0048619D">
        <w:t xml:space="preserve"> When a physician’s wrong-doing has been limited to failure to utilize the state prescription monitoring tool, the Board has imposed similar sanctions.</w:t>
      </w:r>
      <w:r w:rsidR="000874DF" w:rsidRPr="0048619D">
        <w:rPr>
          <w:rStyle w:val="FootnoteReference"/>
        </w:rPr>
        <w:footnoteReference w:id="12"/>
      </w:r>
      <w:r w:rsidR="006964EF" w:rsidRPr="0048619D">
        <w:t xml:space="preserve"> </w:t>
      </w:r>
      <w:r w:rsidR="007969FE" w:rsidRPr="0048619D">
        <w:t xml:space="preserve">So, too, </w:t>
      </w:r>
      <w:r w:rsidR="0016569E" w:rsidRPr="0048619D">
        <w:t>when a physician’s wrong-doing consists in a failure to report investigations and/or discipline on license applications, the Board has often imposed a reprimand as the sanction.</w:t>
      </w:r>
      <w:r w:rsidR="0016569E" w:rsidRPr="0048619D">
        <w:rPr>
          <w:rStyle w:val="FootnoteReference"/>
        </w:rPr>
        <w:footnoteReference w:id="13"/>
      </w:r>
    </w:p>
    <w:p w14:paraId="07505962" w14:textId="388C034C" w:rsidR="00620D6F" w:rsidRPr="0048619D" w:rsidRDefault="00620D6F" w:rsidP="0048619D">
      <w:pPr>
        <w:spacing w:line="360" w:lineRule="auto"/>
        <w:ind w:right="90"/>
        <w:jc w:val="both"/>
      </w:pPr>
      <w:r w:rsidRPr="0048619D">
        <w:tab/>
      </w:r>
      <w:r w:rsidR="0016569E" w:rsidRPr="0048619D">
        <w:t>In contrast, w</w:t>
      </w:r>
      <w:r w:rsidRPr="0048619D">
        <w:t xml:space="preserve">hen a physician’s wrong-doing includes conduct placing into question his clinical competency together with “dishonorable, unethical, or unprofessional conduct of a character likely to deceive, defraud, or harm the public,” the Board has chosen a lesser sanction only where the physician has documented the restoration of his license in the state(s) where he was disciplined </w:t>
      </w:r>
      <w:r w:rsidR="00032872">
        <w:t>on the basis of</w:t>
      </w:r>
      <w:r w:rsidRPr="0048619D">
        <w:t xml:space="preserve"> compliance with required remediation.</w:t>
      </w:r>
      <w:r w:rsidRPr="0048619D">
        <w:rPr>
          <w:rStyle w:val="FootnoteReference"/>
        </w:rPr>
        <w:footnoteReference w:id="14"/>
      </w:r>
      <w:r w:rsidRPr="0048619D">
        <w:t xml:space="preserve">  </w:t>
      </w:r>
    </w:p>
    <w:p w14:paraId="3081B3F5" w14:textId="248A054E" w:rsidR="00620D6F" w:rsidRPr="0048619D" w:rsidRDefault="00620D6F" w:rsidP="0048619D">
      <w:pPr>
        <w:spacing w:line="360" w:lineRule="auto"/>
        <w:ind w:right="90"/>
        <w:jc w:val="both"/>
      </w:pPr>
      <w:r w:rsidRPr="0048619D">
        <w:tab/>
        <w:t xml:space="preserve">In the pendant case, the Kentucky Board restricted the Respondent’s license based on conclusions of law that he failed to complete rudimentary steps prior to issuing prescriptions for amphetamine or amphetamine-like controlled substances and engaged in dishonorable, unethical conduct. In contrast to the </w:t>
      </w:r>
      <w:r w:rsidRPr="0048619D">
        <w:rPr>
          <w:i/>
          <w:iCs/>
        </w:rPr>
        <w:t>Verma</w:t>
      </w:r>
      <w:r w:rsidRPr="0048619D">
        <w:t xml:space="preserve"> and </w:t>
      </w:r>
      <w:r w:rsidRPr="0048619D">
        <w:rPr>
          <w:i/>
          <w:iCs/>
        </w:rPr>
        <w:t>Purdy</w:t>
      </w:r>
      <w:r w:rsidRPr="0048619D">
        <w:t xml:space="preserve"> cases, this matter includes a conclusion of law that the Respondent engaged in conduct placing his competency into question. The Kentucky Agreed </w:t>
      </w:r>
      <w:r w:rsidRPr="0048619D">
        <w:lastRenderedPageBreak/>
        <w:t xml:space="preserve">Order requires that any petition to lift the restrictions must be accompanied by a clinical skills assessment and remediation plan, if recommended, by a Board-approved entity. </w:t>
      </w:r>
      <w:r w:rsidR="00C10CCC">
        <w:t xml:space="preserve">Although </w:t>
      </w:r>
      <w:r w:rsidR="00DE6583">
        <w:t>t</w:t>
      </w:r>
      <w:r w:rsidRPr="0048619D">
        <w:t xml:space="preserve">he Findings of Fact </w:t>
      </w:r>
      <w:r w:rsidR="00DE6583">
        <w:t xml:space="preserve">indicate that </w:t>
      </w:r>
      <w:r w:rsidR="00146587">
        <w:t xml:space="preserve">the Kentucky Board </w:t>
      </w:r>
      <w:r w:rsidR="00F86D01">
        <w:t xml:space="preserve">terminated the restrictions on </w:t>
      </w:r>
      <w:r w:rsidR="00DE6583">
        <w:t xml:space="preserve">Respondent’s Kentucky </w:t>
      </w:r>
      <w:r w:rsidR="00F86D01">
        <w:t>osteopathic license</w:t>
      </w:r>
      <w:r w:rsidR="000A7ED3">
        <w:t xml:space="preserve"> on April 1, 2024,</w:t>
      </w:r>
      <w:r w:rsidR="00F86D01">
        <w:t xml:space="preserve"> the</w:t>
      </w:r>
      <w:r w:rsidR="00F24B2B">
        <w:t xml:space="preserve"> </w:t>
      </w:r>
      <w:r w:rsidR="000A7ED3">
        <w:t>f</w:t>
      </w:r>
      <w:r w:rsidR="00F24B2B">
        <w:t xml:space="preserve">indings </w:t>
      </w:r>
      <w:r w:rsidR="00CD0D0F">
        <w:t xml:space="preserve">make no mention </w:t>
      </w:r>
      <w:r w:rsidR="00651FCC">
        <w:t xml:space="preserve">as to </w:t>
      </w:r>
      <w:r w:rsidRPr="0048619D">
        <w:t xml:space="preserve">the Respondent’s </w:t>
      </w:r>
      <w:r w:rsidR="0073130D">
        <w:t xml:space="preserve">compliance with </w:t>
      </w:r>
      <w:r w:rsidR="00651FCC">
        <w:t>the</w:t>
      </w:r>
      <w:r w:rsidRPr="0048619D">
        <w:t xml:space="preserve"> assessment </w:t>
      </w:r>
      <w:r w:rsidR="0073130D">
        <w:t>or</w:t>
      </w:r>
      <w:r w:rsidRPr="0048619D">
        <w:t xml:space="preserve"> remediation</w:t>
      </w:r>
      <w:r w:rsidR="0073130D">
        <w:t xml:space="preserve"> requirements</w:t>
      </w:r>
      <w:r w:rsidR="005F4C39">
        <w:t xml:space="preserve"> set in the March 8, 2023 Order</w:t>
      </w:r>
      <w:r w:rsidR="00013038">
        <w:t>.</w:t>
      </w:r>
      <w:r w:rsidR="00111213">
        <w:rPr>
          <w:rStyle w:val="FootnoteReference"/>
        </w:rPr>
        <w:footnoteReference w:id="15"/>
      </w:r>
      <w:r w:rsidRPr="0048619D">
        <w:t xml:space="preserve"> The </w:t>
      </w:r>
      <w:r w:rsidR="005F4C39">
        <w:t xml:space="preserve">Findings of Fact </w:t>
      </w:r>
      <w:r w:rsidR="00BC31B5">
        <w:t xml:space="preserve">also do not indicate that </w:t>
      </w:r>
      <w:r w:rsidRPr="0048619D">
        <w:t xml:space="preserve">Respondent’s Maine license </w:t>
      </w:r>
      <w:r w:rsidR="00BC31B5">
        <w:t>was restored to good standing</w:t>
      </w:r>
      <w:r w:rsidRPr="0048619D">
        <w:t xml:space="preserve">. </w:t>
      </w:r>
    </w:p>
    <w:p w14:paraId="3A601897" w14:textId="0F9EF487" w:rsidR="00620D6F" w:rsidRPr="0048619D" w:rsidRDefault="00620D6F" w:rsidP="0048619D">
      <w:pPr>
        <w:spacing w:line="360" w:lineRule="auto"/>
        <w:ind w:right="90"/>
        <w:jc w:val="both"/>
      </w:pPr>
      <w:r w:rsidRPr="0048619D">
        <w:tab/>
        <w:t xml:space="preserve">Based on the scope of the Respondent’s wrong-doing, the absence of mitigating factors, and in the absence of documentation of his fitness to practice, the Board </w:t>
      </w:r>
      <w:r w:rsidR="0016569E" w:rsidRPr="0048619D">
        <w:t xml:space="preserve">INDEFINITELY SUSPENDS </w:t>
      </w:r>
      <w:r w:rsidRPr="0048619D">
        <w:t xml:space="preserve">the Respondent’s license and allow a stay upon submission of a petition that includes documentation satisfactory to the Board that the Respondent is fit to practice and such other conditions as the Board may determine on review of the petition, including but not limited to entry into a standard five-year Probation Agreement. </w:t>
      </w:r>
    </w:p>
    <w:p w14:paraId="3ED6AEE0" w14:textId="1E80C564" w:rsidR="00075EE6" w:rsidRPr="0048619D" w:rsidRDefault="00700F75" w:rsidP="0048619D">
      <w:pPr>
        <w:spacing w:line="360" w:lineRule="auto"/>
        <w:jc w:val="both"/>
      </w:pPr>
      <w:r w:rsidRPr="0048619D">
        <w:tab/>
      </w:r>
      <w:r w:rsidR="00E27A55" w:rsidRPr="0048619D">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s/he has any kind of license to practice medicine.  The Respondent shall also provide this notification to any such designated entities with which he becomes associated for the duration of </w:t>
      </w:r>
      <w:r w:rsidR="00EE722E" w:rsidRPr="0048619D">
        <w:t xml:space="preserve">his </w:t>
      </w:r>
      <w:r w:rsidR="00611587" w:rsidRPr="0048619D">
        <w:t xml:space="preserve">indefinite </w:t>
      </w:r>
      <w:r w:rsidR="00EE722E" w:rsidRPr="0048619D">
        <w:t>suspension</w:t>
      </w:r>
      <w:r w:rsidR="00611587" w:rsidRPr="0048619D">
        <w:t xml:space="preserve"> and probationary term</w:t>
      </w:r>
      <w:r w:rsidR="00EE722E" w:rsidRPr="0048619D">
        <w:t>.</w:t>
      </w:r>
      <w:r w:rsidR="00E27A55" w:rsidRPr="0048619D">
        <w:t xml:space="preserve"> The </w:t>
      </w:r>
      <w:r w:rsidR="00E27A55" w:rsidRPr="0048619D">
        <w:lastRenderedPageBreak/>
        <w:t>Respondent is further directed to certify to the Board within ten (10) days that s/he has complied with this directive.</w:t>
      </w:r>
      <w:r w:rsidR="00ED2833" w:rsidRPr="0048619D">
        <w:t xml:space="preserve"> The Board expressly reserves the </w:t>
      </w:r>
      <w:r w:rsidR="00B107AC" w:rsidRPr="0048619D">
        <w:t xml:space="preserve">authority </w:t>
      </w:r>
      <w:r w:rsidR="00ED2833" w:rsidRPr="0048619D">
        <w:t>to</w:t>
      </w:r>
      <w:r w:rsidR="00B107AC" w:rsidRPr="0048619D">
        <w:t xml:space="preserve"> independently notify, at any time, any of the </w:t>
      </w:r>
      <w:r w:rsidR="00AC00A2" w:rsidRPr="0048619D">
        <w:t xml:space="preserve">entities designated above, or any other affected entity, of any action it has taken. </w:t>
      </w:r>
    </w:p>
    <w:p w14:paraId="3F719815" w14:textId="755D4FC8" w:rsidR="00E27A55" w:rsidRPr="0048619D" w:rsidRDefault="00075EE6" w:rsidP="0048619D">
      <w:pPr>
        <w:spacing w:line="360" w:lineRule="auto"/>
        <w:jc w:val="both"/>
      </w:pPr>
      <w:r w:rsidRPr="0048619D">
        <w:tab/>
        <w:t>The Respondent has the right to appeal this Final Decision and Order within thirty (30) days, pursuant to G.L. c. 30A</w:t>
      </w:r>
      <w:r w:rsidR="00DE4039" w:rsidRPr="0048619D">
        <w:t>, sec</w:t>
      </w:r>
      <w:r w:rsidR="005144F2" w:rsidRPr="0048619D">
        <w:t>s. 14 and 15, and G.L. c. 112, sec. 64.</w:t>
      </w:r>
      <w:r w:rsidR="00ED2833" w:rsidRPr="0048619D">
        <w:t xml:space="preserve"> </w:t>
      </w:r>
    </w:p>
    <w:p w14:paraId="3B58074F" w14:textId="77777777" w:rsidR="00E27A55" w:rsidRPr="0048619D" w:rsidRDefault="00E27A55" w:rsidP="0048619D">
      <w:pPr>
        <w:spacing w:line="360" w:lineRule="auto"/>
        <w:jc w:val="both"/>
      </w:pPr>
    </w:p>
    <w:p w14:paraId="60B35925" w14:textId="5301C8DD" w:rsidR="009D5CDB" w:rsidRDefault="009D5CDB" w:rsidP="009422D2">
      <w:pPr>
        <w:ind w:firstLine="720"/>
      </w:pPr>
      <w:r>
        <w:t xml:space="preserve">On </w:t>
      </w:r>
      <w:r>
        <w:rPr>
          <w:u w:val="single"/>
        </w:rPr>
        <w:t>August 21, 2025</w:t>
      </w:r>
      <w:r>
        <w:t xml:space="preserve"> </w:t>
      </w:r>
      <w:r w:rsidRPr="002223C7">
        <w:t>in accordance</w:t>
      </w:r>
      <w:r>
        <w:t xml:space="preserve"> </w:t>
      </w:r>
      <w:r w:rsidRPr="002223C7">
        <w:t>with the Board’s authority and statutory</w:t>
      </w:r>
      <w:r>
        <w:t xml:space="preserve"> </w:t>
      </w:r>
      <w:r w:rsidRPr="002223C7">
        <w:t>mandate, the Board</w:t>
      </w:r>
      <w:r>
        <w:t xml:space="preserve"> </w:t>
      </w:r>
      <w:r w:rsidRPr="002223C7">
        <w:t>voted to</w:t>
      </w:r>
      <w:r>
        <w:t xml:space="preserve"> issue the </w:t>
      </w:r>
      <w:r>
        <w:rPr>
          <w:u w:val="single"/>
        </w:rPr>
        <w:t>Final Decision and Order</w:t>
      </w:r>
      <w:r>
        <w:t xml:space="preserve"> in the pending disciplinary proceeding against the license of Nguyen Trung, D.O., license number </w:t>
      </w:r>
      <w:r w:rsidR="006B3DD0">
        <w:t>276844</w:t>
      </w:r>
      <w:r>
        <w:t>, Board of Registration in Medicine Adjudicatory Case No. 202</w:t>
      </w:r>
      <w:r w:rsidR="006B3DD0">
        <w:t>4-052</w:t>
      </w:r>
      <w:r>
        <w:t xml:space="preserve"> (DALA Docket No. </w:t>
      </w:r>
      <w:r w:rsidR="006B3DD0" w:rsidRPr="006C1C50">
        <w:rPr>
          <w:sz w:val="22"/>
          <w:szCs w:val="22"/>
        </w:rPr>
        <w:t>RM-24-0608</w:t>
      </w:r>
      <w:r>
        <w:t>)</w:t>
      </w:r>
      <w:r w:rsidRPr="00CF4DFE">
        <w:t>.</w:t>
      </w:r>
    </w:p>
    <w:p w14:paraId="5B6FC9DD" w14:textId="77777777" w:rsidR="009D5CDB" w:rsidRDefault="009D5CDB" w:rsidP="009D5CDB">
      <w:pPr>
        <w:rPr>
          <w:u w:val="single"/>
        </w:rPr>
      </w:pPr>
    </w:p>
    <w:p w14:paraId="6AA012ED" w14:textId="77777777" w:rsidR="009D5CDB" w:rsidRPr="006B3DD0" w:rsidRDefault="009D5CDB" w:rsidP="009D5CDB">
      <w:pPr>
        <w:spacing w:after="240"/>
      </w:pPr>
      <w:r w:rsidRPr="006B3DD0">
        <w:rPr>
          <w:b/>
          <w:bCs/>
          <w:u w:val="single"/>
        </w:rPr>
        <w:t>Board Members Voting Affirmatively</w:t>
      </w:r>
    </w:p>
    <w:p w14:paraId="1A0300AA" w14:textId="77777777" w:rsidR="009D5CDB" w:rsidRPr="006B3DD0" w:rsidRDefault="009D5CDB" w:rsidP="009D5CDB">
      <w:pPr>
        <w:pStyle w:val="ListParagraph"/>
        <w:numPr>
          <w:ilvl w:val="0"/>
          <w:numId w:val="4"/>
        </w:numPr>
        <w:spacing w:after="240"/>
        <w:rPr>
          <w:rFonts w:ascii="Times New Roman" w:hAnsi="Times New Roman" w:cs="Times New Roman"/>
          <w:b/>
          <w:sz w:val="24"/>
          <w:szCs w:val="24"/>
        </w:rPr>
      </w:pPr>
      <w:r w:rsidRPr="006B3DD0">
        <w:rPr>
          <w:rFonts w:ascii="Times New Roman" w:hAnsi="Times New Roman" w:cs="Times New Roman"/>
          <w:bCs/>
          <w:sz w:val="24"/>
          <w:szCs w:val="24"/>
        </w:rPr>
        <w:t>Booker T. Bush, M.D., Physician Member, Chair</w:t>
      </w:r>
    </w:p>
    <w:p w14:paraId="003D4930" w14:textId="27AC180F" w:rsidR="009D5CDB" w:rsidRPr="006B3DD0" w:rsidRDefault="009D5CDB" w:rsidP="009D5CDB">
      <w:pPr>
        <w:pStyle w:val="ListParagraph"/>
        <w:numPr>
          <w:ilvl w:val="0"/>
          <w:numId w:val="4"/>
        </w:numPr>
        <w:spacing w:after="240"/>
        <w:rPr>
          <w:rFonts w:ascii="Times New Roman" w:hAnsi="Times New Roman" w:cs="Times New Roman"/>
          <w:b/>
          <w:sz w:val="24"/>
          <w:szCs w:val="24"/>
        </w:rPr>
      </w:pPr>
      <w:r w:rsidRPr="006B3DD0">
        <w:rPr>
          <w:rFonts w:ascii="Times New Roman" w:hAnsi="Times New Roman" w:cs="Times New Roman"/>
          <w:bCs/>
          <w:sz w:val="24"/>
          <w:szCs w:val="24"/>
        </w:rPr>
        <w:t>Frank O’Donnell, Esq., Public Member, Vice Chair</w:t>
      </w:r>
    </w:p>
    <w:p w14:paraId="672D3D70" w14:textId="77777777" w:rsidR="009D5CDB" w:rsidRPr="006B3DD0" w:rsidRDefault="009D5CDB" w:rsidP="009D5CDB">
      <w:pPr>
        <w:pStyle w:val="ListParagraph"/>
        <w:numPr>
          <w:ilvl w:val="0"/>
          <w:numId w:val="4"/>
        </w:numPr>
        <w:spacing w:after="240"/>
        <w:rPr>
          <w:rFonts w:ascii="Times New Roman" w:hAnsi="Times New Roman" w:cs="Times New Roman"/>
          <w:bCs/>
          <w:sz w:val="24"/>
          <w:szCs w:val="24"/>
        </w:rPr>
      </w:pPr>
      <w:r w:rsidRPr="006B3DD0">
        <w:rPr>
          <w:rFonts w:ascii="Times New Roman" w:hAnsi="Times New Roman" w:cs="Times New Roman"/>
          <w:bCs/>
          <w:sz w:val="24"/>
          <w:szCs w:val="24"/>
        </w:rPr>
        <w:t>Sandeep Singh Jubbal, M.D., Physician Member, Secretary</w:t>
      </w:r>
    </w:p>
    <w:p w14:paraId="4A2D583B" w14:textId="77777777" w:rsidR="009D5CDB" w:rsidRPr="006B3DD0" w:rsidRDefault="009D5CDB" w:rsidP="009D5CDB">
      <w:pPr>
        <w:pStyle w:val="ListParagraph"/>
        <w:numPr>
          <w:ilvl w:val="0"/>
          <w:numId w:val="4"/>
        </w:numPr>
        <w:spacing w:after="240"/>
        <w:rPr>
          <w:rFonts w:ascii="Times New Roman" w:hAnsi="Times New Roman" w:cs="Times New Roman"/>
          <w:sz w:val="24"/>
          <w:szCs w:val="24"/>
        </w:rPr>
      </w:pPr>
      <w:r w:rsidRPr="006B3DD0">
        <w:rPr>
          <w:rFonts w:ascii="Times New Roman" w:hAnsi="Times New Roman" w:cs="Times New Roman"/>
          <w:bCs/>
          <w:sz w:val="24"/>
          <w:szCs w:val="24"/>
        </w:rPr>
        <w:t>Aviva Lee-Parritz, M.D., Physician Member</w:t>
      </w:r>
    </w:p>
    <w:p w14:paraId="489EA634" w14:textId="77777777" w:rsidR="009D5CDB" w:rsidRPr="006B3DD0" w:rsidRDefault="009D5CDB" w:rsidP="009D5CDB">
      <w:pPr>
        <w:pStyle w:val="ListParagraph"/>
        <w:numPr>
          <w:ilvl w:val="0"/>
          <w:numId w:val="4"/>
        </w:numPr>
        <w:spacing w:after="240"/>
        <w:rPr>
          <w:rFonts w:ascii="Times New Roman" w:hAnsi="Times New Roman" w:cs="Times New Roman"/>
          <w:sz w:val="24"/>
          <w:szCs w:val="24"/>
        </w:rPr>
      </w:pPr>
      <w:r w:rsidRPr="006B3DD0">
        <w:rPr>
          <w:rFonts w:ascii="Times New Roman" w:hAnsi="Times New Roman" w:cs="Times New Roman"/>
          <w:sz w:val="24"/>
          <w:szCs w:val="24"/>
        </w:rPr>
        <w:t>Jason Qu, M.D., Physician Member</w:t>
      </w:r>
    </w:p>
    <w:p w14:paraId="095AE7CB" w14:textId="77777777" w:rsidR="009D5CDB" w:rsidRPr="006B3DD0" w:rsidRDefault="009D5CDB" w:rsidP="009D5CDB">
      <w:pPr>
        <w:spacing w:after="240"/>
        <w:rPr>
          <w:b/>
          <w:bCs/>
          <w:u w:val="single"/>
        </w:rPr>
      </w:pPr>
      <w:r w:rsidRPr="006B3DD0">
        <w:rPr>
          <w:b/>
          <w:bCs/>
          <w:u w:val="single"/>
        </w:rPr>
        <w:t>Board Member(s) Recused:</w:t>
      </w:r>
    </w:p>
    <w:p w14:paraId="78372F36" w14:textId="54C4AD6D" w:rsidR="009D5CDB" w:rsidRPr="006B3DD0" w:rsidRDefault="0081278F" w:rsidP="0081278F">
      <w:pPr>
        <w:pStyle w:val="ListParagraph"/>
        <w:spacing w:after="240"/>
        <w:rPr>
          <w:rFonts w:ascii="Times New Roman" w:hAnsi="Times New Roman" w:cs="Times New Roman"/>
          <w:sz w:val="24"/>
          <w:szCs w:val="24"/>
        </w:rPr>
      </w:pPr>
      <w:r>
        <w:rPr>
          <w:rFonts w:ascii="Times New Roman" w:hAnsi="Times New Roman" w:cs="Times New Roman"/>
          <w:sz w:val="24"/>
          <w:szCs w:val="24"/>
        </w:rPr>
        <w:t>None</w:t>
      </w:r>
    </w:p>
    <w:p w14:paraId="2FCDCCAA" w14:textId="77777777" w:rsidR="009D5CDB" w:rsidRPr="006B3DD0" w:rsidRDefault="009D5CDB" w:rsidP="009D5CDB">
      <w:pPr>
        <w:spacing w:after="240"/>
        <w:rPr>
          <w:b/>
          <w:bCs/>
          <w:u w:val="single"/>
        </w:rPr>
      </w:pPr>
      <w:r w:rsidRPr="006B3DD0">
        <w:rPr>
          <w:b/>
          <w:bCs/>
          <w:u w:val="single"/>
        </w:rPr>
        <w:t>Board Member(s) Absent:</w:t>
      </w:r>
    </w:p>
    <w:p w14:paraId="1105EC09" w14:textId="77777777" w:rsidR="009D5CDB" w:rsidRPr="006B3DD0" w:rsidRDefault="009D5CDB" w:rsidP="009D5CDB">
      <w:pPr>
        <w:pStyle w:val="ListParagraph"/>
        <w:numPr>
          <w:ilvl w:val="0"/>
          <w:numId w:val="4"/>
        </w:numPr>
        <w:spacing w:after="240"/>
        <w:rPr>
          <w:rFonts w:ascii="Times New Roman" w:hAnsi="Times New Roman" w:cs="Times New Roman"/>
          <w:sz w:val="24"/>
          <w:szCs w:val="24"/>
        </w:rPr>
      </w:pPr>
      <w:r w:rsidRPr="006B3DD0">
        <w:rPr>
          <w:rFonts w:ascii="Times New Roman" w:hAnsi="Times New Roman" w:cs="Times New Roman"/>
          <w:sz w:val="24"/>
          <w:szCs w:val="24"/>
        </w:rPr>
        <w:t>Yvonne Y. Cheung, MD, MPH, MBA, Physician Member</w:t>
      </w:r>
    </w:p>
    <w:p w14:paraId="5065C25D" w14:textId="77777777" w:rsidR="009D5CDB" w:rsidRPr="006B3DD0" w:rsidRDefault="009D5CDB" w:rsidP="009D5CDB">
      <w:pPr>
        <w:spacing w:after="240"/>
        <w:jc w:val="center"/>
        <w:rPr>
          <w:b/>
          <w:bCs/>
          <w:u w:val="single"/>
        </w:rPr>
      </w:pPr>
    </w:p>
    <w:p w14:paraId="6ADE41AC" w14:textId="77777777" w:rsidR="009D5CDB" w:rsidRPr="006B3DD0" w:rsidRDefault="009D5CDB" w:rsidP="009D5CDB">
      <w:pPr>
        <w:spacing w:after="240"/>
        <w:jc w:val="center"/>
      </w:pPr>
      <w:r w:rsidRPr="006B3DD0">
        <w:rPr>
          <w:b/>
          <w:bCs/>
          <w:u w:val="single"/>
        </w:rPr>
        <w:t>EFFECTIVE DATE OF ORDER</w:t>
      </w:r>
    </w:p>
    <w:p w14:paraId="6B8A6628" w14:textId="22D669F6" w:rsidR="009D5CDB" w:rsidRPr="006B3DD0" w:rsidRDefault="009D5CDB" w:rsidP="009D5CDB">
      <w:pPr>
        <w:spacing w:after="360"/>
        <w:rPr>
          <w:u w:val="single"/>
        </w:rPr>
      </w:pPr>
      <w:r w:rsidRPr="006B3DD0">
        <w:t xml:space="preserve">The </w:t>
      </w:r>
      <w:r w:rsidRPr="006B3DD0">
        <w:rPr>
          <w:u w:val="single"/>
        </w:rPr>
        <w:t>Final Decision and Order</w:t>
      </w:r>
      <w:r w:rsidRPr="006B3DD0">
        <w:t xml:space="preserve"> is effective as of </w:t>
      </w:r>
      <w:r w:rsidRPr="006B3DD0">
        <w:rPr>
          <w:u w:val="single"/>
        </w:rPr>
        <w:t>August 21, 2025.</w:t>
      </w:r>
    </w:p>
    <w:p w14:paraId="377E0458" w14:textId="1C081128" w:rsidR="009D5CDB" w:rsidRPr="006B3DD0" w:rsidRDefault="009D5CDB" w:rsidP="009D5CDB">
      <w:r w:rsidRPr="006B3DD0">
        <w:t xml:space="preserve">Date Issued: </w:t>
      </w:r>
      <w:r w:rsidRPr="006B3DD0">
        <w:rPr>
          <w:u w:val="single"/>
        </w:rPr>
        <w:t>August 21, 2025</w:t>
      </w:r>
      <w:r w:rsidRPr="006B3DD0">
        <w:rPr>
          <w:u w:val="single"/>
        </w:rPr>
        <w:tab/>
      </w:r>
      <w:r w:rsidRPr="006B3DD0">
        <w:tab/>
      </w:r>
      <w:r w:rsidRPr="006B3DD0">
        <w:tab/>
      </w:r>
      <w:r w:rsidRPr="006B3DD0">
        <w:tab/>
      </w:r>
      <w:r w:rsidR="00C938EA">
        <w:rPr>
          <w:u w:val="single"/>
        </w:rPr>
        <w:t>Signed by Goerge Zachos</w:t>
      </w:r>
      <w:r w:rsidR="00C938EA">
        <w:rPr>
          <w:u w:val="single"/>
        </w:rPr>
        <w:tab/>
      </w:r>
      <w:r w:rsidR="00C938EA">
        <w:rPr>
          <w:u w:val="single"/>
        </w:rPr>
        <w:tab/>
      </w:r>
    </w:p>
    <w:p w14:paraId="78796886" w14:textId="77777777" w:rsidR="009D5CDB" w:rsidRPr="006B3DD0" w:rsidRDefault="009D5CDB" w:rsidP="009D5CDB">
      <w:r w:rsidRPr="006B3DD0">
        <w:tab/>
      </w:r>
      <w:r w:rsidRPr="006B3DD0">
        <w:tab/>
      </w:r>
      <w:r w:rsidRPr="006B3DD0">
        <w:tab/>
      </w:r>
      <w:r w:rsidRPr="006B3DD0">
        <w:tab/>
      </w:r>
      <w:r w:rsidRPr="006B3DD0">
        <w:tab/>
      </w:r>
      <w:r w:rsidRPr="006B3DD0">
        <w:tab/>
      </w:r>
      <w:r w:rsidRPr="006B3DD0">
        <w:tab/>
        <w:t>George Zachos, Executive Director</w:t>
      </w:r>
    </w:p>
    <w:p w14:paraId="64ABE499" w14:textId="77777777" w:rsidR="009D5CDB" w:rsidRPr="006B3DD0" w:rsidRDefault="009D5CDB" w:rsidP="009D5CDB">
      <w:r w:rsidRPr="006B3DD0">
        <w:tab/>
      </w:r>
      <w:r w:rsidRPr="006B3DD0">
        <w:tab/>
      </w:r>
      <w:r w:rsidRPr="006B3DD0">
        <w:tab/>
      </w:r>
      <w:r w:rsidRPr="006B3DD0">
        <w:tab/>
      </w:r>
      <w:r w:rsidRPr="006B3DD0">
        <w:tab/>
      </w:r>
      <w:r w:rsidRPr="006B3DD0">
        <w:tab/>
      </w:r>
      <w:r w:rsidRPr="006B3DD0">
        <w:tab/>
        <w:t>Board of Registration in Medicine</w:t>
      </w:r>
    </w:p>
    <w:p w14:paraId="2CE712C9" w14:textId="77777777" w:rsidR="00F23B80" w:rsidRPr="006B3DD0" w:rsidRDefault="00F23B80" w:rsidP="005751C6">
      <w:pPr>
        <w:spacing w:line="276" w:lineRule="auto"/>
        <w:ind w:firstLine="720"/>
        <w:jc w:val="both"/>
      </w:pPr>
    </w:p>
    <w:sectPr w:rsidR="00F23B80" w:rsidRPr="006B3DD0" w:rsidSect="00E8638E">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B86A" w14:textId="77777777" w:rsidR="002C4838" w:rsidRDefault="002C4838" w:rsidP="004C0CCE">
      <w:r>
        <w:separator/>
      </w:r>
    </w:p>
  </w:endnote>
  <w:endnote w:type="continuationSeparator" w:id="0">
    <w:p w14:paraId="2D614B4D" w14:textId="77777777" w:rsidR="002C4838" w:rsidRDefault="002C4838" w:rsidP="004C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832821"/>
      <w:docPartObj>
        <w:docPartGallery w:val="Page Numbers (Bottom of Page)"/>
        <w:docPartUnique/>
      </w:docPartObj>
    </w:sdtPr>
    <w:sdtEndPr>
      <w:rPr>
        <w:noProof/>
      </w:rPr>
    </w:sdtEndPr>
    <w:sdtContent>
      <w:p w14:paraId="392C9639" w14:textId="1407CCF4" w:rsidR="00E8638E" w:rsidRDefault="00E863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CE990" w14:textId="320EEF40" w:rsidR="515CE8C0" w:rsidRDefault="515CE8C0" w:rsidP="515CE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447D" w14:textId="77777777" w:rsidR="002C4838" w:rsidRDefault="002C4838" w:rsidP="004C0CCE">
      <w:r>
        <w:separator/>
      </w:r>
    </w:p>
  </w:footnote>
  <w:footnote w:type="continuationSeparator" w:id="0">
    <w:p w14:paraId="3010B90C" w14:textId="77777777" w:rsidR="002C4838" w:rsidRDefault="002C4838" w:rsidP="004C0CCE">
      <w:r>
        <w:continuationSeparator/>
      </w:r>
    </w:p>
  </w:footnote>
  <w:footnote w:id="1">
    <w:p w14:paraId="449030CF" w14:textId="20E95BEB" w:rsidR="003411DF" w:rsidRDefault="003411DF" w:rsidP="006D7EBB">
      <w:pPr>
        <w:pStyle w:val="FootnoteText"/>
        <w:jc w:val="both"/>
      </w:pPr>
      <w:r>
        <w:rPr>
          <w:rStyle w:val="FootnoteReference"/>
        </w:rPr>
        <w:footnoteRef/>
      </w:r>
      <w:r>
        <w:t xml:space="preserve"> </w:t>
      </w:r>
      <w:r w:rsidR="006C7EF2">
        <w:t xml:space="preserve">In the Kentucky Agreed Order, the Respondent </w:t>
      </w:r>
      <w:r w:rsidR="005D028D">
        <w:t xml:space="preserve">consented to: 1. the restriction of his license for an indefinite period, during which he would not prescribe, </w:t>
      </w:r>
      <w:r w:rsidR="00C06AFC">
        <w:t>dispense</w:t>
      </w:r>
      <w:r w:rsidR="005D028D">
        <w:t>, administer, or otherwise utilize con</w:t>
      </w:r>
      <w:r w:rsidR="007C528D">
        <w:t>trolled substances</w:t>
      </w:r>
      <w:r w:rsidR="00F95B44">
        <w:t xml:space="preserve">; and </w:t>
      </w:r>
      <w:r w:rsidR="00745401">
        <w:t xml:space="preserve">2. </w:t>
      </w:r>
      <w:r w:rsidR="00F95B44">
        <w:t>that he would not request to resume prescribing unless and until the Board has received an asse</w:t>
      </w:r>
      <w:r w:rsidR="00745401">
        <w:t>ss</w:t>
      </w:r>
      <w:r w:rsidR="00F95B44">
        <w:t xml:space="preserve">ment report, and educational or remediation plan (if </w:t>
      </w:r>
      <w:r w:rsidR="00745401">
        <w:t>recommended</w:t>
      </w:r>
      <w:r w:rsidR="00F95B44">
        <w:t xml:space="preserve">) following the Respondent’s </w:t>
      </w:r>
      <w:r w:rsidR="00745401">
        <w:t>completion</w:t>
      </w:r>
      <w:r w:rsidR="00F95B44">
        <w:t xml:space="preserve"> of a clinical skills assessment(s) in the specialty of bariatric medicine, at his expense, by </w:t>
      </w:r>
      <w:r w:rsidR="00C06AFC">
        <w:t>CPEP or LifeG</w:t>
      </w:r>
      <w:r w:rsidR="00745401">
        <w:t>ua</w:t>
      </w:r>
      <w:r w:rsidR="00C06AFC">
        <w:t xml:space="preserve">rd. </w:t>
      </w:r>
    </w:p>
  </w:footnote>
  <w:footnote w:id="2">
    <w:p w14:paraId="5EDF51B9" w14:textId="77777777" w:rsidR="00491632" w:rsidRDefault="00491632" w:rsidP="006D7EBB">
      <w:pPr>
        <w:pStyle w:val="FootnoteText"/>
        <w:jc w:val="both"/>
      </w:pPr>
      <w:r>
        <w:rPr>
          <w:rStyle w:val="FootnoteReference"/>
        </w:rPr>
        <w:footnoteRef/>
      </w:r>
      <w:r>
        <w:t xml:space="preserve"> This basis is analogous to this Board’s ability to discipline impose discipline for practicing medicine deceitfully, or engaging in conduct which has the capacity to deceive or defraud, pursuant to 243 CMR1.03(5)(a)10.</w:t>
      </w:r>
    </w:p>
  </w:footnote>
  <w:footnote w:id="3">
    <w:p w14:paraId="384F104E" w14:textId="77777777" w:rsidR="00491632" w:rsidRDefault="00491632" w:rsidP="006D7EBB">
      <w:pPr>
        <w:pStyle w:val="FootnoteText"/>
        <w:jc w:val="both"/>
      </w:pPr>
      <w:r>
        <w:rPr>
          <w:rStyle w:val="FootnoteReference"/>
        </w:rPr>
        <w:footnoteRef/>
      </w:r>
      <w:r>
        <w:t xml:space="preserve"> This basis is analogous to this Board’s ability to impose discipline for violating any rule or regulation of the Board governing the practice of medicine, pursuant to </w:t>
      </w:r>
      <w:r w:rsidRPr="00053FD0">
        <w:t>M.G.L. c. 112, § 5, par. 8(h) and 243 CMR 1.03(5)(a)11.</w:t>
      </w:r>
    </w:p>
  </w:footnote>
  <w:footnote w:id="4">
    <w:p w14:paraId="48BACF5C" w14:textId="77777777" w:rsidR="00473985" w:rsidRDefault="00473985" w:rsidP="006D7EBB">
      <w:pPr>
        <w:pStyle w:val="FootnoteText"/>
        <w:jc w:val="both"/>
      </w:pPr>
      <w:r>
        <w:rPr>
          <w:rStyle w:val="FootnoteReference"/>
        </w:rPr>
        <w:footnoteRef/>
      </w:r>
      <w:r>
        <w:t xml:space="preserve"> On June 12, 2023, the Respondent entered into an “Interim Consent Agreement” with the Maine Board, agreeing to the suspension of his license until the matter is resolved by an adjudicatory hearing or other Board action.</w:t>
      </w:r>
    </w:p>
  </w:footnote>
  <w:footnote w:id="5">
    <w:p w14:paraId="41B1D523" w14:textId="6282B852" w:rsidR="00473985" w:rsidRPr="00053FD0" w:rsidRDefault="00473985" w:rsidP="006D7EBB">
      <w:pPr>
        <w:pStyle w:val="FootnoteText"/>
        <w:jc w:val="both"/>
      </w:pPr>
      <w:r w:rsidRPr="00053FD0">
        <w:rPr>
          <w:rStyle w:val="FootnoteReference"/>
        </w:rPr>
        <w:footnoteRef/>
      </w:r>
      <w:r w:rsidRPr="00053FD0">
        <w:t xml:space="preserve"> </w:t>
      </w:r>
      <w:r w:rsidR="001F4438">
        <w:t>This basis is analogous to this Board’s ability to impose discipline fo</w:t>
      </w:r>
      <w:r w:rsidR="00E61B46">
        <w:t xml:space="preserve">r fraudulent procurement of a certificate of registration or its renewal, pursuant to </w:t>
      </w:r>
      <w:r w:rsidRPr="00053FD0">
        <w:t>M.G.L. 112, § 5, par. 8(a) and 243 CMR 1.03(5)(a)1</w:t>
      </w:r>
      <w:r w:rsidR="00E61B46">
        <w:t>.</w:t>
      </w:r>
      <w:r w:rsidRPr="00053FD0">
        <w:t xml:space="preserve"> </w:t>
      </w:r>
    </w:p>
  </w:footnote>
  <w:footnote w:id="6">
    <w:p w14:paraId="5E4A7BF3" w14:textId="794EC5C7" w:rsidR="00473985" w:rsidRPr="00053FD0" w:rsidRDefault="00473985" w:rsidP="006D7EBB">
      <w:pPr>
        <w:pStyle w:val="FootnoteText"/>
        <w:jc w:val="both"/>
      </w:pPr>
      <w:r w:rsidRPr="00053FD0">
        <w:rPr>
          <w:rStyle w:val="FootnoteReference"/>
        </w:rPr>
        <w:footnoteRef/>
      </w:r>
      <w:r w:rsidRPr="00053FD0">
        <w:t xml:space="preserve"> </w:t>
      </w:r>
      <w:r w:rsidR="00DD18F7">
        <w:t xml:space="preserve">This basis is analogous to this Board’s ability to impose discipline for </w:t>
      </w:r>
      <w:r w:rsidR="00DD18F7" w:rsidRPr="00053FD0">
        <w:t xml:space="preserve">conduct which places into question </w:t>
      </w:r>
      <w:r w:rsidR="005D62FC">
        <w:t xml:space="preserve">a </w:t>
      </w:r>
      <w:r w:rsidR="00DD18F7" w:rsidRPr="00053FD0">
        <w:t>physician’s competence to practice medicine</w:t>
      </w:r>
      <w:r w:rsidR="005D62FC">
        <w:t>, pursuant to</w:t>
      </w:r>
      <w:r w:rsidRPr="00053FD0">
        <w:t xml:space="preserve"> M.G.L. c. 112, § 5 par. 8(c) and 243 CMR 1.03(5)(a)3 </w:t>
      </w:r>
      <w:r w:rsidR="004B090D">
        <w:t xml:space="preserve"> and misconduct in the practice of medicine, pursuant to </w:t>
      </w:r>
      <w:r w:rsidRPr="00053FD0">
        <w:t xml:space="preserve">243 CMR 1.03(5)(a)18 </w:t>
      </w:r>
      <w:r w:rsidR="004B090D">
        <w:t>.</w:t>
      </w:r>
      <w:r w:rsidRPr="00053FD0">
        <w:t xml:space="preserve"> </w:t>
      </w:r>
    </w:p>
  </w:footnote>
  <w:footnote w:id="7">
    <w:p w14:paraId="6A820A1E" w14:textId="77777777" w:rsidR="00473985" w:rsidRDefault="00473985" w:rsidP="006D7EBB">
      <w:pPr>
        <w:pStyle w:val="FootnoteText"/>
        <w:jc w:val="both"/>
      </w:pPr>
      <w:r w:rsidRPr="00053FD0">
        <w:rPr>
          <w:rStyle w:val="FootnoteReference"/>
        </w:rPr>
        <w:footnoteRef/>
      </w:r>
      <w:r w:rsidRPr="00053FD0">
        <w:t xml:space="preserve"> </w:t>
      </w:r>
      <w:r w:rsidRPr="00053FD0">
        <w:rPr>
          <w:u w:val="single"/>
        </w:rPr>
        <w:t>Id</w:t>
      </w:r>
      <w:r w:rsidRPr="00053FD0">
        <w:t>.</w:t>
      </w:r>
    </w:p>
  </w:footnote>
  <w:footnote w:id="8">
    <w:p w14:paraId="19CB0FDF" w14:textId="6817FE17" w:rsidR="00473985" w:rsidRPr="00053FD0" w:rsidRDefault="00473985" w:rsidP="006D7EBB">
      <w:pPr>
        <w:pStyle w:val="FootnoteText"/>
        <w:jc w:val="both"/>
      </w:pPr>
      <w:r w:rsidRPr="00053FD0">
        <w:rPr>
          <w:rStyle w:val="FootnoteReference"/>
        </w:rPr>
        <w:footnoteRef/>
      </w:r>
      <w:r w:rsidRPr="00053FD0">
        <w:t xml:space="preserve"> </w:t>
      </w:r>
      <w:r w:rsidR="000672FA">
        <w:t>This basis is analogous to this Board’s ability to impose reciprocal discipline</w:t>
      </w:r>
      <w:r w:rsidR="00512329">
        <w:t>,</w:t>
      </w:r>
      <w:r w:rsidR="000672FA">
        <w:t xml:space="preserve"> </w:t>
      </w:r>
      <w:r w:rsidRPr="00053FD0">
        <w:t>pursuant to 243 CMR. 1.03(5)(a)12.</w:t>
      </w:r>
    </w:p>
  </w:footnote>
  <w:footnote w:id="9">
    <w:p w14:paraId="7FC30E94" w14:textId="23D68BB5" w:rsidR="00BE45F8" w:rsidRDefault="00BE45F8" w:rsidP="006D7EBB">
      <w:pPr>
        <w:pStyle w:val="FootnoteText"/>
        <w:jc w:val="both"/>
      </w:pPr>
      <w:r>
        <w:rPr>
          <w:rStyle w:val="FootnoteReference"/>
        </w:rPr>
        <w:footnoteRef/>
      </w:r>
      <w:r>
        <w:t xml:space="preserve"> </w:t>
      </w:r>
      <w:r w:rsidRPr="00BE45F8">
        <w:rPr>
          <w:u w:val="single"/>
        </w:rPr>
        <w:t>See</w:t>
      </w:r>
      <w:r>
        <w:t xml:space="preserve"> </w:t>
      </w:r>
      <w:r w:rsidRPr="00C643AD">
        <w:rPr>
          <w:i/>
          <w:iCs/>
        </w:rPr>
        <w:t>In the Matter of Carmen</w:t>
      </w:r>
      <w:r w:rsidR="00C06AFC">
        <w:rPr>
          <w:i/>
          <w:iCs/>
        </w:rPr>
        <w:t xml:space="preserve"> </w:t>
      </w:r>
      <w:r w:rsidRPr="00C643AD">
        <w:rPr>
          <w:i/>
          <w:iCs/>
        </w:rPr>
        <w:t>A. Puliafito</w:t>
      </w:r>
      <w:r>
        <w:t xml:space="preserve">, M.D., Board of Medicine, Adjudicatory Case No. 2016-012 (Final Decision and Order, December 5, 2019). </w:t>
      </w:r>
    </w:p>
  </w:footnote>
  <w:footnote w:id="10">
    <w:p w14:paraId="4397CBA3" w14:textId="7B733363" w:rsidR="00BE45F8" w:rsidRDefault="00BE45F8" w:rsidP="006D7EBB">
      <w:pPr>
        <w:pStyle w:val="FootnoteText"/>
        <w:jc w:val="both"/>
      </w:pPr>
      <w:r>
        <w:rPr>
          <w:rStyle w:val="FootnoteReference"/>
        </w:rPr>
        <w:footnoteRef/>
      </w:r>
      <w:r>
        <w:t xml:space="preserve"> </w:t>
      </w:r>
      <w:r w:rsidRPr="00BE45F8">
        <w:rPr>
          <w:u w:val="single"/>
        </w:rPr>
        <w:t>Id</w:t>
      </w:r>
      <w:r>
        <w:t>.</w:t>
      </w:r>
    </w:p>
  </w:footnote>
  <w:footnote w:id="11">
    <w:p w14:paraId="13D37E84" w14:textId="4848B4A7" w:rsidR="00450B5D" w:rsidRDefault="00450B5D" w:rsidP="006D7EBB">
      <w:pPr>
        <w:jc w:val="both"/>
      </w:pPr>
      <w:r>
        <w:rPr>
          <w:rStyle w:val="FootnoteReference"/>
        </w:rPr>
        <w:footnoteRef/>
      </w:r>
      <w:r>
        <w:t xml:space="preserve"> </w:t>
      </w:r>
      <w:r w:rsidRPr="00146644">
        <w:rPr>
          <w:sz w:val="20"/>
          <w:szCs w:val="20"/>
          <w:u w:val="single"/>
        </w:rPr>
        <w:t>See</w:t>
      </w:r>
      <w:r w:rsidRPr="00146644">
        <w:rPr>
          <w:sz w:val="20"/>
          <w:szCs w:val="20"/>
        </w:rPr>
        <w:t xml:space="preserve"> </w:t>
      </w:r>
      <w:r w:rsidRPr="00146644">
        <w:rPr>
          <w:i/>
          <w:iCs/>
          <w:sz w:val="20"/>
          <w:szCs w:val="20"/>
        </w:rPr>
        <w:t>In the Matter of Tzvetan Tzvetanov, M.D.</w:t>
      </w:r>
      <w:r w:rsidRPr="00146644">
        <w:rPr>
          <w:sz w:val="20"/>
          <w:szCs w:val="20"/>
        </w:rPr>
        <w:t>, Board of Registration in Medicine, Adjudicatory Case No. 2013-038 (Consent Order, August 14, 2013) (admonishment for substandard care and prescribing for two patients, including failing to adequately document diagnosis, treatment and rational for prescribing).</w:t>
      </w:r>
      <w:r w:rsidRPr="00E03DB3">
        <w:t xml:space="preserve"> </w:t>
      </w:r>
    </w:p>
  </w:footnote>
  <w:footnote w:id="12">
    <w:p w14:paraId="14DE3A09" w14:textId="224FCC4F" w:rsidR="000874DF" w:rsidRDefault="000874DF" w:rsidP="006D7EBB">
      <w:pPr>
        <w:pStyle w:val="FootnoteText"/>
        <w:jc w:val="both"/>
      </w:pPr>
      <w:r>
        <w:rPr>
          <w:rStyle w:val="FootnoteReference"/>
        </w:rPr>
        <w:footnoteRef/>
      </w:r>
      <w:r>
        <w:t xml:space="preserve"> </w:t>
      </w:r>
      <w:r w:rsidRPr="000874DF">
        <w:rPr>
          <w:u w:val="single"/>
        </w:rPr>
        <w:t>See</w:t>
      </w:r>
      <w:r>
        <w:t xml:space="preserve">, </w:t>
      </w:r>
      <w:r w:rsidRPr="000874DF">
        <w:rPr>
          <w:u w:val="single"/>
        </w:rPr>
        <w:t>e.g.</w:t>
      </w:r>
      <w:r>
        <w:t xml:space="preserve">, </w:t>
      </w:r>
      <w:r w:rsidRPr="000874DF">
        <w:rPr>
          <w:i/>
          <w:iCs/>
        </w:rPr>
        <w:t>In the Matter of Ronald Abramson, M.D.,</w:t>
      </w:r>
      <w:r>
        <w:t xml:space="preserve"> Board of Medicine, Adjudicatory Case No. 21-043 (Consent Order, November 4, 2021). (Board imposed reprimand where </w:t>
      </w:r>
      <w:r w:rsidR="00C06AFC">
        <w:t>physician</w:t>
      </w:r>
      <w:r>
        <w:t xml:space="preserve"> failed to check MassPAT for four patients and there was no evidence that patients were obtaining medications from more than one provider). </w:t>
      </w:r>
    </w:p>
  </w:footnote>
  <w:footnote w:id="13">
    <w:p w14:paraId="21202274" w14:textId="77777777" w:rsidR="0016569E" w:rsidRDefault="0016569E" w:rsidP="006D7EBB">
      <w:pPr>
        <w:pStyle w:val="FootnoteText"/>
        <w:jc w:val="both"/>
      </w:pPr>
      <w:r>
        <w:rPr>
          <w:rStyle w:val="FootnoteReference"/>
        </w:rPr>
        <w:footnoteRef/>
      </w:r>
      <w:r>
        <w:t xml:space="preserve"> </w:t>
      </w:r>
      <w:r w:rsidRPr="001B6E1C">
        <w:rPr>
          <w:u w:val="single"/>
        </w:rPr>
        <w:t>See</w:t>
      </w:r>
      <w:r w:rsidRPr="00614015">
        <w:t xml:space="preserve">, </w:t>
      </w:r>
      <w:r w:rsidRPr="00614015">
        <w:rPr>
          <w:u w:val="single"/>
        </w:rPr>
        <w:t>e.g</w:t>
      </w:r>
      <w:r>
        <w:t xml:space="preserve">., </w:t>
      </w:r>
      <w:r w:rsidRPr="001B6E1C">
        <w:rPr>
          <w:i/>
          <w:iCs/>
        </w:rPr>
        <w:t>In the Matter of Reinald O. De Los Heros, M.D</w:t>
      </w:r>
      <w:r>
        <w:t>., Board of Medicine, Adjudicatory Case No. 2007-052 (Consent Order, November 14, 2007)(Physician failed to report out-of-state discipline on his renewal application.)</w:t>
      </w:r>
    </w:p>
  </w:footnote>
  <w:footnote w:id="14">
    <w:p w14:paraId="13D9F8CF" w14:textId="77777777" w:rsidR="00620D6F" w:rsidRDefault="00620D6F" w:rsidP="00620D6F">
      <w:pPr>
        <w:pStyle w:val="FootnoteText"/>
        <w:jc w:val="both"/>
      </w:pPr>
      <w:r w:rsidRPr="0004672F">
        <w:rPr>
          <w:rStyle w:val="FootnoteReference"/>
        </w:rPr>
        <w:footnoteRef/>
      </w:r>
      <w:r w:rsidRPr="0004672F">
        <w:rPr>
          <w:u w:val="single"/>
        </w:rPr>
        <w:t>See</w:t>
      </w:r>
      <w:r w:rsidRPr="0004672F">
        <w:t xml:space="preserve"> </w:t>
      </w:r>
      <w:r w:rsidRPr="0004672F">
        <w:rPr>
          <w:i/>
          <w:iCs/>
        </w:rPr>
        <w:t>In the Matter of Vishal Verma, M.D.</w:t>
      </w:r>
      <w:r w:rsidRPr="0004672F">
        <w:t xml:space="preserve">, Board of Registration in Medicine, Adjudicatory Case No. 2021-028 (Consent Order, June 3, 2021). (This Board imposed a reprimand as reciprocal discipline when the physician documented discipline by Maryland, including a six-month probationary period with required continuing medical education in telemedicine and prescribing, where the physician prescribed through telemedicine, relied on patient completion of questionnaires, failed to prescribe within a physician-patient relationship, failed to conduct and document physical examinations, and failed to take adequate medical histories). </w:t>
      </w:r>
      <w:r w:rsidRPr="0004672F">
        <w:rPr>
          <w:u w:val="single"/>
        </w:rPr>
        <w:t>See</w:t>
      </w:r>
      <w:r w:rsidRPr="0004672F">
        <w:t xml:space="preserve"> </w:t>
      </w:r>
      <w:r w:rsidRPr="006D7EBB">
        <w:rPr>
          <w:u w:val="single"/>
        </w:rPr>
        <w:t>also</w:t>
      </w:r>
      <w:r w:rsidRPr="0004672F">
        <w:t xml:space="preserve"> </w:t>
      </w:r>
      <w:r w:rsidRPr="0004672F">
        <w:rPr>
          <w:i/>
          <w:iCs/>
        </w:rPr>
        <w:t>In the Matter of Laura E. Purdy, M.D.</w:t>
      </w:r>
      <w:r w:rsidRPr="0004672F">
        <w:t xml:space="preserve"> (Consent Order, June 13, 2024)(This Board imposed a reprimand and fine as reciprocal discipline when the physician documented discipline by Mississippi, including a suspension for three months with an immediate stay, required submission of telehealth operating procedures before returning to practice, and completion of CPEP’s PROBE course, for  prescribing weight loss medication through telehealth without establishing valid physician/patient relationships and utilizing questionnaires in lieu of physical examinations).</w:t>
      </w:r>
      <w:r>
        <w:rPr>
          <w:sz w:val="22"/>
          <w:szCs w:val="22"/>
        </w:rPr>
        <w:t xml:space="preserve"> </w:t>
      </w:r>
    </w:p>
  </w:footnote>
  <w:footnote w:id="15">
    <w:p w14:paraId="427C6F89" w14:textId="50AD81CE" w:rsidR="00111213" w:rsidRDefault="00111213" w:rsidP="00013038">
      <w:pPr>
        <w:pStyle w:val="FootnoteText"/>
        <w:jc w:val="both"/>
      </w:pPr>
      <w:r>
        <w:rPr>
          <w:rStyle w:val="FootnoteReference"/>
        </w:rPr>
        <w:footnoteRef/>
      </w:r>
      <w:r>
        <w:t xml:space="preserve"> The Board notes that </w:t>
      </w:r>
      <w:r w:rsidR="00C628ED">
        <w:t xml:space="preserve">the Administrative Record for this proceeding, includes </w:t>
      </w:r>
      <w:r w:rsidR="000C2202">
        <w:t xml:space="preserve">Respondent’s </w:t>
      </w:r>
      <w:r w:rsidR="00C628ED">
        <w:t xml:space="preserve">Answer, which contains as an attached exhibit a copy of </w:t>
      </w:r>
      <w:r w:rsidR="000A7A90">
        <w:t xml:space="preserve">the Kentucky </w:t>
      </w:r>
      <w:r w:rsidR="00C628ED">
        <w:t>B</w:t>
      </w:r>
      <w:r w:rsidR="000A7A90">
        <w:t xml:space="preserve">oard’s April 1, 2024 Order terminating </w:t>
      </w:r>
      <w:r w:rsidR="00C628ED">
        <w:t>the restrictions.  This Order indicates</w:t>
      </w:r>
      <w:r w:rsidR="00895D7E">
        <w:t>:  “</w:t>
      </w:r>
      <w:r w:rsidR="00C801FC">
        <w:t>In addition to the Licensee’s request, the Panel has considered a memorandum prepared by the Board’s Assistant General Counsel</w:t>
      </w:r>
      <w:r w:rsidR="00E72F6B">
        <w:t xml:space="preserve"> dat</w:t>
      </w:r>
      <w:r w:rsidR="007B4A71">
        <w:t>e</w:t>
      </w:r>
      <w:r w:rsidR="00E72F6B">
        <w:t>d January 22, 2024; the Agreed Order filed of r</w:t>
      </w:r>
      <w:r w:rsidR="007B4A71">
        <w:t>e</w:t>
      </w:r>
      <w:r w:rsidR="00E72F6B">
        <w:t>cord March 8, 2023; LifeGuard Final Report (Original Evaluation), dated August 11, 2023; correspondence from the licensee’s counsel, Step</w:t>
      </w:r>
      <w:r w:rsidR="009D660F">
        <w:t>hen Agnelette [with attachments], dated August 17 and October 23, 2023; and LifeGu</w:t>
      </w:r>
      <w:r w:rsidR="001F141B">
        <w:t>ard Final Report (Re-Test) dat</w:t>
      </w:r>
      <w:r w:rsidR="00013038">
        <w:t>e</w:t>
      </w:r>
      <w:r w:rsidR="001F141B">
        <w:t>d October 24, 2023</w:t>
      </w:r>
      <w:r w:rsidR="00895D7E">
        <w:t xml:space="preserve">”.  </w:t>
      </w:r>
      <w:r w:rsidR="006948EF">
        <w:t>T</w:t>
      </w:r>
      <w:r w:rsidR="00895D7E">
        <w:t xml:space="preserve">he </w:t>
      </w:r>
      <w:r w:rsidR="00013038">
        <w:t>B</w:t>
      </w:r>
      <w:r w:rsidR="00895D7E">
        <w:t xml:space="preserve">oard is limited to the </w:t>
      </w:r>
      <w:r w:rsidR="00013038">
        <w:t>M</w:t>
      </w:r>
      <w:r w:rsidR="00895D7E">
        <w:t>agistrate’s findings</w:t>
      </w:r>
      <w:r w:rsidR="006948EF">
        <w:t xml:space="preserve"> of fact, and is not aided by any mitigating information </w:t>
      </w:r>
      <w:r w:rsidR="00523295">
        <w:t xml:space="preserve">as </w:t>
      </w:r>
      <w:r w:rsidR="006948EF">
        <w:t xml:space="preserve">the Respondent </w:t>
      </w:r>
      <w:r w:rsidR="00523295">
        <w:t xml:space="preserve">failed to submit a Memorandum on Disposition.  However, the Board </w:t>
      </w:r>
      <w:r w:rsidR="00E8799B">
        <w:t>would consider a petition to reconsider the sanction in this Final Decision and Order that i</w:t>
      </w:r>
      <w:r w:rsidR="002A7201">
        <w:t xml:space="preserve">ncludes a submission </w:t>
      </w:r>
      <w:r w:rsidR="001F141B">
        <w:t xml:space="preserve">of the following items listed in the Kentucky Board </w:t>
      </w:r>
      <w:r w:rsidR="007B4A71">
        <w:t>April 1, 2024 Order: (1)</w:t>
      </w:r>
      <w:r w:rsidR="002A7201">
        <w:t xml:space="preserve"> </w:t>
      </w:r>
      <w:r w:rsidR="007B4A71">
        <w:t>LifeGuard Final Report (Original Evaluation), dated August 11, 2023; (2) correspondence from the licensee’s counsel, Stephen Agnelette [with attachments], dated August 17 and October 23, 2023; and (3) LifeGuard Final Report (Re-Test) dat</w:t>
      </w:r>
      <w:r w:rsidR="00013038">
        <w:t>e</w:t>
      </w:r>
      <w:r w:rsidR="007B4A71">
        <w:t>d October 24,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5CE8C0" w14:paraId="76B977BF" w14:textId="77777777" w:rsidTr="515CE8C0">
      <w:trPr>
        <w:trHeight w:val="300"/>
      </w:trPr>
      <w:tc>
        <w:tcPr>
          <w:tcW w:w="3120" w:type="dxa"/>
        </w:tcPr>
        <w:p w14:paraId="3E52C3D4" w14:textId="00626492" w:rsidR="515CE8C0" w:rsidRDefault="515CE8C0" w:rsidP="515CE8C0">
          <w:pPr>
            <w:pStyle w:val="Header"/>
            <w:ind w:left="-115"/>
          </w:pPr>
        </w:p>
      </w:tc>
      <w:tc>
        <w:tcPr>
          <w:tcW w:w="3120" w:type="dxa"/>
        </w:tcPr>
        <w:p w14:paraId="54BFF2B1" w14:textId="34FD7EDA" w:rsidR="515CE8C0" w:rsidRDefault="515CE8C0" w:rsidP="515CE8C0">
          <w:pPr>
            <w:pStyle w:val="Header"/>
            <w:jc w:val="center"/>
          </w:pPr>
        </w:p>
      </w:tc>
      <w:tc>
        <w:tcPr>
          <w:tcW w:w="3120" w:type="dxa"/>
        </w:tcPr>
        <w:p w14:paraId="7F5F01AE" w14:textId="45B21F4D" w:rsidR="515CE8C0" w:rsidRDefault="515CE8C0" w:rsidP="515CE8C0">
          <w:pPr>
            <w:pStyle w:val="Header"/>
            <w:ind w:right="-115"/>
            <w:jc w:val="right"/>
          </w:pPr>
        </w:p>
      </w:tc>
    </w:tr>
  </w:tbl>
  <w:p w14:paraId="70D2E174" w14:textId="523E975D" w:rsidR="515CE8C0" w:rsidRDefault="515CE8C0" w:rsidP="515CE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617BF"/>
    <w:multiLevelType w:val="hybridMultilevel"/>
    <w:tmpl w:val="72E2B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C08AC"/>
    <w:multiLevelType w:val="hybridMultilevel"/>
    <w:tmpl w:val="5DE82254"/>
    <w:lvl w:ilvl="0" w:tplc="FFFFFFFF">
      <w:start w:val="1"/>
      <w:numFmt w:val="lowerRoman"/>
      <w:lvlText w:val="%1)"/>
      <w:lvlJc w:val="left"/>
      <w:pPr>
        <w:ind w:left="2930" w:hanging="720"/>
      </w:pPr>
      <w:rPr>
        <w:rFonts w:hint="default"/>
      </w:rPr>
    </w:lvl>
    <w:lvl w:ilvl="1" w:tplc="FFFFFFFF" w:tentative="1">
      <w:start w:val="1"/>
      <w:numFmt w:val="lowerLetter"/>
      <w:lvlText w:val="%2."/>
      <w:lvlJc w:val="left"/>
      <w:pPr>
        <w:ind w:left="3290" w:hanging="360"/>
      </w:pPr>
    </w:lvl>
    <w:lvl w:ilvl="2" w:tplc="FFFFFFFF" w:tentative="1">
      <w:start w:val="1"/>
      <w:numFmt w:val="lowerRoman"/>
      <w:lvlText w:val="%3."/>
      <w:lvlJc w:val="right"/>
      <w:pPr>
        <w:ind w:left="4010" w:hanging="180"/>
      </w:pPr>
    </w:lvl>
    <w:lvl w:ilvl="3" w:tplc="FFFFFFFF" w:tentative="1">
      <w:start w:val="1"/>
      <w:numFmt w:val="decimal"/>
      <w:lvlText w:val="%4."/>
      <w:lvlJc w:val="left"/>
      <w:pPr>
        <w:ind w:left="4730" w:hanging="360"/>
      </w:pPr>
    </w:lvl>
    <w:lvl w:ilvl="4" w:tplc="FFFFFFFF" w:tentative="1">
      <w:start w:val="1"/>
      <w:numFmt w:val="lowerLetter"/>
      <w:lvlText w:val="%5."/>
      <w:lvlJc w:val="left"/>
      <w:pPr>
        <w:ind w:left="5450" w:hanging="360"/>
      </w:pPr>
    </w:lvl>
    <w:lvl w:ilvl="5" w:tplc="FFFFFFFF" w:tentative="1">
      <w:start w:val="1"/>
      <w:numFmt w:val="lowerRoman"/>
      <w:lvlText w:val="%6."/>
      <w:lvlJc w:val="right"/>
      <w:pPr>
        <w:ind w:left="6170" w:hanging="180"/>
      </w:pPr>
    </w:lvl>
    <w:lvl w:ilvl="6" w:tplc="FFFFFFFF" w:tentative="1">
      <w:start w:val="1"/>
      <w:numFmt w:val="decimal"/>
      <w:lvlText w:val="%7."/>
      <w:lvlJc w:val="left"/>
      <w:pPr>
        <w:ind w:left="6890" w:hanging="360"/>
      </w:pPr>
    </w:lvl>
    <w:lvl w:ilvl="7" w:tplc="FFFFFFFF" w:tentative="1">
      <w:start w:val="1"/>
      <w:numFmt w:val="lowerLetter"/>
      <w:lvlText w:val="%8."/>
      <w:lvlJc w:val="left"/>
      <w:pPr>
        <w:ind w:left="7610" w:hanging="360"/>
      </w:pPr>
    </w:lvl>
    <w:lvl w:ilvl="8" w:tplc="FFFFFFFF" w:tentative="1">
      <w:start w:val="1"/>
      <w:numFmt w:val="lowerRoman"/>
      <w:lvlText w:val="%9."/>
      <w:lvlJc w:val="right"/>
      <w:pPr>
        <w:ind w:left="8330" w:hanging="180"/>
      </w:pPr>
    </w:lvl>
  </w:abstractNum>
  <w:abstractNum w:abstractNumId="3" w15:restartNumberingAfterBreak="0">
    <w:nsid w:val="764B673E"/>
    <w:multiLevelType w:val="hybridMultilevel"/>
    <w:tmpl w:val="8E722E34"/>
    <w:lvl w:ilvl="0" w:tplc="913884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23207397">
    <w:abstractNumId w:val="2"/>
  </w:num>
  <w:num w:numId="2" w16cid:durableId="823545916">
    <w:abstractNumId w:val="3"/>
  </w:num>
  <w:num w:numId="3" w16cid:durableId="109395445">
    <w:abstractNumId w:val="1"/>
  </w:num>
  <w:num w:numId="4" w16cid:durableId="71462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06"/>
    <w:rsid w:val="00013038"/>
    <w:rsid w:val="00020C37"/>
    <w:rsid w:val="00025DAD"/>
    <w:rsid w:val="00032872"/>
    <w:rsid w:val="00040D49"/>
    <w:rsid w:val="000433B1"/>
    <w:rsid w:val="0005482B"/>
    <w:rsid w:val="0005DF1E"/>
    <w:rsid w:val="00061416"/>
    <w:rsid w:val="00064183"/>
    <w:rsid w:val="0006542D"/>
    <w:rsid w:val="00066176"/>
    <w:rsid w:val="00066893"/>
    <w:rsid w:val="000672FA"/>
    <w:rsid w:val="00075EE6"/>
    <w:rsid w:val="00080686"/>
    <w:rsid w:val="00085D13"/>
    <w:rsid w:val="000874DF"/>
    <w:rsid w:val="00095A12"/>
    <w:rsid w:val="00096246"/>
    <w:rsid w:val="000A08DF"/>
    <w:rsid w:val="000A1721"/>
    <w:rsid w:val="000A17E1"/>
    <w:rsid w:val="000A7A90"/>
    <w:rsid w:val="000A7ED3"/>
    <w:rsid w:val="000B1C1A"/>
    <w:rsid w:val="000C2202"/>
    <w:rsid w:val="000C3BF6"/>
    <w:rsid w:val="000D3634"/>
    <w:rsid w:val="000D467B"/>
    <w:rsid w:val="000D609F"/>
    <w:rsid w:val="000E2714"/>
    <w:rsid w:val="000E5075"/>
    <w:rsid w:val="00110985"/>
    <w:rsid w:val="00111213"/>
    <w:rsid w:val="00126F80"/>
    <w:rsid w:val="00132AB9"/>
    <w:rsid w:val="00134489"/>
    <w:rsid w:val="00137169"/>
    <w:rsid w:val="00137476"/>
    <w:rsid w:val="00141C35"/>
    <w:rsid w:val="00146587"/>
    <w:rsid w:val="00146644"/>
    <w:rsid w:val="001509F0"/>
    <w:rsid w:val="00151B0B"/>
    <w:rsid w:val="00154386"/>
    <w:rsid w:val="0016449C"/>
    <w:rsid w:val="0016569E"/>
    <w:rsid w:val="001676BE"/>
    <w:rsid w:val="00172A49"/>
    <w:rsid w:val="0017409D"/>
    <w:rsid w:val="00175B1C"/>
    <w:rsid w:val="00175D2E"/>
    <w:rsid w:val="00185169"/>
    <w:rsid w:val="00194F95"/>
    <w:rsid w:val="00195397"/>
    <w:rsid w:val="00195CC5"/>
    <w:rsid w:val="001A4B0D"/>
    <w:rsid w:val="001A546C"/>
    <w:rsid w:val="001A7BF9"/>
    <w:rsid w:val="001B1C38"/>
    <w:rsid w:val="001B3A0A"/>
    <w:rsid w:val="001B6E1C"/>
    <w:rsid w:val="001C6D7E"/>
    <w:rsid w:val="001E0D7E"/>
    <w:rsid w:val="001F04C2"/>
    <w:rsid w:val="001F141B"/>
    <w:rsid w:val="001F4438"/>
    <w:rsid w:val="0020021D"/>
    <w:rsid w:val="00200310"/>
    <w:rsid w:val="00201873"/>
    <w:rsid w:val="00203375"/>
    <w:rsid w:val="00211CB4"/>
    <w:rsid w:val="002142D4"/>
    <w:rsid w:val="00221BBA"/>
    <w:rsid w:val="00232B3D"/>
    <w:rsid w:val="002432D8"/>
    <w:rsid w:val="00250555"/>
    <w:rsid w:val="0025465C"/>
    <w:rsid w:val="00255609"/>
    <w:rsid w:val="00260287"/>
    <w:rsid w:val="002607B3"/>
    <w:rsid w:val="00265491"/>
    <w:rsid w:val="002672F0"/>
    <w:rsid w:val="00270789"/>
    <w:rsid w:val="00281205"/>
    <w:rsid w:val="00291E23"/>
    <w:rsid w:val="00294DB3"/>
    <w:rsid w:val="00295482"/>
    <w:rsid w:val="002960F4"/>
    <w:rsid w:val="002A5B0D"/>
    <w:rsid w:val="002A7201"/>
    <w:rsid w:val="002C4838"/>
    <w:rsid w:val="002D15ED"/>
    <w:rsid w:val="002D67F6"/>
    <w:rsid w:val="002E0C33"/>
    <w:rsid w:val="002E55F9"/>
    <w:rsid w:val="002F1043"/>
    <w:rsid w:val="002F3F14"/>
    <w:rsid w:val="00301CCE"/>
    <w:rsid w:val="00311A81"/>
    <w:rsid w:val="0033649B"/>
    <w:rsid w:val="003411DF"/>
    <w:rsid w:val="00350769"/>
    <w:rsid w:val="00351CC3"/>
    <w:rsid w:val="00370705"/>
    <w:rsid w:val="00390122"/>
    <w:rsid w:val="00390300"/>
    <w:rsid w:val="003A70E2"/>
    <w:rsid w:val="003B086F"/>
    <w:rsid w:val="003B657D"/>
    <w:rsid w:val="003C421B"/>
    <w:rsid w:val="003C487C"/>
    <w:rsid w:val="003C581A"/>
    <w:rsid w:val="003D1DAE"/>
    <w:rsid w:val="003E4C84"/>
    <w:rsid w:val="003F68D2"/>
    <w:rsid w:val="004044AB"/>
    <w:rsid w:val="00412289"/>
    <w:rsid w:val="004145A6"/>
    <w:rsid w:val="004168C7"/>
    <w:rsid w:val="00426980"/>
    <w:rsid w:val="004366CD"/>
    <w:rsid w:val="004437D4"/>
    <w:rsid w:val="00445918"/>
    <w:rsid w:val="00450B5D"/>
    <w:rsid w:val="00451058"/>
    <w:rsid w:val="00452FCE"/>
    <w:rsid w:val="004549ED"/>
    <w:rsid w:val="004559F3"/>
    <w:rsid w:val="00466A53"/>
    <w:rsid w:val="00473985"/>
    <w:rsid w:val="0048619D"/>
    <w:rsid w:val="00491632"/>
    <w:rsid w:val="004A7033"/>
    <w:rsid w:val="004B090D"/>
    <w:rsid w:val="004B19E5"/>
    <w:rsid w:val="004B2078"/>
    <w:rsid w:val="004B3448"/>
    <w:rsid w:val="004C0CCE"/>
    <w:rsid w:val="004C2F7C"/>
    <w:rsid w:val="004C3AA0"/>
    <w:rsid w:val="004C603D"/>
    <w:rsid w:val="004C7144"/>
    <w:rsid w:val="004D10E6"/>
    <w:rsid w:val="004D50A6"/>
    <w:rsid w:val="004E10A3"/>
    <w:rsid w:val="004E438C"/>
    <w:rsid w:val="00512329"/>
    <w:rsid w:val="00512C16"/>
    <w:rsid w:val="005144F2"/>
    <w:rsid w:val="005208E6"/>
    <w:rsid w:val="00523295"/>
    <w:rsid w:val="0053090A"/>
    <w:rsid w:val="005428CF"/>
    <w:rsid w:val="00554F1E"/>
    <w:rsid w:val="005751C6"/>
    <w:rsid w:val="00577CFF"/>
    <w:rsid w:val="00585734"/>
    <w:rsid w:val="00592F74"/>
    <w:rsid w:val="005A0E22"/>
    <w:rsid w:val="005B1343"/>
    <w:rsid w:val="005B710A"/>
    <w:rsid w:val="005C25E5"/>
    <w:rsid w:val="005C5877"/>
    <w:rsid w:val="005D028D"/>
    <w:rsid w:val="005D5A0B"/>
    <w:rsid w:val="005D62FC"/>
    <w:rsid w:val="005E7D78"/>
    <w:rsid w:val="005F0BB4"/>
    <w:rsid w:val="005F4C39"/>
    <w:rsid w:val="005F75F1"/>
    <w:rsid w:val="00603A5D"/>
    <w:rsid w:val="006104D6"/>
    <w:rsid w:val="00611587"/>
    <w:rsid w:val="00614015"/>
    <w:rsid w:val="00620D6F"/>
    <w:rsid w:val="00623D80"/>
    <w:rsid w:val="006264F3"/>
    <w:rsid w:val="006455BC"/>
    <w:rsid w:val="006477AB"/>
    <w:rsid w:val="0064788E"/>
    <w:rsid w:val="00651FCC"/>
    <w:rsid w:val="00653A95"/>
    <w:rsid w:val="00655864"/>
    <w:rsid w:val="00656043"/>
    <w:rsid w:val="00660A61"/>
    <w:rsid w:val="00661DE5"/>
    <w:rsid w:val="006717DE"/>
    <w:rsid w:val="00687622"/>
    <w:rsid w:val="00690A25"/>
    <w:rsid w:val="006948EF"/>
    <w:rsid w:val="006964EF"/>
    <w:rsid w:val="006A34DB"/>
    <w:rsid w:val="006A7326"/>
    <w:rsid w:val="006B3DD0"/>
    <w:rsid w:val="006C1C50"/>
    <w:rsid w:val="006C7EF2"/>
    <w:rsid w:val="006D1EF4"/>
    <w:rsid w:val="006D2366"/>
    <w:rsid w:val="006D29BF"/>
    <w:rsid w:val="006D76BC"/>
    <w:rsid w:val="006D7EBB"/>
    <w:rsid w:val="006E4BE9"/>
    <w:rsid w:val="006E5EFB"/>
    <w:rsid w:val="006F1E9F"/>
    <w:rsid w:val="006F4C51"/>
    <w:rsid w:val="00700F75"/>
    <w:rsid w:val="007035F0"/>
    <w:rsid w:val="00723AF3"/>
    <w:rsid w:val="00731198"/>
    <w:rsid w:val="0073130D"/>
    <w:rsid w:val="007328C9"/>
    <w:rsid w:val="00745401"/>
    <w:rsid w:val="0076431A"/>
    <w:rsid w:val="007733B7"/>
    <w:rsid w:val="0078553F"/>
    <w:rsid w:val="0078619C"/>
    <w:rsid w:val="007969FE"/>
    <w:rsid w:val="007A2806"/>
    <w:rsid w:val="007A420F"/>
    <w:rsid w:val="007B358A"/>
    <w:rsid w:val="007B4A71"/>
    <w:rsid w:val="007C528D"/>
    <w:rsid w:val="007E05B2"/>
    <w:rsid w:val="007F0099"/>
    <w:rsid w:val="0081278F"/>
    <w:rsid w:val="00833DCE"/>
    <w:rsid w:val="008462A0"/>
    <w:rsid w:val="0084714C"/>
    <w:rsid w:val="00847AFB"/>
    <w:rsid w:val="00854B55"/>
    <w:rsid w:val="00870193"/>
    <w:rsid w:val="00875A92"/>
    <w:rsid w:val="00883688"/>
    <w:rsid w:val="00884667"/>
    <w:rsid w:val="00886703"/>
    <w:rsid w:val="008915AC"/>
    <w:rsid w:val="00895D7E"/>
    <w:rsid w:val="00896C26"/>
    <w:rsid w:val="008A15A6"/>
    <w:rsid w:val="008A2D8F"/>
    <w:rsid w:val="008A62B9"/>
    <w:rsid w:val="008A645D"/>
    <w:rsid w:val="008B164A"/>
    <w:rsid w:val="008B27C9"/>
    <w:rsid w:val="008B2F61"/>
    <w:rsid w:val="008C635D"/>
    <w:rsid w:val="008D4B7B"/>
    <w:rsid w:val="008D528B"/>
    <w:rsid w:val="008E422D"/>
    <w:rsid w:val="008F3CE8"/>
    <w:rsid w:val="009009A7"/>
    <w:rsid w:val="00921D25"/>
    <w:rsid w:val="009301B5"/>
    <w:rsid w:val="009422D2"/>
    <w:rsid w:val="00946972"/>
    <w:rsid w:val="00946A8E"/>
    <w:rsid w:val="00952AA3"/>
    <w:rsid w:val="00953A56"/>
    <w:rsid w:val="0096574A"/>
    <w:rsid w:val="0097206A"/>
    <w:rsid w:val="00977EC0"/>
    <w:rsid w:val="00980B61"/>
    <w:rsid w:val="009874B1"/>
    <w:rsid w:val="00992140"/>
    <w:rsid w:val="009A091F"/>
    <w:rsid w:val="009C285D"/>
    <w:rsid w:val="009C3E35"/>
    <w:rsid w:val="009D5CDB"/>
    <w:rsid w:val="009D660F"/>
    <w:rsid w:val="009E3BAE"/>
    <w:rsid w:val="009F262D"/>
    <w:rsid w:val="009F26CF"/>
    <w:rsid w:val="009F2F29"/>
    <w:rsid w:val="00A024DC"/>
    <w:rsid w:val="00A03CBE"/>
    <w:rsid w:val="00A07AE9"/>
    <w:rsid w:val="00A15D00"/>
    <w:rsid w:val="00A17CA9"/>
    <w:rsid w:val="00A21162"/>
    <w:rsid w:val="00A2446E"/>
    <w:rsid w:val="00A2691B"/>
    <w:rsid w:val="00A26A3E"/>
    <w:rsid w:val="00A33946"/>
    <w:rsid w:val="00A33EBE"/>
    <w:rsid w:val="00A36843"/>
    <w:rsid w:val="00A50437"/>
    <w:rsid w:val="00A5659C"/>
    <w:rsid w:val="00A64C35"/>
    <w:rsid w:val="00A64FE0"/>
    <w:rsid w:val="00A87C71"/>
    <w:rsid w:val="00AB178D"/>
    <w:rsid w:val="00AC00A2"/>
    <w:rsid w:val="00AC3086"/>
    <w:rsid w:val="00AC7BF7"/>
    <w:rsid w:val="00AC7F40"/>
    <w:rsid w:val="00AD2FF7"/>
    <w:rsid w:val="00AD5227"/>
    <w:rsid w:val="00AD699F"/>
    <w:rsid w:val="00AD78E0"/>
    <w:rsid w:val="00B064F8"/>
    <w:rsid w:val="00B06A7B"/>
    <w:rsid w:val="00B107AC"/>
    <w:rsid w:val="00B1414F"/>
    <w:rsid w:val="00B1440A"/>
    <w:rsid w:val="00B254DE"/>
    <w:rsid w:val="00B325C2"/>
    <w:rsid w:val="00B35912"/>
    <w:rsid w:val="00B36F70"/>
    <w:rsid w:val="00B425C9"/>
    <w:rsid w:val="00B446A5"/>
    <w:rsid w:val="00B478EB"/>
    <w:rsid w:val="00B527A6"/>
    <w:rsid w:val="00B53645"/>
    <w:rsid w:val="00B81233"/>
    <w:rsid w:val="00BB59DE"/>
    <w:rsid w:val="00BB5C04"/>
    <w:rsid w:val="00BC18C2"/>
    <w:rsid w:val="00BC31B5"/>
    <w:rsid w:val="00BC4594"/>
    <w:rsid w:val="00BD60F1"/>
    <w:rsid w:val="00BE1B27"/>
    <w:rsid w:val="00BE45F8"/>
    <w:rsid w:val="00BE7EA3"/>
    <w:rsid w:val="00BF5462"/>
    <w:rsid w:val="00BF5B8C"/>
    <w:rsid w:val="00C019A6"/>
    <w:rsid w:val="00C0316B"/>
    <w:rsid w:val="00C04725"/>
    <w:rsid w:val="00C0678C"/>
    <w:rsid w:val="00C06898"/>
    <w:rsid w:val="00C06AFC"/>
    <w:rsid w:val="00C10CCC"/>
    <w:rsid w:val="00C16DC4"/>
    <w:rsid w:val="00C32BF5"/>
    <w:rsid w:val="00C3548C"/>
    <w:rsid w:val="00C431FB"/>
    <w:rsid w:val="00C50FC8"/>
    <w:rsid w:val="00C61BB9"/>
    <w:rsid w:val="00C628ED"/>
    <w:rsid w:val="00C643AD"/>
    <w:rsid w:val="00C70B7D"/>
    <w:rsid w:val="00C801FC"/>
    <w:rsid w:val="00C8746E"/>
    <w:rsid w:val="00C91279"/>
    <w:rsid w:val="00C9249F"/>
    <w:rsid w:val="00C938EA"/>
    <w:rsid w:val="00C96729"/>
    <w:rsid w:val="00CA02AF"/>
    <w:rsid w:val="00CA5943"/>
    <w:rsid w:val="00CA5CB6"/>
    <w:rsid w:val="00CD021F"/>
    <w:rsid w:val="00CD0D0F"/>
    <w:rsid w:val="00CE140D"/>
    <w:rsid w:val="00CE18A7"/>
    <w:rsid w:val="00CE49EC"/>
    <w:rsid w:val="00CF2C68"/>
    <w:rsid w:val="00CF3F01"/>
    <w:rsid w:val="00CF5895"/>
    <w:rsid w:val="00D207E6"/>
    <w:rsid w:val="00D26E6D"/>
    <w:rsid w:val="00D311E3"/>
    <w:rsid w:val="00D376E5"/>
    <w:rsid w:val="00D51427"/>
    <w:rsid w:val="00D62810"/>
    <w:rsid w:val="00D65473"/>
    <w:rsid w:val="00D72D12"/>
    <w:rsid w:val="00D75C30"/>
    <w:rsid w:val="00D83DA6"/>
    <w:rsid w:val="00D906D5"/>
    <w:rsid w:val="00DA3CDB"/>
    <w:rsid w:val="00DA5987"/>
    <w:rsid w:val="00DB2B55"/>
    <w:rsid w:val="00DB72F8"/>
    <w:rsid w:val="00DC4E98"/>
    <w:rsid w:val="00DC5A25"/>
    <w:rsid w:val="00DD021C"/>
    <w:rsid w:val="00DD18F7"/>
    <w:rsid w:val="00DD2BA1"/>
    <w:rsid w:val="00DD4DA1"/>
    <w:rsid w:val="00DE2DCB"/>
    <w:rsid w:val="00DE4039"/>
    <w:rsid w:val="00DE6148"/>
    <w:rsid w:val="00DE6583"/>
    <w:rsid w:val="00DF22BD"/>
    <w:rsid w:val="00DF7DE1"/>
    <w:rsid w:val="00E03DB3"/>
    <w:rsid w:val="00E06583"/>
    <w:rsid w:val="00E14C5D"/>
    <w:rsid w:val="00E15517"/>
    <w:rsid w:val="00E2688C"/>
    <w:rsid w:val="00E27A55"/>
    <w:rsid w:val="00E3225C"/>
    <w:rsid w:val="00E42CE4"/>
    <w:rsid w:val="00E44411"/>
    <w:rsid w:val="00E50127"/>
    <w:rsid w:val="00E50ECF"/>
    <w:rsid w:val="00E61B46"/>
    <w:rsid w:val="00E65F2B"/>
    <w:rsid w:val="00E72F6B"/>
    <w:rsid w:val="00E8638E"/>
    <w:rsid w:val="00E8799B"/>
    <w:rsid w:val="00E9188C"/>
    <w:rsid w:val="00E943DF"/>
    <w:rsid w:val="00EA685A"/>
    <w:rsid w:val="00EB0BD2"/>
    <w:rsid w:val="00EB0D31"/>
    <w:rsid w:val="00EB5985"/>
    <w:rsid w:val="00EC191C"/>
    <w:rsid w:val="00EC4726"/>
    <w:rsid w:val="00ED1122"/>
    <w:rsid w:val="00ED27FC"/>
    <w:rsid w:val="00ED2833"/>
    <w:rsid w:val="00EE3453"/>
    <w:rsid w:val="00EE37C0"/>
    <w:rsid w:val="00EE3BCC"/>
    <w:rsid w:val="00EE47CF"/>
    <w:rsid w:val="00EE722E"/>
    <w:rsid w:val="00EF6485"/>
    <w:rsid w:val="00F00ACB"/>
    <w:rsid w:val="00F05DDC"/>
    <w:rsid w:val="00F23B80"/>
    <w:rsid w:val="00F24B2B"/>
    <w:rsid w:val="00F45459"/>
    <w:rsid w:val="00F457E6"/>
    <w:rsid w:val="00F50F12"/>
    <w:rsid w:val="00F55439"/>
    <w:rsid w:val="00F57B7C"/>
    <w:rsid w:val="00F646DA"/>
    <w:rsid w:val="00F66457"/>
    <w:rsid w:val="00F7007F"/>
    <w:rsid w:val="00F77C26"/>
    <w:rsid w:val="00F86D01"/>
    <w:rsid w:val="00F95B44"/>
    <w:rsid w:val="00F95B6A"/>
    <w:rsid w:val="00FB06FE"/>
    <w:rsid w:val="00FB3475"/>
    <w:rsid w:val="00FB7343"/>
    <w:rsid w:val="00FD059B"/>
    <w:rsid w:val="00FD1466"/>
    <w:rsid w:val="00FD168A"/>
    <w:rsid w:val="00FE492C"/>
    <w:rsid w:val="09595E82"/>
    <w:rsid w:val="0CA60525"/>
    <w:rsid w:val="0F5F71DD"/>
    <w:rsid w:val="1804DDA5"/>
    <w:rsid w:val="1AA5D3BD"/>
    <w:rsid w:val="32D09937"/>
    <w:rsid w:val="330A4563"/>
    <w:rsid w:val="3388872D"/>
    <w:rsid w:val="3B90D56C"/>
    <w:rsid w:val="3C5DA9ED"/>
    <w:rsid w:val="3D41B349"/>
    <w:rsid w:val="41D993A3"/>
    <w:rsid w:val="4341069B"/>
    <w:rsid w:val="44A0F9EC"/>
    <w:rsid w:val="4D001F09"/>
    <w:rsid w:val="515CE8C0"/>
    <w:rsid w:val="542C65F6"/>
    <w:rsid w:val="54564A41"/>
    <w:rsid w:val="5813249D"/>
    <w:rsid w:val="602E0A9C"/>
    <w:rsid w:val="609BF278"/>
    <w:rsid w:val="61B0CAE7"/>
    <w:rsid w:val="6288A242"/>
    <w:rsid w:val="65D0FF57"/>
    <w:rsid w:val="6D0694CA"/>
    <w:rsid w:val="70FA5BC3"/>
    <w:rsid w:val="73C41264"/>
    <w:rsid w:val="73D7CEDA"/>
    <w:rsid w:val="77660059"/>
    <w:rsid w:val="776865D6"/>
    <w:rsid w:val="78B1409C"/>
    <w:rsid w:val="7B5C0EAF"/>
    <w:rsid w:val="7C8249DD"/>
    <w:rsid w:val="7EBEB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08D4"/>
  <w15:chartTrackingRefBased/>
  <w15:docId w15:val="{DFB0D84A-6595-4DF1-A11D-A598C1C0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C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A280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280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280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280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A280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A280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A280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A280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A280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806"/>
    <w:rPr>
      <w:rFonts w:eastAsiaTheme="majorEastAsia" w:cstheme="majorBidi"/>
      <w:color w:val="272727" w:themeColor="text1" w:themeTint="D8"/>
    </w:rPr>
  </w:style>
  <w:style w:type="paragraph" w:styleId="Title">
    <w:name w:val="Title"/>
    <w:basedOn w:val="Normal"/>
    <w:next w:val="Normal"/>
    <w:link w:val="TitleChar"/>
    <w:uiPriority w:val="10"/>
    <w:qFormat/>
    <w:rsid w:val="007A28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2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8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2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80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A2806"/>
    <w:rPr>
      <w:i/>
      <w:iCs/>
      <w:color w:val="404040" w:themeColor="text1" w:themeTint="BF"/>
    </w:rPr>
  </w:style>
  <w:style w:type="paragraph" w:styleId="ListParagraph">
    <w:name w:val="List Paragraph"/>
    <w:basedOn w:val="Normal"/>
    <w:uiPriority w:val="34"/>
    <w:qFormat/>
    <w:rsid w:val="007A280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A2806"/>
    <w:rPr>
      <w:i/>
      <w:iCs/>
      <w:color w:val="0F4761" w:themeColor="accent1" w:themeShade="BF"/>
    </w:rPr>
  </w:style>
  <w:style w:type="paragraph" w:styleId="IntenseQuote">
    <w:name w:val="Intense Quote"/>
    <w:basedOn w:val="Normal"/>
    <w:next w:val="Normal"/>
    <w:link w:val="IntenseQuoteChar"/>
    <w:uiPriority w:val="30"/>
    <w:qFormat/>
    <w:rsid w:val="007A280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A2806"/>
    <w:rPr>
      <w:i/>
      <w:iCs/>
      <w:color w:val="0F4761" w:themeColor="accent1" w:themeShade="BF"/>
    </w:rPr>
  </w:style>
  <w:style w:type="character" w:styleId="IntenseReference">
    <w:name w:val="Intense Reference"/>
    <w:basedOn w:val="DefaultParagraphFont"/>
    <w:uiPriority w:val="32"/>
    <w:qFormat/>
    <w:rsid w:val="007A2806"/>
    <w:rPr>
      <w:b/>
      <w:bCs/>
      <w:smallCaps/>
      <w:color w:val="0F4761" w:themeColor="accent1" w:themeShade="BF"/>
      <w:spacing w:val="5"/>
    </w:rPr>
  </w:style>
  <w:style w:type="paragraph" w:styleId="FootnoteText">
    <w:name w:val="footnote text"/>
    <w:basedOn w:val="Normal"/>
    <w:link w:val="FootnoteTextChar"/>
    <w:uiPriority w:val="99"/>
    <w:unhideWhenUsed/>
    <w:rsid w:val="004C0CCE"/>
    <w:rPr>
      <w:sz w:val="20"/>
      <w:szCs w:val="20"/>
    </w:rPr>
  </w:style>
  <w:style w:type="character" w:customStyle="1" w:styleId="FootnoteTextChar">
    <w:name w:val="Footnote Text Char"/>
    <w:basedOn w:val="DefaultParagraphFont"/>
    <w:link w:val="FootnoteText"/>
    <w:uiPriority w:val="99"/>
    <w:rsid w:val="004C0CC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4C0CCE"/>
    <w:rPr>
      <w:vertAlign w:val="superscript"/>
    </w:rPr>
  </w:style>
  <w:style w:type="paragraph" w:customStyle="1" w:styleId="Default">
    <w:name w:val="Default"/>
    <w:rsid w:val="00700F7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5D5A0B"/>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90300"/>
    <w:rPr>
      <w:sz w:val="16"/>
      <w:szCs w:val="16"/>
    </w:rPr>
  </w:style>
  <w:style w:type="paragraph" w:styleId="CommentText">
    <w:name w:val="annotation text"/>
    <w:basedOn w:val="Normal"/>
    <w:link w:val="CommentTextChar"/>
    <w:uiPriority w:val="99"/>
    <w:unhideWhenUsed/>
    <w:rsid w:val="00390300"/>
    <w:rPr>
      <w:sz w:val="20"/>
      <w:szCs w:val="20"/>
    </w:rPr>
  </w:style>
  <w:style w:type="character" w:customStyle="1" w:styleId="CommentTextChar">
    <w:name w:val="Comment Text Char"/>
    <w:basedOn w:val="DefaultParagraphFont"/>
    <w:link w:val="CommentText"/>
    <w:uiPriority w:val="99"/>
    <w:rsid w:val="0039030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0300"/>
    <w:rPr>
      <w:b/>
      <w:bCs/>
    </w:rPr>
  </w:style>
  <w:style w:type="character" w:customStyle="1" w:styleId="CommentSubjectChar">
    <w:name w:val="Comment Subject Char"/>
    <w:basedOn w:val="CommentTextChar"/>
    <w:link w:val="CommentSubject"/>
    <w:uiPriority w:val="99"/>
    <w:semiHidden/>
    <w:rsid w:val="0039030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15436">
      <w:bodyDiv w:val="1"/>
      <w:marLeft w:val="0"/>
      <w:marRight w:val="0"/>
      <w:marTop w:val="0"/>
      <w:marBottom w:val="0"/>
      <w:divBdr>
        <w:top w:val="none" w:sz="0" w:space="0" w:color="auto"/>
        <w:left w:val="none" w:sz="0" w:space="0" w:color="auto"/>
        <w:bottom w:val="none" w:sz="0" w:space="0" w:color="auto"/>
        <w:right w:val="none" w:sz="0" w:space="0" w:color="auto"/>
      </w:divBdr>
    </w:div>
    <w:div w:id="208510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0210-FD85-4BDA-824D-144BA8340ED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167</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10</cp:revision>
  <cp:lastPrinted>2025-08-14T18:35:00Z</cp:lastPrinted>
  <dcterms:created xsi:type="dcterms:W3CDTF">2025-08-15T16:49:00Z</dcterms:created>
  <dcterms:modified xsi:type="dcterms:W3CDTF">2025-08-27T16:58:00Z</dcterms:modified>
</cp:coreProperties>
</file>