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1E052" w14:textId="77777777" w:rsidR="003F1DD2" w:rsidRPr="00246A25" w:rsidRDefault="003F1DD2" w:rsidP="003F1DD2">
      <w:pPr>
        <w:jc w:val="center"/>
        <w:rPr>
          <w:sz w:val="24"/>
          <w:szCs w:val="24"/>
        </w:rPr>
      </w:pPr>
      <w:r w:rsidRPr="00246A25">
        <w:rPr>
          <w:sz w:val="24"/>
          <w:szCs w:val="24"/>
        </w:rPr>
        <w:t>COMMONWEALTH OF MASSACHUSETTS</w:t>
      </w:r>
    </w:p>
    <w:p w14:paraId="1E775C38" w14:textId="77777777" w:rsidR="003F1DD2" w:rsidRPr="00246A25" w:rsidRDefault="003F1DD2" w:rsidP="003F1DD2">
      <w:pPr>
        <w:rPr>
          <w:sz w:val="24"/>
          <w:szCs w:val="24"/>
        </w:rPr>
      </w:pPr>
    </w:p>
    <w:p w14:paraId="64198D2F" w14:textId="77777777" w:rsidR="003F1DD2" w:rsidRPr="00246A25" w:rsidRDefault="003F1DD2" w:rsidP="003F1DD2">
      <w:pPr>
        <w:rPr>
          <w:sz w:val="24"/>
          <w:szCs w:val="24"/>
        </w:rPr>
      </w:pPr>
      <w:r>
        <w:rPr>
          <w:sz w:val="24"/>
          <w:szCs w:val="24"/>
        </w:rPr>
        <w:t>MIDDLESEX, SS</w:t>
      </w:r>
      <w:r>
        <w:rPr>
          <w:sz w:val="24"/>
          <w:szCs w:val="24"/>
        </w:rPr>
        <w:tab/>
      </w:r>
      <w:r>
        <w:rPr>
          <w:sz w:val="24"/>
          <w:szCs w:val="24"/>
        </w:rPr>
        <w:tab/>
      </w:r>
      <w:r>
        <w:rPr>
          <w:sz w:val="24"/>
          <w:szCs w:val="24"/>
        </w:rPr>
        <w:tab/>
      </w:r>
      <w:r>
        <w:rPr>
          <w:sz w:val="24"/>
          <w:szCs w:val="24"/>
        </w:rPr>
        <w:tab/>
      </w:r>
      <w:r>
        <w:rPr>
          <w:sz w:val="24"/>
          <w:szCs w:val="24"/>
        </w:rPr>
        <w:tab/>
        <w:t>BOARD OF R</w:t>
      </w:r>
      <w:r w:rsidRPr="00246A25">
        <w:rPr>
          <w:sz w:val="24"/>
          <w:szCs w:val="24"/>
        </w:rPr>
        <w:t>EGISTRATION</w:t>
      </w:r>
    </w:p>
    <w:p w14:paraId="434A30CC" w14:textId="77777777" w:rsidR="003F1DD2" w:rsidRDefault="003F1DD2" w:rsidP="003F1DD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6A25">
        <w:rPr>
          <w:sz w:val="24"/>
          <w:szCs w:val="24"/>
        </w:rPr>
        <w:t>IN MEDICINE</w:t>
      </w:r>
    </w:p>
    <w:p w14:paraId="103ECB18" w14:textId="77777777" w:rsidR="003F1DD2" w:rsidRDefault="003F1DD2" w:rsidP="003F1DD2">
      <w:pPr>
        <w:rPr>
          <w:sz w:val="24"/>
          <w:szCs w:val="24"/>
        </w:rPr>
      </w:pPr>
    </w:p>
    <w:p w14:paraId="5402080C" w14:textId="77777777" w:rsidR="00417E13" w:rsidRPr="003F1DD2" w:rsidRDefault="00417E13" w:rsidP="003F1DD2">
      <w:pPr>
        <w:pStyle w:val="Heading1"/>
      </w:pPr>
      <w:r w:rsidRPr="003F1DD2">
        <w:tab/>
      </w:r>
      <w:r w:rsidRPr="003F1DD2">
        <w:tab/>
      </w:r>
      <w:r w:rsidRPr="003F1DD2">
        <w:tab/>
      </w:r>
      <w:r w:rsidRPr="003F1DD2">
        <w:tab/>
      </w:r>
      <w:r w:rsidRPr="003F1DD2">
        <w:tab/>
      </w:r>
      <w:r w:rsidRPr="003F1DD2">
        <w:tab/>
      </w:r>
      <w:r w:rsidRPr="003F1DD2">
        <w:tab/>
        <w:t>Adjudicatory Case</w:t>
      </w:r>
      <w:r w:rsidR="003F1DD2">
        <w:t xml:space="preserve"> </w:t>
      </w:r>
      <w:r w:rsidR="003F154F">
        <w:t>20</w:t>
      </w:r>
      <w:r w:rsidR="00D43463">
        <w:t>20</w:t>
      </w:r>
      <w:r w:rsidR="003F154F">
        <w:t>-0</w:t>
      </w:r>
      <w:r w:rsidR="00D43463">
        <w:t>4</w:t>
      </w:r>
      <w:r w:rsidR="003F154F">
        <w:t>7</w:t>
      </w:r>
    </w:p>
    <w:p w14:paraId="6CFB9444" w14:textId="77777777" w:rsidR="00417E13" w:rsidRPr="003F1DD2" w:rsidRDefault="003F1DD2">
      <w:pPr>
        <w:rPr>
          <w:sz w:val="24"/>
        </w:rPr>
      </w:pPr>
      <w:r>
        <w:rPr>
          <w:sz w:val="24"/>
        </w:rPr>
        <w:tab/>
      </w:r>
      <w:r>
        <w:rPr>
          <w:sz w:val="24"/>
        </w:rPr>
        <w:tab/>
      </w:r>
      <w:r>
        <w:rPr>
          <w:sz w:val="24"/>
        </w:rPr>
        <w:tab/>
      </w:r>
      <w:r>
        <w:rPr>
          <w:sz w:val="24"/>
        </w:rPr>
        <w:tab/>
      </w:r>
      <w:r>
        <w:rPr>
          <w:sz w:val="24"/>
        </w:rPr>
        <w:tab/>
      </w:r>
      <w:r>
        <w:rPr>
          <w:sz w:val="24"/>
        </w:rPr>
        <w:tab/>
      </w:r>
      <w:r>
        <w:rPr>
          <w:sz w:val="24"/>
        </w:rPr>
        <w:tab/>
        <w:t>(RM-</w:t>
      </w:r>
      <w:r w:rsidR="00D43463">
        <w:rPr>
          <w:sz w:val="24"/>
        </w:rPr>
        <w:t>20</w:t>
      </w:r>
      <w:r w:rsidR="003F154F">
        <w:rPr>
          <w:sz w:val="24"/>
        </w:rPr>
        <w:t>-</w:t>
      </w:r>
      <w:r w:rsidR="00D43463">
        <w:rPr>
          <w:sz w:val="24"/>
        </w:rPr>
        <w:t>0452</w:t>
      </w:r>
      <w:r w:rsidR="00417E13" w:rsidRPr="003F1DD2">
        <w:rPr>
          <w:sz w:val="24"/>
        </w:rPr>
        <w:t>)</w:t>
      </w:r>
    </w:p>
    <w:p w14:paraId="0A73E1BA" w14:textId="77777777"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p>
    <w:p w14:paraId="1AA75B23" w14:textId="77777777" w:rsidR="00417E13" w:rsidRPr="003F1DD2" w:rsidRDefault="00417E13">
      <w:pPr>
        <w:rPr>
          <w:sz w:val="24"/>
        </w:rPr>
      </w:pPr>
      <w:r w:rsidRPr="003F1DD2">
        <w:rPr>
          <w:sz w:val="24"/>
        </w:rPr>
        <w:t>__________________________</w:t>
      </w:r>
      <w:r w:rsidR="003F1DD2">
        <w:rPr>
          <w:sz w:val="24"/>
        </w:rPr>
        <w:t xml:space="preserve"> </w:t>
      </w:r>
    </w:p>
    <w:p w14:paraId="21601AE5" w14:textId="77777777"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p>
    <w:p w14:paraId="7EF47A1C" w14:textId="77777777" w:rsidR="00417E13" w:rsidRPr="003F1DD2" w:rsidRDefault="003F1DD2">
      <w:pPr>
        <w:rPr>
          <w:sz w:val="24"/>
        </w:rPr>
      </w:pPr>
      <w:r>
        <w:rPr>
          <w:sz w:val="24"/>
        </w:rPr>
        <w:t>In the Matter of</w:t>
      </w:r>
      <w:r>
        <w:rPr>
          <w:sz w:val="24"/>
        </w:rPr>
        <w:tab/>
      </w:r>
      <w:r>
        <w:rPr>
          <w:sz w:val="24"/>
        </w:rPr>
        <w:tab/>
        <w:t xml:space="preserve">    </w:t>
      </w:r>
      <w:r w:rsidR="00417E13" w:rsidRPr="003F1DD2">
        <w:rPr>
          <w:sz w:val="24"/>
        </w:rPr>
        <w:t>)</w:t>
      </w:r>
    </w:p>
    <w:p w14:paraId="03FD89D9" w14:textId="77777777" w:rsidR="00417E13" w:rsidRPr="003F1DD2" w:rsidRDefault="00417E13">
      <w:pPr>
        <w:rPr>
          <w:b/>
          <w:sz w:val="24"/>
          <w:u w:val="single"/>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r w:rsidRPr="003F1DD2">
        <w:rPr>
          <w:sz w:val="24"/>
        </w:rPr>
        <w:tab/>
      </w:r>
      <w:r w:rsidRPr="003F1DD2">
        <w:rPr>
          <w:sz w:val="24"/>
        </w:rPr>
        <w:tab/>
      </w:r>
      <w:r w:rsidRPr="003F1DD2">
        <w:rPr>
          <w:sz w:val="24"/>
        </w:rPr>
        <w:tab/>
      </w:r>
      <w:r w:rsidR="00DE4E17" w:rsidRPr="00DE4E17">
        <w:rPr>
          <w:sz w:val="24"/>
          <w:u w:val="single"/>
        </w:rPr>
        <w:t>FINAL DECISION AND ORDER</w:t>
      </w:r>
    </w:p>
    <w:p w14:paraId="309DFF1B" w14:textId="77777777" w:rsidR="00417E13" w:rsidRPr="003F1DD2" w:rsidRDefault="00D43463">
      <w:pPr>
        <w:rPr>
          <w:sz w:val="24"/>
        </w:rPr>
      </w:pPr>
      <w:r>
        <w:rPr>
          <w:sz w:val="24"/>
        </w:rPr>
        <w:t>Clark E. O’Brien</w:t>
      </w:r>
      <w:r w:rsidR="00395781">
        <w:rPr>
          <w:sz w:val="24"/>
        </w:rPr>
        <w:t>, M.D.</w:t>
      </w:r>
      <w:r w:rsidR="003F1DD2">
        <w:rPr>
          <w:sz w:val="24"/>
        </w:rPr>
        <w:tab/>
        <w:t xml:space="preserve">    </w:t>
      </w:r>
      <w:r w:rsidR="00417E13" w:rsidRPr="003F1DD2">
        <w:rPr>
          <w:sz w:val="24"/>
        </w:rPr>
        <w:t>)</w:t>
      </w:r>
    </w:p>
    <w:p w14:paraId="38508E45" w14:textId="77777777" w:rsidR="00417E13" w:rsidRPr="003F1DD2" w:rsidRDefault="003F1DD2">
      <w:pPr>
        <w:rPr>
          <w:sz w:val="24"/>
        </w:rPr>
      </w:pPr>
      <w:r>
        <w:rPr>
          <w:sz w:val="24"/>
        </w:rPr>
        <w:t>__________________________</w:t>
      </w:r>
      <w:r w:rsidR="00417E13" w:rsidRPr="003F1DD2">
        <w:rPr>
          <w:sz w:val="24"/>
        </w:rPr>
        <w:t>)</w:t>
      </w:r>
    </w:p>
    <w:p w14:paraId="056EB048" w14:textId="77777777" w:rsidR="00417E13" w:rsidRPr="003F1DD2" w:rsidRDefault="00417E13">
      <w:pPr>
        <w:rPr>
          <w:sz w:val="24"/>
        </w:rPr>
      </w:pPr>
    </w:p>
    <w:p w14:paraId="026D6B03" w14:textId="77777777" w:rsidR="00417E13" w:rsidRDefault="00417E13">
      <w:pPr>
        <w:rPr>
          <w:sz w:val="24"/>
        </w:rPr>
      </w:pPr>
    </w:p>
    <w:p w14:paraId="3AAF160D" w14:textId="77777777" w:rsidR="00DE4E17" w:rsidRDefault="00DE4E17" w:rsidP="00DE4E17">
      <w:pPr>
        <w:jc w:val="center"/>
        <w:rPr>
          <w:b/>
          <w:bCs/>
          <w:sz w:val="24"/>
          <w:u w:val="single"/>
        </w:rPr>
      </w:pPr>
      <w:r w:rsidRPr="00DE4E17">
        <w:rPr>
          <w:b/>
          <w:bCs/>
          <w:sz w:val="24"/>
          <w:u w:val="single"/>
        </w:rPr>
        <w:t>Procedural History</w:t>
      </w:r>
    </w:p>
    <w:p w14:paraId="69EDC0E5" w14:textId="77777777" w:rsidR="003D445C" w:rsidRPr="00DE4E17" w:rsidRDefault="003D445C" w:rsidP="00DE4E17">
      <w:pPr>
        <w:jc w:val="center"/>
        <w:rPr>
          <w:b/>
          <w:bCs/>
          <w:sz w:val="24"/>
          <w:u w:val="single"/>
        </w:rPr>
      </w:pPr>
    </w:p>
    <w:p w14:paraId="610E0FAB" w14:textId="77777777" w:rsidR="00DE4E17" w:rsidRDefault="00DE4E17" w:rsidP="00902968">
      <w:pPr>
        <w:pStyle w:val="le-brm-normal-32-level"/>
        <w:spacing w:line="480" w:lineRule="auto"/>
        <w:ind w:firstLine="720"/>
        <w:jc w:val="both"/>
        <w:rPr>
          <w:rFonts w:ascii="Times New Roman" w:hAnsi="Times New Roman"/>
          <w:sz w:val="24"/>
          <w:szCs w:val="24"/>
        </w:rPr>
      </w:pPr>
      <w:r>
        <w:rPr>
          <w:rFonts w:ascii="Times New Roman" w:hAnsi="Times New Roman"/>
          <w:sz w:val="24"/>
          <w:szCs w:val="24"/>
        </w:rPr>
        <w:t xml:space="preserve">The Board initiated this matter by issuing a Statement of Allegations (SOA) against the Respondent on November 5, 2020 and referring the matter to the Division of Administrative Law Appeals (DALA). The DALA Magistrate conducted a prehearing conference on December 7, 2020. The Board filed a Motion for Summary Decision on March 15, 2021. On July 22, 2021, the Magistrate issued a Recommended Decision on Motion for Summary Decision to the Board and to the </w:t>
      </w:r>
      <w:r w:rsidR="003D445C">
        <w:rPr>
          <w:rFonts w:ascii="Times New Roman" w:hAnsi="Times New Roman"/>
          <w:sz w:val="24"/>
          <w:szCs w:val="24"/>
        </w:rPr>
        <w:t>P</w:t>
      </w:r>
      <w:r>
        <w:rPr>
          <w:rFonts w:ascii="Times New Roman" w:hAnsi="Times New Roman"/>
          <w:sz w:val="24"/>
          <w:szCs w:val="24"/>
        </w:rPr>
        <w:t xml:space="preserve">arties. The </w:t>
      </w:r>
      <w:r w:rsidR="003D445C">
        <w:rPr>
          <w:rFonts w:ascii="Times New Roman" w:hAnsi="Times New Roman"/>
          <w:sz w:val="24"/>
          <w:szCs w:val="24"/>
        </w:rPr>
        <w:t>P</w:t>
      </w:r>
      <w:r>
        <w:rPr>
          <w:rFonts w:ascii="Times New Roman" w:hAnsi="Times New Roman"/>
          <w:sz w:val="24"/>
          <w:szCs w:val="24"/>
        </w:rPr>
        <w:t xml:space="preserve">arties did not file objections to the Recommended Decision. </w:t>
      </w:r>
      <w:r w:rsidR="004E399C">
        <w:rPr>
          <w:rFonts w:ascii="Times New Roman" w:hAnsi="Times New Roman"/>
          <w:sz w:val="24"/>
          <w:szCs w:val="24"/>
        </w:rPr>
        <w:t xml:space="preserve">The Board hereby adopts the Recommended Decision and incorporates it into its Final Decision and Order. </w:t>
      </w:r>
    </w:p>
    <w:p w14:paraId="737C0456" w14:textId="77777777" w:rsidR="004E399C" w:rsidRPr="004E399C" w:rsidRDefault="004E399C" w:rsidP="004E399C">
      <w:pPr>
        <w:pStyle w:val="le-brm-normal-32-level"/>
        <w:spacing w:line="480" w:lineRule="auto"/>
        <w:ind w:firstLine="720"/>
        <w:jc w:val="center"/>
        <w:rPr>
          <w:rFonts w:ascii="Times New Roman" w:hAnsi="Times New Roman"/>
          <w:b/>
          <w:bCs/>
          <w:sz w:val="24"/>
          <w:u w:val="single"/>
        </w:rPr>
      </w:pPr>
      <w:r w:rsidRPr="004E399C">
        <w:rPr>
          <w:rFonts w:ascii="Times New Roman" w:hAnsi="Times New Roman"/>
          <w:b/>
          <w:bCs/>
          <w:sz w:val="24"/>
          <w:u w:val="single"/>
        </w:rPr>
        <w:t>Discussion</w:t>
      </w:r>
    </w:p>
    <w:p w14:paraId="77BF42B0" w14:textId="77777777" w:rsidR="008F0B7A" w:rsidRDefault="004E399C" w:rsidP="00902968">
      <w:pPr>
        <w:pStyle w:val="le-brm-normal-32-level"/>
        <w:spacing w:line="480" w:lineRule="auto"/>
        <w:ind w:firstLine="720"/>
        <w:jc w:val="both"/>
        <w:rPr>
          <w:rFonts w:ascii="Times New Roman" w:hAnsi="Times New Roman"/>
          <w:sz w:val="24"/>
          <w:szCs w:val="24"/>
        </w:rPr>
      </w:pPr>
      <w:r>
        <w:rPr>
          <w:rFonts w:ascii="Times New Roman" w:hAnsi="Times New Roman"/>
          <w:sz w:val="24"/>
        </w:rPr>
        <w:t xml:space="preserve">The Recommended Decision adopted by the Board concludes that </w:t>
      </w:r>
      <w:r w:rsidR="00FC51ED" w:rsidRPr="008F0B7A">
        <w:rPr>
          <w:rFonts w:ascii="Times New Roman" w:hAnsi="Times New Roman"/>
          <w:sz w:val="24"/>
        </w:rPr>
        <w:t xml:space="preserve">there is no </w:t>
      </w:r>
      <w:r w:rsidR="00C5032E" w:rsidRPr="008F0B7A">
        <w:rPr>
          <w:rFonts w:ascii="Times New Roman" w:hAnsi="Times New Roman"/>
          <w:sz w:val="24"/>
        </w:rPr>
        <w:t xml:space="preserve">material issue in </w:t>
      </w:r>
      <w:r w:rsidR="00FC51ED" w:rsidRPr="008F0B7A">
        <w:rPr>
          <w:rFonts w:ascii="Times New Roman" w:hAnsi="Times New Roman"/>
          <w:sz w:val="24"/>
        </w:rPr>
        <w:t>dis</w:t>
      </w:r>
      <w:r w:rsidR="00C5032E" w:rsidRPr="008F0B7A">
        <w:rPr>
          <w:rFonts w:ascii="Times New Roman" w:hAnsi="Times New Roman"/>
          <w:sz w:val="24"/>
        </w:rPr>
        <w:t xml:space="preserve">pute as to whether the Respondent failed to </w:t>
      </w:r>
      <w:r w:rsidR="008F4885">
        <w:rPr>
          <w:rFonts w:ascii="Times New Roman" w:hAnsi="Times New Roman"/>
          <w:sz w:val="24"/>
        </w:rPr>
        <w:t xml:space="preserve">respond to the Board’s repeated requests for information in violation of 243 </w:t>
      </w:r>
      <w:r w:rsidR="00C5032E" w:rsidRPr="008F0B7A">
        <w:rPr>
          <w:rFonts w:ascii="Times New Roman" w:hAnsi="Times New Roman"/>
          <w:sz w:val="24"/>
          <w:szCs w:val="24"/>
        </w:rPr>
        <w:t>CMR 1.03(5)(a)(16)</w:t>
      </w:r>
      <w:r w:rsidR="008F4885">
        <w:rPr>
          <w:rFonts w:ascii="Times New Roman" w:hAnsi="Times New Roman"/>
          <w:sz w:val="24"/>
          <w:szCs w:val="24"/>
        </w:rPr>
        <w:t>.</w:t>
      </w:r>
      <w:r w:rsidR="0047310B" w:rsidRPr="008F0B7A">
        <w:rPr>
          <w:rFonts w:ascii="Times New Roman" w:hAnsi="Times New Roman"/>
          <w:sz w:val="24"/>
          <w:szCs w:val="24"/>
        </w:rPr>
        <w:t xml:space="preserve"> </w:t>
      </w:r>
      <w:r w:rsidR="00C5032E" w:rsidRPr="008F0B7A">
        <w:rPr>
          <w:rFonts w:ascii="Times New Roman" w:hAnsi="Times New Roman"/>
          <w:sz w:val="24"/>
        </w:rPr>
        <w:t xml:space="preserve">In so doing, the </w:t>
      </w:r>
      <w:r w:rsidR="00C5032E" w:rsidRPr="008F0B7A">
        <w:rPr>
          <w:rFonts w:ascii="Times New Roman" w:hAnsi="Times New Roman"/>
          <w:sz w:val="24"/>
          <w:szCs w:val="24"/>
        </w:rPr>
        <w:t xml:space="preserve">Respondent engaged in conduct that undermines the public confidence in the integrity of the medical profession.  </w:t>
      </w:r>
      <w:r w:rsidR="008F0B7A" w:rsidRPr="008F0B7A">
        <w:rPr>
          <w:rFonts w:ascii="Times New Roman" w:hAnsi="Times New Roman"/>
          <w:i/>
          <w:iCs/>
          <w:sz w:val="24"/>
          <w:szCs w:val="24"/>
        </w:rPr>
        <w:t>Raymond v. Board of Registration in Medicine</w:t>
      </w:r>
      <w:r w:rsidR="008F0B7A" w:rsidRPr="008F0B7A">
        <w:rPr>
          <w:rFonts w:ascii="Times New Roman" w:hAnsi="Times New Roman"/>
          <w:sz w:val="24"/>
          <w:szCs w:val="24"/>
        </w:rPr>
        <w:t xml:space="preserve">, 387 Mass. 708, 713 (1982) (disciplining physicians for lack </w:t>
      </w:r>
      <w:r w:rsidR="008F0B7A" w:rsidRPr="008F0B7A">
        <w:rPr>
          <w:rFonts w:ascii="Times New Roman" w:hAnsi="Times New Roman"/>
          <w:sz w:val="24"/>
          <w:szCs w:val="24"/>
        </w:rPr>
        <w:lastRenderedPageBreak/>
        <w:t>of good moral character and for conduct that undermines public confidence in integrity of profession is reasonably relate</w:t>
      </w:r>
      <w:r w:rsidR="008F0B7A">
        <w:rPr>
          <w:rFonts w:ascii="Times New Roman" w:hAnsi="Times New Roman"/>
          <w:sz w:val="24"/>
          <w:szCs w:val="24"/>
        </w:rPr>
        <w:t>d</w:t>
      </w:r>
      <w:r w:rsidR="008F0B7A" w:rsidRPr="008F0B7A">
        <w:rPr>
          <w:rFonts w:ascii="Times New Roman" w:hAnsi="Times New Roman"/>
          <w:sz w:val="24"/>
          <w:szCs w:val="24"/>
        </w:rPr>
        <w:t xml:space="preserve"> to promotion of public health, welfare, and safety</w:t>
      </w:r>
      <w:r w:rsidR="008F0B7A">
        <w:rPr>
          <w:rFonts w:ascii="Times New Roman" w:hAnsi="Times New Roman"/>
          <w:sz w:val="24"/>
          <w:szCs w:val="24"/>
        </w:rPr>
        <w:t>.</w:t>
      </w:r>
      <w:r w:rsidR="008F4885">
        <w:rPr>
          <w:rFonts w:ascii="Times New Roman" w:hAnsi="Times New Roman"/>
          <w:sz w:val="24"/>
          <w:szCs w:val="24"/>
        </w:rPr>
        <w:t>)</w:t>
      </w:r>
      <w:r w:rsidR="008F0B7A">
        <w:rPr>
          <w:rFonts w:ascii="Times New Roman" w:hAnsi="Times New Roman"/>
          <w:sz w:val="24"/>
          <w:szCs w:val="24"/>
        </w:rPr>
        <w:t xml:space="preserve"> </w:t>
      </w:r>
    </w:p>
    <w:p w14:paraId="7F6E460E" w14:textId="77777777" w:rsidR="00356DEE" w:rsidRDefault="00C5032E" w:rsidP="0047310B">
      <w:pPr>
        <w:pStyle w:val="le-brm-normal-32-level"/>
        <w:spacing w:line="480" w:lineRule="auto"/>
        <w:ind w:firstLine="720"/>
        <w:jc w:val="both"/>
        <w:rPr>
          <w:rFonts w:ascii="Times New Roman" w:hAnsi="Times New Roman"/>
          <w:sz w:val="24"/>
          <w:szCs w:val="24"/>
        </w:rPr>
      </w:pPr>
      <w:r>
        <w:rPr>
          <w:rFonts w:ascii="Times New Roman" w:hAnsi="Times New Roman"/>
          <w:sz w:val="24"/>
          <w:szCs w:val="24"/>
        </w:rPr>
        <w:t>While the Respondent has allowed his license to lapse, t</w:t>
      </w:r>
      <w:r w:rsidR="00356DEE">
        <w:rPr>
          <w:rFonts w:ascii="Times New Roman" w:hAnsi="Times New Roman"/>
          <w:sz w:val="24"/>
          <w:szCs w:val="24"/>
        </w:rPr>
        <w:t xml:space="preserve">he Massachusetts Supreme Judicial Court has found that physicians maintain an inchoate right to renew their licenses, following lapse for failure to renew, and that the Board retains jurisdiction over them. </w:t>
      </w:r>
      <w:r w:rsidR="00356DEE" w:rsidRPr="00356DEE">
        <w:rPr>
          <w:rFonts w:ascii="Times New Roman" w:hAnsi="Times New Roman"/>
          <w:sz w:val="24"/>
          <w:szCs w:val="24"/>
          <w:u w:val="single"/>
        </w:rPr>
        <w:t>See</w:t>
      </w:r>
      <w:r w:rsidR="00356DEE">
        <w:rPr>
          <w:rFonts w:ascii="Times New Roman" w:hAnsi="Times New Roman"/>
          <w:sz w:val="24"/>
          <w:szCs w:val="24"/>
        </w:rPr>
        <w:t xml:space="preserve"> </w:t>
      </w:r>
      <w:r w:rsidR="00356DEE" w:rsidRPr="00B33DA9">
        <w:rPr>
          <w:rFonts w:ascii="Times New Roman" w:hAnsi="Times New Roman"/>
          <w:i/>
          <w:iCs/>
          <w:sz w:val="24"/>
          <w:szCs w:val="24"/>
        </w:rPr>
        <w:t>Wang v. Board of Registration in Medicine</w:t>
      </w:r>
      <w:r w:rsidR="00356DEE">
        <w:rPr>
          <w:rFonts w:ascii="Times New Roman" w:hAnsi="Times New Roman"/>
          <w:sz w:val="24"/>
          <w:szCs w:val="24"/>
        </w:rPr>
        <w:t xml:space="preserve">, 405 Mass. 15, 18-19 (1989).  </w:t>
      </w:r>
    </w:p>
    <w:p w14:paraId="44828B7C" w14:textId="77777777" w:rsidR="0047310B" w:rsidRPr="0047310B" w:rsidRDefault="005D5CC5" w:rsidP="0047310B">
      <w:pPr>
        <w:pStyle w:val="le-brm-normal-32-level"/>
        <w:spacing w:line="480" w:lineRule="auto"/>
        <w:ind w:firstLine="720"/>
        <w:jc w:val="both"/>
        <w:rPr>
          <w:rFonts w:ascii="Times New Roman" w:eastAsia="Calibri" w:hAnsi="Times New Roman"/>
          <w:sz w:val="24"/>
          <w:szCs w:val="24"/>
        </w:rPr>
      </w:pPr>
      <w:r>
        <w:rPr>
          <w:rFonts w:ascii="Times New Roman" w:hAnsi="Times New Roman"/>
          <w:sz w:val="24"/>
          <w:szCs w:val="24"/>
        </w:rPr>
        <w:t>The record demonstrates that the Federation of State Medical Boards (FSMB) notified th</w:t>
      </w:r>
      <w:r w:rsidR="00A471D1">
        <w:rPr>
          <w:rFonts w:ascii="Times New Roman" w:hAnsi="Times New Roman"/>
          <w:sz w:val="24"/>
          <w:szCs w:val="24"/>
        </w:rPr>
        <w:t>is</w:t>
      </w:r>
      <w:r>
        <w:rPr>
          <w:rFonts w:ascii="Times New Roman" w:hAnsi="Times New Roman"/>
          <w:sz w:val="24"/>
          <w:szCs w:val="24"/>
        </w:rPr>
        <w:t xml:space="preserve"> Board that the Respondent had entered into a Voluntary Agreement </w:t>
      </w:r>
      <w:r w:rsidR="00B33DA9">
        <w:rPr>
          <w:rFonts w:ascii="Times New Roman" w:hAnsi="Times New Roman"/>
          <w:sz w:val="24"/>
          <w:szCs w:val="24"/>
        </w:rPr>
        <w:t xml:space="preserve">not to Renew or Reinstate his License (VANRR) </w:t>
      </w:r>
      <w:r>
        <w:rPr>
          <w:rFonts w:ascii="Times New Roman" w:hAnsi="Times New Roman"/>
          <w:sz w:val="24"/>
          <w:szCs w:val="24"/>
        </w:rPr>
        <w:t>with the Connecticut Department of Public Health</w:t>
      </w:r>
      <w:r w:rsidR="00A471D1">
        <w:rPr>
          <w:rFonts w:ascii="Times New Roman" w:hAnsi="Times New Roman"/>
          <w:sz w:val="24"/>
          <w:szCs w:val="24"/>
        </w:rPr>
        <w:t xml:space="preserve"> (Connecticut Board) to resolve Connecticut Board Petition No. 2019-1028, based on </w:t>
      </w:r>
      <w:r w:rsidR="0047310B" w:rsidRPr="0047310B">
        <w:rPr>
          <w:rFonts w:ascii="Times New Roman" w:eastAsia="Calibri" w:hAnsi="Times New Roman"/>
          <w:sz w:val="24"/>
          <w:szCs w:val="24"/>
        </w:rPr>
        <w:t>allegations that the Respondent:</w:t>
      </w:r>
    </w:p>
    <w:p w14:paraId="5F2DEC63" w14:textId="77777777" w:rsidR="0047310B" w:rsidRPr="00BC670E" w:rsidRDefault="0047310B" w:rsidP="0047310B">
      <w:pPr>
        <w:numPr>
          <w:ilvl w:val="0"/>
          <w:numId w:val="8"/>
        </w:numPr>
        <w:spacing w:after="160" w:line="259" w:lineRule="auto"/>
        <w:ind w:right="720"/>
        <w:contextualSpacing/>
        <w:rPr>
          <w:rFonts w:eastAsia="Calibri"/>
          <w:sz w:val="24"/>
          <w:szCs w:val="24"/>
        </w:rPr>
      </w:pPr>
      <w:r w:rsidRPr="00BC670E">
        <w:rPr>
          <w:rFonts w:eastAsia="Calibri"/>
          <w:sz w:val="24"/>
          <w:szCs w:val="24"/>
        </w:rPr>
        <w:t>in April of 2019, was arrested for attempting to purchase cocaine;</w:t>
      </w:r>
    </w:p>
    <w:p w14:paraId="7FD271B8" w14:textId="77777777" w:rsidR="0047310B" w:rsidRPr="00BC670E" w:rsidRDefault="0047310B" w:rsidP="0047310B">
      <w:pPr>
        <w:numPr>
          <w:ilvl w:val="0"/>
          <w:numId w:val="8"/>
        </w:numPr>
        <w:spacing w:after="160" w:line="259" w:lineRule="auto"/>
        <w:ind w:right="720"/>
        <w:contextualSpacing/>
        <w:rPr>
          <w:rFonts w:eastAsia="Calibri"/>
          <w:sz w:val="24"/>
          <w:szCs w:val="24"/>
        </w:rPr>
      </w:pPr>
      <w:r w:rsidRPr="00BC670E">
        <w:rPr>
          <w:rFonts w:eastAsia="Calibri"/>
          <w:sz w:val="24"/>
          <w:szCs w:val="24"/>
        </w:rPr>
        <w:t>in May of 2019, agreed to undergo random drug screens through the HAVEN program</w:t>
      </w:r>
      <w:r w:rsidRPr="00BC670E">
        <w:rPr>
          <w:rFonts w:eastAsia="Calibri"/>
          <w:sz w:val="24"/>
          <w:szCs w:val="24"/>
          <w:vertAlign w:val="superscript"/>
        </w:rPr>
        <w:footnoteReference w:id="1"/>
      </w:r>
      <w:r w:rsidRPr="00BC670E">
        <w:rPr>
          <w:rFonts w:eastAsia="Calibri"/>
          <w:sz w:val="24"/>
          <w:szCs w:val="24"/>
        </w:rPr>
        <w:t>; and</w:t>
      </w:r>
    </w:p>
    <w:p w14:paraId="4761A54A" w14:textId="77777777" w:rsidR="0047310B" w:rsidRPr="00BC670E" w:rsidRDefault="0047310B" w:rsidP="0047310B">
      <w:pPr>
        <w:numPr>
          <w:ilvl w:val="0"/>
          <w:numId w:val="8"/>
        </w:numPr>
        <w:spacing w:after="160" w:line="259" w:lineRule="auto"/>
        <w:ind w:right="720"/>
        <w:contextualSpacing/>
        <w:rPr>
          <w:rFonts w:eastAsia="Calibri"/>
          <w:sz w:val="24"/>
          <w:szCs w:val="24"/>
        </w:rPr>
      </w:pPr>
      <w:r w:rsidRPr="00BC670E">
        <w:rPr>
          <w:rFonts w:eastAsia="Calibri"/>
          <w:sz w:val="24"/>
          <w:szCs w:val="24"/>
        </w:rPr>
        <w:t xml:space="preserve">on August 27, September 4, and September 5, 2019, submitted urine samples which tested positive for cocaine metabolites. </w:t>
      </w:r>
    </w:p>
    <w:p w14:paraId="080EF50F" w14:textId="77777777" w:rsidR="008F0B7A" w:rsidRDefault="00A471D1" w:rsidP="008F0B7A">
      <w:pPr>
        <w:pStyle w:val="le-brm-normal-32-level"/>
        <w:spacing w:line="480" w:lineRule="auto"/>
        <w:ind w:firstLine="720"/>
        <w:jc w:val="both"/>
        <w:rPr>
          <w:rFonts w:ascii="Times New Roman" w:hAnsi="Times New Roman"/>
          <w:sz w:val="24"/>
          <w:szCs w:val="24"/>
        </w:rPr>
      </w:pPr>
      <w:r>
        <w:rPr>
          <w:rFonts w:ascii="Times New Roman" w:hAnsi="Times New Roman"/>
          <w:sz w:val="24"/>
          <w:szCs w:val="24"/>
        </w:rPr>
        <w:t>The record demonstrates</w:t>
      </w:r>
      <w:r w:rsidR="008129A5">
        <w:rPr>
          <w:rFonts w:ascii="Times New Roman" w:hAnsi="Times New Roman"/>
          <w:sz w:val="24"/>
          <w:szCs w:val="24"/>
        </w:rPr>
        <w:t xml:space="preserve">, too, </w:t>
      </w:r>
      <w:r>
        <w:rPr>
          <w:rFonts w:ascii="Times New Roman" w:hAnsi="Times New Roman"/>
          <w:sz w:val="24"/>
          <w:szCs w:val="24"/>
        </w:rPr>
        <w:t xml:space="preserve"> </w:t>
      </w:r>
      <w:r w:rsidR="0047310B">
        <w:rPr>
          <w:rFonts w:ascii="Times New Roman" w:hAnsi="Times New Roman"/>
          <w:sz w:val="24"/>
          <w:szCs w:val="24"/>
        </w:rPr>
        <w:t>t</w:t>
      </w:r>
      <w:r w:rsidR="005D5CC5">
        <w:rPr>
          <w:rFonts w:ascii="Times New Roman" w:hAnsi="Times New Roman"/>
          <w:sz w:val="24"/>
          <w:szCs w:val="24"/>
        </w:rPr>
        <w:t>he Respondent knew of th</w:t>
      </w:r>
      <w:r w:rsidR="0047310B">
        <w:rPr>
          <w:rFonts w:ascii="Times New Roman" w:hAnsi="Times New Roman"/>
          <w:sz w:val="24"/>
          <w:szCs w:val="24"/>
        </w:rPr>
        <w:t>is</w:t>
      </w:r>
      <w:r w:rsidR="005D5CC5">
        <w:rPr>
          <w:rFonts w:ascii="Times New Roman" w:hAnsi="Times New Roman"/>
          <w:sz w:val="24"/>
          <w:szCs w:val="24"/>
        </w:rPr>
        <w:t xml:space="preserve"> Board’s docketed complaint against him and request for a written response concerning </w:t>
      </w:r>
      <w:r w:rsidR="00BD6754">
        <w:rPr>
          <w:rFonts w:ascii="Times New Roman" w:hAnsi="Times New Roman"/>
          <w:sz w:val="24"/>
          <w:szCs w:val="24"/>
        </w:rPr>
        <w:t>the V</w:t>
      </w:r>
      <w:r>
        <w:rPr>
          <w:rFonts w:ascii="Times New Roman" w:hAnsi="Times New Roman"/>
          <w:sz w:val="24"/>
          <w:szCs w:val="24"/>
        </w:rPr>
        <w:t>ANRR</w:t>
      </w:r>
      <w:r w:rsidR="00BD6754">
        <w:rPr>
          <w:rFonts w:ascii="Times New Roman" w:hAnsi="Times New Roman"/>
          <w:sz w:val="24"/>
          <w:szCs w:val="24"/>
        </w:rPr>
        <w:t xml:space="preserve"> after his October 16, 2019 call with a Board Investigator. The Respondent</w:t>
      </w:r>
      <w:r>
        <w:rPr>
          <w:rFonts w:ascii="Times New Roman" w:hAnsi="Times New Roman"/>
          <w:sz w:val="24"/>
          <w:szCs w:val="24"/>
        </w:rPr>
        <w:t xml:space="preserve"> </w:t>
      </w:r>
      <w:r w:rsidR="0047310B">
        <w:rPr>
          <w:rFonts w:ascii="Times New Roman" w:hAnsi="Times New Roman"/>
          <w:sz w:val="24"/>
          <w:szCs w:val="24"/>
        </w:rPr>
        <w:t>provide</w:t>
      </w:r>
      <w:r w:rsidR="008F0B7A">
        <w:rPr>
          <w:rFonts w:ascii="Times New Roman" w:hAnsi="Times New Roman"/>
          <w:sz w:val="24"/>
          <w:szCs w:val="24"/>
        </w:rPr>
        <w:t>d</w:t>
      </w:r>
      <w:r w:rsidR="0047310B">
        <w:rPr>
          <w:rFonts w:ascii="Times New Roman" w:hAnsi="Times New Roman"/>
          <w:sz w:val="24"/>
          <w:szCs w:val="24"/>
        </w:rPr>
        <w:t xml:space="preserve"> no </w:t>
      </w:r>
      <w:r>
        <w:rPr>
          <w:rFonts w:ascii="Times New Roman" w:hAnsi="Times New Roman"/>
          <w:sz w:val="24"/>
          <w:szCs w:val="24"/>
        </w:rPr>
        <w:t xml:space="preserve">written response </w:t>
      </w:r>
      <w:r w:rsidR="0047310B">
        <w:rPr>
          <w:rFonts w:ascii="Times New Roman" w:hAnsi="Times New Roman"/>
          <w:sz w:val="24"/>
          <w:szCs w:val="24"/>
        </w:rPr>
        <w:t xml:space="preserve">until </w:t>
      </w:r>
      <w:r>
        <w:rPr>
          <w:rFonts w:ascii="Times New Roman" w:hAnsi="Times New Roman"/>
          <w:sz w:val="24"/>
          <w:szCs w:val="24"/>
        </w:rPr>
        <w:t xml:space="preserve">the </w:t>
      </w:r>
      <w:r w:rsidR="00BD6754">
        <w:rPr>
          <w:rFonts w:ascii="Times New Roman" w:hAnsi="Times New Roman"/>
          <w:sz w:val="24"/>
          <w:szCs w:val="24"/>
        </w:rPr>
        <w:t xml:space="preserve"> Board issued a Statement of Allegations </w:t>
      </w:r>
      <w:r w:rsidR="0047310B">
        <w:rPr>
          <w:rFonts w:ascii="Times New Roman" w:hAnsi="Times New Roman"/>
          <w:sz w:val="24"/>
          <w:szCs w:val="24"/>
        </w:rPr>
        <w:t>(SOA)</w:t>
      </w:r>
      <w:r w:rsidR="008F0B7A">
        <w:rPr>
          <w:rFonts w:ascii="Times New Roman" w:hAnsi="Times New Roman"/>
          <w:sz w:val="24"/>
          <w:szCs w:val="24"/>
        </w:rPr>
        <w:t xml:space="preserve">, charging the Respondent with a failure to respond, </w:t>
      </w:r>
      <w:r w:rsidR="00BD6754">
        <w:rPr>
          <w:rFonts w:ascii="Times New Roman" w:hAnsi="Times New Roman"/>
          <w:sz w:val="24"/>
          <w:szCs w:val="24"/>
        </w:rPr>
        <w:t xml:space="preserve">and referred this matter to the Division of Administrative Law Appeals (DALA) on November 6, 2020. </w:t>
      </w:r>
    </w:p>
    <w:p w14:paraId="40DBE683" w14:textId="77777777" w:rsidR="00BD6754" w:rsidRDefault="00BD6754" w:rsidP="008F0B7A">
      <w:pPr>
        <w:pStyle w:val="le-brm-normal-32-level"/>
        <w:spacing w:line="480" w:lineRule="auto"/>
        <w:ind w:firstLine="720"/>
        <w:jc w:val="both"/>
        <w:rPr>
          <w:rFonts w:ascii="Times New Roman" w:hAnsi="Times New Roman"/>
          <w:sz w:val="24"/>
          <w:szCs w:val="24"/>
        </w:rPr>
      </w:pPr>
      <w:r>
        <w:rPr>
          <w:rFonts w:ascii="Times New Roman" w:hAnsi="Times New Roman"/>
          <w:sz w:val="24"/>
          <w:szCs w:val="24"/>
        </w:rPr>
        <w:t>When the Respondent ultimately filed an Answer to the SOA</w:t>
      </w:r>
      <w:r w:rsidR="0047310B">
        <w:rPr>
          <w:rFonts w:ascii="Times New Roman" w:hAnsi="Times New Roman"/>
          <w:sz w:val="24"/>
          <w:szCs w:val="24"/>
        </w:rPr>
        <w:t>,</w:t>
      </w:r>
      <w:r>
        <w:rPr>
          <w:rFonts w:ascii="Times New Roman" w:hAnsi="Times New Roman"/>
          <w:sz w:val="24"/>
          <w:szCs w:val="24"/>
        </w:rPr>
        <w:t xml:space="preserve"> on December 12, 2020, he </w:t>
      </w:r>
      <w:r w:rsidR="00A471D1">
        <w:rPr>
          <w:rFonts w:ascii="Times New Roman" w:hAnsi="Times New Roman"/>
          <w:sz w:val="24"/>
          <w:szCs w:val="24"/>
        </w:rPr>
        <w:t xml:space="preserve">still did not address </w:t>
      </w:r>
      <w:r>
        <w:rPr>
          <w:rFonts w:ascii="Times New Roman" w:hAnsi="Times New Roman"/>
          <w:sz w:val="24"/>
          <w:szCs w:val="24"/>
        </w:rPr>
        <w:t xml:space="preserve">the Board’s allegations as to his failure to respond to the Board’s repeated requests and </w:t>
      </w:r>
      <w:r w:rsidR="00A471D1">
        <w:rPr>
          <w:rFonts w:ascii="Times New Roman" w:hAnsi="Times New Roman"/>
          <w:sz w:val="24"/>
          <w:szCs w:val="24"/>
        </w:rPr>
        <w:t>Ten-Day Order</w:t>
      </w:r>
      <w:r>
        <w:rPr>
          <w:rFonts w:ascii="Times New Roman" w:hAnsi="Times New Roman"/>
          <w:sz w:val="24"/>
          <w:szCs w:val="24"/>
        </w:rPr>
        <w:t xml:space="preserve"> for information concerning the circumstances leading to the V</w:t>
      </w:r>
      <w:r w:rsidR="008129A5">
        <w:rPr>
          <w:rFonts w:ascii="Times New Roman" w:hAnsi="Times New Roman"/>
          <w:sz w:val="24"/>
          <w:szCs w:val="24"/>
        </w:rPr>
        <w:t>ANRR.</w:t>
      </w:r>
      <w:r>
        <w:rPr>
          <w:rFonts w:ascii="Times New Roman" w:hAnsi="Times New Roman"/>
          <w:sz w:val="24"/>
          <w:szCs w:val="24"/>
        </w:rPr>
        <w:t xml:space="preserve"> </w:t>
      </w:r>
    </w:p>
    <w:p w14:paraId="4F2713EB" w14:textId="77777777" w:rsidR="00A471D1" w:rsidRDefault="008F4885" w:rsidP="00902968">
      <w:pPr>
        <w:pStyle w:val="le-brm-normal-32-level"/>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“A physician who obstructs the Board’s efficient investigation of a complaint, and who does so repeatedly, directly threatens the public health and safety by draining the scarce resources of the Board and, in turn, undermines public confidence in the integrity of the medical profession by flouting the rules and regulations of the agency which granted his license.” </w:t>
      </w:r>
      <w:r w:rsidR="00A471D1" w:rsidRPr="00CF1AB9">
        <w:rPr>
          <w:rFonts w:ascii="Times New Roman" w:hAnsi="Times New Roman"/>
          <w:sz w:val="24"/>
          <w:szCs w:val="24"/>
          <w:u w:val="single"/>
        </w:rPr>
        <w:t>See</w:t>
      </w:r>
      <w:r w:rsidR="00A471D1">
        <w:rPr>
          <w:rFonts w:ascii="Times New Roman" w:hAnsi="Times New Roman"/>
          <w:sz w:val="24"/>
          <w:szCs w:val="24"/>
        </w:rPr>
        <w:t xml:space="preserve"> </w:t>
      </w:r>
      <w:proofErr w:type="gramStart"/>
      <w:r w:rsidR="00A471D1" w:rsidRPr="00CF1AB9">
        <w:rPr>
          <w:rFonts w:ascii="Times New Roman" w:hAnsi="Times New Roman"/>
          <w:i/>
          <w:iCs/>
          <w:sz w:val="24"/>
          <w:szCs w:val="24"/>
        </w:rPr>
        <w:t>In</w:t>
      </w:r>
      <w:proofErr w:type="gramEnd"/>
      <w:r w:rsidR="00A471D1" w:rsidRPr="00CF1AB9">
        <w:rPr>
          <w:rFonts w:ascii="Times New Roman" w:hAnsi="Times New Roman"/>
          <w:i/>
          <w:iCs/>
          <w:sz w:val="24"/>
          <w:szCs w:val="24"/>
        </w:rPr>
        <w:t xml:space="preserve"> the Matter of Joshua P. Golden, M.D.</w:t>
      </w:r>
      <w:r w:rsidR="00A471D1">
        <w:rPr>
          <w:rFonts w:ascii="Times New Roman" w:hAnsi="Times New Roman"/>
          <w:sz w:val="24"/>
          <w:szCs w:val="24"/>
        </w:rPr>
        <w:t>, No. 89-10-SU (Final Decision and Order, August 1, 1990)</w:t>
      </w:r>
      <w:r>
        <w:rPr>
          <w:rFonts w:ascii="Times New Roman" w:hAnsi="Times New Roman"/>
          <w:sz w:val="24"/>
          <w:szCs w:val="24"/>
        </w:rPr>
        <w:t>.</w:t>
      </w:r>
      <w:r w:rsidR="00A471D1">
        <w:rPr>
          <w:rFonts w:ascii="Times New Roman" w:hAnsi="Times New Roman"/>
          <w:sz w:val="24"/>
          <w:szCs w:val="24"/>
        </w:rPr>
        <w:t xml:space="preserve"> </w:t>
      </w:r>
    </w:p>
    <w:p w14:paraId="29340087" w14:textId="77777777" w:rsidR="001D55AA" w:rsidRDefault="00902968" w:rsidP="00902968">
      <w:pPr>
        <w:pStyle w:val="le-brm-normal-32-level"/>
        <w:spacing w:line="480" w:lineRule="auto"/>
        <w:ind w:firstLine="720"/>
        <w:jc w:val="both"/>
        <w:rPr>
          <w:rFonts w:ascii="Times New Roman" w:hAnsi="Times New Roman"/>
          <w:sz w:val="24"/>
          <w:szCs w:val="24"/>
        </w:rPr>
      </w:pPr>
      <w:r>
        <w:rPr>
          <w:rFonts w:ascii="Times New Roman" w:hAnsi="Times New Roman"/>
          <w:sz w:val="24"/>
          <w:szCs w:val="24"/>
        </w:rPr>
        <w:t xml:space="preserve">The Respondent’s obligation to respond to this Board was not altered by his voluntary surrender of his Connecticut license pending that Board’s investigation. </w:t>
      </w:r>
      <w:r w:rsidR="00BC670E">
        <w:rPr>
          <w:rFonts w:ascii="Times New Roman" w:hAnsi="Times New Roman"/>
          <w:sz w:val="24"/>
          <w:szCs w:val="24"/>
        </w:rPr>
        <w:t>“Where…charges of serious professional misconduct have been brought before the licensing board of a foreign jurisdiction, and the professional has…chose</w:t>
      </w:r>
      <w:r w:rsidR="008F0B7A">
        <w:rPr>
          <w:rFonts w:ascii="Times New Roman" w:hAnsi="Times New Roman"/>
          <w:sz w:val="24"/>
          <w:szCs w:val="24"/>
        </w:rPr>
        <w:t>[n]</w:t>
      </w:r>
      <w:r w:rsidR="00BC670E">
        <w:rPr>
          <w:rFonts w:ascii="Times New Roman" w:hAnsi="Times New Roman"/>
          <w:sz w:val="24"/>
          <w:szCs w:val="24"/>
        </w:rPr>
        <w:t xml:space="preserve"> to…resolve the complaint[s] by agreeing to discipline</w:t>
      </w:r>
      <w:r>
        <w:rPr>
          <w:rFonts w:ascii="Times New Roman" w:hAnsi="Times New Roman"/>
          <w:sz w:val="24"/>
          <w:szCs w:val="24"/>
        </w:rPr>
        <w:t>,…[there is]</w:t>
      </w:r>
      <w:r w:rsidR="00BC670E">
        <w:rPr>
          <w:rFonts w:ascii="Times New Roman" w:hAnsi="Times New Roman"/>
          <w:sz w:val="24"/>
          <w:szCs w:val="24"/>
        </w:rPr>
        <w:t xml:space="preserve"> no need for the Massachusetts board to take on the burden of…attempting to prove those allegations…” </w:t>
      </w:r>
      <w:r w:rsidR="00BC670E" w:rsidRPr="00BC670E">
        <w:rPr>
          <w:rFonts w:ascii="Times New Roman" w:hAnsi="Times New Roman"/>
          <w:sz w:val="24"/>
          <w:szCs w:val="24"/>
          <w:u w:val="single"/>
        </w:rPr>
        <w:t>See</w:t>
      </w:r>
      <w:r w:rsidR="00BC670E">
        <w:rPr>
          <w:rFonts w:ascii="Times New Roman" w:hAnsi="Times New Roman"/>
          <w:sz w:val="24"/>
          <w:szCs w:val="24"/>
        </w:rPr>
        <w:t xml:space="preserve"> </w:t>
      </w:r>
      <w:r w:rsidR="00BC670E" w:rsidRPr="00203551">
        <w:rPr>
          <w:rFonts w:ascii="Times New Roman" w:hAnsi="Times New Roman"/>
          <w:i/>
          <w:iCs/>
          <w:sz w:val="24"/>
          <w:szCs w:val="24"/>
        </w:rPr>
        <w:t>Anusavice v. Board of Registration in Dentistry</w:t>
      </w:r>
      <w:r w:rsidR="00BC670E">
        <w:rPr>
          <w:rFonts w:ascii="Times New Roman" w:hAnsi="Times New Roman"/>
          <w:sz w:val="24"/>
          <w:szCs w:val="24"/>
        </w:rPr>
        <w:t xml:space="preserve">, 451 Mass. 786, 795-796 (2008). </w:t>
      </w:r>
      <w:r w:rsidR="00390293">
        <w:rPr>
          <w:rFonts w:ascii="Times New Roman" w:hAnsi="Times New Roman"/>
          <w:sz w:val="24"/>
          <w:szCs w:val="24"/>
        </w:rPr>
        <w:t xml:space="preserve"> </w:t>
      </w:r>
    </w:p>
    <w:p w14:paraId="4B0512EF" w14:textId="684BB7B1" w:rsidR="00902968" w:rsidRDefault="001B68A6" w:rsidP="00A646B4">
      <w:pPr>
        <w:shd w:val="clear" w:color="auto" w:fill="FFFFFF"/>
        <w:spacing w:line="360" w:lineRule="auto"/>
        <w:ind w:firstLine="720"/>
        <w:jc w:val="both"/>
        <w:rPr>
          <w:color w:val="333333"/>
          <w:sz w:val="24"/>
          <w:szCs w:val="24"/>
        </w:rPr>
      </w:pPr>
      <w:r>
        <w:rPr>
          <w:sz w:val="24"/>
          <w:szCs w:val="24"/>
        </w:rPr>
        <w:t>In cases where physicians have been non-responsive to the Board and have failed to furnish the Board information to which it is entitled, the Board has imposed sanctions ranging from a fine to revocation of the inchoate right to renew the physician’s license.</w:t>
      </w:r>
      <w:r w:rsidR="00B87C43">
        <w:rPr>
          <w:rStyle w:val="FootnoteReference"/>
          <w:sz w:val="24"/>
          <w:szCs w:val="24"/>
        </w:rPr>
        <w:footnoteReference w:id="2"/>
      </w:r>
      <w:r>
        <w:rPr>
          <w:sz w:val="24"/>
          <w:szCs w:val="24"/>
        </w:rPr>
        <w:t xml:space="preserve"> </w:t>
      </w:r>
      <w:r w:rsidR="00B87C43">
        <w:rPr>
          <w:sz w:val="24"/>
          <w:szCs w:val="24"/>
        </w:rPr>
        <w:t>Predominantly, the Board has</w:t>
      </w:r>
      <w:r w:rsidR="00902968">
        <w:rPr>
          <w:sz w:val="24"/>
          <w:szCs w:val="24"/>
        </w:rPr>
        <w:t xml:space="preserve"> </w:t>
      </w:r>
      <w:r w:rsidR="00B87C43" w:rsidRPr="00B87C43">
        <w:rPr>
          <w:color w:val="333333"/>
          <w:sz w:val="24"/>
          <w:szCs w:val="24"/>
        </w:rPr>
        <w:t xml:space="preserve">imposed </w:t>
      </w:r>
      <w:r w:rsidR="00902968">
        <w:rPr>
          <w:color w:val="333333"/>
          <w:sz w:val="24"/>
          <w:szCs w:val="24"/>
        </w:rPr>
        <w:t xml:space="preserve">license </w:t>
      </w:r>
      <w:r w:rsidR="00B87C43" w:rsidRPr="00B87C43">
        <w:rPr>
          <w:color w:val="333333"/>
          <w:sz w:val="24"/>
          <w:szCs w:val="24"/>
        </w:rPr>
        <w:t xml:space="preserve">revocation as the sanction. </w:t>
      </w:r>
      <w:r w:rsidR="00B87C43" w:rsidRPr="00902968">
        <w:rPr>
          <w:color w:val="333333"/>
          <w:sz w:val="24"/>
          <w:szCs w:val="24"/>
          <w:u w:val="single"/>
        </w:rPr>
        <w:t>See</w:t>
      </w:r>
      <w:r w:rsidR="00B87C43" w:rsidRPr="00B87C43">
        <w:rPr>
          <w:color w:val="333333"/>
          <w:sz w:val="24"/>
          <w:szCs w:val="24"/>
        </w:rPr>
        <w:t>, e.g.,</w:t>
      </w:r>
      <w:r w:rsidR="00902968">
        <w:rPr>
          <w:color w:val="333333"/>
          <w:sz w:val="24"/>
          <w:szCs w:val="24"/>
        </w:rPr>
        <w:t xml:space="preserve"> </w:t>
      </w:r>
      <w:r w:rsidR="00B87C43" w:rsidRPr="00B87C43">
        <w:rPr>
          <w:i/>
          <w:iCs/>
          <w:color w:val="333333"/>
          <w:sz w:val="24"/>
          <w:szCs w:val="24"/>
        </w:rPr>
        <w:t>In the Matter of </w:t>
      </w:r>
      <w:bookmarkStart w:id="0" w:name="hit1"/>
      <w:bookmarkEnd w:id="0"/>
      <w:r w:rsidR="00B87C43" w:rsidRPr="00042632">
        <w:rPr>
          <w:i/>
          <w:iCs/>
          <w:color w:val="333333"/>
          <w:sz w:val="24"/>
          <w:szCs w:val="24"/>
          <w:shd w:val="clear" w:color="auto" w:fill="FFFF00"/>
        </w:rPr>
        <w:t>Christopher</w:t>
      </w:r>
      <w:r w:rsidR="002C4C24" w:rsidRPr="00042632">
        <w:rPr>
          <w:i/>
          <w:iCs/>
          <w:noProof/>
          <w:color w:val="1D1D1D"/>
          <w:sz w:val="24"/>
          <w:szCs w:val="24"/>
        </w:rPr>
        <w:drawing>
          <wp:inline distT="0" distB="0" distL="0" distR="0" wp14:anchorId="0CFE3FD1" wp14:editId="0B62CC7E">
            <wp:extent cx="9525" cy="9525"/>
            <wp:effectExtent l="0" t="0" r="0" b="0"/>
            <wp:docPr id="1" name="Picture 6" descr="Next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Hi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87C43" w:rsidRPr="00042632">
        <w:rPr>
          <w:i/>
          <w:iCs/>
          <w:color w:val="333333"/>
          <w:sz w:val="24"/>
          <w:szCs w:val="24"/>
        </w:rPr>
        <w:t> D. </w:t>
      </w:r>
      <w:bookmarkStart w:id="1" w:name="hit2"/>
      <w:bookmarkEnd w:id="1"/>
      <w:r w:rsidR="002C4C24" w:rsidRPr="00042632">
        <w:rPr>
          <w:i/>
          <w:iCs/>
          <w:noProof/>
          <w:color w:val="1D1D1D"/>
          <w:sz w:val="24"/>
          <w:szCs w:val="24"/>
        </w:rPr>
        <w:drawing>
          <wp:inline distT="0" distB="0" distL="0" distR="0" wp14:anchorId="10E2F2AB" wp14:editId="5D0AE285">
            <wp:extent cx="9525" cy="9525"/>
            <wp:effectExtent l="0" t="0" r="0" b="0"/>
            <wp:docPr id="2" name="Picture 7"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ous Hit">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87C43" w:rsidRPr="00042632">
        <w:rPr>
          <w:i/>
          <w:iCs/>
          <w:color w:val="333333"/>
          <w:sz w:val="24"/>
          <w:szCs w:val="24"/>
          <w:shd w:val="clear" w:color="auto" w:fill="FFFF00"/>
        </w:rPr>
        <w:t>Owens</w:t>
      </w:r>
      <w:bookmarkStart w:id="2" w:name="_GoBack"/>
      <w:bookmarkEnd w:id="2"/>
      <w:r w:rsidR="00B87C43" w:rsidRPr="004E399C">
        <w:rPr>
          <w:i/>
          <w:iCs/>
          <w:color w:val="333333"/>
          <w:sz w:val="24"/>
          <w:szCs w:val="24"/>
        </w:rPr>
        <w:t>,</w:t>
      </w:r>
      <w:r w:rsidR="00B87C43" w:rsidRPr="00B87C43">
        <w:rPr>
          <w:i/>
          <w:iCs/>
          <w:color w:val="333333"/>
          <w:sz w:val="24"/>
          <w:szCs w:val="24"/>
        </w:rPr>
        <w:t xml:space="preserve"> M.D.</w:t>
      </w:r>
      <w:r w:rsidR="00B87C43" w:rsidRPr="00B87C43">
        <w:rPr>
          <w:color w:val="333333"/>
          <w:sz w:val="24"/>
          <w:szCs w:val="24"/>
        </w:rPr>
        <w:t>, Board of Registration in Medicine, Adjudicatory Case No.2017-03 l (Final Decision and Order, April 25, 2018)</w:t>
      </w:r>
      <w:r w:rsidR="00902968">
        <w:rPr>
          <w:color w:val="333333"/>
          <w:sz w:val="24"/>
          <w:szCs w:val="24"/>
        </w:rPr>
        <w:t xml:space="preserve"> and</w:t>
      </w:r>
      <w:r w:rsidR="00B87C43" w:rsidRPr="00B87C43">
        <w:rPr>
          <w:color w:val="333333"/>
          <w:sz w:val="24"/>
          <w:szCs w:val="24"/>
        </w:rPr>
        <w:t xml:space="preserve"> </w:t>
      </w:r>
      <w:r w:rsidR="00B87C43" w:rsidRPr="00B87C43">
        <w:rPr>
          <w:i/>
          <w:iCs/>
          <w:color w:val="333333"/>
          <w:sz w:val="24"/>
          <w:szCs w:val="24"/>
        </w:rPr>
        <w:t>In the Matter of John E. Strobeck, M.D.</w:t>
      </w:r>
      <w:r w:rsidR="00B87C43" w:rsidRPr="00B87C43">
        <w:rPr>
          <w:color w:val="333333"/>
          <w:sz w:val="24"/>
          <w:szCs w:val="24"/>
        </w:rPr>
        <w:t xml:space="preserve">, Board of Registration in Medicine, Adjudicatory Case No.2017-044 (Final Decision and Order, April 25, 2018). In these cases, the Board </w:t>
      </w:r>
      <w:r w:rsidR="00902968">
        <w:rPr>
          <w:color w:val="333333"/>
          <w:sz w:val="24"/>
          <w:szCs w:val="24"/>
        </w:rPr>
        <w:t xml:space="preserve">has </w:t>
      </w:r>
      <w:r w:rsidR="00B87C43" w:rsidRPr="00B87C43">
        <w:rPr>
          <w:color w:val="333333"/>
          <w:sz w:val="24"/>
          <w:szCs w:val="24"/>
        </w:rPr>
        <w:t xml:space="preserve">reasoned that </w:t>
      </w:r>
      <w:r w:rsidR="00B87C43">
        <w:rPr>
          <w:color w:val="333333"/>
          <w:sz w:val="24"/>
          <w:szCs w:val="24"/>
        </w:rPr>
        <w:t>the non-responsiveness</w:t>
      </w:r>
      <w:r w:rsidR="00B87C43" w:rsidRPr="00B87C43">
        <w:rPr>
          <w:color w:val="333333"/>
          <w:sz w:val="24"/>
          <w:szCs w:val="24"/>
        </w:rPr>
        <w:t xml:space="preserve"> demonstrates a physician's "utter disregard for the Board's statutory mandate" to protect the public health, safety, and welfare.</w:t>
      </w:r>
      <w:r w:rsidR="00902968">
        <w:rPr>
          <w:color w:val="333333"/>
          <w:sz w:val="24"/>
          <w:szCs w:val="24"/>
        </w:rPr>
        <w:t xml:space="preserve"> </w:t>
      </w:r>
    </w:p>
    <w:p w14:paraId="1CB43723" w14:textId="77777777" w:rsidR="00446838" w:rsidRPr="00446838" w:rsidRDefault="00B87C43" w:rsidP="00A646B4">
      <w:pPr>
        <w:shd w:val="clear" w:color="auto" w:fill="FFFFFF"/>
        <w:spacing w:line="360" w:lineRule="auto"/>
        <w:ind w:firstLine="720"/>
        <w:jc w:val="both"/>
        <w:rPr>
          <w:sz w:val="24"/>
          <w:szCs w:val="24"/>
        </w:rPr>
      </w:pPr>
      <w:r>
        <w:rPr>
          <w:sz w:val="24"/>
          <w:szCs w:val="24"/>
        </w:rPr>
        <w:t>In the absence of any mitigating factors</w:t>
      </w:r>
      <w:r w:rsidR="00902968">
        <w:rPr>
          <w:sz w:val="24"/>
          <w:szCs w:val="24"/>
        </w:rPr>
        <w:t xml:space="preserve"> to the Respondent’s non-responsiveness in the pending matter</w:t>
      </w:r>
      <w:r>
        <w:rPr>
          <w:sz w:val="24"/>
          <w:szCs w:val="24"/>
        </w:rPr>
        <w:t xml:space="preserve">, the </w:t>
      </w:r>
      <w:r w:rsidR="00641807">
        <w:rPr>
          <w:sz w:val="24"/>
          <w:szCs w:val="24"/>
        </w:rPr>
        <w:t>Board REVOKES the Respondent’s inchoate right to renew his license to practice medicine in the Commonwealth.</w:t>
      </w:r>
      <w:r w:rsidR="00B21471">
        <w:rPr>
          <w:sz w:val="24"/>
          <w:szCs w:val="24"/>
        </w:rPr>
        <w:t xml:space="preserve">  </w:t>
      </w:r>
    </w:p>
    <w:p w14:paraId="48B40B29" w14:textId="77777777" w:rsidR="00446838" w:rsidRPr="00446838" w:rsidRDefault="00446838" w:rsidP="00902968">
      <w:pPr>
        <w:pStyle w:val="le-brm-normal-32-level"/>
        <w:spacing w:line="480" w:lineRule="auto"/>
        <w:jc w:val="both"/>
        <w:rPr>
          <w:rFonts w:ascii="Times New Roman" w:hAnsi="Times New Roman"/>
          <w:sz w:val="24"/>
          <w:szCs w:val="24"/>
        </w:rPr>
      </w:pPr>
      <w:r w:rsidRPr="00446838">
        <w:rPr>
          <w:rFonts w:ascii="Times New Roman" w:hAnsi="Times New Roman"/>
          <w:sz w:val="24"/>
          <w:szCs w:val="24"/>
        </w:rPr>
        <w:lastRenderedPageBreak/>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notify independently, at any time, any of the entities designated above, or any other affected entity, of any action taken.</w:t>
      </w:r>
    </w:p>
    <w:p w14:paraId="3E1D0EBE" w14:textId="77777777" w:rsidR="00446838" w:rsidRPr="00446838" w:rsidRDefault="00446838" w:rsidP="00902968">
      <w:pPr>
        <w:spacing w:line="480" w:lineRule="auto"/>
        <w:jc w:val="both"/>
        <w:rPr>
          <w:sz w:val="24"/>
          <w:szCs w:val="24"/>
        </w:rPr>
      </w:pPr>
      <w:r w:rsidRPr="00446838">
        <w:rPr>
          <w:sz w:val="24"/>
          <w:szCs w:val="24"/>
        </w:rPr>
        <w:tab/>
        <w:t>The Responden</w:t>
      </w:r>
      <w:r w:rsidR="00EB5D3C">
        <w:rPr>
          <w:sz w:val="24"/>
          <w:szCs w:val="24"/>
        </w:rPr>
        <w:t>t has the right to appeal this F</w:t>
      </w:r>
      <w:r w:rsidRPr="00446838">
        <w:rPr>
          <w:sz w:val="24"/>
          <w:szCs w:val="24"/>
        </w:rPr>
        <w:t>inal Decision and Order within thirty (30) days, pursuant to G.L. c. 30A, §§ 14 and 15, and G.L. c. 112, § 64.</w:t>
      </w:r>
    </w:p>
    <w:p w14:paraId="7BCB699C" w14:textId="77777777" w:rsidR="00417E13" w:rsidRPr="003F1DD2" w:rsidRDefault="00417E13" w:rsidP="00902968">
      <w:pPr>
        <w:pStyle w:val="le-brm-normal-32-level"/>
        <w:spacing w:line="480" w:lineRule="auto"/>
        <w:jc w:val="both"/>
        <w:rPr>
          <w:sz w:val="24"/>
        </w:rPr>
      </w:pPr>
      <w:r w:rsidRPr="003F1DD2">
        <w:rPr>
          <w:rFonts w:ascii="Times New Roman" w:hAnsi="Times New Roman"/>
          <w:sz w:val="24"/>
        </w:rPr>
        <w:tab/>
      </w:r>
    </w:p>
    <w:p w14:paraId="459F76AA" w14:textId="7246B8BA" w:rsidR="00417E13" w:rsidRPr="003F1DD2" w:rsidRDefault="00417E13" w:rsidP="00902968">
      <w:pPr>
        <w:pStyle w:val="Heading1"/>
        <w:jc w:val="both"/>
      </w:pPr>
      <w:r w:rsidRPr="003F1DD2">
        <w:t>DATE:_______________</w:t>
      </w:r>
      <w:r w:rsidRPr="003F1DD2">
        <w:tab/>
      </w:r>
      <w:r w:rsidRPr="003F1DD2">
        <w:tab/>
      </w:r>
      <w:r w:rsidRPr="003F1DD2">
        <w:tab/>
      </w:r>
      <w:r w:rsidRPr="003F1DD2">
        <w:tab/>
      </w:r>
      <w:r w:rsidRPr="003F1DD2">
        <w:tab/>
      </w:r>
      <w:r w:rsidR="00843C78">
        <w:rPr>
          <w:u w:val="single"/>
        </w:rPr>
        <w:t>Signed by Julian Robinson, M.D.</w:t>
      </w:r>
      <w:r w:rsidR="00843C78">
        <w:rPr>
          <w:u w:val="single"/>
        </w:rPr>
        <w:tab/>
      </w:r>
    </w:p>
    <w:p w14:paraId="11982E4E" w14:textId="77777777" w:rsidR="00417E13" w:rsidRPr="003F1DD2" w:rsidRDefault="00417E13" w:rsidP="00902968">
      <w:pPr>
        <w:jc w:val="both"/>
        <w:rPr>
          <w:sz w:val="24"/>
        </w:rPr>
      </w:pPr>
      <w:r w:rsidRPr="003F1DD2">
        <w:rPr>
          <w:sz w:val="24"/>
        </w:rPr>
        <w:tab/>
      </w:r>
      <w:r w:rsidR="004E399C">
        <w:rPr>
          <w:sz w:val="24"/>
        </w:rPr>
        <w:t>December 16, 2021</w:t>
      </w:r>
      <w:r w:rsidRPr="003F1DD2">
        <w:rPr>
          <w:sz w:val="24"/>
        </w:rPr>
        <w:tab/>
      </w:r>
      <w:r w:rsidRPr="003F1DD2">
        <w:rPr>
          <w:sz w:val="24"/>
        </w:rPr>
        <w:tab/>
      </w:r>
      <w:r w:rsidRPr="003F1DD2">
        <w:rPr>
          <w:sz w:val="24"/>
        </w:rPr>
        <w:tab/>
      </w:r>
      <w:r w:rsidRPr="003F1DD2">
        <w:rPr>
          <w:sz w:val="24"/>
        </w:rPr>
        <w:tab/>
      </w:r>
      <w:r w:rsidRPr="003F1DD2">
        <w:rPr>
          <w:sz w:val="24"/>
        </w:rPr>
        <w:tab/>
      </w:r>
      <w:r w:rsidR="007C2684">
        <w:rPr>
          <w:sz w:val="24"/>
        </w:rPr>
        <w:t xml:space="preserve">Julian </w:t>
      </w:r>
      <w:r w:rsidR="00D673A3">
        <w:rPr>
          <w:sz w:val="24"/>
        </w:rPr>
        <w:t xml:space="preserve">N. </w:t>
      </w:r>
      <w:r w:rsidR="007C2684">
        <w:rPr>
          <w:sz w:val="24"/>
        </w:rPr>
        <w:t>Robinson, M.D.</w:t>
      </w:r>
    </w:p>
    <w:p w14:paraId="163511F2" w14:textId="77777777" w:rsidR="00417E13" w:rsidRPr="003F1DD2" w:rsidRDefault="00417E13" w:rsidP="00902968">
      <w:pPr>
        <w:ind w:firstLine="720"/>
        <w:jc w:val="both"/>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641807">
        <w:rPr>
          <w:sz w:val="24"/>
        </w:rPr>
        <w:t>Chair</w:t>
      </w:r>
    </w:p>
    <w:sectPr w:rsidR="00417E13" w:rsidRPr="003F1DD2" w:rsidSect="003F1DD2">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16253" w14:textId="77777777" w:rsidR="00496FE4" w:rsidRDefault="00496FE4">
      <w:r>
        <w:separator/>
      </w:r>
    </w:p>
  </w:endnote>
  <w:endnote w:type="continuationSeparator" w:id="0">
    <w:p w14:paraId="2D6A400F" w14:textId="77777777" w:rsidR="00496FE4" w:rsidRDefault="0049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E46A" w14:textId="77777777" w:rsidR="00417E13" w:rsidRDefault="00417E13">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EB5D3C">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B5D3C">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575F" w14:textId="77777777" w:rsidR="00496FE4" w:rsidRDefault="00496FE4">
      <w:r>
        <w:separator/>
      </w:r>
    </w:p>
  </w:footnote>
  <w:footnote w:type="continuationSeparator" w:id="0">
    <w:p w14:paraId="14E8298B" w14:textId="77777777" w:rsidR="00496FE4" w:rsidRDefault="00496FE4">
      <w:r>
        <w:continuationSeparator/>
      </w:r>
    </w:p>
  </w:footnote>
  <w:footnote w:id="1">
    <w:p w14:paraId="3C25638E" w14:textId="77777777" w:rsidR="0047310B" w:rsidRDefault="0047310B" w:rsidP="0047310B">
      <w:pPr>
        <w:pStyle w:val="FootnoteText"/>
      </w:pPr>
      <w:r w:rsidRPr="00EF0B09">
        <w:rPr>
          <w:rStyle w:val="FootnoteReference"/>
        </w:rPr>
        <w:footnoteRef/>
      </w:r>
      <w:r w:rsidRPr="00EF0B09">
        <w:t xml:space="preserve"> The HAVEN program is akin to Physician Health Services’ (PHS) physician monitoring program.</w:t>
      </w:r>
      <w:r>
        <w:t xml:space="preserve">  </w:t>
      </w:r>
    </w:p>
  </w:footnote>
  <w:footnote w:id="2">
    <w:p w14:paraId="01691C7A" w14:textId="77777777" w:rsidR="00B87C43" w:rsidRDefault="00B87C43" w:rsidP="00902968">
      <w:pPr>
        <w:pStyle w:val="FootnoteText"/>
        <w:jc w:val="both"/>
      </w:pPr>
      <w:r>
        <w:rPr>
          <w:rStyle w:val="FootnoteReference"/>
        </w:rPr>
        <w:footnoteRef/>
      </w:r>
      <w:r>
        <w:t xml:space="preserve"> </w:t>
      </w:r>
      <w:r w:rsidRPr="00B87C43">
        <w:t xml:space="preserve">The Board has imposed a fine only when a physician described challenging life circumstances during the period of non-responsiveness and demonstrated both insight and remorse as to the non-responsiveness. </w:t>
      </w:r>
      <w:r w:rsidRPr="00B87C43">
        <w:rPr>
          <w:u w:val="single"/>
        </w:rPr>
        <w:t>See</w:t>
      </w:r>
      <w:r w:rsidRPr="00B87C43">
        <w:t xml:space="preserve"> </w:t>
      </w:r>
      <w:proofErr w:type="gramStart"/>
      <w:r w:rsidRPr="00B87C43">
        <w:rPr>
          <w:i/>
          <w:iCs/>
        </w:rPr>
        <w:t>In</w:t>
      </w:r>
      <w:proofErr w:type="gramEnd"/>
      <w:r w:rsidRPr="00B87C43">
        <w:rPr>
          <w:i/>
          <w:iCs/>
        </w:rPr>
        <w:t xml:space="preserve"> the Matter of Jessica Knapp, D.O.</w:t>
      </w:r>
      <w:r w:rsidRPr="00B87C43">
        <w:t>, Board of Registration in Medicine, Adjudicatory Case No. 2017-031 (Final Decision and Order, November 7, 2019).</w:t>
      </w:r>
      <w:r>
        <w:rPr>
          <w:sz w:val="24"/>
          <w:szCs w:val="24"/>
        </w:rPr>
        <w:t xml:space="preserve"> </w:t>
      </w:r>
      <w:r w:rsidRPr="00B87C43">
        <w:rPr>
          <w:rFonts w:ascii="Courier New" w:hAnsi="Courier New" w:cs="Courier New"/>
          <w:color w:val="333333"/>
          <w:sz w:val="24"/>
          <w:szCs w:val="24"/>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A64"/>
    <w:multiLevelType w:val="hybridMultilevel"/>
    <w:tmpl w:val="8AC2D948"/>
    <w:lvl w:ilvl="0" w:tplc="4516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C02AD"/>
    <w:multiLevelType w:val="hybridMultilevel"/>
    <w:tmpl w:val="CE7E6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D161CD"/>
    <w:multiLevelType w:val="hybridMultilevel"/>
    <w:tmpl w:val="BCB4F8A4"/>
    <w:lvl w:ilvl="0" w:tplc="28360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AC3A9F"/>
    <w:multiLevelType w:val="hybridMultilevel"/>
    <w:tmpl w:val="A8A0A83A"/>
    <w:lvl w:ilvl="0" w:tplc="0AB2A8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2A75F8"/>
    <w:multiLevelType w:val="hybridMultilevel"/>
    <w:tmpl w:val="68224C86"/>
    <w:lvl w:ilvl="0" w:tplc="28360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F74954"/>
    <w:multiLevelType w:val="hybridMultilevel"/>
    <w:tmpl w:val="269C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82E57"/>
    <w:multiLevelType w:val="hybridMultilevel"/>
    <w:tmpl w:val="60F03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F6CC2"/>
    <w:multiLevelType w:val="hybridMultilevel"/>
    <w:tmpl w:val="188E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7"/>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1F"/>
    <w:rsid w:val="00024545"/>
    <w:rsid w:val="00027BFB"/>
    <w:rsid w:val="00036616"/>
    <w:rsid w:val="00041B0F"/>
    <w:rsid w:val="00042632"/>
    <w:rsid w:val="00043CFF"/>
    <w:rsid w:val="0006349C"/>
    <w:rsid w:val="000828A2"/>
    <w:rsid w:val="000A321A"/>
    <w:rsid w:val="001052EB"/>
    <w:rsid w:val="00164778"/>
    <w:rsid w:val="001B359A"/>
    <w:rsid w:val="001B68A6"/>
    <w:rsid w:val="001D3415"/>
    <w:rsid w:val="001D55AA"/>
    <w:rsid w:val="001E253F"/>
    <w:rsid w:val="00203551"/>
    <w:rsid w:val="00204A50"/>
    <w:rsid w:val="00226D18"/>
    <w:rsid w:val="00237C3B"/>
    <w:rsid w:val="00245655"/>
    <w:rsid w:val="0025437C"/>
    <w:rsid w:val="002871B1"/>
    <w:rsid w:val="002B08A1"/>
    <w:rsid w:val="002C4C24"/>
    <w:rsid w:val="00331815"/>
    <w:rsid w:val="0033567B"/>
    <w:rsid w:val="003548EA"/>
    <w:rsid w:val="00356DEE"/>
    <w:rsid w:val="003772C0"/>
    <w:rsid w:val="003852F2"/>
    <w:rsid w:val="00390293"/>
    <w:rsid w:val="00395781"/>
    <w:rsid w:val="003C2A47"/>
    <w:rsid w:val="003C5851"/>
    <w:rsid w:val="003D445C"/>
    <w:rsid w:val="003E6D68"/>
    <w:rsid w:val="003F154F"/>
    <w:rsid w:val="003F1DD2"/>
    <w:rsid w:val="003F700D"/>
    <w:rsid w:val="00417E13"/>
    <w:rsid w:val="00420CD1"/>
    <w:rsid w:val="00424298"/>
    <w:rsid w:val="004257DB"/>
    <w:rsid w:val="00443185"/>
    <w:rsid w:val="00446838"/>
    <w:rsid w:val="00447465"/>
    <w:rsid w:val="00454300"/>
    <w:rsid w:val="004545BE"/>
    <w:rsid w:val="0047310B"/>
    <w:rsid w:val="00496FE4"/>
    <w:rsid w:val="004B7208"/>
    <w:rsid w:val="004C7D6E"/>
    <w:rsid w:val="004E399C"/>
    <w:rsid w:val="004F0B33"/>
    <w:rsid w:val="00504EB0"/>
    <w:rsid w:val="00507A9F"/>
    <w:rsid w:val="00572BD6"/>
    <w:rsid w:val="00590973"/>
    <w:rsid w:val="0059345E"/>
    <w:rsid w:val="005D5CC5"/>
    <w:rsid w:val="005F3F7B"/>
    <w:rsid w:val="00641807"/>
    <w:rsid w:val="006735D1"/>
    <w:rsid w:val="006B22AD"/>
    <w:rsid w:val="006D1BA6"/>
    <w:rsid w:val="006F0678"/>
    <w:rsid w:val="006F1A33"/>
    <w:rsid w:val="007116BA"/>
    <w:rsid w:val="0073079B"/>
    <w:rsid w:val="00745347"/>
    <w:rsid w:val="00755CB3"/>
    <w:rsid w:val="00773AA8"/>
    <w:rsid w:val="007A24D0"/>
    <w:rsid w:val="007A51A6"/>
    <w:rsid w:val="007C2684"/>
    <w:rsid w:val="007D3FF5"/>
    <w:rsid w:val="007E1C06"/>
    <w:rsid w:val="007F6F9A"/>
    <w:rsid w:val="008129A5"/>
    <w:rsid w:val="008228AC"/>
    <w:rsid w:val="00843C78"/>
    <w:rsid w:val="00867114"/>
    <w:rsid w:val="008828D7"/>
    <w:rsid w:val="008C1931"/>
    <w:rsid w:val="008C5FA9"/>
    <w:rsid w:val="008D116B"/>
    <w:rsid w:val="008F0B7A"/>
    <w:rsid w:val="008F4885"/>
    <w:rsid w:val="0090198E"/>
    <w:rsid w:val="00902968"/>
    <w:rsid w:val="00936C8A"/>
    <w:rsid w:val="00941656"/>
    <w:rsid w:val="00944B8C"/>
    <w:rsid w:val="00953FCC"/>
    <w:rsid w:val="009559FC"/>
    <w:rsid w:val="009759FB"/>
    <w:rsid w:val="0098280E"/>
    <w:rsid w:val="009B7532"/>
    <w:rsid w:val="00A01FFD"/>
    <w:rsid w:val="00A02480"/>
    <w:rsid w:val="00A039EF"/>
    <w:rsid w:val="00A471D1"/>
    <w:rsid w:val="00A60CB0"/>
    <w:rsid w:val="00A646B4"/>
    <w:rsid w:val="00A9546C"/>
    <w:rsid w:val="00AC098B"/>
    <w:rsid w:val="00AC5AB4"/>
    <w:rsid w:val="00AC6FCF"/>
    <w:rsid w:val="00AD4C53"/>
    <w:rsid w:val="00AF631F"/>
    <w:rsid w:val="00B034E1"/>
    <w:rsid w:val="00B21471"/>
    <w:rsid w:val="00B33DA9"/>
    <w:rsid w:val="00B54586"/>
    <w:rsid w:val="00B75913"/>
    <w:rsid w:val="00B80767"/>
    <w:rsid w:val="00B87C43"/>
    <w:rsid w:val="00B93C08"/>
    <w:rsid w:val="00BA72FF"/>
    <w:rsid w:val="00BC670E"/>
    <w:rsid w:val="00BD6754"/>
    <w:rsid w:val="00BE1AB6"/>
    <w:rsid w:val="00BE1E80"/>
    <w:rsid w:val="00C24DB0"/>
    <w:rsid w:val="00C35324"/>
    <w:rsid w:val="00C5032E"/>
    <w:rsid w:val="00C513E3"/>
    <w:rsid w:val="00C55A09"/>
    <w:rsid w:val="00CE461B"/>
    <w:rsid w:val="00CF1AB9"/>
    <w:rsid w:val="00D26BFF"/>
    <w:rsid w:val="00D27867"/>
    <w:rsid w:val="00D33EBC"/>
    <w:rsid w:val="00D43463"/>
    <w:rsid w:val="00D673A3"/>
    <w:rsid w:val="00D74426"/>
    <w:rsid w:val="00D8257E"/>
    <w:rsid w:val="00DB0912"/>
    <w:rsid w:val="00DE4E17"/>
    <w:rsid w:val="00E21D37"/>
    <w:rsid w:val="00E43F32"/>
    <w:rsid w:val="00E44C2D"/>
    <w:rsid w:val="00E531DD"/>
    <w:rsid w:val="00E764D0"/>
    <w:rsid w:val="00E84C38"/>
    <w:rsid w:val="00EB5D3C"/>
    <w:rsid w:val="00ED597C"/>
    <w:rsid w:val="00EF1E42"/>
    <w:rsid w:val="00F04D25"/>
    <w:rsid w:val="00F04DBA"/>
    <w:rsid w:val="00F655F2"/>
    <w:rsid w:val="00F8478B"/>
    <w:rsid w:val="00FC51ED"/>
    <w:rsid w:val="00FD4B86"/>
    <w:rsid w:val="00FE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3FD424"/>
  <w15:chartTrackingRefBased/>
  <w15:docId w15:val="{B6B84D6E-052C-47F3-8F23-876078B8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 w:type="paragraph" w:styleId="ListParagraph">
    <w:name w:val="List Paragraph"/>
    <w:basedOn w:val="Normal"/>
    <w:uiPriority w:val="34"/>
    <w:qFormat/>
    <w:rsid w:val="00C513E3"/>
    <w:pPr>
      <w:spacing w:after="200" w:line="276" w:lineRule="auto"/>
      <w:ind w:left="720"/>
      <w:contextualSpacing/>
    </w:pPr>
    <w:rPr>
      <w:rFonts w:ascii="Calibri" w:eastAsia="Calibri" w:hAnsi="Calibri"/>
      <w:sz w:val="22"/>
      <w:szCs w:val="22"/>
    </w:rPr>
  </w:style>
  <w:style w:type="character" w:customStyle="1" w:styleId="fd-citesto">
    <w:name w:val="fd-citesto"/>
    <w:rsid w:val="00E531DD"/>
  </w:style>
  <w:style w:type="character" w:styleId="Hyperlink">
    <w:name w:val="Hyperlink"/>
    <w:uiPriority w:val="99"/>
    <w:unhideWhenUsed/>
    <w:rsid w:val="00E53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70678">
      <w:bodyDiv w:val="1"/>
      <w:marLeft w:val="0"/>
      <w:marRight w:val="0"/>
      <w:marTop w:val="0"/>
      <w:marBottom w:val="0"/>
      <w:divBdr>
        <w:top w:val="none" w:sz="0" w:space="0" w:color="auto"/>
        <w:left w:val="none" w:sz="0" w:space="0" w:color="auto"/>
        <w:bottom w:val="none" w:sz="0" w:space="0" w:color="auto"/>
        <w:right w:val="none" w:sz="0" w:space="0" w:color="auto"/>
      </w:divBdr>
      <w:divsChild>
        <w:div w:id="94137297">
          <w:marLeft w:val="0"/>
          <w:marRight w:val="0"/>
          <w:marTop w:val="0"/>
          <w:marBottom w:val="0"/>
          <w:divBdr>
            <w:top w:val="none" w:sz="0" w:space="0" w:color="auto"/>
            <w:left w:val="none" w:sz="0" w:space="0" w:color="auto"/>
            <w:bottom w:val="none" w:sz="0" w:space="0" w:color="auto"/>
            <w:right w:val="none" w:sz="0" w:space="0" w:color="auto"/>
          </w:divBdr>
        </w:div>
        <w:div w:id="232548676">
          <w:marLeft w:val="0"/>
          <w:marRight w:val="0"/>
          <w:marTop w:val="0"/>
          <w:marBottom w:val="0"/>
          <w:divBdr>
            <w:top w:val="none" w:sz="0" w:space="0" w:color="auto"/>
            <w:left w:val="none" w:sz="0" w:space="0" w:color="auto"/>
            <w:bottom w:val="none" w:sz="0" w:space="0" w:color="auto"/>
            <w:right w:val="none" w:sz="0" w:space="0" w:color="auto"/>
          </w:divBdr>
        </w:div>
        <w:div w:id="1108164122">
          <w:marLeft w:val="0"/>
          <w:marRight w:val="0"/>
          <w:marTop w:val="0"/>
          <w:marBottom w:val="0"/>
          <w:divBdr>
            <w:top w:val="none" w:sz="0" w:space="0" w:color="auto"/>
            <w:left w:val="none" w:sz="0" w:space="0" w:color="auto"/>
            <w:bottom w:val="none" w:sz="0" w:space="0" w:color="auto"/>
            <w:right w:val="none" w:sz="0" w:space="0" w:color="auto"/>
          </w:divBdr>
        </w:div>
        <w:div w:id="1676767801">
          <w:marLeft w:val="0"/>
          <w:marRight w:val="0"/>
          <w:marTop w:val="0"/>
          <w:marBottom w:val="0"/>
          <w:divBdr>
            <w:top w:val="none" w:sz="0" w:space="0" w:color="auto"/>
            <w:left w:val="none" w:sz="0" w:space="0" w:color="auto"/>
            <w:bottom w:val="none" w:sz="0" w:space="0" w:color="auto"/>
            <w:right w:val="none" w:sz="0" w:space="0" w:color="auto"/>
          </w:divBdr>
        </w:div>
        <w:div w:id="2051683400">
          <w:marLeft w:val="0"/>
          <w:marRight w:val="0"/>
          <w:marTop w:val="0"/>
          <w:marBottom w:val="0"/>
          <w:divBdr>
            <w:top w:val="none" w:sz="0" w:space="0" w:color="auto"/>
            <w:left w:val="none" w:sz="0" w:space="0" w:color="auto"/>
            <w:bottom w:val="none" w:sz="0" w:space="0" w:color="auto"/>
            <w:right w:val="none" w:sz="0" w:space="0" w:color="auto"/>
          </w:divBdr>
        </w:div>
      </w:divsChild>
    </w:div>
    <w:div w:id="18863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brm:brm21a-1&amp;type=hitlist&amp;num=0#hit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earch.socialaw.com/document.php?id=brm:brm21a-1&amp;type=hitlist&amp;num=0#hit1"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E6EE-F996-47EA-8125-4881EB6F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1063</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6950</CharactersWithSpaces>
  <SharedDoc>false</SharedDoc>
  <HLinks>
    <vt:vector size="24" baseType="variant">
      <vt:variant>
        <vt:i4>720991</vt:i4>
      </vt:variant>
      <vt:variant>
        <vt:i4>3</vt:i4>
      </vt:variant>
      <vt:variant>
        <vt:i4>0</vt:i4>
      </vt:variant>
      <vt:variant>
        <vt:i4>5</vt:i4>
      </vt:variant>
      <vt:variant>
        <vt:lpwstr>https://research.socialaw.com/document.php?id=brm:brm21a-1&amp;type=hitlist&amp;num=0</vt:lpwstr>
      </vt:variant>
      <vt:variant>
        <vt:lpwstr>hit1</vt:lpwstr>
      </vt:variant>
      <vt:variant>
        <vt:i4>524383</vt:i4>
      </vt:variant>
      <vt:variant>
        <vt:i4>0</vt:i4>
      </vt:variant>
      <vt:variant>
        <vt:i4>0</vt:i4>
      </vt:variant>
      <vt:variant>
        <vt:i4>5</vt:i4>
      </vt:variant>
      <vt:variant>
        <vt:lpwstr>https://research.socialaw.com/document.php?id=brm:brm21a-1&amp;type=hitlist&amp;num=0</vt:lpwstr>
      </vt:variant>
      <vt:variant>
        <vt:lpwstr>hit2</vt:lpwstr>
      </vt:variant>
      <vt:variant>
        <vt:i4>524383</vt:i4>
      </vt:variant>
      <vt:variant>
        <vt:i4>6913</vt:i4>
      </vt:variant>
      <vt:variant>
        <vt:i4>1025</vt:i4>
      </vt:variant>
      <vt:variant>
        <vt:i4>4</vt:i4>
      </vt:variant>
      <vt:variant>
        <vt:lpwstr>https://research.socialaw.com/document.php?id=brm:brm21a-1&amp;type=hitlist&amp;num=0</vt:lpwstr>
      </vt:variant>
      <vt:variant>
        <vt:lpwstr>hit2</vt:lpwstr>
      </vt:variant>
      <vt:variant>
        <vt:i4>720991</vt:i4>
      </vt:variant>
      <vt:variant>
        <vt:i4>7022</vt:i4>
      </vt:variant>
      <vt:variant>
        <vt:i4>1026</vt:i4>
      </vt:variant>
      <vt:variant>
        <vt:i4>4</vt:i4>
      </vt:variant>
      <vt:variant>
        <vt:lpwstr>https://research.socialaw.com/document.php?id=brm:brm21a-1&amp;type=hitlist&amp;num=0</vt:lpwstr>
      </vt:variant>
      <vt:variant>
        <vt:lpwstr>hit1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sdonnelly</dc:creator>
  <cp:keywords/>
  <cp:lastModifiedBy>LaPointe, Donald (MED)</cp:lastModifiedBy>
  <cp:revision>4</cp:revision>
  <cp:lastPrinted>2021-12-07T19:21:00Z</cp:lastPrinted>
  <dcterms:created xsi:type="dcterms:W3CDTF">2021-12-21T18:27:00Z</dcterms:created>
  <dcterms:modified xsi:type="dcterms:W3CDTF">2021-12-21T18:30:00Z</dcterms:modified>
</cp:coreProperties>
</file>