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51A0" w14:textId="340D4378" w:rsidR="00E3380B" w:rsidRDefault="00E3380B" w:rsidP="00A42184">
      <w:pPr>
        <w:pStyle w:val="BodyText"/>
        <w:spacing w:before="160" w:line="249" w:lineRule="auto"/>
        <w:ind w:left="2194" w:right="1479" w:hanging="12"/>
        <w:jc w:val="center"/>
      </w:pPr>
      <w:r>
        <w:t xml:space="preserve">COMMONWEALTH OF MASSACHUSETTS </w:t>
      </w:r>
      <w:bookmarkStart w:id="0" w:name="Draft_Final_Decision_and_Order"/>
      <w:bookmarkEnd w:id="0"/>
      <w:r>
        <w:rPr>
          <w:w w:val="105"/>
        </w:rPr>
        <w:t>BOARD</w:t>
      </w:r>
      <w:r>
        <w:rPr>
          <w:spacing w:val="-13"/>
          <w:w w:val="105"/>
        </w:rPr>
        <w:t xml:space="preserve"> </w:t>
      </w:r>
      <w:r>
        <w:rPr>
          <w:w w:val="105"/>
        </w:rPr>
        <w:t>OF</w:t>
      </w:r>
      <w:r>
        <w:rPr>
          <w:spacing w:val="-15"/>
          <w:w w:val="105"/>
        </w:rPr>
        <w:t xml:space="preserve"> </w:t>
      </w:r>
      <w:r>
        <w:rPr>
          <w:w w:val="105"/>
        </w:rPr>
        <w:t>REGISTRATION</w:t>
      </w:r>
      <w:r>
        <w:rPr>
          <w:spacing w:val="5"/>
          <w:w w:val="105"/>
        </w:rPr>
        <w:t xml:space="preserve"> </w:t>
      </w:r>
      <w:r>
        <w:rPr>
          <w:w w:val="105"/>
        </w:rPr>
        <w:t>IN</w:t>
      </w:r>
      <w:r>
        <w:rPr>
          <w:spacing w:val="-12"/>
          <w:w w:val="105"/>
        </w:rPr>
        <w:t xml:space="preserve"> </w:t>
      </w:r>
      <w:r>
        <w:rPr>
          <w:spacing w:val="-2"/>
          <w:w w:val="105"/>
        </w:rPr>
        <w:t>MEDICINE</w:t>
      </w:r>
    </w:p>
    <w:p w14:paraId="0D2E1E93" w14:textId="77777777" w:rsidR="00E3380B" w:rsidRDefault="00E3380B" w:rsidP="00E3380B">
      <w:pPr>
        <w:pStyle w:val="BodyText"/>
        <w:spacing w:before="9"/>
        <w:rPr>
          <w:sz w:val="15"/>
        </w:rPr>
      </w:pPr>
    </w:p>
    <w:p w14:paraId="5FAB0CFC" w14:textId="0F7B38BF" w:rsidR="00A42184" w:rsidRDefault="00A42184" w:rsidP="00F466BC">
      <w:pPr>
        <w:pStyle w:val="BodyText"/>
        <w:spacing w:before="95" w:line="242" w:lineRule="auto"/>
        <w:ind w:left="4477" w:right="1271" w:hanging="4325"/>
        <w:rPr>
          <w:spacing w:val="-15"/>
          <w:w w:val="105"/>
          <w:position w:val="1"/>
        </w:rPr>
      </w:pPr>
      <w:r>
        <w:rPr>
          <w:w w:val="105"/>
        </w:rPr>
        <w:t>M</w:t>
      </w:r>
      <w:r w:rsidR="00E3380B">
        <w:rPr>
          <w:w w:val="105"/>
        </w:rPr>
        <w:t>IDDLESEX, ss</w:t>
      </w:r>
      <w:r w:rsidR="00E3380B">
        <w:tab/>
      </w:r>
      <w:r w:rsidR="00E3380B">
        <w:rPr>
          <w:w w:val="105"/>
          <w:position w:val="1"/>
        </w:rPr>
        <w:t>Adjudicatory</w:t>
      </w:r>
      <w:r w:rsidR="00E3380B">
        <w:rPr>
          <w:spacing w:val="-4"/>
          <w:w w:val="105"/>
          <w:position w:val="1"/>
        </w:rPr>
        <w:t xml:space="preserve"> </w:t>
      </w:r>
      <w:r w:rsidR="00E3380B">
        <w:rPr>
          <w:w w:val="105"/>
          <w:position w:val="1"/>
        </w:rPr>
        <w:t>Case</w:t>
      </w:r>
      <w:r w:rsidR="00E3380B">
        <w:rPr>
          <w:spacing w:val="-15"/>
          <w:w w:val="105"/>
          <w:position w:val="1"/>
        </w:rPr>
        <w:t xml:space="preserve"> </w:t>
      </w:r>
      <w:r w:rsidR="00E3380B">
        <w:rPr>
          <w:w w:val="105"/>
          <w:position w:val="1"/>
        </w:rPr>
        <w:t>No.</w:t>
      </w:r>
      <w:r w:rsidR="00E3380B">
        <w:rPr>
          <w:spacing w:val="-15"/>
          <w:w w:val="105"/>
          <w:position w:val="1"/>
        </w:rPr>
        <w:t xml:space="preserve"> </w:t>
      </w:r>
      <w:r w:rsidR="00B82910">
        <w:rPr>
          <w:spacing w:val="-15"/>
          <w:w w:val="105"/>
          <w:position w:val="1"/>
        </w:rPr>
        <w:t>202</w:t>
      </w:r>
      <w:r w:rsidR="235A9151">
        <w:rPr>
          <w:spacing w:val="-15"/>
          <w:w w:val="105"/>
          <w:position w:val="1"/>
        </w:rPr>
        <w:t>4</w:t>
      </w:r>
      <w:r w:rsidR="00B82910">
        <w:rPr>
          <w:spacing w:val="-15"/>
          <w:w w:val="105"/>
          <w:position w:val="1"/>
        </w:rPr>
        <w:t>-0</w:t>
      </w:r>
      <w:r w:rsidR="1B32E4B9">
        <w:rPr>
          <w:spacing w:val="-15"/>
          <w:w w:val="105"/>
          <w:position w:val="1"/>
        </w:rPr>
        <w:t>49</w:t>
      </w:r>
    </w:p>
    <w:p w14:paraId="3D57B0C3" w14:textId="5B2FCF5A" w:rsidR="00E3380B" w:rsidRDefault="00A42184" w:rsidP="00A42184">
      <w:pPr>
        <w:pStyle w:val="BodyText"/>
        <w:spacing w:before="95" w:line="242" w:lineRule="auto"/>
        <w:ind w:left="4477" w:right="1271" w:hanging="157"/>
        <w:rPr>
          <w:w w:val="105"/>
        </w:rPr>
      </w:pPr>
      <w:r>
        <w:rPr>
          <w:spacing w:val="-15"/>
          <w:w w:val="105"/>
          <w:position w:val="1"/>
        </w:rPr>
        <w:t xml:space="preserve">   </w:t>
      </w:r>
      <w:r w:rsidR="00E3380B">
        <w:rPr>
          <w:w w:val="105"/>
        </w:rPr>
        <w:t>(RM-2</w:t>
      </w:r>
      <w:r w:rsidR="3E7A813A">
        <w:rPr>
          <w:w w:val="105"/>
        </w:rPr>
        <w:t>4</w:t>
      </w:r>
      <w:r w:rsidR="00E3380B">
        <w:rPr>
          <w:w w:val="105"/>
        </w:rPr>
        <w:t>-</w:t>
      </w:r>
      <w:r>
        <w:rPr>
          <w:w w:val="105"/>
        </w:rPr>
        <w:t>0</w:t>
      </w:r>
      <w:r w:rsidR="5BA74DE2">
        <w:rPr>
          <w:w w:val="105"/>
        </w:rPr>
        <w:t>595</w:t>
      </w:r>
      <w:r w:rsidR="00E3380B">
        <w:rPr>
          <w:w w:val="105"/>
        </w:rPr>
        <w:t>)</w:t>
      </w:r>
    </w:p>
    <w:p w14:paraId="68D2E43C" w14:textId="77777777" w:rsidR="00B569D6" w:rsidRDefault="00B569D6" w:rsidP="00A42184">
      <w:pPr>
        <w:pStyle w:val="BodyText"/>
        <w:spacing w:before="95" w:line="242" w:lineRule="auto"/>
        <w:ind w:left="4477" w:right="1271" w:hanging="157"/>
      </w:pPr>
    </w:p>
    <w:p w14:paraId="186B879E" w14:textId="566D3F4E" w:rsidR="00E3380B" w:rsidRPr="007A7BB8" w:rsidRDefault="00E3380B" w:rsidP="00F466BC">
      <w:pPr>
        <w:pStyle w:val="BodyText"/>
        <w:spacing w:line="20" w:lineRule="exact"/>
        <w:rPr>
          <w:sz w:val="2"/>
        </w:rPr>
      </w:pPr>
      <w:r>
        <w:rPr>
          <w:noProof/>
          <w:sz w:val="2"/>
        </w:rPr>
        <mc:AlternateContent>
          <mc:Choice Requires="wpg">
            <w:drawing>
              <wp:inline distT="0" distB="0" distL="0" distR="0" wp14:anchorId="717FE40B" wp14:editId="592816D1">
                <wp:extent cx="1851660" cy="9525"/>
                <wp:effectExtent l="10795" t="7620" r="1397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9525"/>
                          <a:chOff x="0" y="0"/>
                          <a:chExt cx="2916" cy="15"/>
                        </a:xfrm>
                      </wpg:grpSpPr>
                      <wps:wsp>
                        <wps:cNvPr id="4" name="Line 5"/>
                        <wps:cNvCnPr>
                          <a:cxnSpLocks noChangeShapeType="1"/>
                        </wps:cNvCnPr>
                        <wps:spPr bwMode="auto">
                          <a:xfrm>
                            <a:off x="0" y="7"/>
                            <a:ext cx="291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v:group id="Group 3" style="width:145.8pt;height:.75pt;mso-position-horizontal-relative:char;mso-position-vertical-relative:line" coordsize="2916,15" o:spid="_x0000_s1026" w14:anchorId="53F6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">
                <v:line id="Line 5" style="position:absolute;visibility:visible;mso-wrap-style:square" o:spid="_x0000_s1027" strokeweight=".25447mm" o:connectortype="straight" from="0,7" to="2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"/>
                <w10:anchorlock/>
              </v:group>
            </w:pict>
          </mc:Fallback>
        </mc:AlternateContent>
      </w:r>
    </w:p>
    <w:p w14:paraId="703E8978" w14:textId="77777777" w:rsidR="00E3380B" w:rsidRDefault="00E3380B" w:rsidP="00CC65DD">
      <w:pPr>
        <w:pStyle w:val="BodyText"/>
        <w:tabs>
          <w:tab w:val="left" w:pos="2887"/>
        </w:tabs>
        <w:spacing w:before="19"/>
        <w:ind w:right="38"/>
        <w:rPr>
          <w:sz w:val="22"/>
        </w:rPr>
      </w:pPr>
      <w:r>
        <w:rPr>
          <w:w w:val="105"/>
        </w:rPr>
        <w:t>In</w:t>
      </w:r>
      <w:r>
        <w:rPr>
          <w:spacing w:val="-9"/>
          <w:w w:val="105"/>
        </w:rPr>
        <w:t xml:space="preserve"> </w:t>
      </w:r>
      <w:r>
        <w:rPr>
          <w:w w:val="105"/>
        </w:rPr>
        <w:t>the</w:t>
      </w:r>
      <w:r>
        <w:rPr>
          <w:spacing w:val="-7"/>
          <w:w w:val="105"/>
        </w:rPr>
        <w:t xml:space="preserve"> </w:t>
      </w:r>
      <w:r>
        <w:rPr>
          <w:w w:val="105"/>
        </w:rPr>
        <w:t>Matter</w:t>
      </w:r>
      <w:r>
        <w:rPr>
          <w:spacing w:val="-4"/>
          <w:w w:val="105"/>
        </w:rPr>
        <w:t xml:space="preserve"> </w:t>
      </w:r>
      <w:r>
        <w:rPr>
          <w:spacing w:val="-5"/>
          <w:w w:val="105"/>
        </w:rPr>
        <w:t>of</w:t>
      </w:r>
      <w:r>
        <w:tab/>
      </w:r>
      <w:r>
        <w:rPr>
          <w:spacing w:val="-10"/>
          <w:w w:val="105"/>
          <w:sz w:val="22"/>
        </w:rPr>
        <w:t>)</w:t>
      </w:r>
    </w:p>
    <w:p w14:paraId="2A2CAEF7" w14:textId="75B7CD5B" w:rsidR="00E3380B" w:rsidRDefault="00E3380B" w:rsidP="007A7BB8">
      <w:pPr>
        <w:spacing w:before="19"/>
        <w:ind w:left="2160" w:right="38" w:firstLine="720"/>
      </w:pPr>
      <w:r>
        <w:rPr>
          <w:w w:val="103"/>
        </w:rPr>
        <w:t>)</w:t>
      </w:r>
      <w:r w:rsidR="00997087">
        <w:rPr>
          <w:w w:val="103"/>
        </w:rPr>
        <w:tab/>
      </w:r>
      <w:r w:rsidR="00997087">
        <w:rPr>
          <w:w w:val="103"/>
        </w:rPr>
        <w:tab/>
        <w:t xml:space="preserve">   FINAL DECISION AND ORDER</w:t>
      </w:r>
    </w:p>
    <w:p w14:paraId="7D44DA30" w14:textId="77777777" w:rsidR="00997087" w:rsidRDefault="72A46012" w:rsidP="00CC65DD">
      <w:pPr>
        <w:pStyle w:val="BodyText"/>
        <w:tabs>
          <w:tab w:val="left" w:pos="2882"/>
        </w:tabs>
        <w:spacing w:before="19"/>
        <w:ind w:right="38"/>
      </w:pPr>
      <w:r>
        <w:rPr>
          <w:spacing w:val="-2"/>
          <w:w w:val="105"/>
        </w:rPr>
        <w:t>M</w:t>
      </w:r>
      <w:r w:rsidR="01C35838">
        <w:rPr>
          <w:spacing w:val="-2"/>
          <w:w w:val="105"/>
        </w:rPr>
        <w:t>ohamad Och,</w:t>
      </w:r>
      <w:r w:rsidR="00A42184">
        <w:rPr>
          <w:spacing w:val="-2"/>
          <w:w w:val="105"/>
        </w:rPr>
        <w:t xml:space="preserve"> M</w:t>
      </w:r>
      <w:r w:rsidR="00E3380B" w:rsidRPr="00F466BC">
        <w:t>.</w:t>
      </w:r>
      <w:r w:rsidR="00A42184">
        <w:t>D.</w:t>
      </w:r>
      <w:r w:rsidR="00F466BC">
        <w:t xml:space="preserve"> </w:t>
      </w:r>
      <w:r w:rsidR="00A42184">
        <w:tab/>
      </w:r>
      <w:r w:rsidR="00F466BC">
        <w:t>)</w:t>
      </w:r>
    </w:p>
    <w:p w14:paraId="176E2860" w14:textId="7C818C00" w:rsidR="00654D84" w:rsidRPr="007A7BB8" w:rsidRDefault="00997087" w:rsidP="00CC65DD">
      <w:pPr>
        <w:pStyle w:val="BodyText"/>
        <w:tabs>
          <w:tab w:val="left" w:pos="2882"/>
        </w:tabs>
        <w:spacing w:before="19"/>
        <w:ind w:right="38"/>
        <w:rPr>
          <w:u w:val="single"/>
        </w:rPr>
      </w:pPr>
      <w:r>
        <w:t>_________________________</w:t>
      </w:r>
      <w:r w:rsidR="00B569D6">
        <w:tab/>
      </w:r>
      <w:r w:rsidR="00A175C3">
        <w:t>)</w:t>
      </w:r>
      <w:r w:rsidR="00B569D6">
        <w:tab/>
      </w:r>
      <w:r w:rsidR="007A7BB8" w:rsidRPr="007A7BB8">
        <w:rPr>
          <w:u w:val="single"/>
        </w:rPr>
        <w:t xml:space="preserve"> </w:t>
      </w:r>
    </w:p>
    <w:p w14:paraId="09B70866" w14:textId="77777777" w:rsidR="00654D84" w:rsidRDefault="00654D84" w:rsidP="00654D84">
      <w:pPr>
        <w:pStyle w:val="BodyText"/>
        <w:tabs>
          <w:tab w:val="left" w:pos="0"/>
        </w:tabs>
        <w:spacing w:before="19"/>
        <w:ind w:right="38"/>
        <w:jc w:val="right"/>
      </w:pPr>
    </w:p>
    <w:p w14:paraId="02F0EEB1" w14:textId="058EC2CB" w:rsidR="00EF0EBD" w:rsidRDefault="00EF0EBD" w:rsidP="00EF0EBD">
      <w:pPr>
        <w:pStyle w:val="BodyText"/>
        <w:ind w:left="150"/>
        <w:jc w:val="center"/>
        <w:rPr>
          <w:spacing w:val="-2"/>
          <w:w w:val="105"/>
          <w:sz w:val="24"/>
          <w:szCs w:val="24"/>
          <w:u w:val="thick"/>
        </w:rPr>
      </w:pPr>
      <w:r w:rsidRPr="00A66FFC">
        <w:rPr>
          <w:spacing w:val="-2"/>
          <w:w w:val="105"/>
          <w:sz w:val="24"/>
          <w:szCs w:val="24"/>
          <w:u w:val="thick"/>
        </w:rPr>
        <w:t>Procedural History</w:t>
      </w:r>
    </w:p>
    <w:p w14:paraId="6AA6F904" w14:textId="77777777" w:rsidR="004A4E45" w:rsidRPr="00A66FFC" w:rsidRDefault="004A4E45" w:rsidP="00EF0EBD">
      <w:pPr>
        <w:pStyle w:val="BodyText"/>
        <w:ind w:left="150"/>
        <w:jc w:val="center"/>
        <w:rPr>
          <w:spacing w:val="-2"/>
          <w:w w:val="105"/>
          <w:sz w:val="24"/>
          <w:szCs w:val="24"/>
          <w:u w:val="thick"/>
        </w:rPr>
      </w:pPr>
    </w:p>
    <w:p w14:paraId="3DE8F28F" w14:textId="1FB93E2C" w:rsidR="00A66FFC" w:rsidRDefault="009B38B1" w:rsidP="00254283">
      <w:pPr>
        <w:pStyle w:val="FootnoteText"/>
        <w:spacing w:line="360" w:lineRule="auto"/>
        <w:ind w:firstLine="720"/>
        <w:jc w:val="both"/>
        <w:rPr>
          <w:w w:val="105"/>
          <w:sz w:val="24"/>
          <w:szCs w:val="24"/>
        </w:rPr>
      </w:pPr>
      <w:r w:rsidRPr="00A66FFC">
        <w:rPr>
          <w:w w:val="105"/>
          <w:sz w:val="24"/>
          <w:szCs w:val="24"/>
        </w:rPr>
        <w:t xml:space="preserve">The Board initiated this matter by issuing a </w:t>
      </w:r>
      <w:r w:rsidR="19084E6F" w:rsidRPr="00A66FFC">
        <w:rPr>
          <w:w w:val="105"/>
          <w:sz w:val="24"/>
          <w:szCs w:val="24"/>
        </w:rPr>
        <w:t>September 12, 2024</w:t>
      </w:r>
      <w:r w:rsidRPr="00A66FFC">
        <w:rPr>
          <w:spacing w:val="-1"/>
          <w:w w:val="105"/>
          <w:sz w:val="24"/>
          <w:szCs w:val="24"/>
        </w:rPr>
        <w:t xml:space="preserve"> </w:t>
      </w:r>
      <w:r w:rsidR="00E3380B" w:rsidRPr="00A66FFC">
        <w:rPr>
          <w:w w:val="105"/>
          <w:sz w:val="24"/>
          <w:szCs w:val="24"/>
        </w:rPr>
        <w:t>Statement of Allegations (</w:t>
      </w:r>
      <w:r w:rsidR="00FE56D2">
        <w:rPr>
          <w:w w:val="105"/>
          <w:sz w:val="24"/>
          <w:szCs w:val="24"/>
        </w:rPr>
        <w:t>“</w:t>
      </w:r>
      <w:r w:rsidR="00E3380B" w:rsidRPr="00A66FFC">
        <w:rPr>
          <w:w w:val="105"/>
          <w:sz w:val="24"/>
          <w:szCs w:val="24"/>
        </w:rPr>
        <w:t>SOA</w:t>
      </w:r>
      <w:r w:rsidR="00FE56D2">
        <w:rPr>
          <w:w w:val="105"/>
          <w:sz w:val="24"/>
          <w:szCs w:val="24"/>
        </w:rPr>
        <w:t>”</w:t>
      </w:r>
      <w:r w:rsidR="00E3380B" w:rsidRPr="00A66FFC">
        <w:rPr>
          <w:w w:val="105"/>
          <w:sz w:val="24"/>
          <w:szCs w:val="24"/>
        </w:rPr>
        <w:t xml:space="preserve">) </w:t>
      </w:r>
      <w:r w:rsidR="00F059DE">
        <w:rPr>
          <w:w w:val="105"/>
          <w:sz w:val="24"/>
          <w:szCs w:val="24"/>
        </w:rPr>
        <w:t>against</w:t>
      </w:r>
      <w:r w:rsidR="0034638D" w:rsidRPr="00A66FFC">
        <w:rPr>
          <w:w w:val="105"/>
          <w:sz w:val="24"/>
          <w:szCs w:val="24"/>
        </w:rPr>
        <w:t xml:space="preserve"> </w:t>
      </w:r>
      <w:r w:rsidR="00F40327">
        <w:rPr>
          <w:w w:val="105"/>
          <w:sz w:val="24"/>
          <w:szCs w:val="24"/>
        </w:rPr>
        <w:t>Mohamad Och, M.D.</w:t>
      </w:r>
      <w:r w:rsidR="0060063F">
        <w:rPr>
          <w:w w:val="105"/>
          <w:sz w:val="24"/>
          <w:szCs w:val="24"/>
        </w:rPr>
        <w:t xml:space="preserve"> (“Respondent”)</w:t>
      </w:r>
      <w:r w:rsidR="00403ECA">
        <w:rPr>
          <w:w w:val="105"/>
          <w:sz w:val="24"/>
          <w:szCs w:val="24"/>
        </w:rPr>
        <w:t xml:space="preserve">. The Board </w:t>
      </w:r>
      <w:r w:rsidR="0017676C">
        <w:rPr>
          <w:w w:val="105"/>
          <w:sz w:val="24"/>
          <w:szCs w:val="24"/>
        </w:rPr>
        <w:t xml:space="preserve">alleged that: i) the </w:t>
      </w:r>
      <w:r w:rsidR="003F61A9">
        <w:rPr>
          <w:w w:val="105"/>
          <w:sz w:val="24"/>
          <w:szCs w:val="24"/>
        </w:rPr>
        <w:t xml:space="preserve">Respondent </w:t>
      </w:r>
      <w:r w:rsidR="00C9739A">
        <w:rPr>
          <w:w w:val="105"/>
          <w:sz w:val="24"/>
          <w:szCs w:val="24"/>
        </w:rPr>
        <w:t>had been</w:t>
      </w:r>
      <w:r w:rsidR="0017676C">
        <w:rPr>
          <w:w w:val="105"/>
          <w:sz w:val="24"/>
          <w:szCs w:val="24"/>
        </w:rPr>
        <w:t xml:space="preserve"> </w:t>
      </w:r>
      <w:r w:rsidR="003126E8">
        <w:rPr>
          <w:w w:val="105"/>
          <w:sz w:val="24"/>
          <w:szCs w:val="24"/>
        </w:rPr>
        <w:t>i</w:t>
      </w:r>
      <w:r w:rsidR="597B3EE6" w:rsidRPr="00A66FFC">
        <w:rPr>
          <w:w w:val="105"/>
          <w:sz w:val="24"/>
          <w:szCs w:val="24"/>
        </w:rPr>
        <w:t>ndicted on eight counts of unlawful distribution of a controlled substance and two counts of healthcare fraud</w:t>
      </w:r>
      <w:r w:rsidR="00403ECA">
        <w:rPr>
          <w:w w:val="105"/>
          <w:sz w:val="24"/>
          <w:szCs w:val="24"/>
        </w:rPr>
        <w:t>;</w:t>
      </w:r>
      <w:r w:rsidR="0017676C">
        <w:rPr>
          <w:w w:val="105"/>
          <w:sz w:val="24"/>
          <w:szCs w:val="24"/>
        </w:rPr>
        <w:t xml:space="preserve"> ii) </w:t>
      </w:r>
      <w:r w:rsidR="00864236">
        <w:rPr>
          <w:w w:val="105"/>
          <w:sz w:val="24"/>
          <w:szCs w:val="24"/>
        </w:rPr>
        <w:t>a</w:t>
      </w:r>
      <w:r w:rsidR="00864236" w:rsidRPr="00A66FFC">
        <w:rPr>
          <w:w w:val="105"/>
          <w:sz w:val="24"/>
          <w:szCs w:val="24"/>
        </w:rPr>
        <w:t xml:space="preserve">t trial, there was evidence that </w:t>
      </w:r>
      <w:r w:rsidR="00C9739A">
        <w:rPr>
          <w:w w:val="105"/>
          <w:sz w:val="24"/>
          <w:szCs w:val="24"/>
        </w:rPr>
        <w:t>he</w:t>
      </w:r>
      <w:r w:rsidR="00864236" w:rsidRPr="00A66FFC">
        <w:rPr>
          <w:w w:val="105"/>
          <w:sz w:val="24"/>
          <w:szCs w:val="24"/>
        </w:rPr>
        <w:t xml:space="preserve"> prescribed Adderall and Xanax without doing proper examinations, obtaining proper medical records, or performing drug testing despite evidence that the patients, who were undercover officers, appeared to have been participating in drug diversion</w:t>
      </w:r>
      <w:r w:rsidR="000C61AD">
        <w:rPr>
          <w:w w:val="105"/>
          <w:sz w:val="24"/>
          <w:szCs w:val="24"/>
        </w:rPr>
        <w:t xml:space="preserve">; </w:t>
      </w:r>
      <w:r w:rsidR="00C97544">
        <w:rPr>
          <w:w w:val="105"/>
          <w:sz w:val="24"/>
          <w:szCs w:val="24"/>
        </w:rPr>
        <w:t xml:space="preserve">and </w:t>
      </w:r>
      <w:r w:rsidR="000C61AD">
        <w:rPr>
          <w:w w:val="105"/>
          <w:sz w:val="24"/>
          <w:szCs w:val="24"/>
        </w:rPr>
        <w:t xml:space="preserve">iii) following </w:t>
      </w:r>
      <w:r w:rsidR="00C97544">
        <w:rPr>
          <w:w w:val="105"/>
          <w:sz w:val="24"/>
          <w:szCs w:val="24"/>
        </w:rPr>
        <w:t>an</w:t>
      </w:r>
      <w:r w:rsidR="000C61AD">
        <w:rPr>
          <w:w w:val="105"/>
          <w:sz w:val="24"/>
          <w:szCs w:val="24"/>
        </w:rPr>
        <w:t xml:space="preserve"> </w:t>
      </w:r>
      <w:r w:rsidR="00A3028D">
        <w:rPr>
          <w:w w:val="105"/>
          <w:sz w:val="24"/>
          <w:szCs w:val="24"/>
        </w:rPr>
        <w:t xml:space="preserve">11-day jury trial, the Respondent was convicted, on </w:t>
      </w:r>
      <w:r w:rsidR="0017676C">
        <w:rPr>
          <w:w w:val="105"/>
          <w:sz w:val="24"/>
          <w:szCs w:val="24"/>
        </w:rPr>
        <w:t>November 17, 2023,</w:t>
      </w:r>
      <w:r w:rsidR="00754920">
        <w:rPr>
          <w:w w:val="105"/>
          <w:sz w:val="24"/>
          <w:szCs w:val="24"/>
        </w:rPr>
        <w:t xml:space="preserve"> of</w:t>
      </w:r>
      <w:r w:rsidR="3F634838" w:rsidRPr="00A66FFC">
        <w:rPr>
          <w:w w:val="105"/>
          <w:sz w:val="24"/>
          <w:szCs w:val="24"/>
        </w:rPr>
        <w:t xml:space="preserve"> three counts of unlawful distribution of a controlled substance</w:t>
      </w:r>
      <w:r w:rsidR="00631447">
        <w:rPr>
          <w:w w:val="105"/>
          <w:sz w:val="24"/>
          <w:szCs w:val="24"/>
        </w:rPr>
        <w:t>.</w:t>
      </w:r>
      <w:r w:rsidRPr="258E539B">
        <w:rPr>
          <w:rStyle w:val="FootnoteReference"/>
          <w:sz w:val="24"/>
          <w:szCs w:val="24"/>
        </w:rPr>
        <w:footnoteReference w:id="2"/>
      </w:r>
      <w:r w:rsidR="00A569B6">
        <w:rPr>
          <w:w w:val="105"/>
          <w:sz w:val="24"/>
          <w:szCs w:val="24"/>
        </w:rPr>
        <w:t xml:space="preserve"> </w:t>
      </w:r>
      <w:r w:rsidR="00C03848">
        <w:rPr>
          <w:w w:val="105"/>
          <w:sz w:val="24"/>
          <w:szCs w:val="24"/>
        </w:rPr>
        <w:t xml:space="preserve">The Board charged the Respondent with </w:t>
      </w:r>
      <w:r w:rsidR="00C465B1">
        <w:rPr>
          <w:w w:val="105"/>
          <w:sz w:val="24"/>
          <w:szCs w:val="24"/>
        </w:rPr>
        <w:t>i)</w:t>
      </w:r>
      <w:r w:rsidR="00BD7BEB">
        <w:rPr>
          <w:w w:val="105"/>
          <w:sz w:val="24"/>
          <w:szCs w:val="24"/>
        </w:rPr>
        <w:t xml:space="preserve"> </w:t>
      </w:r>
      <w:r w:rsidR="0034638D" w:rsidRPr="00A66FFC">
        <w:rPr>
          <w:w w:val="105"/>
          <w:sz w:val="24"/>
          <w:szCs w:val="24"/>
        </w:rPr>
        <w:t xml:space="preserve">having </w:t>
      </w:r>
      <w:r w:rsidR="00A66FFC" w:rsidRPr="00A66FFC">
        <w:rPr>
          <w:w w:val="105"/>
          <w:sz w:val="24"/>
          <w:szCs w:val="24"/>
        </w:rPr>
        <w:t>been</w:t>
      </w:r>
      <w:r w:rsidR="00A66FFC" w:rsidRPr="007D557C">
        <w:rPr>
          <w:w w:val="105"/>
          <w:sz w:val="24"/>
          <w:szCs w:val="24"/>
        </w:rPr>
        <w:t xml:space="preserve"> </w:t>
      </w:r>
      <w:r w:rsidR="00B50D08">
        <w:rPr>
          <w:w w:val="105"/>
          <w:sz w:val="24"/>
          <w:szCs w:val="24"/>
        </w:rPr>
        <w:t>criminally convicted</w:t>
      </w:r>
      <w:r w:rsidR="00C465B1">
        <w:rPr>
          <w:w w:val="105"/>
          <w:sz w:val="24"/>
          <w:szCs w:val="24"/>
        </w:rPr>
        <w:t xml:space="preserve">; ii) </w:t>
      </w:r>
      <w:r w:rsidR="1D10DD0E">
        <w:rPr>
          <w:w w:val="105"/>
          <w:sz w:val="24"/>
          <w:szCs w:val="24"/>
        </w:rPr>
        <w:t xml:space="preserve">having </w:t>
      </w:r>
      <w:r w:rsidR="727CFD7B">
        <w:rPr>
          <w:w w:val="105"/>
          <w:sz w:val="24"/>
          <w:szCs w:val="24"/>
        </w:rPr>
        <w:t>been convicted of a criminal offense which reasonably calls into question his ability to practice medicine</w:t>
      </w:r>
      <w:r w:rsidR="00C465B1">
        <w:rPr>
          <w:w w:val="105"/>
          <w:sz w:val="24"/>
          <w:szCs w:val="24"/>
        </w:rPr>
        <w:t>; and</w:t>
      </w:r>
      <w:r w:rsidR="7C31FF3A">
        <w:rPr>
          <w:w w:val="105"/>
          <w:sz w:val="24"/>
          <w:szCs w:val="24"/>
        </w:rPr>
        <w:t xml:space="preserve"> </w:t>
      </w:r>
      <w:r w:rsidR="00757B47">
        <w:rPr>
          <w:w w:val="105"/>
          <w:sz w:val="24"/>
          <w:szCs w:val="24"/>
        </w:rPr>
        <w:t xml:space="preserve">iii) </w:t>
      </w:r>
      <w:r w:rsidR="3EE31864">
        <w:rPr>
          <w:w w:val="105"/>
          <w:sz w:val="24"/>
          <w:szCs w:val="24"/>
        </w:rPr>
        <w:t xml:space="preserve">for </w:t>
      </w:r>
      <w:r w:rsidR="7C31FF3A">
        <w:rPr>
          <w:w w:val="105"/>
          <w:sz w:val="24"/>
          <w:szCs w:val="24"/>
        </w:rPr>
        <w:t>having engaged in conduct that undermines public confidence in the integrity of the medical profession</w:t>
      </w:r>
      <w:r w:rsidR="2F044C73">
        <w:rPr>
          <w:w w:val="105"/>
          <w:sz w:val="24"/>
          <w:szCs w:val="24"/>
        </w:rPr>
        <w:t xml:space="preserve">. </w:t>
      </w:r>
      <w:r w:rsidR="73C822CB">
        <w:rPr>
          <w:w w:val="105"/>
          <w:sz w:val="24"/>
          <w:szCs w:val="24"/>
        </w:rPr>
        <w:t>On the same day, t</w:t>
      </w:r>
      <w:r w:rsidR="00A66FFC">
        <w:rPr>
          <w:w w:val="105"/>
          <w:sz w:val="24"/>
          <w:szCs w:val="24"/>
        </w:rPr>
        <w:t xml:space="preserve">he Board referred the SOA to the Division of Administrative Law Appeals (DALA) for further proceedings. </w:t>
      </w:r>
    </w:p>
    <w:p w14:paraId="213C5FA8" w14:textId="6A55C867" w:rsidR="53076323" w:rsidRDefault="53076323" w:rsidP="258E539B">
      <w:pPr>
        <w:pStyle w:val="FootnoteText"/>
        <w:spacing w:line="360" w:lineRule="auto"/>
        <w:ind w:firstLine="720"/>
        <w:jc w:val="both"/>
        <w:rPr>
          <w:sz w:val="24"/>
          <w:szCs w:val="24"/>
        </w:rPr>
      </w:pPr>
      <w:r w:rsidRPr="258E539B">
        <w:rPr>
          <w:sz w:val="24"/>
          <w:szCs w:val="24"/>
        </w:rPr>
        <w:t>On October 9, 2024, the Respondent filed his Answer to Statement of Allegations (</w:t>
      </w:r>
      <w:r w:rsidR="00B308EA">
        <w:rPr>
          <w:sz w:val="24"/>
          <w:szCs w:val="24"/>
        </w:rPr>
        <w:t>“</w:t>
      </w:r>
      <w:r w:rsidRPr="258E539B">
        <w:rPr>
          <w:sz w:val="24"/>
          <w:szCs w:val="24"/>
        </w:rPr>
        <w:t>Answer</w:t>
      </w:r>
      <w:r w:rsidR="00B308EA">
        <w:rPr>
          <w:sz w:val="24"/>
          <w:szCs w:val="24"/>
        </w:rPr>
        <w:t>”</w:t>
      </w:r>
      <w:r w:rsidRPr="258E539B">
        <w:rPr>
          <w:sz w:val="24"/>
          <w:szCs w:val="24"/>
        </w:rPr>
        <w:t xml:space="preserve">), </w:t>
      </w:r>
      <w:r w:rsidR="00FE56D2">
        <w:rPr>
          <w:sz w:val="24"/>
          <w:szCs w:val="24"/>
        </w:rPr>
        <w:t xml:space="preserve">in </w:t>
      </w:r>
      <w:r w:rsidRPr="258E539B">
        <w:rPr>
          <w:sz w:val="24"/>
          <w:szCs w:val="24"/>
        </w:rPr>
        <w:t>which he admitte</w:t>
      </w:r>
      <w:r w:rsidR="22399132" w:rsidRPr="258E539B">
        <w:rPr>
          <w:sz w:val="24"/>
          <w:szCs w:val="24"/>
        </w:rPr>
        <w:t>d the charges as to the indictment</w:t>
      </w:r>
      <w:r w:rsidR="27A00861" w:rsidRPr="258E539B">
        <w:rPr>
          <w:sz w:val="24"/>
          <w:szCs w:val="24"/>
        </w:rPr>
        <w:t xml:space="preserve"> and conviction.</w:t>
      </w:r>
    </w:p>
    <w:p w14:paraId="01D06FEC" w14:textId="4510DEA0" w:rsidR="00AE7240" w:rsidRDefault="001E50CB" w:rsidP="258E539B">
      <w:pPr>
        <w:pStyle w:val="FootnoteText"/>
        <w:spacing w:line="360" w:lineRule="auto"/>
        <w:ind w:firstLine="720"/>
        <w:jc w:val="both"/>
        <w:rPr>
          <w:sz w:val="24"/>
          <w:szCs w:val="24"/>
        </w:rPr>
      </w:pPr>
      <w:r w:rsidRPr="007D557C">
        <w:rPr>
          <w:w w:val="105"/>
          <w:sz w:val="24"/>
          <w:szCs w:val="24"/>
        </w:rPr>
        <w:lastRenderedPageBreak/>
        <w:t xml:space="preserve">On </w:t>
      </w:r>
      <w:r w:rsidR="317F4A4F" w:rsidRPr="007D557C">
        <w:rPr>
          <w:w w:val="105"/>
          <w:sz w:val="24"/>
          <w:szCs w:val="24"/>
        </w:rPr>
        <w:t xml:space="preserve">December 26, 2024, </w:t>
      </w:r>
      <w:r>
        <w:rPr>
          <w:w w:val="105"/>
          <w:sz w:val="24"/>
          <w:szCs w:val="24"/>
        </w:rPr>
        <w:t>Complaint Counsel filed a Motion for Summary Decision</w:t>
      </w:r>
      <w:r w:rsidR="00FE56D2">
        <w:rPr>
          <w:w w:val="105"/>
          <w:sz w:val="24"/>
          <w:szCs w:val="24"/>
        </w:rPr>
        <w:t xml:space="preserve"> (“Motion”)</w:t>
      </w:r>
      <w:r w:rsidR="3C2F4ED4">
        <w:rPr>
          <w:w w:val="105"/>
          <w:sz w:val="24"/>
          <w:szCs w:val="24"/>
        </w:rPr>
        <w:t>,</w:t>
      </w:r>
      <w:r>
        <w:rPr>
          <w:w w:val="105"/>
          <w:sz w:val="24"/>
          <w:szCs w:val="24"/>
        </w:rPr>
        <w:t xml:space="preserve"> </w:t>
      </w:r>
      <w:r w:rsidR="0443E771">
        <w:rPr>
          <w:w w:val="105"/>
          <w:sz w:val="24"/>
          <w:szCs w:val="24"/>
        </w:rPr>
        <w:t>arguing that</w:t>
      </w:r>
      <w:r w:rsidR="00AD77C9">
        <w:rPr>
          <w:w w:val="105"/>
          <w:sz w:val="24"/>
          <w:szCs w:val="24"/>
        </w:rPr>
        <w:t>, given the Respondent’s admissions,</w:t>
      </w:r>
      <w:r w:rsidR="00197445">
        <w:rPr>
          <w:w w:val="105"/>
          <w:sz w:val="24"/>
          <w:szCs w:val="24"/>
        </w:rPr>
        <w:t xml:space="preserve"> </w:t>
      </w:r>
      <w:r w:rsidR="2B7916B7">
        <w:rPr>
          <w:w w:val="105"/>
          <w:sz w:val="24"/>
          <w:szCs w:val="24"/>
        </w:rPr>
        <w:t xml:space="preserve">there were no genuine issues of fact </w:t>
      </w:r>
      <w:r w:rsidR="00EF5085">
        <w:rPr>
          <w:w w:val="105"/>
          <w:sz w:val="24"/>
          <w:szCs w:val="24"/>
        </w:rPr>
        <w:t>in dispute</w:t>
      </w:r>
      <w:r w:rsidR="00197445">
        <w:rPr>
          <w:w w:val="105"/>
          <w:sz w:val="24"/>
          <w:szCs w:val="24"/>
        </w:rPr>
        <w:t xml:space="preserve"> with respect to the </w:t>
      </w:r>
      <w:r w:rsidR="00C06330">
        <w:rPr>
          <w:w w:val="105"/>
          <w:sz w:val="24"/>
          <w:szCs w:val="24"/>
        </w:rPr>
        <w:t>criminal charges, jury trial and conviction.</w:t>
      </w:r>
      <w:r w:rsidR="2B7916B7">
        <w:rPr>
          <w:w w:val="105"/>
          <w:sz w:val="24"/>
          <w:szCs w:val="24"/>
        </w:rPr>
        <w:t xml:space="preserve"> </w:t>
      </w:r>
    </w:p>
    <w:p w14:paraId="52EA741C" w14:textId="7773582C" w:rsidR="00AE7240" w:rsidRDefault="1F8AB8AC" w:rsidP="258E539B">
      <w:pPr>
        <w:pStyle w:val="FootnoteText"/>
        <w:spacing w:line="360" w:lineRule="auto"/>
        <w:ind w:firstLine="720"/>
        <w:jc w:val="both"/>
        <w:rPr>
          <w:sz w:val="24"/>
          <w:szCs w:val="24"/>
        </w:rPr>
      </w:pPr>
      <w:r>
        <w:rPr>
          <w:w w:val="105"/>
          <w:sz w:val="24"/>
          <w:szCs w:val="24"/>
        </w:rPr>
        <w:t xml:space="preserve">On January 29, 2025, the Respondent submitted his </w:t>
      </w:r>
      <w:r w:rsidR="00B82F51">
        <w:rPr>
          <w:w w:val="105"/>
          <w:sz w:val="24"/>
          <w:szCs w:val="24"/>
        </w:rPr>
        <w:t>opposition to the Motion</w:t>
      </w:r>
      <w:r w:rsidR="003D5E36">
        <w:rPr>
          <w:w w:val="105"/>
          <w:sz w:val="24"/>
          <w:szCs w:val="24"/>
        </w:rPr>
        <w:t xml:space="preserve">, arguing that </w:t>
      </w:r>
      <w:r w:rsidR="000F5DF3">
        <w:rPr>
          <w:w w:val="105"/>
          <w:sz w:val="24"/>
          <w:szCs w:val="24"/>
        </w:rPr>
        <w:t>the regulation allowing summary decision</w:t>
      </w:r>
      <w:r w:rsidR="006B133E">
        <w:rPr>
          <w:rStyle w:val="FootnoteReference"/>
          <w:w w:val="105"/>
          <w:sz w:val="24"/>
          <w:szCs w:val="24"/>
        </w:rPr>
        <w:footnoteReference w:id="3"/>
      </w:r>
      <w:r w:rsidR="006B133E">
        <w:rPr>
          <w:w w:val="105"/>
          <w:sz w:val="24"/>
          <w:szCs w:val="24"/>
        </w:rPr>
        <w:t xml:space="preserve"> </w:t>
      </w:r>
      <w:r w:rsidR="000F5DF3">
        <w:rPr>
          <w:w w:val="105"/>
          <w:sz w:val="24"/>
          <w:szCs w:val="24"/>
        </w:rPr>
        <w:t>conflicts with the Board’s enabling statute,</w:t>
      </w:r>
      <w:r w:rsidR="006B133E">
        <w:rPr>
          <w:rStyle w:val="FootnoteReference"/>
          <w:w w:val="105"/>
          <w:sz w:val="24"/>
          <w:szCs w:val="24"/>
        </w:rPr>
        <w:footnoteReference w:id="4"/>
      </w:r>
      <w:r w:rsidR="000F5DF3">
        <w:rPr>
          <w:w w:val="105"/>
          <w:sz w:val="24"/>
          <w:szCs w:val="24"/>
        </w:rPr>
        <w:t xml:space="preserve"> which predicates any Board disciplinary action on a “hearing.” </w:t>
      </w:r>
      <w:r w:rsidR="69CA3229">
        <w:rPr>
          <w:w w:val="105"/>
          <w:sz w:val="24"/>
          <w:szCs w:val="24"/>
        </w:rPr>
        <w:t xml:space="preserve"> </w:t>
      </w:r>
      <w:r w:rsidR="000F5DF3">
        <w:rPr>
          <w:w w:val="105"/>
          <w:sz w:val="24"/>
          <w:szCs w:val="24"/>
        </w:rPr>
        <w:t xml:space="preserve">The Respondent cited to a case where a licensee wanted </w:t>
      </w:r>
      <w:r w:rsidR="00213D35">
        <w:rPr>
          <w:w w:val="105"/>
          <w:sz w:val="24"/>
          <w:szCs w:val="24"/>
        </w:rPr>
        <w:t xml:space="preserve">an opportunity </w:t>
      </w:r>
      <w:r w:rsidR="000F5DF3">
        <w:rPr>
          <w:w w:val="105"/>
          <w:sz w:val="24"/>
          <w:szCs w:val="24"/>
        </w:rPr>
        <w:t xml:space="preserve">to present evidence </w:t>
      </w:r>
      <w:r w:rsidR="00D1182B">
        <w:rPr>
          <w:w w:val="105"/>
          <w:sz w:val="24"/>
          <w:szCs w:val="24"/>
        </w:rPr>
        <w:t>“</w:t>
      </w:r>
      <w:r w:rsidR="000F5DF3">
        <w:rPr>
          <w:w w:val="105"/>
          <w:sz w:val="24"/>
          <w:szCs w:val="24"/>
        </w:rPr>
        <w:t xml:space="preserve">to explain her actions,” hoping to secure a sanction that </w:t>
      </w:r>
      <w:r w:rsidR="000F5DF3" w:rsidRPr="00BD103F">
        <w:rPr>
          <w:w w:val="105"/>
          <w:sz w:val="24"/>
          <w:szCs w:val="24"/>
        </w:rPr>
        <w:t>accounted</w:t>
      </w:r>
      <w:r w:rsidR="000F5DF3">
        <w:rPr>
          <w:w w:val="105"/>
          <w:sz w:val="24"/>
          <w:szCs w:val="24"/>
        </w:rPr>
        <w:t xml:space="preserve"> for her individual circumstances. </w:t>
      </w:r>
      <w:r w:rsidR="00D1182B">
        <w:rPr>
          <w:w w:val="105"/>
          <w:sz w:val="24"/>
          <w:szCs w:val="24"/>
        </w:rPr>
        <w:t>T</w:t>
      </w:r>
      <w:r w:rsidR="000F5DF3">
        <w:rPr>
          <w:w w:val="105"/>
          <w:sz w:val="24"/>
          <w:szCs w:val="24"/>
        </w:rPr>
        <w:t>he Supreme Judicial Court agreed that that entering summary decision in that instance was inconsistent with the applicable statute’s demand for a “hearing</w:t>
      </w:r>
      <w:r w:rsidR="000F5DF3" w:rsidRPr="000F5DF3">
        <w:rPr>
          <w:i/>
          <w:iCs/>
          <w:w w:val="105"/>
          <w:sz w:val="24"/>
          <w:szCs w:val="24"/>
        </w:rPr>
        <w:t>.”</w:t>
      </w:r>
      <w:r w:rsidR="00751E0C">
        <w:rPr>
          <w:rStyle w:val="FootnoteReference"/>
          <w:i/>
          <w:iCs/>
          <w:w w:val="105"/>
          <w:sz w:val="24"/>
          <w:szCs w:val="24"/>
        </w:rPr>
        <w:footnoteReference w:id="5"/>
      </w:r>
      <w:r w:rsidR="000F5DF3" w:rsidRPr="000F5DF3">
        <w:rPr>
          <w:i/>
          <w:iCs/>
          <w:w w:val="105"/>
          <w:sz w:val="24"/>
          <w:szCs w:val="24"/>
        </w:rPr>
        <w:t xml:space="preserve"> </w:t>
      </w:r>
      <w:r w:rsidR="1E4BE018" w:rsidRPr="000F5DF3">
        <w:rPr>
          <w:i/>
          <w:iCs/>
          <w:w w:val="105"/>
          <w:sz w:val="24"/>
          <w:szCs w:val="24"/>
        </w:rPr>
        <w:t>Veksler v. B</w:t>
      </w:r>
      <w:r w:rsidR="000F5DF3" w:rsidRPr="000F5DF3">
        <w:rPr>
          <w:i/>
          <w:iCs/>
          <w:w w:val="105"/>
          <w:sz w:val="24"/>
          <w:szCs w:val="24"/>
        </w:rPr>
        <w:t>oar</w:t>
      </w:r>
      <w:r w:rsidR="1E4BE018" w:rsidRPr="000F5DF3">
        <w:rPr>
          <w:i/>
          <w:iCs/>
          <w:w w:val="105"/>
          <w:sz w:val="24"/>
          <w:szCs w:val="24"/>
        </w:rPr>
        <w:t>d</w:t>
      </w:r>
      <w:r w:rsidR="000F5DF3" w:rsidRPr="000F5DF3">
        <w:rPr>
          <w:i/>
          <w:iCs/>
          <w:w w:val="105"/>
          <w:sz w:val="24"/>
          <w:szCs w:val="24"/>
        </w:rPr>
        <w:t xml:space="preserve"> of</w:t>
      </w:r>
      <w:r w:rsidR="1E4BE018" w:rsidRPr="000F5DF3">
        <w:rPr>
          <w:i/>
          <w:iCs/>
          <w:w w:val="105"/>
          <w:sz w:val="24"/>
          <w:szCs w:val="24"/>
        </w:rPr>
        <w:t xml:space="preserve"> Reg</w:t>
      </w:r>
      <w:r w:rsidR="000F5DF3" w:rsidRPr="000F5DF3">
        <w:rPr>
          <w:i/>
          <w:iCs/>
          <w:w w:val="105"/>
          <w:sz w:val="24"/>
          <w:szCs w:val="24"/>
        </w:rPr>
        <w:t>istration i</w:t>
      </w:r>
      <w:r w:rsidR="1E4BE018" w:rsidRPr="000F5DF3">
        <w:rPr>
          <w:i/>
          <w:iCs/>
          <w:w w:val="105"/>
          <w:sz w:val="24"/>
          <w:szCs w:val="24"/>
        </w:rPr>
        <w:t>n Dentistry</w:t>
      </w:r>
      <w:r w:rsidR="1E4BE018">
        <w:rPr>
          <w:w w:val="105"/>
          <w:sz w:val="24"/>
          <w:szCs w:val="24"/>
        </w:rPr>
        <w:t>, 429 Mass. 6</w:t>
      </w:r>
      <w:r w:rsidR="0FF42500">
        <w:rPr>
          <w:w w:val="105"/>
          <w:sz w:val="24"/>
          <w:szCs w:val="24"/>
        </w:rPr>
        <w:t>50</w:t>
      </w:r>
      <w:r w:rsidR="000F5DF3">
        <w:rPr>
          <w:w w:val="105"/>
          <w:sz w:val="24"/>
          <w:szCs w:val="24"/>
        </w:rPr>
        <w:t>, 651</w:t>
      </w:r>
      <w:r w:rsidR="0FF42500">
        <w:rPr>
          <w:w w:val="105"/>
          <w:sz w:val="24"/>
          <w:szCs w:val="24"/>
        </w:rPr>
        <w:t xml:space="preserve"> (1999)</w:t>
      </w:r>
      <w:r w:rsidR="000F5DF3">
        <w:rPr>
          <w:w w:val="105"/>
          <w:sz w:val="24"/>
          <w:szCs w:val="24"/>
        </w:rPr>
        <w:t xml:space="preserve">. </w:t>
      </w:r>
    </w:p>
    <w:p w14:paraId="244700E0" w14:textId="3D51B7D8" w:rsidR="00AE7240" w:rsidRDefault="18635941" w:rsidP="258E539B">
      <w:pPr>
        <w:pStyle w:val="FootnoteText"/>
        <w:spacing w:line="360" w:lineRule="auto"/>
        <w:ind w:firstLine="720"/>
        <w:jc w:val="both"/>
        <w:rPr>
          <w:sz w:val="24"/>
          <w:szCs w:val="24"/>
        </w:rPr>
      </w:pPr>
      <w:r w:rsidRPr="258E539B">
        <w:rPr>
          <w:sz w:val="24"/>
          <w:szCs w:val="24"/>
        </w:rPr>
        <w:t xml:space="preserve">On February 13, 2025, DALA Magistrate </w:t>
      </w:r>
      <w:r w:rsidR="5985E96B" w:rsidRPr="258E539B">
        <w:rPr>
          <w:sz w:val="24"/>
          <w:szCs w:val="24"/>
        </w:rPr>
        <w:t>Yakov Malkiel (</w:t>
      </w:r>
      <w:r w:rsidR="000F5DF3">
        <w:rPr>
          <w:sz w:val="24"/>
          <w:szCs w:val="24"/>
        </w:rPr>
        <w:t>“</w:t>
      </w:r>
      <w:r w:rsidR="5985E96B" w:rsidRPr="258E539B">
        <w:rPr>
          <w:sz w:val="24"/>
          <w:szCs w:val="24"/>
        </w:rPr>
        <w:t>Magistrate</w:t>
      </w:r>
      <w:r w:rsidR="000F5DF3">
        <w:rPr>
          <w:sz w:val="24"/>
          <w:szCs w:val="24"/>
        </w:rPr>
        <w:t>”</w:t>
      </w:r>
      <w:r w:rsidR="5985E96B" w:rsidRPr="258E539B">
        <w:rPr>
          <w:sz w:val="24"/>
          <w:szCs w:val="24"/>
        </w:rPr>
        <w:t xml:space="preserve">) </w:t>
      </w:r>
      <w:r w:rsidR="001E50CB" w:rsidRPr="007D557C">
        <w:rPr>
          <w:w w:val="105"/>
          <w:sz w:val="24"/>
          <w:szCs w:val="24"/>
        </w:rPr>
        <w:t>issue</w:t>
      </w:r>
      <w:r w:rsidR="001E50CB">
        <w:rPr>
          <w:w w:val="105"/>
          <w:sz w:val="24"/>
          <w:szCs w:val="24"/>
        </w:rPr>
        <w:t>d</w:t>
      </w:r>
      <w:r w:rsidR="001E50CB" w:rsidRPr="007D557C">
        <w:rPr>
          <w:w w:val="105"/>
          <w:sz w:val="24"/>
          <w:szCs w:val="24"/>
        </w:rPr>
        <w:t xml:space="preserve"> a</w:t>
      </w:r>
      <w:r w:rsidR="64F5C820" w:rsidRPr="007D557C">
        <w:rPr>
          <w:w w:val="105"/>
          <w:sz w:val="24"/>
          <w:szCs w:val="24"/>
        </w:rPr>
        <w:t xml:space="preserve">n Order Granting Summary Decision, </w:t>
      </w:r>
      <w:r w:rsidR="000F5DF3">
        <w:rPr>
          <w:w w:val="105"/>
          <w:sz w:val="24"/>
          <w:szCs w:val="24"/>
        </w:rPr>
        <w:t xml:space="preserve">based on a </w:t>
      </w:r>
      <w:r w:rsidR="78557166" w:rsidRPr="007D557C">
        <w:rPr>
          <w:w w:val="105"/>
          <w:sz w:val="24"/>
          <w:szCs w:val="24"/>
        </w:rPr>
        <w:t xml:space="preserve">more recent </w:t>
      </w:r>
      <w:r w:rsidR="000F5DF3">
        <w:rPr>
          <w:w w:val="105"/>
          <w:sz w:val="24"/>
          <w:szCs w:val="24"/>
        </w:rPr>
        <w:t>decision</w:t>
      </w:r>
      <w:r w:rsidR="00C9589B">
        <w:rPr>
          <w:w w:val="105"/>
          <w:sz w:val="24"/>
          <w:szCs w:val="24"/>
        </w:rPr>
        <w:t>,</w:t>
      </w:r>
      <w:r w:rsidR="000F5DF3">
        <w:rPr>
          <w:rStyle w:val="FootnoteReference"/>
          <w:w w:val="105"/>
          <w:sz w:val="24"/>
          <w:szCs w:val="24"/>
        </w:rPr>
        <w:footnoteReference w:id="6"/>
      </w:r>
      <w:r w:rsidR="000F5DF3">
        <w:rPr>
          <w:w w:val="105"/>
          <w:sz w:val="24"/>
          <w:szCs w:val="24"/>
        </w:rPr>
        <w:t xml:space="preserve"> in which the Supreme Judicial Court clarified that </w:t>
      </w:r>
      <w:r w:rsidR="57C0B1A7" w:rsidRPr="000F5DF3">
        <w:rPr>
          <w:i/>
          <w:iCs/>
          <w:w w:val="105"/>
          <w:sz w:val="24"/>
          <w:szCs w:val="24"/>
        </w:rPr>
        <w:t>Veksler</w:t>
      </w:r>
      <w:r w:rsidR="57C0B1A7" w:rsidRPr="007D557C">
        <w:rPr>
          <w:w w:val="105"/>
          <w:sz w:val="24"/>
          <w:szCs w:val="24"/>
        </w:rPr>
        <w:t xml:space="preserve">, </w:t>
      </w:r>
      <w:r w:rsidR="00D730AF">
        <w:rPr>
          <w:w w:val="105"/>
          <w:sz w:val="24"/>
          <w:szCs w:val="24"/>
        </w:rPr>
        <w:t>“</w:t>
      </w:r>
      <w:r w:rsidR="57C0B1A7" w:rsidRPr="007D557C">
        <w:rPr>
          <w:w w:val="105"/>
          <w:sz w:val="24"/>
          <w:szCs w:val="24"/>
        </w:rPr>
        <w:t>safeguard[ed] ‘a right of allocution</w:t>
      </w:r>
      <w:r w:rsidR="00373254">
        <w:rPr>
          <w:w w:val="105"/>
          <w:sz w:val="24"/>
          <w:szCs w:val="24"/>
        </w:rPr>
        <w:t>’</w:t>
      </w:r>
      <w:r w:rsidR="57C0B1A7" w:rsidRPr="007D557C">
        <w:rPr>
          <w:w w:val="105"/>
          <w:sz w:val="24"/>
          <w:szCs w:val="24"/>
        </w:rPr>
        <w:t>, the right to present mitigating factors prior</w:t>
      </w:r>
      <w:r w:rsidR="7F35599B" w:rsidRPr="007D557C">
        <w:rPr>
          <w:w w:val="105"/>
          <w:sz w:val="24"/>
          <w:szCs w:val="24"/>
        </w:rPr>
        <w:t>” to the imposition of discipline</w:t>
      </w:r>
      <w:r w:rsidR="000F5DF3">
        <w:rPr>
          <w:w w:val="105"/>
          <w:sz w:val="24"/>
          <w:szCs w:val="24"/>
        </w:rPr>
        <w:t>,</w:t>
      </w:r>
      <w:r w:rsidR="7F35599B" w:rsidRPr="007D557C">
        <w:rPr>
          <w:w w:val="105"/>
          <w:sz w:val="24"/>
          <w:szCs w:val="24"/>
        </w:rPr>
        <w:t xml:space="preserve"> </w:t>
      </w:r>
      <w:r w:rsidR="004519D6">
        <w:rPr>
          <w:w w:val="105"/>
          <w:sz w:val="24"/>
          <w:szCs w:val="24"/>
        </w:rPr>
        <w:t xml:space="preserve">but did not entitle the practitioner to </w:t>
      </w:r>
      <w:r w:rsidR="5608504C" w:rsidRPr="007D557C">
        <w:rPr>
          <w:w w:val="105"/>
          <w:sz w:val="24"/>
          <w:szCs w:val="24"/>
        </w:rPr>
        <w:t xml:space="preserve">a hearing to take evidence concerning </w:t>
      </w:r>
      <w:r w:rsidR="004519D6">
        <w:rPr>
          <w:w w:val="105"/>
          <w:sz w:val="24"/>
          <w:szCs w:val="24"/>
        </w:rPr>
        <w:t xml:space="preserve">the </w:t>
      </w:r>
      <w:r w:rsidR="5608504C" w:rsidRPr="007D557C">
        <w:rPr>
          <w:w w:val="105"/>
          <w:sz w:val="24"/>
          <w:szCs w:val="24"/>
        </w:rPr>
        <w:t xml:space="preserve">undisputed facts. </w:t>
      </w:r>
      <w:r w:rsidR="009E09E5">
        <w:rPr>
          <w:w w:val="105"/>
          <w:sz w:val="24"/>
          <w:szCs w:val="24"/>
        </w:rPr>
        <w:t>The Court, i</w:t>
      </w:r>
      <w:r w:rsidR="00C9589B">
        <w:rPr>
          <w:w w:val="105"/>
          <w:sz w:val="24"/>
          <w:szCs w:val="24"/>
        </w:rPr>
        <w:t xml:space="preserve">n </w:t>
      </w:r>
      <w:r w:rsidR="00C9589B" w:rsidRPr="00C9589B">
        <w:rPr>
          <w:i/>
          <w:iCs/>
          <w:w w:val="105"/>
          <w:sz w:val="24"/>
          <w:szCs w:val="24"/>
        </w:rPr>
        <w:t>Kobrin</w:t>
      </w:r>
      <w:r w:rsidR="009E09E5" w:rsidRPr="009E09E5">
        <w:rPr>
          <w:w w:val="105"/>
          <w:sz w:val="24"/>
          <w:szCs w:val="24"/>
        </w:rPr>
        <w:t>,</w:t>
      </w:r>
      <w:r w:rsidR="00C9589B">
        <w:rPr>
          <w:w w:val="105"/>
          <w:sz w:val="24"/>
          <w:szCs w:val="24"/>
        </w:rPr>
        <w:t xml:space="preserve"> </w:t>
      </w:r>
      <w:r w:rsidR="009E09E5">
        <w:rPr>
          <w:w w:val="105"/>
          <w:sz w:val="24"/>
          <w:szCs w:val="24"/>
        </w:rPr>
        <w:t>found that t</w:t>
      </w:r>
      <w:r w:rsidR="00C9589B">
        <w:rPr>
          <w:w w:val="105"/>
          <w:sz w:val="24"/>
          <w:szCs w:val="24"/>
        </w:rPr>
        <w:t xml:space="preserve">he right of allocution was not denied when the Board accepted and considered </w:t>
      </w:r>
      <w:r w:rsidR="00C9589B" w:rsidRPr="007D557C">
        <w:rPr>
          <w:w w:val="105"/>
          <w:sz w:val="24"/>
          <w:szCs w:val="24"/>
        </w:rPr>
        <w:t>his disposition-specific affidavits</w:t>
      </w:r>
      <w:r w:rsidR="00C9589B">
        <w:rPr>
          <w:w w:val="105"/>
          <w:sz w:val="24"/>
          <w:szCs w:val="24"/>
        </w:rPr>
        <w:t>.</w:t>
      </w:r>
      <w:r w:rsidR="00C9589B" w:rsidRPr="007D557C">
        <w:rPr>
          <w:w w:val="105"/>
          <w:sz w:val="24"/>
          <w:szCs w:val="24"/>
        </w:rPr>
        <w:t xml:space="preserve"> </w:t>
      </w:r>
      <w:r w:rsidR="00F361D1">
        <w:rPr>
          <w:w w:val="105"/>
          <w:sz w:val="24"/>
          <w:szCs w:val="24"/>
        </w:rPr>
        <w:t xml:space="preserve">Accordingly, the </w:t>
      </w:r>
      <w:r w:rsidR="00623D26">
        <w:rPr>
          <w:w w:val="105"/>
          <w:sz w:val="24"/>
          <w:szCs w:val="24"/>
        </w:rPr>
        <w:t>Board is</w:t>
      </w:r>
      <w:r w:rsidR="00F361D1">
        <w:rPr>
          <w:w w:val="105"/>
          <w:sz w:val="24"/>
          <w:szCs w:val="24"/>
        </w:rPr>
        <w:t xml:space="preserve"> “entitled to rely on the conviction as…conclusive ‘proof,’ when the </w:t>
      </w:r>
      <w:r w:rsidR="00993F11">
        <w:rPr>
          <w:w w:val="105"/>
          <w:sz w:val="24"/>
          <w:szCs w:val="24"/>
        </w:rPr>
        <w:t xml:space="preserve">Board provides </w:t>
      </w:r>
      <w:r w:rsidR="003E2209">
        <w:rPr>
          <w:w w:val="105"/>
          <w:sz w:val="24"/>
          <w:szCs w:val="24"/>
        </w:rPr>
        <w:t xml:space="preserve">a </w:t>
      </w:r>
      <w:r w:rsidR="00F361D1">
        <w:rPr>
          <w:w w:val="105"/>
          <w:sz w:val="24"/>
          <w:szCs w:val="24"/>
        </w:rPr>
        <w:t xml:space="preserve">“right of allocution,” prior to </w:t>
      </w:r>
      <w:r w:rsidR="003E2209">
        <w:rPr>
          <w:w w:val="105"/>
          <w:sz w:val="24"/>
          <w:szCs w:val="24"/>
        </w:rPr>
        <w:t xml:space="preserve">imposing a </w:t>
      </w:r>
      <w:r w:rsidR="00F361D1">
        <w:rPr>
          <w:w w:val="105"/>
          <w:sz w:val="24"/>
          <w:szCs w:val="24"/>
        </w:rPr>
        <w:t>discipline.</w:t>
      </w:r>
    </w:p>
    <w:p w14:paraId="68200D37" w14:textId="517AE537" w:rsidR="00AE7240" w:rsidRDefault="01920DC0" w:rsidP="001E50CB">
      <w:pPr>
        <w:pStyle w:val="FootnoteText"/>
        <w:spacing w:line="360" w:lineRule="auto"/>
        <w:ind w:firstLine="720"/>
        <w:jc w:val="both"/>
        <w:rPr>
          <w:w w:val="105"/>
          <w:sz w:val="24"/>
          <w:szCs w:val="24"/>
        </w:rPr>
      </w:pPr>
      <w:r w:rsidRPr="258E539B">
        <w:rPr>
          <w:sz w:val="24"/>
          <w:szCs w:val="24"/>
        </w:rPr>
        <w:t xml:space="preserve">On February 19, 2025, this Board notified the Parties that they must submit </w:t>
      </w:r>
      <w:r w:rsidR="02C5594C" w:rsidRPr="258E539B">
        <w:rPr>
          <w:sz w:val="24"/>
          <w:szCs w:val="24"/>
        </w:rPr>
        <w:t xml:space="preserve">any objections, a memorandum on disposition and/or a motion to remand to DALA within fourteen business days. Neither </w:t>
      </w:r>
      <w:r w:rsidR="7EDE05D8" w:rsidRPr="258E539B">
        <w:rPr>
          <w:sz w:val="24"/>
          <w:szCs w:val="24"/>
        </w:rPr>
        <w:t xml:space="preserve">Party submitted objections. </w:t>
      </w:r>
      <w:r w:rsidR="0074299C">
        <w:rPr>
          <w:sz w:val="24"/>
          <w:szCs w:val="24"/>
        </w:rPr>
        <w:t>In their respective</w:t>
      </w:r>
      <w:r w:rsidR="009E3036">
        <w:rPr>
          <w:sz w:val="24"/>
          <w:szCs w:val="24"/>
        </w:rPr>
        <w:t xml:space="preserve"> April 2025</w:t>
      </w:r>
      <w:r w:rsidR="0074299C">
        <w:rPr>
          <w:sz w:val="24"/>
          <w:szCs w:val="24"/>
        </w:rPr>
        <w:t xml:space="preserve"> memoranda on disposition, </w:t>
      </w:r>
      <w:r w:rsidR="128FAF09" w:rsidRPr="258E539B">
        <w:rPr>
          <w:sz w:val="24"/>
          <w:szCs w:val="24"/>
        </w:rPr>
        <w:t xml:space="preserve">Complaint Counsel </w:t>
      </w:r>
      <w:r w:rsidR="0074299C">
        <w:rPr>
          <w:sz w:val="24"/>
          <w:szCs w:val="24"/>
        </w:rPr>
        <w:t xml:space="preserve">recommends that the Board impose </w:t>
      </w:r>
      <w:r w:rsidR="128FAF09" w:rsidRPr="258E539B">
        <w:rPr>
          <w:sz w:val="24"/>
          <w:szCs w:val="24"/>
        </w:rPr>
        <w:t>revocation of the Respondent’s</w:t>
      </w:r>
      <w:r w:rsidR="00F361D1">
        <w:rPr>
          <w:sz w:val="24"/>
          <w:szCs w:val="24"/>
        </w:rPr>
        <w:t xml:space="preserve"> license</w:t>
      </w:r>
      <w:r w:rsidR="0074299C">
        <w:rPr>
          <w:sz w:val="24"/>
          <w:szCs w:val="24"/>
        </w:rPr>
        <w:t xml:space="preserve"> as the sanction, while the Respondent recommends that the Board impose suspension of the Respondent’s license as the sanction. </w:t>
      </w:r>
    </w:p>
    <w:p w14:paraId="6BBB2BC1" w14:textId="553E3511" w:rsidR="004E4C11" w:rsidRDefault="004E4C11" w:rsidP="00505A48">
      <w:pPr>
        <w:pStyle w:val="FootnoteText"/>
        <w:spacing w:line="360" w:lineRule="auto"/>
        <w:ind w:firstLine="720"/>
        <w:jc w:val="both"/>
        <w:rPr>
          <w:w w:val="105"/>
          <w:sz w:val="24"/>
          <w:szCs w:val="24"/>
        </w:rPr>
      </w:pPr>
      <w:r>
        <w:rPr>
          <w:w w:val="105"/>
          <w:sz w:val="24"/>
          <w:szCs w:val="24"/>
        </w:rPr>
        <w:t xml:space="preserve">After full consideration of the </w:t>
      </w:r>
      <w:r w:rsidR="5D1FC28D">
        <w:rPr>
          <w:w w:val="105"/>
          <w:sz w:val="24"/>
          <w:szCs w:val="24"/>
        </w:rPr>
        <w:t>Order</w:t>
      </w:r>
      <w:r w:rsidR="00F361D1">
        <w:rPr>
          <w:w w:val="105"/>
          <w:sz w:val="24"/>
          <w:szCs w:val="24"/>
        </w:rPr>
        <w:t xml:space="preserve"> Granting Summary Decision and in the absence of objections to the Order, the Board adopts the Order. The Board draws attention to the final </w:t>
      </w:r>
      <w:r w:rsidR="00F361D1">
        <w:rPr>
          <w:w w:val="105"/>
          <w:sz w:val="24"/>
          <w:szCs w:val="24"/>
        </w:rPr>
        <w:lastRenderedPageBreak/>
        <w:t xml:space="preserve">sentence of the Order, stating, “A recommended decision is hereby entered in complaint counsel’s favor to the effect that the board may impose discipline on Dr. Och on the basis of the allegations and theories appearing in the statement of allegations.” </w:t>
      </w:r>
      <w:r w:rsidR="002A6507">
        <w:rPr>
          <w:w w:val="105"/>
          <w:sz w:val="24"/>
          <w:szCs w:val="24"/>
        </w:rPr>
        <w:t xml:space="preserve">Accordingly, the Board imposes discipline based on the Respondent’s i) </w:t>
      </w:r>
      <w:r w:rsidR="002A6507" w:rsidRPr="00A66FFC">
        <w:rPr>
          <w:w w:val="105"/>
          <w:sz w:val="24"/>
          <w:szCs w:val="24"/>
        </w:rPr>
        <w:t>having been</w:t>
      </w:r>
      <w:r w:rsidR="002A6507" w:rsidRPr="007D557C">
        <w:rPr>
          <w:w w:val="105"/>
          <w:sz w:val="24"/>
          <w:szCs w:val="24"/>
        </w:rPr>
        <w:t xml:space="preserve"> </w:t>
      </w:r>
      <w:r w:rsidR="002A6507">
        <w:rPr>
          <w:w w:val="105"/>
          <w:sz w:val="24"/>
          <w:szCs w:val="24"/>
        </w:rPr>
        <w:t>criminally convicted;</w:t>
      </w:r>
      <w:r w:rsidR="006E563F">
        <w:rPr>
          <w:rStyle w:val="FootnoteReference"/>
          <w:w w:val="105"/>
          <w:sz w:val="24"/>
          <w:szCs w:val="24"/>
        </w:rPr>
        <w:footnoteReference w:id="7"/>
      </w:r>
      <w:r w:rsidR="002A6507">
        <w:rPr>
          <w:w w:val="105"/>
          <w:sz w:val="24"/>
          <w:szCs w:val="24"/>
        </w:rPr>
        <w:t xml:space="preserve"> ii) having been convicted of a criminal offense which reasonably calls into question his ability to practice medicine;</w:t>
      </w:r>
      <w:r w:rsidR="006E563F">
        <w:rPr>
          <w:rStyle w:val="FootnoteReference"/>
          <w:w w:val="105"/>
          <w:sz w:val="24"/>
          <w:szCs w:val="24"/>
        </w:rPr>
        <w:footnoteReference w:id="8"/>
      </w:r>
      <w:r w:rsidR="002A6507">
        <w:rPr>
          <w:w w:val="105"/>
          <w:sz w:val="24"/>
          <w:szCs w:val="24"/>
        </w:rPr>
        <w:t xml:space="preserve"> and iii) for having engaged in conduct that undermines public confidence in the integrity of the medical profession.</w:t>
      </w:r>
      <w:r w:rsidR="00756E79">
        <w:rPr>
          <w:rStyle w:val="FootnoteReference"/>
          <w:w w:val="105"/>
          <w:sz w:val="24"/>
          <w:szCs w:val="24"/>
        </w:rPr>
        <w:footnoteReference w:id="9"/>
      </w:r>
      <w:r w:rsidR="002A6507">
        <w:rPr>
          <w:w w:val="105"/>
          <w:sz w:val="24"/>
          <w:szCs w:val="24"/>
        </w:rPr>
        <w:t xml:space="preserve"> </w:t>
      </w:r>
    </w:p>
    <w:p w14:paraId="78A5DD58" w14:textId="4C9E39CA" w:rsidR="00505A48" w:rsidRPr="00051B92" w:rsidRDefault="00165D28" w:rsidP="00E84FDA">
      <w:pPr>
        <w:pStyle w:val="FootnoteText"/>
        <w:spacing w:line="360" w:lineRule="auto"/>
        <w:ind w:firstLine="720"/>
        <w:jc w:val="center"/>
        <w:rPr>
          <w:w w:val="105"/>
          <w:sz w:val="24"/>
          <w:szCs w:val="24"/>
          <w:u w:val="single"/>
        </w:rPr>
      </w:pPr>
      <w:r>
        <w:rPr>
          <w:w w:val="105"/>
          <w:sz w:val="24"/>
          <w:szCs w:val="24"/>
          <w:u w:val="single"/>
        </w:rPr>
        <w:t>Sanction</w:t>
      </w:r>
    </w:p>
    <w:p w14:paraId="6E86207F" w14:textId="316724F0" w:rsidR="0005766A" w:rsidRDefault="00051B92" w:rsidP="00C37638">
      <w:pPr>
        <w:pStyle w:val="FootnoteText"/>
        <w:spacing w:line="360" w:lineRule="auto"/>
        <w:ind w:firstLine="720"/>
        <w:jc w:val="both"/>
        <w:rPr>
          <w:sz w:val="24"/>
          <w:szCs w:val="24"/>
        </w:rPr>
      </w:pPr>
      <w:r>
        <w:rPr>
          <w:w w:val="105"/>
          <w:sz w:val="24"/>
          <w:szCs w:val="24"/>
        </w:rPr>
        <w:t>The record indicates</w:t>
      </w:r>
      <w:r w:rsidR="0005766A">
        <w:rPr>
          <w:w w:val="105"/>
          <w:sz w:val="24"/>
          <w:szCs w:val="24"/>
        </w:rPr>
        <w:t xml:space="preserve"> </w:t>
      </w:r>
      <w:r w:rsidR="000F1570">
        <w:rPr>
          <w:w w:val="105"/>
          <w:sz w:val="24"/>
          <w:szCs w:val="24"/>
        </w:rPr>
        <w:t xml:space="preserve">that </w:t>
      </w:r>
      <w:r w:rsidR="0005766A">
        <w:rPr>
          <w:w w:val="105"/>
          <w:sz w:val="24"/>
          <w:szCs w:val="24"/>
        </w:rPr>
        <w:t>the Respondent</w:t>
      </w:r>
      <w:r w:rsidR="000270CC">
        <w:rPr>
          <w:w w:val="105"/>
          <w:sz w:val="24"/>
          <w:szCs w:val="24"/>
        </w:rPr>
        <w:t>, a board-certified psychiatrist,</w:t>
      </w:r>
      <w:r w:rsidR="008006DE">
        <w:rPr>
          <w:rStyle w:val="FootnoteReference"/>
          <w:w w:val="105"/>
          <w:sz w:val="24"/>
          <w:szCs w:val="24"/>
        </w:rPr>
        <w:footnoteReference w:id="10"/>
      </w:r>
      <w:r w:rsidR="00D20494">
        <w:rPr>
          <w:w w:val="105"/>
          <w:sz w:val="24"/>
          <w:szCs w:val="24"/>
        </w:rPr>
        <w:t xml:space="preserve"> unlawful</w:t>
      </w:r>
      <w:r w:rsidR="000F1570">
        <w:rPr>
          <w:w w:val="105"/>
          <w:sz w:val="24"/>
          <w:szCs w:val="24"/>
        </w:rPr>
        <w:t>ly</w:t>
      </w:r>
      <w:r w:rsidR="00D20494">
        <w:rPr>
          <w:w w:val="105"/>
          <w:sz w:val="24"/>
          <w:szCs w:val="24"/>
        </w:rPr>
        <w:t xml:space="preserve"> distribut</w:t>
      </w:r>
      <w:r w:rsidR="000F1570">
        <w:rPr>
          <w:w w:val="105"/>
          <w:sz w:val="24"/>
          <w:szCs w:val="24"/>
        </w:rPr>
        <w:t xml:space="preserve">ed </w:t>
      </w:r>
      <w:r w:rsidR="00D20494">
        <w:rPr>
          <w:w w:val="105"/>
          <w:sz w:val="24"/>
          <w:szCs w:val="24"/>
        </w:rPr>
        <w:t>controlled substance</w:t>
      </w:r>
      <w:r w:rsidR="000F1570">
        <w:rPr>
          <w:w w:val="105"/>
          <w:sz w:val="24"/>
          <w:szCs w:val="24"/>
        </w:rPr>
        <w:t>s</w:t>
      </w:r>
      <w:r w:rsidR="00F70E4F">
        <w:rPr>
          <w:w w:val="105"/>
          <w:sz w:val="24"/>
          <w:szCs w:val="24"/>
        </w:rPr>
        <w:t xml:space="preserve"> and that, at trial there </w:t>
      </w:r>
      <w:r w:rsidR="7EEF99BC" w:rsidRPr="258E539B">
        <w:rPr>
          <w:sz w:val="24"/>
          <w:szCs w:val="24"/>
        </w:rPr>
        <w:t xml:space="preserve">was evidence </w:t>
      </w:r>
      <w:r w:rsidR="00F70E4F">
        <w:rPr>
          <w:sz w:val="24"/>
          <w:szCs w:val="24"/>
        </w:rPr>
        <w:t>he did so</w:t>
      </w:r>
      <w:r w:rsidR="7EEF99BC" w:rsidRPr="258E539B">
        <w:rPr>
          <w:sz w:val="24"/>
          <w:szCs w:val="24"/>
        </w:rPr>
        <w:t xml:space="preserve"> without doing proper examinations, obtaining proper medical records, or performing drug testing despite evidence that the patients, who were undercover officers, appeared to have been participating in drug diversion.</w:t>
      </w:r>
    </w:p>
    <w:p w14:paraId="185F87C8" w14:textId="469DB91B" w:rsidR="375F8FA2" w:rsidRDefault="375F8FA2" w:rsidP="356690A4">
      <w:pPr>
        <w:spacing w:line="360" w:lineRule="auto"/>
        <w:ind w:firstLine="720"/>
        <w:jc w:val="both"/>
        <w:rPr>
          <w:sz w:val="24"/>
          <w:szCs w:val="24"/>
        </w:rPr>
      </w:pPr>
      <w:r w:rsidRPr="00B7041A">
        <w:rPr>
          <w:rFonts w:eastAsia="Aptos"/>
          <w:color w:val="000000" w:themeColor="text1"/>
          <w:sz w:val="24"/>
          <w:szCs w:val="24"/>
        </w:rPr>
        <w:t xml:space="preserve">“When determining the appropriate sanction where there has been criminal conduct, </w:t>
      </w:r>
      <w:r w:rsidRPr="00F40E83">
        <w:rPr>
          <w:rFonts w:eastAsia="Aptos"/>
          <w:color w:val="000000" w:themeColor="text1"/>
          <w:sz w:val="24"/>
          <w:szCs w:val="24"/>
        </w:rPr>
        <w:t>the Board takes into consideration</w:t>
      </w:r>
      <w:r w:rsidRPr="00B7041A">
        <w:rPr>
          <w:rFonts w:eastAsia="Aptos"/>
          <w:i/>
          <w:iCs/>
          <w:color w:val="000000" w:themeColor="text1"/>
          <w:sz w:val="24"/>
          <w:szCs w:val="24"/>
        </w:rPr>
        <w:t xml:space="preserve"> </w:t>
      </w:r>
      <w:r w:rsidRPr="00B7041A">
        <w:rPr>
          <w:rFonts w:eastAsia="Aptos"/>
          <w:color w:val="000000" w:themeColor="text1"/>
          <w:sz w:val="24"/>
          <w:szCs w:val="24"/>
        </w:rPr>
        <w:t>the nature of the offense, whether the criminal conduct occurred during the course of the practice of medicine or was related to the practice of medicine...and any mitigating or aggravating circumstances.”</w:t>
      </w:r>
      <w:r w:rsidR="00F40E83">
        <w:rPr>
          <w:rStyle w:val="FootnoteReference"/>
          <w:rFonts w:eastAsia="Aptos"/>
          <w:color w:val="000000" w:themeColor="text1"/>
          <w:sz w:val="24"/>
          <w:szCs w:val="24"/>
        </w:rPr>
        <w:footnoteReference w:id="11"/>
      </w:r>
      <w:r w:rsidRPr="356690A4">
        <w:rPr>
          <w:rFonts w:ascii="Aptos" w:eastAsia="Aptos" w:hAnsi="Aptos" w:cs="Aptos"/>
          <w:color w:val="000000" w:themeColor="text1"/>
          <w:sz w:val="24"/>
          <w:szCs w:val="24"/>
        </w:rPr>
        <w:t xml:space="preserve"> </w:t>
      </w:r>
    </w:p>
    <w:p w14:paraId="4D4C5FF6" w14:textId="53D9AE6D" w:rsidR="002E7931" w:rsidRDefault="00FA65E4" w:rsidP="00E84FDA">
      <w:pPr>
        <w:spacing w:line="360" w:lineRule="auto"/>
        <w:ind w:firstLine="720"/>
        <w:jc w:val="both"/>
        <w:rPr>
          <w:rFonts w:ascii="Aptos" w:eastAsia="Aptos" w:hAnsi="Aptos" w:cs="Aptos"/>
          <w:color w:val="000000" w:themeColor="text1"/>
          <w:sz w:val="24"/>
          <w:szCs w:val="24"/>
        </w:rPr>
      </w:pPr>
      <w:r w:rsidRPr="003E2ACD">
        <w:rPr>
          <w:w w:val="105"/>
          <w:sz w:val="24"/>
          <w:szCs w:val="24"/>
        </w:rPr>
        <w:t xml:space="preserve">The Board has stated, “[A]ny </w:t>
      </w:r>
      <w:r w:rsidRPr="001A01D0">
        <w:rPr>
          <w:w w:val="105"/>
          <w:sz w:val="24"/>
          <w:szCs w:val="24"/>
        </w:rPr>
        <w:t>criminal behavior is antithetical</w:t>
      </w:r>
      <w:r w:rsidRPr="356690A4">
        <w:rPr>
          <w:i/>
          <w:iCs/>
          <w:w w:val="105"/>
          <w:sz w:val="24"/>
          <w:szCs w:val="24"/>
        </w:rPr>
        <w:t xml:space="preserve"> </w:t>
      </w:r>
      <w:r w:rsidRPr="003E2ACD">
        <w:rPr>
          <w:w w:val="105"/>
          <w:sz w:val="24"/>
          <w:szCs w:val="24"/>
        </w:rPr>
        <w:t>to a commitment to preserve life, alleviate suffering, and restore health.”</w:t>
      </w:r>
      <w:r>
        <w:rPr>
          <w:rStyle w:val="FootnoteReference"/>
          <w:w w:val="105"/>
          <w:sz w:val="24"/>
          <w:szCs w:val="24"/>
        </w:rPr>
        <w:footnoteReference w:id="12"/>
      </w:r>
      <w:r w:rsidRPr="003E2ACD">
        <w:rPr>
          <w:w w:val="105"/>
          <w:sz w:val="24"/>
          <w:szCs w:val="24"/>
        </w:rPr>
        <w:t xml:space="preserve"> </w:t>
      </w:r>
      <w:r w:rsidR="00545F2B">
        <w:rPr>
          <w:w w:val="105"/>
          <w:sz w:val="24"/>
          <w:szCs w:val="24"/>
        </w:rPr>
        <w:t>So, too, the Board has stated</w:t>
      </w:r>
      <w:r w:rsidR="009E1662">
        <w:rPr>
          <w:w w:val="105"/>
          <w:sz w:val="24"/>
          <w:szCs w:val="24"/>
        </w:rPr>
        <w:t>,</w:t>
      </w:r>
      <w:r w:rsidR="4660EDD6" w:rsidRPr="00B7041A">
        <w:rPr>
          <w:rFonts w:eastAsia="Aptos"/>
          <w:color w:val="000000" w:themeColor="text1"/>
          <w:sz w:val="24"/>
          <w:szCs w:val="24"/>
        </w:rPr>
        <w:t xml:space="preserve"> </w:t>
      </w:r>
      <w:r w:rsidR="334C9286" w:rsidRPr="00B7041A">
        <w:rPr>
          <w:rFonts w:eastAsia="Aptos"/>
          <w:i/>
          <w:iCs/>
          <w:color w:val="000000" w:themeColor="text1"/>
          <w:sz w:val="24"/>
          <w:szCs w:val="24"/>
        </w:rPr>
        <w:t>“</w:t>
      </w:r>
      <w:r w:rsidR="334C9286" w:rsidRPr="009E1662">
        <w:rPr>
          <w:rFonts w:eastAsia="Aptos"/>
          <w:color w:val="000000" w:themeColor="text1"/>
          <w:sz w:val="24"/>
          <w:szCs w:val="24"/>
        </w:rPr>
        <w:t>Commission of a felony</w:t>
      </w:r>
      <w:r w:rsidR="334C9286" w:rsidRPr="00B7041A">
        <w:rPr>
          <w:rFonts w:eastAsia="Aptos"/>
          <w:i/>
          <w:iCs/>
          <w:color w:val="000000" w:themeColor="text1"/>
          <w:sz w:val="24"/>
          <w:szCs w:val="24"/>
        </w:rPr>
        <w:t xml:space="preserve"> </w:t>
      </w:r>
      <w:r w:rsidR="334C9286" w:rsidRPr="00B7041A">
        <w:rPr>
          <w:rFonts w:eastAsia="Aptos"/>
          <w:color w:val="000000" w:themeColor="text1"/>
          <w:sz w:val="24"/>
          <w:szCs w:val="24"/>
        </w:rPr>
        <w:t>is conclusive evidence of lack of good moral character at the time of the o</w:t>
      </w:r>
      <w:r w:rsidR="00E84FDA">
        <w:rPr>
          <w:rFonts w:eastAsia="Aptos"/>
          <w:color w:val="000000" w:themeColor="text1"/>
          <w:sz w:val="24"/>
          <w:szCs w:val="24"/>
        </w:rPr>
        <w:t>f</w:t>
      </w:r>
      <w:r w:rsidR="334C9286" w:rsidRPr="00B7041A">
        <w:rPr>
          <w:rFonts w:eastAsia="Aptos"/>
          <w:color w:val="000000" w:themeColor="text1"/>
          <w:sz w:val="24"/>
          <w:szCs w:val="24"/>
        </w:rPr>
        <w:t>fense.”</w:t>
      </w:r>
      <w:r w:rsidR="007F6AF7">
        <w:rPr>
          <w:rStyle w:val="FootnoteReference"/>
          <w:rFonts w:eastAsia="Aptos"/>
          <w:color w:val="000000" w:themeColor="text1"/>
          <w:sz w:val="24"/>
          <w:szCs w:val="24"/>
        </w:rPr>
        <w:footnoteReference w:id="13"/>
      </w:r>
      <w:r w:rsidR="334C9286" w:rsidRPr="00B7041A">
        <w:rPr>
          <w:rFonts w:eastAsia="Aptos"/>
          <w:color w:val="000000" w:themeColor="text1"/>
          <w:sz w:val="24"/>
          <w:szCs w:val="24"/>
        </w:rPr>
        <w:t xml:space="preserve"> </w:t>
      </w:r>
    </w:p>
    <w:p w14:paraId="7443FD12" w14:textId="55094882" w:rsidR="002E7931" w:rsidRPr="006F0011" w:rsidRDefault="00864C6F" w:rsidP="00F24239">
      <w:pPr>
        <w:spacing w:line="360" w:lineRule="auto"/>
        <w:ind w:firstLine="720"/>
        <w:jc w:val="both"/>
        <w:rPr>
          <w:rFonts w:eastAsia="Aptos"/>
          <w:color w:val="000000" w:themeColor="text1"/>
          <w:sz w:val="24"/>
          <w:szCs w:val="24"/>
        </w:rPr>
      </w:pPr>
      <w:r w:rsidRPr="006F0011">
        <w:rPr>
          <w:rFonts w:eastAsia="Aptos"/>
          <w:color w:val="000000" w:themeColor="text1"/>
          <w:sz w:val="24"/>
          <w:szCs w:val="24"/>
        </w:rPr>
        <w:t>Three</w:t>
      </w:r>
      <w:r w:rsidR="00903A83" w:rsidRPr="006F0011">
        <w:rPr>
          <w:rFonts w:eastAsia="Aptos"/>
          <w:color w:val="000000" w:themeColor="text1"/>
          <w:sz w:val="24"/>
          <w:szCs w:val="24"/>
        </w:rPr>
        <w:t xml:space="preserve"> decades ago, </w:t>
      </w:r>
      <w:r w:rsidRPr="006F0011">
        <w:rPr>
          <w:rFonts w:eastAsia="Aptos"/>
          <w:color w:val="000000" w:themeColor="text1"/>
          <w:sz w:val="24"/>
          <w:szCs w:val="24"/>
        </w:rPr>
        <w:t xml:space="preserve">the Board considered a case where a psychiatrist </w:t>
      </w:r>
      <w:r w:rsidR="4660EDD6" w:rsidRPr="006F0011">
        <w:rPr>
          <w:rFonts w:eastAsia="Aptos"/>
          <w:color w:val="000000" w:themeColor="text1"/>
          <w:sz w:val="24"/>
          <w:szCs w:val="24"/>
        </w:rPr>
        <w:t>prescrib</w:t>
      </w:r>
      <w:r w:rsidRPr="006F0011">
        <w:rPr>
          <w:rFonts w:eastAsia="Aptos"/>
          <w:color w:val="000000" w:themeColor="text1"/>
          <w:sz w:val="24"/>
          <w:szCs w:val="24"/>
        </w:rPr>
        <w:t>ed</w:t>
      </w:r>
      <w:r w:rsidR="4660EDD6" w:rsidRPr="006F0011">
        <w:rPr>
          <w:rFonts w:eastAsia="Aptos"/>
          <w:color w:val="000000" w:themeColor="text1"/>
          <w:sz w:val="24"/>
          <w:szCs w:val="24"/>
        </w:rPr>
        <w:t xml:space="preserve"> </w:t>
      </w:r>
      <w:r w:rsidRPr="006F0011">
        <w:rPr>
          <w:rFonts w:eastAsia="Aptos"/>
          <w:color w:val="000000" w:themeColor="text1"/>
          <w:sz w:val="24"/>
          <w:szCs w:val="24"/>
        </w:rPr>
        <w:t xml:space="preserve">controlled substances to </w:t>
      </w:r>
      <w:r w:rsidR="4660EDD6" w:rsidRPr="006F0011">
        <w:rPr>
          <w:rFonts w:eastAsia="Aptos"/>
          <w:color w:val="000000" w:themeColor="text1"/>
          <w:sz w:val="24"/>
          <w:szCs w:val="24"/>
        </w:rPr>
        <w:t>patients with histories of substance abuse and without proper evaluation of patients’ current conditions.</w:t>
      </w:r>
      <w:r w:rsidR="05BC368C" w:rsidRPr="006F0011">
        <w:rPr>
          <w:rFonts w:eastAsia="Aptos"/>
          <w:color w:val="000000" w:themeColor="text1"/>
          <w:sz w:val="24"/>
          <w:szCs w:val="24"/>
        </w:rPr>
        <w:t xml:space="preserve"> The Board stated, </w:t>
      </w:r>
      <w:r w:rsidR="0EDB6010" w:rsidRPr="006F0011">
        <w:rPr>
          <w:rFonts w:eastAsia="Aptos"/>
          <w:color w:val="000000" w:themeColor="text1"/>
          <w:sz w:val="24"/>
          <w:szCs w:val="24"/>
        </w:rPr>
        <w:t xml:space="preserve">“We are particularly troubled by the Respondent’s cavalier </w:t>
      </w:r>
      <w:r w:rsidR="0EDB6010" w:rsidRPr="006F0011">
        <w:rPr>
          <w:rFonts w:eastAsia="Aptos"/>
          <w:color w:val="000000" w:themeColor="text1"/>
          <w:sz w:val="24"/>
          <w:szCs w:val="24"/>
        </w:rPr>
        <w:lastRenderedPageBreak/>
        <w:t xml:space="preserve">attitude in </w:t>
      </w:r>
      <w:r w:rsidR="004412D4">
        <w:rPr>
          <w:rFonts w:eastAsia="Aptos"/>
          <w:color w:val="000000" w:themeColor="text1"/>
          <w:sz w:val="24"/>
          <w:szCs w:val="24"/>
        </w:rPr>
        <w:t>prescribing</w:t>
      </w:r>
      <w:r w:rsidR="0EDB6010" w:rsidRPr="006F0011">
        <w:rPr>
          <w:rFonts w:eastAsia="Aptos"/>
          <w:color w:val="000000" w:themeColor="text1"/>
          <w:sz w:val="24"/>
          <w:szCs w:val="24"/>
        </w:rPr>
        <w:t xml:space="preserve"> medications</w:t>
      </w:r>
      <w:r w:rsidR="0097479C" w:rsidRPr="006F0011">
        <w:rPr>
          <w:rFonts w:eastAsia="Aptos"/>
          <w:color w:val="000000" w:themeColor="text1"/>
          <w:sz w:val="24"/>
          <w:szCs w:val="24"/>
        </w:rPr>
        <w:t>…t</w:t>
      </w:r>
      <w:r w:rsidR="0EDB6010" w:rsidRPr="006F0011">
        <w:rPr>
          <w:rFonts w:eastAsia="Aptos"/>
          <w:color w:val="000000" w:themeColor="text1"/>
          <w:sz w:val="24"/>
          <w:szCs w:val="24"/>
        </w:rPr>
        <w:t>o individuals displaying indicators of substance abuse and chemical dependency. The Respondent’s failure to properly examine his patients</w:t>
      </w:r>
      <w:r w:rsidR="00FC36A9" w:rsidRPr="006F0011">
        <w:rPr>
          <w:rFonts w:eastAsia="Aptos"/>
          <w:color w:val="000000" w:themeColor="text1"/>
          <w:sz w:val="24"/>
          <w:szCs w:val="24"/>
        </w:rPr>
        <w:t>…[and]</w:t>
      </w:r>
      <w:r w:rsidR="0EDB6010" w:rsidRPr="006F0011">
        <w:rPr>
          <w:rFonts w:eastAsia="Aptos"/>
          <w:color w:val="000000" w:themeColor="text1"/>
          <w:sz w:val="24"/>
          <w:szCs w:val="24"/>
        </w:rPr>
        <w:t xml:space="preserve"> to document patients</w:t>
      </w:r>
      <w:r w:rsidR="0097479C" w:rsidRPr="006F0011">
        <w:rPr>
          <w:rFonts w:eastAsia="Aptos"/>
          <w:color w:val="000000" w:themeColor="text1"/>
          <w:sz w:val="24"/>
          <w:szCs w:val="24"/>
        </w:rPr>
        <w:t>’</w:t>
      </w:r>
      <w:r w:rsidR="0EDB6010" w:rsidRPr="006F0011">
        <w:rPr>
          <w:rFonts w:eastAsia="Aptos"/>
          <w:color w:val="000000" w:themeColor="text1"/>
          <w:sz w:val="24"/>
          <w:szCs w:val="24"/>
        </w:rPr>
        <w:t xml:space="preserve"> symptoms</w:t>
      </w:r>
      <w:r w:rsidR="00D21BC7" w:rsidRPr="006F0011">
        <w:rPr>
          <w:rFonts w:eastAsia="Aptos"/>
          <w:color w:val="000000" w:themeColor="text1"/>
          <w:sz w:val="24"/>
          <w:szCs w:val="24"/>
        </w:rPr>
        <w:t>…</w:t>
      </w:r>
      <w:r w:rsidR="0EDB6010" w:rsidRPr="006F0011">
        <w:rPr>
          <w:rFonts w:eastAsia="Aptos"/>
          <w:color w:val="000000" w:themeColor="text1"/>
          <w:sz w:val="24"/>
          <w:szCs w:val="24"/>
        </w:rPr>
        <w:t xml:space="preserve"> is</w:t>
      </w:r>
      <w:r w:rsidR="00D21BC7" w:rsidRPr="006F0011">
        <w:rPr>
          <w:rFonts w:eastAsia="Aptos"/>
          <w:color w:val="000000" w:themeColor="text1"/>
          <w:sz w:val="24"/>
          <w:szCs w:val="24"/>
        </w:rPr>
        <w:t xml:space="preserve"> </w:t>
      </w:r>
      <w:r w:rsidR="0EDB6010" w:rsidRPr="006F0011">
        <w:rPr>
          <w:rFonts w:eastAsia="Aptos"/>
          <w:color w:val="000000" w:themeColor="text1"/>
          <w:sz w:val="24"/>
          <w:szCs w:val="24"/>
        </w:rPr>
        <w:t>inexcusable.”</w:t>
      </w:r>
      <w:r w:rsidR="008E6852">
        <w:rPr>
          <w:rStyle w:val="FootnoteReference"/>
          <w:rFonts w:eastAsia="Aptos"/>
          <w:color w:val="000000" w:themeColor="text1"/>
          <w:sz w:val="24"/>
          <w:szCs w:val="24"/>
        </w:rPr>
        <w:footnoteReference w:id="14"/>
      </w:r>
      <w:r w:rsidR="00D21BC7" w:rsidRPr="006F0011">
        <w:rPr>
          <w:rFonts w:eastAsia="Aptos"/>
          <w:color w:val="000000" w:themeColor="text1"/>
          <w:sz w:val="24"/>
          <w:szCs w:val="24"/>
        </w:rPr>
        <w:t xml:space="preserve"> </w:t>
      </w:r>
      <w:r w:rsidR="006F0011" w:rsidRPr="006F0011">
        <w:rPr>
          <w:rFonts w:eastAsia="Aptos"/>
          <w:color w:val="000000" w:themeColor="text1"/>
          <w:sz w:val="24"/>
          <w:szCs w:val="24"/>
        </w:rPr>
        <w:t xml:space="preserve">The </w:t>
      </w:r>
      <w:r w:rsidR="00724387">
        <w:rPr>
          <w:rFonts w:eastAsia="Aptos"/>
          <w:color w:val="000000" w:themeColor="text1"/>
          <w:sz w:val="24"/>
          <w:szCs w:val="24"/>
        </w:rPr>
        <w:t xml:space="preserve">Board </w:t>
      </w:r>
      <w:r w:rsidR="00F24239">
        <w:rPr>
          <w:rFonts w:eastAsia="Aptos"/>
          <w:color w:val="000000" w:themeColor="text1"/>
          <w:sz w:val="24"/>
          <w:szCs w:val="24"/>
        </w:rPr>
        <w:t xml:space="preserve">“has long viewed with the utmost seriousness any physician’s inability or failure to faithfully discharge” his </w:t>
      </w:r>
      <w:r w:rsidR="004412D4">
        <w:rPr>
          <w:rFonts w:eastAsia="Aptos"/>
          <w:color w:val="000000" w:themeColor="text1"/>
          <w:sz w:val="24"/>
          <w:szCs w:val="24"/>
        </w:rPr>
        <w:t>“</w:t>
      </w:r>
      <w:r w:rsidR="00F24239">
        <w:rPr>
          <w:rFonts w:eastAsia="Aptos"/>
          <w:color w:val="000000" w:themeColor="text1"/>
          <w:sz w:val="24"/>
          <w:szCs w:val="24"/>
        </w:rPr>
        <w:t>grave responsibility” for issuing prescriptions for controlled substances.</w:t>
      </w:r>
      <w:r w:rsidR="00F24239">
        <w:rPr>
          <w:rStyle w:val="FootnoteReference"/>
          <w:rFonts w:eastAsia="Aptos"/>
          <w:color w:val="000000" w:themeColor="text1"/>
          <w:sz w:val="24"/>
          <w:szCs w:val="24"/>
        </w:rPr>
        <w:footnoteReference w:id="15"/>
      </w:r>
      <w:r w:rsidR="00F24239">
        <w:rPr>
          <w:rFonts w:eastAsia="Aptos"/>
          <w:color w:val="000000" w:themeColor="text1"/>
          <w:sz w:val="24"/>
          <w:szCs w:val="24"/>
        </w:rPr>
        <w:t xml:space="preserve"> </w:t>
      </w:r>
    </w:p>
    <w:p w14:paraId="13281C5A" w14:textId="2C21F47A" w:rsidR="00C53DA1" w:rsidRPr="00A56F8F" w:rsidRDefault="00C53DA1" w:rsidP="00A56F8F">
      <w:pPr>
        <w:spacing w:line="360" w:lineRule="auto"/>
        <w:ind w:firstLine="720"/>
        <w:jc w:val="both"/>
        <w:rPr>
          <w:rFonts w:eastAsia="Aptos"/>
          <w:color w:val="000000" w:themeColor="text1"/>
          <w:sz w:val="24"/>
          <w:szCs w:val="24"/>
        </w:rPr>
      </w:pPr>
      <w:r w:rsidRPr="00A56F8F">
        <w:rPr>
          <w:rFonts w:eastAsia="Aptos"/>
          <w:color w:val="000000" w:themeColor="text1"/>
          <w:sz w:val="24"/>
          <w:szCs w:val="24"/>
        </w:rPr>
        <w:t>“It is well settled that the Board must consider mitigating factors when deciding on an appropriate sanc</w:t>
      </w:r>
      <w:r w:rsidR="002A31B6" w:rsidRPr="00A56F8F">
        <w:rPr>
          <w:rFonts w:eastAsia="Aptos"/>
          <w:color w:val="000000" w:themeColor="text1"/>
          <w:sz w:val="24"/>
          <w:szCs w:val="24"/>
        </w:rPr>
        <w:t>t</w:t>
      </w:r>
      <w:r w:rsidRPr="00A56F8F">
        <w:rPr>
          <w:rFonts w:eastAsia="Aptos"/>
          <w:color w:val="000000" w:themeColor="text1"/>
          <w:sz w:val="24"/>
          <w:szCs w:val="24"/>
        </w:rPr>
        <w:t>ion.</w:t>
      </w:r>
      <w:r w:rsidR="002A31B6" w:rsidRPr="00A56F8F">
        <w:rPr>
          <w:rFonts w:eastAsia="Aptos"/>
          <w:color w:val="000000" w:themeColor="text1"/>
          <w:sz w:val="24"/>
          <w:szCs w:val="24"/>
        </w:rPr>
        <w:t>”</w:t>
      </w:r>
      <w:r w:rsidR="002A31B6" w:rsidRPr="00A56F8F">
        <w:rPr>
          <w:rStyle w:val="FootnoteReference"/>
          <w:rFonts w:eastAsia="Aptos"/>
          <w:color w:val="000000" w:themeColor="text1"/>
          <w:sz w:val="24"/>
          <w:szCs w:val="24"/>
        </w:rPr>
        <w:footnoteReference w:id="16"/>
      </w:r>
      <w:r w:rsidRPr="00A56F8F">
        <w:rPr>
          <w:rFonts w:eastAsia="Aptos"/>
          <w:color w:val="000000" w:themeColor="text1"/>
          <w:sz w:val="24"/>
          <w:szCs w:val="24"/>
        </w:rPr>
        <w:t xml:space="preserve"> </w:t>
      </w:r>
      <w:r w:rsidR="00E7676F" w:rsidRPr="00A56F8F">
        <w:rPr>
          <w:rFonts w:eastAsia="Aptos"/>
          <w:color w:val="000000" w:themeColor="text1"/>
          <w:sz w:val="24"/>
          <w:szCs w:val="24"/>
        </w:rPr>
        <w:t xml:space="preserve">In the pending matter, the Respondent </w:t>
      </w:r>
      <w:r w:rsidR="004412D4">
        <w:rPr>
          <w:rFonts w:eastAsia="Aptos"/>
          <w:color w:val="000000" w:themeColor="text1"/>
          <w:sz w:val="24"/>
          <w:szCs w:val="24"/>
        </w:rPr>
        <w:t>has submitted numerous letters of support from family, employees, and colleagues who extol his virtuous service both loca</w:t>
      </w:r>
      <w:r w:rsidR="00550DA8">
        <w:rPr>
          <w:rFonts w:eastAsia="Aptos"/>
          <w:color w:val="000000" w:themeColor="text1"/>
          <w:sz w:val="24"/>
          <w:szCs w:val="24"/>
        </w:rPr>
        <w:t>l</w:t>
      </w:r>
      <w:r w:rsidR="004412D4">
        <w:rPr>
          <w:rFonts w:eastAsia="Aptos"/>
          <w:color w:val="000000" w:themeColor="text1"/>
          <w:sz w:val="24"/>
          <w:szCs w:val="24"/>
        </w:rPr>
        <w:t>l</w:t>
      </w:r>
      <w:r w:rsidR="00550DA8">
        <w:rPr>
          <w:rFonts w:eastAsia="Aptos"/>
          <w:color w:val="000000" w:themeColor="text1"/>
          <w:sz w:val="24"/>
          <w:szCs w:val="24"/>
        </w:rPr>
        <w:t>y</w:t>
      </w:r>
      <w:r w:rsidR="004412D4">
        <w:rPr>
          <w:rFonts w:eastAsia="Aptos"/>
          <w:color w:val="000000" w:themeColor="text1"/>
          <w:sz w:val="24"/>
          <w:szCs w:val="24"/>
        </w:rPr>
        <w:t xml:space="preserve"> and international</w:t>
      </w:r>
      <w:r w:rsidR="00550DA8">
        <w:rPr>
          <w:rFonts w:eastAsia="Aptos"/>
          <w:color w:val="000000" w:themeColor="text1"/>
          <w:sz w:val="24"/>
          <w:szCs w:val="24"/>
        </w:rPr>
        <w:t>ly</w:t>
      </w:r>
      <w:r w:rsidR="004412D4">
        <w:rPr>
          <w:rFonts w:eastAsia="Aptos"/>
          <w:color w:val="000000" w:themeColor="text1"/>
          <w:sz w:val="24"/>
          <w:szCs w:val="24"/>
        </w:rPr>
        <w:t>. The Board acknowledges the Respondent’s contributions but find</w:t>
      </w:r>
      <w:r w:rsidR="00C340C1">
        <w:rPr>
          <w:rFonts w:eastAsia="Aptos"/>
          <w:color w:val="000000" w:themeColor="text1"/>
          <w:sz w:val="24"/>
          <w:szCs w:val="24"/>
        </w:rPr>
        <w:t>s</w:t>
      </w:r>
      <w:r w:rsidR="004412D4">
        <w:rPr>
          <w:rFonts w:eastAsia="Aptos"/>
          <w:color w:val="000000" w:themeColor="text1"/>
          <w:sz w:val="24"/>
          <w:szCs w:val="24"/>
        </w:rPr>
        <w:t xml:space="preserve"> that they pale in comparison to the Respondent’s cavalier prescribing</w:t>
      </w:r>
      <w:r w:rsidR="00C340C1">
        <w:rPr>
          <w:rFonts w:eastAsia="Aptos"/>
          <w:color w:val="000000" w:themeColor="text1"/>
          <w:sz w:val="24"/>
          <w:szCs w:val="24"/>
        </w:rPr>
        <w:t>.</w:t>
      </w:r>
      <w:r w:rsidR="004412D4">
        <w:rPr>
          <w:rFonts w:eastAsia="Aptos"/>
          <w:color w:val="000000" w:themeColor="text1"/>
          <w:sz w:val="24"/>
          <w:szCs w:val="24"/>
        </w:rPr>
        <w:t xml:space="preserve"> </w:t>
      </w:r>
    </w:p>
    <w:p w14:paraId="226D4A64" w14:textId="6C65B3A0" w:rsidR="00FA65E4" w:rsidRDefault="00A56F8F" w:rsidP="00C340C1">
      <w:pPr>
        <w:spacing w:line="360" w:lineRule="auto"/>
        <w:jc w:val="both"/>
        <w:rPr>
          <w:sz w:val="24"/>
          <w:szCs w:val="24"/>
        </w:rPr>
      </w:pPr>
      <w:r w:rsidRPr="00A56F8F">
        <w:rPr>
          <w:rFonts w:eastAsia="Aptos"/>
          <w:color w:val="000000" w:themeColor="text1"/>
          <w:sz w:val="24"/>
          <w:szCs w:val="24"/>
        </w:rPr>
        <w:tab/>
      </w:r>
      <w:r w:rsidR="00F55B6F">
        <w:rPr>
          <w:rFonts w:eastAsia="Aptos"/>
          <w:color w:val="000000" w:themeColor="text1"/>
          <w:sz w:val="24"/>
          <w:szCs w:val="24"/>
        </w:rPr>
        <w:t xml:space="preserve">Consistent with the Board’s public protection mission, </w:t>
      </w:r>
      <w:r w:rsidR="00281726">
        <w:rPr>
          <w:rFonts w:eastAsia="Aptos"/>
          <w:color w:val="000000" w:themeColor="text1"/>
          <w:sz w:val="24"/>
          <w:szCs w:val="24"/>
        </w:rPr>
        <w:t xml:space="preserve">in </w:t>
      </w:r>
      <w:r w:rsidRPr="00A56F8F">
        <w:rPr>
          <w:rFonts w:eastAsia="Aptos"/>
          <w:color w:val="000000" w:themeColor="text1"/>
          <w:sz w:val="24"/>
          <w:szCs w:val="24"/>
        </w:rPr>
        <w:t xml:space="preserve">light of the Respondent’s </w:t>
      </w:r>
      <w:r w:rsidR="00281726">
        <w:rPr>
          <w:rFonts w:eastAsia="Aptos"/>
          <w:color w:val="000000" w:themeColor="text1"/>
          <w:sz w:val="24"/>
          <w:szCs w:val="24"/>
        </w:rPr>
        <w:t>engaging in conduct</w:t>
      </w:r>
      <w:r w:rsidRPr="00A56F8F">
        <w:rPr>
          <w:rFonts w:eastAsia="Aptos"/>
          <w:color w:val="000000" w:themeColor="text1"/>
          <w:sz w:val="24"/>
          <w:szCs w:val="24"/>
        </w:rPr>
        <w:t xml:space="preserve"> “antithetical to a commitment to preserve life [and] alleviate suffering,” and consistent with the </w:t>
      </w:r>
      <w:r w:rsidR="00C340C1">
        <w:rPr>
          <w:rFonts w:eastAsia="Aptos"/>
          <w:color w:val="000000" w:themeColor="text1"/>
          <w:sz w:val="24"/>
          <w:szCs w:val="24"/>
        </w:rPr>
        <w:t xml:space="preserve">Board’s reiterating, over three decades, the seriousness with which the Board considers a </w:t>
      </w:r>
      <w:r w:rsidRPr="00A56F8F">
        <w:rPr>
          <w:rFonts w:eastAsia="Aptos"/>
          <w:color w:val="000000" w:themeColor="text1"/>
          <w:sz w:val="24"/>
          <w:szCs w:val="24"/>
        </w:rPr>
        <w:t xml:space="preserve">physician’s failure to faithfully discharge his grave responsibility for issuing prescriptions, the Board </w:t>
      </w:r>
      <w:r w:rsidR="00C340C1">
        <w:rPr>
          <w:rFonts w:eastAsia="Aptos"/>
          <w:color w:val="000000" w:themeColor="text1"/>
          <w:sz w:val="24"/>
          <w:szCs w:val="24"/>
        </w:rPr>
        <w:t>R</w:t>
      </w:r>
      <w:r w:rsidR="009D540E">
        <w:rPr>
          <w:sz w:val="24"/>
          <w:szCs w:val="24"/>
        </w:rPr>
        <w:t>EVOKES</w:t>
      </w:r>
      <w:r w:rsidR="00FA65E4">
        <w:rPr>
          <w:sz w:val="24"/>
          <w:szCs w:val="24"/>
        </w:rPr>
        <w:t xml:space="preserve"> the Respondent’s inchoate right to renew his license. </w:t>
      </w:r>
    </w:p>
    <w:p w14:paraId="48892E9A" w14:textId="30E34177" w:rsidR="00E3380B" w:rsidRDefault="00E3380B" w:rsidP="00326EC3">
      <w:pPr>
        <w:pStyle w:val="BodyText"/>
        <w:spacing w:line="360" w:lineRule="auto"/>
        <w:ind w:right="106" w:firstLine="716"/>
        <w:jc w:val="both"/>
        <w:rPr>
          <w:sz w:val="24"/>
        </w:rPr>
      </w:pPr>
      <w:r>
        <w:rPr>
          <w:w w:val="105"/>
        </w:rPr>
        <w:t>The Respondent shall provide a complete copy of</w:t>
      </w:r>
      <w:r>
        <w:rPr>
          <w:spacing w:val="-1"/>
          <w:w w:val="105"/>
        </w:rPr>
        <w:t xml:space="preserve"> </w:t>
      </w:r>
      <w:r>
        <w:rPr>
          <w:w w:val="105"/>
        </w:rPr>
        <w:t>this Final Decision and Order, with all exhibits and attachments within ten (10) days by certified mail, return receipt requested,</w:t>
      </w:r>
      <w:r>
        <w:rPr>
          <w:spacing w:val="-7"/>
          <w:w w:val="105"/>
        </w:rPr>
        <w:t xml:space="preserve"> </w:t>
      </w:r>
      <w:r>
        <w:rPr>
          <w:w w:val="105"/>
        </w:rPr>
        <w:t>or by</w:t>
      </w:r>
      <w:r>
        <w:rPr>
          <w:spacing w:val="-3"/>
          <w:w w:val="105"/>
        </w:rPr>
        <w:t xml:space="preserve"> </w:t>
      </w:r>
      <w:r>
        <w:rPr>
          <w:w w:val="105"/>
        </w:rPr>
        <w:t>hand</w:t>
      </w:r>
      <w:r>
        <w:rPr>
          <w:spacing w:val="-2"/>
          <w:w w:val="105"/>
        </w:rPr>
        <w:t xml:space="preserve"> </w:t>
      </w:r>
      <w:r>
        <w:rPr>
          <w:w w:val="105"/>
        </w:rPr>
        <w:t>delivery to</w:t>
      </w:r>
      <w:r>
        <w:rPr>
          <w:spacing w:val="-16"/>
          <w:w w:val="105"/>
        </w:rPr>
        <w:t xml:space="preserve"> </w:t>
      </w:r>
      <w:r>
        <w:rPr>
          <w:w w:val="105"/>
        </w:rPr>
        <w:t>the</w:t>
      </w:r>
      <w:r>
        <w:rPr>
          <w:spacing w:val="-14"/>
          <w:w w:val="105"/>
        </w:rPr>
        <w:t xml:space="preserve"> </w:t>
      </w:r>
      <w:r>
        <w:rPr>
          <w:w w:val="105"/>
        </w:rPr>
        <w:t>following designated entities:</w:t>
      </w:r>
      <w:r>
        <w:rPr>
          <w:spacing w:val="40"/>
          <w:w w:val="105"/>
        </w:rPr>
        <w:t xml:space="preserve"> </w:t>
      </w:r>
      <w:r>
        <w:rPr>
          <w:w w:val="105"/>
        </w:rPr>
        <w:t>any</w:t>
      </w:r>
      <w:r>
        <w:rPr>
          <w:spacing w:val="-6"/>
          <w:w w:val="105"/>
        </w:rPr>
        <w:t xml:space="preserve"> </w:t>
      </w:r>
      <w:r>
        <w:rPr>
          <w:w w:val="105"/>
        </w:rPr>
        <w:t>in-</w:t>
      </w:r>
      <w:r>
        <w:rPr>
          <w:spacing w:val="-9"/>
          <w:w w:val="105"/>
        </w:rPr>
        <w:t xml:space="preserve"> </w:t>
      </w:r>
      <w:r>
        <w:rPr>
          <w:w w:val="105"/>
        </w:rPr>
        <w:t>or</w:t>
      </w:r>
      <w:r>
        <w:rPr>
          <w:spacing w:val="-14"/>
          <w:w w:val="105"/>
        </w:rPr>
        <w:t xml:space="preserve"> </w:t>
      </w:r>
      <w:r>
        <w:rPr>
          <w:w w:val="105"/>
        </w:rPr>
        <w:t>out-of-state hospital, nursing home, clinic, other licensed facility, or municipal, state, or federal facility</w:t>
      </w:r>
      <w:r>
        <w:rPr>
          <w:spacing w:val="65"/>
          <w:w w:val="105"/>
        </w:rPr>
        <w:t xml:space="preserve"> </w:t>
      </w:r>
      <w:r>
        <w:rPr>
          <w:w w:val="105"/>
        </w:rPr>
        <w:t>at</w:t>
      </w:r>
      <w:r>
        <w:rPr>
          <w:spacing w:val="60"/>
          <w:w w:val="105"/>
        </w:rPr>
        <w:t xml:space="preserve"> </w:t>
      </w:r>
      <w:r>
        <w:rPr>
          <w:w w:val="105"/>
        </w:rPr>
        <w:t>which</w:t>
      </w:r>
      <w:r>
        <w:rPr>
          <w:spacing w:val="64"/>
          <w:w w:val="105"/>
        </w:rPr>
        <w:t xml:space="preserve"> </w:t>
      </w:r>
      <w:r>
        <w:rPr>
          <w:w w:val="105"/>
        </w:rPr>
        <w:t>he</w:t>
      </w:r>
      <w:r>
        <w:rPr>
          <w:spacing w:val="63"/>
          <w:w w:val="105"/>
        </w:rPr>
        <w:t xml:space="preserve"> </w:t>
      </w:r>
      <w:r>
        <w:rPr>
          <w:w w:val="105"/>
        </w:rPr>
        <w:t>practices</w:t>
      </w:r>
      <w:r>
        <w:rPr>
          <w:spacing w:val="70"/>
          <w:w w:val="105"/>
        </w:rPr>
        <w:t xml:space="preserve"> </w:t>
      </w:r>
      <w:r>
        <w:rPr>
          <w:w w:val="105"/>
        </w:rPr>
        <w:t>medicine;</w:t>
      </w:r>
      <w:r>
        <w:rPr>
          <w:spacing w:val="69"/>
          <w:w w:val="105"/>
        </w:rPr>
        <w:t xml:space="preserve"> </w:t>
      </w:r>
      <w:r>
        <w:rPr>
          <w:w w:val="105"/>
        </w:rPr>
        <w:t>any</w:t>
      </w:r>
      <w:r>
        <w:rPr>
          <w:spacing w:val="70"/>
          <w:w w:val="105"/>
        </w:rPr>
        <w:t xml:space="preserve"> </w:t>
      </w:r>
      <w:r>
        <w:rPr>
          <w:w w:val="105"/>
        </w:rPr>
        <w:t>in-</w:t>
      </w:r>
      <w:r>
        <w:rPr>
          <w:spacing w:val="61"/>
          <w:w w:val="105"/>
        </w:rPr>
        <w:t xml:space="preserve"> </w:t>
      </w:r>
      <w:r>
        <w:rPr>
          <w:w w:val="105"/>
        </w:rPr>
        <w:t>or</w:t>
      </w:r>
      <w:r>
        <w:rPr>
          <w:spacing w:val="40"/>
          <w:w w:val="105"/>
        </w:rPr>
        <w:t xml:space="preserve"> </w:t>
      </w:r>
      <w:r>
        <w:rPr>
          <w:w w:val="105"/>
        </w:rPr>
        <w:t>out-of-state</w:t>
      </w:r>
      <w:r>
        <w:rPr>
          <w:spacing w:val="80"/>
          <w:w w:val="105"/>
        </w:rPr>
        <w:t xml:space="preserve"> </w:t>
      </w:r>
      <w:r>
        <w:rPr>
          <w:w w:val="105"/>
        </w:rPr>
        <w:t>health</w:t>
      </w:r>
      <w:r>
        <w:rPr>
          <w:spacing w:val="65"/>
          <w:w w:val="105"/>
        </w:rPr>
        <w:t xml:space="preserve"> </w:t>
      </w:r>
      <w:r>
        <w:rPr>
          <w:w w:val="105"/>
        </w:rPr>
        <w:t>maintenance</w:t>
      </w:r>
      <w:r w:rsidR="00D7112B">
        <w:rPr>
          <w:w w:val="105"/>
        </w:rPr>
        <w:t xml:space="preserve"> o</w:t>
      </w:r>
      <w:r>
        <w:rPr>
          <w:sz w:val="24"/>
        </w:rPr>
        <w:t xml:space="preserve">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w:t>
      </w:r>
      <w:r>
        <w:rPr>
          <w:sz w:val="24"/>
        </w:rPr>
        <w:lastRenderedPageBreak/>
        <w:t>Department of Public Health Drug Control Program.</w:t>
      </w:r>
      <w:r>
        <w:rPr>
          <w:spacing w:val="40"/>
          <w:sz w:val="24"/>
        </w:rPr>
        <w:t xml:space="preserve"> </w:t>
      </w:r>
      <w:r>
        <w:rPr>
          <w:sz w:val="24"/>
        </w:rPr>
        <w:t>The Respondent shall also provide this</w:t>
      </w:r>
      <w:r>
        <w:rPr>
          <w:spacing w:val="-1"/>
          <w:sz w:val="24"/>
        </w:rPr>
        <w:t xml:space="preserve"> </w:t>
      </w:r>
      <w:r>
        <w:rPr>
          <w:sz w:val="24"/>
        </w:rPr>
        <w:t>notification to</w:t>
      </w:r>
      <w:r>
        <w:rPr>
          <w:spacing w:val="-3"/>
          <w:sz w:val="24"/>
        </w:rPr>
        <w:t xml:space="preserve"> </w:t>
      </w:r>
      <w:r>
        <w:rPr>
          <w:sz w:val="24"/>
        </w:rPr>
        <w:t>any such designated entities with which he becomes associated for the duration of this revocation.</w:t>
      </w:r>
      <w:r>
        <w:rPr>
          <w:spacing w:val="40"/>
          <w:sz w:val="24"/>
        </w:rPr>
        <w:t xml:space="preserve"> </w:t>
      </w:r>
      <w:r>
        <w:rPr>
          <w:sz w:val="24"/>
        </w:rPr>
        <w:t>The Respondent is further directed to certify to the Board within ten (10) days that he has complied with this directive.</w:t>
      </w:r>
      <w:r>
        <w:rPr>
          <w:spacing w:val="80"/>
          <w:sz w:val="24"/>
        </w:rPr>
        <w:t xml:space="preserve"> </w:t>
      </w:r>
      <w:r>
        <w:rPr>
          <w:sz w:val="24"/>
        </w:rPr>
        <w:t>The Board expressly reserves the authority to independently notify, at any time, any of the entities designated above, or any other affected entity, of any action it has taken. The Respondent</w:t>
      </w:r>
      <w:r>
        <w:rPr>
          <w:spacing w:val="40"/>
          <w:sz w:val="24"/>
        </w:rPr>
        <w:t xml:space="preserve"> </w:t>
      </w:r>
      <w:r>
        <w:rPr>
          <w:sz w:val="24"/>
        </w:rPr>
        <w:t>has the right to appeal this Final Decision and Order within thirty (30) days, pursuant to G.L. c. 30A, §§14 and 15, and G.L. c. 112, § 64.</w:t>
      </w:r>
    </w:p>
    <w:p w14:paraId="788AF943" w14:textId="3D6B352A" w:rsidR="00E3380B" w:rsidRDefault="00E3380B" w:rsidP="00E3380B">
      <w:pPr>
        <w:tabs>
          <w:tab w:val="left" w:pos="865"/>
          <w:tab w:val="left" w:pos="3735"/>
          <w:tab w:val="left" w:pos="7305"/>
        </w:tabs>
        <w:spacing w:before="217" w:line="271" w:lineRule="exact"/>
        <w:ind w:left="145"/>
        <w:rPr>
          <w:sz w:val="24"/>
        </w:rPr>
      </w:pPr>
      <w:r>
        <w:rPr>
          <w:spacing w:val="-2"/>
          <w:sz w:val="24"/>
        </w:rPr>
        <w:t>Date:</w:t>
      </w:r>
      <w:r>
        <w:rPr>
          <w:sz w:val="24"/>
        </w:rPr>
        <w:tab/>
      </w:r>
      <w:r w:rsidR="00822136">
        <w:rPr>
          <w:sz w:val="24"/>
        </w:rPr>
        <w:t>May 29, 2025</w:t>
      </w:r>
      <w:r>
        <w:rPr>
          <w:sz w:val="24"/>
        </w:rPr>
        <w:tab/>
      </w:r>
      <w:r w:rsidR="00653E90">
        <w:rPr>
          <w:sz w:val="24"/>
          <w:u w:val="single"/>
        </w:rPr>
        <w:t>Signed by Booker T. Bush, M.D.</w:t>
      </w:r>
      <w:r w:rsidR="00653E90">
        <w:rPr>
          <w:sz w:val="24"/>
          <w:u w:val="single"/>
        </w:rPr>
        <w:tab/>
      </w:r>
    </w:p>
    <w:p w14:paraId="06896F36" w14:textId="0A46405C" w:rsidR="00E3380B" w:rsidRDefault="00B538F8" w:rsidP="00E3380B">
      <w:pPr>
        <w:spacing w:line="244" w:lineRule="auto"/>
        <w:ind w:left="3756" w:right="2517" w:hanging="4"/>
        <w:rPr>
          <w:sz w:val="24"/>
        </w:rPr>
      </w:pPr>
      <w:r>
        <w:rPr>
          <w:sz w:val="24"/>
        </w:rPr>
        <w:t xml:space="preserve">Booker </w:t>
      </w:r>
      <w:r w:rsidR="0022485D">
        <w:rPr>
          <w:sz w:val="24"/>
        </w:rPr>
        <w:t xml:space="preserve">T. </w:t>
      </w:r>
      <w:r>
        <w:rPr>
          <w:sz w:val="24"/>
        </w:rPr>
        <w:t>Bush,</w:t>
      </w:r>
      <w:r w:rsidR="00E3380B">
        <w:rPr>
          <w:spacing w:val="-8"/>
          <w:sz w:val="24"/>
        </w:rPr>
        <w:t xml:space="preserve"> </w:t>
      </w:r>
      <w:r w:rsidR="00E3380B">
        <w:rPr>
          <w:sz w:val="24"/>
        </w:rPr>
        <w:t>M.D.</w:t>
      </w:r>
      <w:r w:rsidR="00D472CE">
        <w:rPr>
          <w:sz w:val="24"/>
        </w:rPr>
        <w:t>,</w:t>
      </w:r>
      <w:r w:rsidR="00E3380B">
        <w:rPr>
          <w:sz w:val="24"/>
        </w:rPr>
        <w:t xml:space="preserve"> </w:t>
      </w:r>
      <w:r w:rsidR="00E3380B">
        <w:rPr>
          <w:spacing w:val="-4"/>
          <w:sz w:val="24"/>
        </w:rPr>
        <w:t>Chair</w:t>
      </w:r>
    </w:p>
    <w:p w14:paraId="617C256F" w14:textId="38BE38C8" w:rsidR="00E3380B" w:rsidRDefault="00E3380B" w:rsidP="00E3380B">
      <w:pPr>
        <w:spacing w:line="268" w:lineRule="exact"/>
        <w:ind w:left="3753"/>
        <w:rPr>
          <w:spacing w:val="-2"/>
          <w:sz w:val="24"/>
        </w:rPr>
      </w:pPr>
      <w:r>
        <w:rPr>
          <w:sz w:val="24"/>
        </w:rPr>
        <w:t>Board of</w:t>
      </w:r>
      <w:r>
        <w:rPr>
          <w:spacing w:val="-6"/>
          <w:sz w:val="24"/>
        </w:rPr>
        <w:t xml:space="preserve"> </w:t>
      </w:r>
      <w:r>
        <w:rPr>
          <w:sz w:val="24"/>
        </w:rPr>
        <w:t>Registration</w:t>
      </w:r>
      <w:r>
        <w:rPr>
          <w:spacing w:val="10"/>
          <w:sz w:val="24"/>
        </w:rPr>
        <w:t xml:space="preserve"> </w:t>
      </w:r>
      <w:r>
        <w:rPr>
          <w:sz w:val="24"/>
        </w:rPr>
        <w:t>in</w:t>
      </w:r>
      <w:r>
        <w:rPr>
          <w:spacing w:val="-11"/>
          <w:sz w:val="24"/>
        </w:rPr>
        <w:t xml:space="preserve"> </w:t>
      </w:r>
      <w:r>
        <w:rPr>
          <w:spacing w:val="-2"/>
          <w:sz w:val="24"/>
        </w:rPr>
        <w:t>Medicine</w:t>
      </w:r>
    </w:p>
    <w:p w14:paraId="749529D1" w14:textId="77777777" w:rsidR="00622C11" w:rsidRDefault="00622C11" w:rsidP="356690A4">
      <w:pPr>
        <w:spacing w:line="268" w:lineRule="exact"/>
        <w:ind w:left="3753"/>
        <w:rPr>
          <w:sz w:val="24"/>
          <w:szCs w:val="24"/>
        </w:rPr>
      </w:pPr>
    </w:p>
    <w:p w14:paraId="692097A0" w14:textId="5002931B" w:rsidR="356690A4" w:rsidRDefault="356690A4" w:rsidP="356690A4">
      <w:pPr>
        <w:spacing w:line="268" w:lineRule="exact"/>
        <w:ind w:left="3753"/>
        <w:rPr>
          <w:sz w:val="24"/>
          <w:szCs w:val="24"/>
        </w:rPr>
      </w:pPr>
    </w:p>
    <w:p w14:paraId="25633A3B" w14:textId="77777777" w:rsidR="00D447AD" w:rsidRDefault="00D447AD"/>
    <w:sectPr w:rsidR="00D447AD" w:rsidSect="00B04CC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AC30" w14:textId="77777777" w:rsidR="004877AC" w:rsidRDefault="004877AC" w:rsidP="003834A2">
      <w:r>
        <w:separator/>
      </w:r>
    </w:p>
  </w:endnote>
  <w:endnote w:type="continuationSeparator" w:id="0">
    <w:p w14:paraId="52F08CE1" w14:textId="77777777" w:rsidR="004877AC" w:rsidRDefault="004877AC" w:rsidP="003834A2">
      <w:r>
        <w:continuationSeparator/>
      </w:r>
    </w:p>
  </w:endnote>
  <w:endnote w:type="continuationNotice" w:id="1">
    <w:p w14:paraId="10884486" w14:textId="77777777" w:rsidR="004877AC" w:rsidRDefault="00487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9384"/>
      <w:docPartObj>
        <w:docPartGallery w:val="Page Numbers (Bottom of Page)"/>
        <w:docPartUnique/>
      </w:docPartObj>
    </w:sdtPr>
    <w:sdtEndPr>
      <w:rPr>
        <w:noProof/>
      </w:rPr>
    </w:sdtEndPr>
    <w:sdtContent>
      <w:p w14:paraId="592C4122" w14:textId="4B43A553" w:rsidR="00D14622" w:rsidRDefault="00D14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B57ED" w14:textId="0358C3F8" w:rsidR="00375AB0" w:rsidRDefault="00375AB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294460"/>
      <w:docPartObj>
        <w:docPartGallery w:val="Page Numbers (Bottom of Page)"/>
        <w:docPartUnique/>
      </w:docPartObj>
    </w:sdtPr>
    <w:sdtEndPr>
      <w:rPr>
        <w:noProof/>
      </w:rPr>
    </w:sdtEndPr>
    <w:sdtContent>
      <w:p w14:paraId="5479626F" w14:textId="62C885DA" w:rsidR="00242F06" w:rsidRDefault="00242F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A346A" w14:textId="77777777" w:rsidR="00EA4821" w:rsidRDefault="00EA4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A4C1" w14:textId="77777777" w:rsidR="004877AC" w:rsidRDefault="004877AC" w:rsidP="003834A2">
      <w:r>
        <w:separator/>
      </w:r>
    </w:p>
  </w:footnote>
  <w:footnote w:type="continuationSeparator" w:id="0">
    <w:p w14:paraId="1936858A" w14:textId="77777777" w:rsidR="004877AC" w:rsidRDefault="004877AC" w:rsidP="003834A2">
      <w:r>
        <w:continuationSeparator/>
      </w:r>
    </w:p>
  </w:footnote>
  <w:footnote w:type="continuationNotice" w:id="1">
    <w:p w14:paraId="364A2710" w14:textId="77777777" w:rsidR="004877AC" w:rsidRDefault="004877AC"/>
  </w:footnote>
  <w:footnote w:id="2">
    <w:p w14:paraId="107E936A" w14:textId="20142FA5" w:rsidR="258E539B" w:rsidRPr="00DC3D0F" w:rsidRDefault="258E539B" w:rsidP="00C72A80">
      <w:pPr>
        <w:pStyle w:val="FootnoteText"/>
        <w:jc w:val="both"/>
        <w:rPr>
          <w:rFonts w:eastAsia="Aptos"/>
          <w:color w:val="000000" w:themeColor="text1"/>
        </w:rPr>
      </w:pPr>
      <w:r w:rsidRPr="00DC3D0F">
        <w:rPr>
          <w:rStyle w:val="FootnoteReference"/>
        </w:rPr>
        <w:footnoteRef/>
      </w:r>
      <w:r w:rsidR="356690A4" w:rsidRPr="00DC3D0F">
        <w:t xml:space="preserve"> </w:t>
      </w:r>
      <w:r w:rsidR="000F1570">
        <w:t>The Respondent has not yet been sentenced. T</w:t>
      </w:r>
      <w:r w:rsidR="356690A4" w:rsidRPr="00DC3D0F">
        <w:rPr>
          <w:rFonts w:eastAsia="Aptos"/>
          <w:color w:val="000000" w:themeColor="text1"/>
        </w:rPr>
        <w:t xml:space="preserve">he Board is not required to wait until the physician has exhausted </w:t>
      </w:r>
      <w:r w:rsidR="000F1570">
        <w:rPr>
          <w:rFonts w:eastAsia="Aptos"/>
          <w:color w:val="000000" w:themeColor="text1"/>
        </w:rPr>
        <w:t>his</w:t>
      </w:r>
      <w:r w:rsidR="356690A4" w:rsidRPr="00DC3D0F">
        <w:rPr>
          <w:rFonts w:eastAsia="Aptos"/>
          <w:color w:val="000000" w:themeColor="text1"/>
        </w:rPr>
        <w:t xml:space="preserve"> appellate options before it can take action against h</w:t>
      </w:r>
      <w:r w:rsidR="00C72A80" w:rsidRPr="00DC3D0F">
        <w:rPr>
          <w:rFonts w:eastAsia="Aptos"/>
          <w:color w:val="000000" w:themeColor="text1"/>
        </w:rPr>
        <w:t>is</w:t>
      </w:r>
      <w:r w:rsidR="356690A4" w:rsidRPr="00DC3D0F">
        <w:rPr>
          <w:rFonts w:eastAsia="Aptos"/>
          <w:color w:val="000000" w:themeColor="text1"/>
        </w:rPr>
        <w:t xml:space="preserve"> license to practice medicine. </w:t>
      </w:r>
      <w:r w:rsidR="356690A4" w:rsidRPr="00DC3D0F">
        <w:rPr>
          <w:rFonts w:eastAsia="Aptos"/>
          <w:i/>
          <w:iCs/>
          <w:color w:val="000000" w:themeColor="text1"/>
        </w:rPr>
        <w:t>In the Matter of Russel Aubin, D.O.</w:t>
      </w:r>
      <w:r w:rsidR="356690A4" w:rsidRPr="00DC3D0F">
        <w:rPr>
          <w:rFonts w:eastAsia="Aptos"/>
          <w:color w:val="000000" w:themeColor="text1"/>
        </w:rPr>
        <w:t>, Adjudicatory Case No. 2006-007 (Partial Final Decision January 10, 2007).</w:t>
      </w:r>
    </w:p>
    <w:p w14:paraId="6DC0E52D" w14:textId="523A40FC" w:rsidR="258E539B" w:rsidRDefault="258E539B" w:rsidP="258E539B">
      <w:pPr>
        <w:pStyle w:val="FootnoteText"/>
      </w:pPr>
    </w:p>
  </w:footnote>
  <w:footnote w:id="3">
    <w:p w14:paraId="048C550B" w14:textId="78B3742A" w:rsidR="006B133E" w:rsidRDefault="006B133E">
      <w:pPr>
        <w:pStyle w:val="FootnoteText"/>
      </w:pPr>
      <w:r>
        <w:rPr>
          <w:rStyle w:val="FootnoteReference"/>
        </w:rPr>
        <w:footnoteRef/>
      </w:r>
      <w:r>
        <w:rPr>
          <w:w w:val="105"/>
          <w:sz w:val="24"/>
          <w:szCs w:val="24"/>
        </w:rPr>
        <w:t xml:space="preserve"> </w:t>
      </w:r>
      <w:r w:rsidRPr="006B133E">
        <w:rPr>
          <w:w w:val="105"/>
        </w:rPr>
        <w:t xml:space="preserve">801 CMR </w:t>
      </w:r>
      <w:r>
        <w:rPr>
          <w:w w:val="105"/>
        </w:rPr>
        <w:t>§</w:t>
      </w:r>
      <w:r w:rsidRPr="006B133E">
        <w:rPr>
          <w:w w:val="105"/>
        </w:rPr>
        <w:t>1.01(7)(h)</w:t>
      </w:r>
      <w:r>
        <w:rPr>
          <w:w w:val="105"/>
        </w:rPr>
        <w:t>.</w:t>
      </w:r>
    </w:p>
  </w:footnote>
  <w:footnote w:id="4">
    <w:p w14:paraId="75EEC7DC" w14:textId="5F2A7B19" w:rsidR="006B133E" w:rsidRDefault="006B133E">
      <w:pPr>
        <w:pStyle w:val="FootnoteText"/>
      </w:pPr>
      <w:r>
        <w:rPr>
          <w:rStyle w:val="FootnoteReference"/>
        </w:rPr>
        <w:footnoteRef/>
      </w:r>
      <w:r>
        <w:t xml:space="preserve"> </w:t>
      </w:r>
      <w:r w:rsidRPr="006B133E">
        <w:rPr>
          <w:w w:val="105"/>
        </w:rPr>
        <w:t xml:space="preserve">G.L. c. 112, </w:t>
      </w:r>
      <w:r>
        <w:rPr>
          <w:w w:val="105"/>
        </w:rPr>
        <w:t>§ 5</w:t>
      </w:r>
      <w:r w:rsidRPr="006B133E">
        <w:rPr>
          <w:w w:val="105"/>
        </w:rPr>
        <w:t>.</w:t>
      </w:r>
    </w:p>
  </w:footnote>
  <w:footnote w:id="5">
    <w:p w14:paraId="1F0A7B5C" w14:textId="28F2FD56" w:rsidR="00751E0C" w:rsidRDefault="00751E0C" w:rsidP="0074299C">
      <w:pPr>
        <w:pStyle w:val="FootnoteText"/>
        <w:jc w:val="both"/>
      </w:pPr>
      <w:r>
        <w:rPr>
          <w:rStyle w:val="FootnoteReference"/>
        </w:rPr>
        <w:footnoteRef/>
      </w:r>
      <w:r>
        <w:t xml:space="preserve"> </w:t>
      </w:r>
      <w:r w:rsidRPr="00751E0C">
        <w:rPr>
          <w:u w:val="single"/>
        </w:rPr>
        <w:t>See</w:t>
      </w:r>
      <w:r>
        <w:t xml:space="preserve"> </w:t>
      </w:r>
      <w:r w:rsidRPr="00751E0C">
        <w:rPr>
          <w:i/>
          <w:iCs/>
          <w:w w:val="105"/>
        </w:rPr>
        <w:t>Veksler v. Board of Registration in Dentistry</w:t>
      </w:r>
      <w:r w:rsidRPr="00751E0C">
        <w:rPr>
          <w:w w:val="105"/>
        </w:rPr>
        <w:t>, 429 Mass. 650, 651 (1999).</w:t>
      </w:r>
    </w:p>
  </w:footnote>
  <w:footnote w:id="6">
    <w:p w14:paraId="6F10219E" w14:textId="1935369F" w:rsidR="000F5DF3" w:rsidRDefault="000F5DF3" w:rsidP="0074299C">
      <w:pPr>
        <w:pStyle w:val="FootnoteText"/>
      </w:pPr>
      <w:r>
        <w:rPr>
          <w:rStyle w:val="FootnoteReference"/>
        </w:rPr>
        <w:footnoteRef/>
      </w:r>
      <w:r>
        <w:t xml:space="preserve"> </w:t>
      </w:r>
      <w:r w:rsidR="00C9589B" w:rsidRPr="00C9589B">
        <w:rPr>
          <w:i/>
          <w:iCs/>
          <w:w w:val="105"/>
        </w:rPr>
        <w:t>Kobrin v. Board of Registration in Med.</w:t>
      </w:r>
      <w:r w:rsidR="00C9589B" w:rsidRPr="00C9589B">
        <w:rPr>
          <w:w w:val="105"/>
        </w:rPr>
        <w:t>, 444 Mass. 837 (2005).</w:t>
      </w:r>
    </w:p>
  </w:footnote>
  <w:footnote w:id="7">
    <w:p w14:paraId="21188052" w14:textId="61B53003" w:rsidR="006E563F" w:rsidRDefault="006E563F">
      <w:pPr>
        <w:pStyle w:val="FootnoteText"/>
      </w:pPr>
      <w:r>
        <w:rPr>
          <w:rStyle w:val="FootnoteReference"/>
        </w:rPr>
        <w:footnoteRef/>
      </w:r>
      <w:r>
        <w:t xml:space="preserve"> </w:t>
      </w:r>
      <w:r w:rsidRPr="00C95C5C">
        <w:t>243 CMR 1.03(5)(a)7</w:t>
      </w:r>
      <w:r>
        <w:t>.</w:t>
      </w:r>
    </w:p>
  </w:footnote>
  <w:footnote w:id="8">
    <w:p w14:paraId="33C36ADA" w14:textId="66521C84" w:rsidR="006E563F" w:rsidRDefault="006E563F">
      <w:pPr>
        <w:pStyle w:val="FootnoteText"/>
      </w:pPr>
      <w:r>
        <w:rPr>
          <w:rStyle w:val="FootnoteReference"/>
        </w:rPr>
        <w:footnoteRef/>
      </w:r>
      <w:r>
        <w:t xml:space="preserve"> </w:t>
      </w:r>
      <w:r w:rsidR="00E77165">
        <w:t>243 CMR 1.03(5)(a)3.</w:t>
      </w:r>
    </w:p>
  </w:footnote>
  <w:footnote w:id="9">
    <w:p w14:paraId="4E86C1FD" w14:textId="2354E75D" w:rsidR="00756E79" w:rsidRDefault="00756E79">
      <w:pPr>
        <w:pStyle w:val="FootnoteText"/>
      </w:pPr>
      <w:r>
        <w:rPr>
          <w:rStyle w:val="FootnoteReference"/>
        </w:rPr>
        <w:footnoteRef/>
      </w:r>
      <w:r>
        <w:t xml:space="preserve"> </w:t>
      </w:r>
      <w:r w:rsidRPr="00756E79">
        <w:rPr>
          <w:i/>
          <w:iCs/>
        </w:rPr>
        <w:t>Raymond v. Board of Registration in Medicine</w:t>
      </w:r>
      <w:r>
        <w:t>, 387 Mass. 708 (1982).</w:t>
      </w:r>
    </w:p>
  </w:footnote>
  <w:footnote w:id="10">
    <w:p w14:paraId="1616CBC7" w14:textId="7AD2A142" w:rsidR="008006DE" w:rsidRDefault="008006DE">
      <w:pPr>
        <w:pStyle w:val="FootnoteText"/>
      </w:pPr>
      <w:r>
        <w:rPr>
          <w:rStyle w:val="FootnoteReference"/>
        </w:rPr>
        <w:footnoteRef/>
      </w:r>
      <w:r>
        <w:t xml:space="preserve"> The Respondent</w:t>
      </w:r>
      <w:r w:rsidR="00795C71">
        <w:t>’s</w:t>
      </w:r>
      <w:r>
        <w:t xml:space="preserve"> license lapsed on April 1, 2025</w:t>
      </w:r>
      <w:r w:rsidR="00795C71">
        <w:t>.</w:t>
      </w:r>
      <w:r>
        <w:t xml:space="preserve"> </w:t>
      </w:r>
    </w:p>
  </w:footnote>
  <w:footnote w:id="11">
    <w:p w14:paraId="5775429F" w14:textId="3390B8B3" w:rsidR="00F40E83" w:rsidRDefault="00F40E83">
      <w:pPr>
        <w:pStyle w:val="FootnoteText"/>
      </w:pPr>
      <w:r>
        <w:rPr>
          <w:rStyle w:val="FootnoteReference"/>
        </w:rPr>
        <w:footnoteRef/>
      </w:r>
      <w:r>
        <w:t xml:space="preserve"> </w:t>
      </w:r>
      <w:r w:rsidRPr="00F40E83">
        <w:rPr>
          <w:u w:val="single"/>
        </w:rPr>
        <w:t>See</w:t>
      </w:r>
      <w:r w:rsidRPr="00F40E83">
        <w:t xml:space="preserve"> </w:t>
      </w:r>
      <w:r w:rsidRPr="00F40E83">
        <w:rPr>
          <w:i/>
          <w:iCs/>
        </w:rPr>
        <w:t>In the Matter of Ronald S. Grusd, M.D.,</w:t>
      </w:r>
      <w:r w:rsidRPr="00F40E83">
        <w:t xml:space="preserve"> Board of Registration in Medicine, Adjudicatory Case. No. 2018-032) (Final Decision and Order, October 22, 2020).</w:t>
      </w:r>
    </w:p>
  </w:footnote>
  <w:footnote w:id="12">
    <w:p w14:paraId="55CB98EC" w14:textId="77777777" w:rsidR="00FA65E4" w:rsidRDefault="00FA65E4" w:rsidP="00FA65E4">
      <w:pPr>
        <w:pStyle w:val="FootnoteText"/>
      </w:pPr>
      <w:r>
        <w:rPr>
          <w:rStyle w:val="FootnoteReference"/>
        </w:rPr>
        <w:footnoteRef/>
      </w:r>
      <w:r>
        <w:t xml:space="preserve"> </w:t>
      </w:r>
      <w:r w:rsidRPr="000F6025">
        <w:rPr>
          <w:w w:val="105"/>
          <w:u w:val="single"/>
        </w:rPr>
        <w:t>See</w:t>
      </w:r>
      <w:r w:rsidRPr="000F6025">
        <w:rPr>
          <w:w w:val="105"/>
        </w:rPr>
        <w:t xml:space="preserve"> </w:t>
      </w:r>
      <w:r w:rsidRPr="000F6025">
        <w:rPr>
          <w:i/>
          <w:iCs/>
          <w:w w:val="105"/>
        </w:rPr>
        <w:t>In the Matter of John J. Diggins, M.D.</w:t>
      </w:r>
      <w:r w:rsidRPr="000F6025">
        <w:rPr>
          <w:w w:val="105"/>
        </w:rPr>
        <w:t>, Board of Registration in Medicine, Adjudicatory Case No. 2021-021 (RM-21-175)(DALA Recommended Decision at p. 10, January 21, 2022).</w:t>
      </w:r>
    </w:p>
  </w:footnote>
  <w:footnote w:id="13">
    <w:p w14:paraId="00AC71CB" w14:textId="2C22A399" w:rsidR="007F6AF7" w:rsidRPr="00B7041A" w:rsidRDefault="007F6AF7" w:rsidP="007F6AF7">
      <w:pPr>
        <w:spacing w:line="360" w:lineRule="auto"/>
        <w:jc w:val="both"/>
        <w:rPr>
          <w:rFonts w:eastAsia="Aptos"/>
          <w:color w:val="000000" w:themeColor="text1"/>
          <w:sz w:val="24"/>
          <w:szCs w:val="24"/>
        </w:rPr>
      </w:pPr>
      <w:r>
        <w:rPr>
          <w:rStyle w:val="FootnoteReference"/>
        </w:rPr>
        <w:footnoteRef/>
      </w:r>
      <w:r>
        <w:t xml:space="preserve"> </w:t>
      </w:r>
      <w:r w:rsidRPr="007F6AF7">
        <w:rPr>
          <w:sz w:val="20"/>
          <w:szCs w:val="20"/>
          <w:u w:val="single"/>
        </w:rPr>
        <w:t>See</w:t>
      </w:r>
      <w:r w:rsidRPr="007F6AF7">
        <w:rPr>
          <w:sz w:val="20"/>
          <w:szCs w:val="20"/>
        </w:rPr>
        <w:t xml:space="preserve"> </w:t>
      </w:r>
      <w:r w:rsidRPr="007F6AF7">
        <w:rPr>
          <w:rFonts w:eastAsia="Aptos"/>
          <w:i/>
          <w:iCs/>
          <w:color w:val="000000" w:themeColor="text1"/>
          <w:sz w:val="20"/>
          <w:szCs w:val="20"/>
        </w:rPr>
        <w:t>In the Matter of Harvey Prager</w:t>
      </w:r>
      <w:r w:rsidRPr="007F6AF7">
        <w:rPr>
          <w:rFonts w:eastAsia="Aptos"/>
          <w:color w:val="000000" w:themeColor="text1"/>
          <w:sz w:val="20"/>
          <w:szCs w:val="20"/>
        </w:rPr>
        <w:t>, 422 Mass. 86, 91-91 (1966).</w:t>
      </w:r>
    </w:p>
    <w:p w14:paraId="0716672D" w14:textId="72963B21" w:rsidR="007F6AF7" w:rsidRDefault="007F6AF7">
      <w:pPr>
        <w:pStyle w:val="FootnoteText"/>
      </w:pPr>
    </w:p>
  </w:footnote>
  <w:footnote w:id="14">
    <w:p w14:paraId="30F39E39" w14:textId="398DE6CA" w:rsidR="008E6852" w:rsidRPr="00F24239" w:rsidRDefault="008E6852" w:rsidP="00F24239">
      <w:pPr>
        <w:jc w:val="both"/>
        <w:rPr>
          <w:sz w:val="20"/>
          <w:szCs w:val="20"/>
        </w:rPr>
      </w:pPr>
      <w:r w:rsidRPr="00F24239">
        <w:rPr>
          <w:rStyle w:val="FootnoteReference"/>
          <w:sz w:val="20"/>
          <w:szCs w:val="20"/>
        </w:rPr>
        <w:footnoteRef/>
      </w:r>
      <w:r w:rsidRPr="00F24239">
        <w:rPr>
          <w:sz w:val="20"/>
          <w:szCs w:val="20"/>
        </w:rPr>
        <w:t xml:space="preserve"> </w:t>
      </w:r>
      <w:r w:rsidRPr="00F24239">
        <w:rPr>
          <w:rFonts w:eastAsia="Aptos"/>
          <w:i/>
          <w:iCs/>
          <w:color w:val="000000" w:themeColor="text1"/>
          <w:sz w:val="20"/>
          <w:szCs w:val="20"/>
        </w:rPr>
        <w:t>In</w:t>
      </w:r>
      <w:r w:rsidR="00434489" w:rsidRPr="00F24239">
        <w:rPr>
          <w:rFonts w:eastAsia="Aptos"/>
          <w:i/>
          <w:iCs/>
          <w:color w:val="000000" w:themeColor="text1"/>
          <w:sz w:val="20"/>
          <w:szCs w:val="20"/>
        </w:rPr>
        <w:t xml:space="preserve"> the Matter of Willy</w:t>
      </w:r>
      <w:r w:rsidRPr="00F24239">
        <w:rPr>
          <w:rFonts w:eastAsia="Aptos"/>
          <w:i/>
          <w:iCs/>
          <w:color w:val="000000" w:themeColor="text1"/>
          <w:sz w:val="20"/>
          <w:szCs w:val="20"/>
        </w:rPr>
        <w:t xml:space="preserve"> Falk</w:t>
      </w:r>
      <w:r w:rsidR="00434489" w:rsidRPr="00F24239">
        <w:rPr>
          <w:rFonts w:eastAsia="Aptos"/>
          <w:i/>
          <w:iCs/>
          <w:color w:val="000000" w:themeColor="text1"/>
          <w:sz w:val="20"/>
          <w:szCs w:val="20"/>
        </w:rPr>
        <w:t xml:space="preserve">, M.D., Board of Registration in Medicine, </w:t>
      </w:r>
      <w:r w:rsidRPr="00F24239">
        <w:rPr>
          <w:rFonts w:eastAsia="Aptos"/>
          <w:color w:val="000000" w:themeColor="text1"/>
          <w:sz w:val="20"/>
          <w:szCs w:val="20"/>
        </w:rPr>
        <w:t>Adjudicatory Case 92-6-DALA (</w:t>
      </w:r>
      <w:r w:rsidR="00693BD2" w:rsidRPr="00F24239">
        <w:rPr>
          <w:rFonts w:eastAsia="Aptos"/>
          <w:color w:val="000000" w:themeColor="text1"/>
          <w:sz w:val="20"/>
          <w:szCs w:val="20"/>
        </w:rPr>
        <w:t xml:space="preserve">Final Decision and Order, March 10, </w:t>
      </w:r>
      <w:r w:rsidRPr="00F24239">
        <w:rPr>
          <w:rFonts w:eastAsia="Aptos"/>
          <w:color w:val="000000" w:themeColor="text1"/>
          <w:sz w:val="20"/>
          <w:szCs w:val="20"/>
        </w:rPr>
        <w:t>1993).</w:t>
      </w:r>
      <w:r w:rsidRPr="00F24239">
        <w:rPr>
          <w:rFonts w:ascii="Aptos" w:eastAsia="Aptos" w:hAnsi="Aptos" w:cs="Aptos"/>
          <w:color w:val="000000" w:themeColor="text1"/>
          <w:sz w:val="20"/>
          <w:szCs w:val="20"/>
        </w:rPr>
        <w:t xml:space="preserve"> </w:t>
      </w:r>
      <w:r w:rsidR="00693BD2" w:rsidRPr="00F24239">
        <w:rPr>
          <w:rFonts w:eastAsia="Aptos"/>
          <w:color w:val="000000" w:themeColor="text1"/>
          <w:sz w:val="20"/>
          <w:szCs w:val="20"/>
        </w:rPr>
        <w:t xml:space="preserve">In Falk, as in the pending matter, the physician dispensed controlled substances to undercover officers who displayed indicia of substance abuse. </w:t>
      </w:r>
      <w:r w:rsidR="00A30013" w:rsidRPr="00F24239">
        <w:rPr>
          <w:rFonts w:eastAsia="Aptos"/>
          <w:color w:val="000000" w:themeColor="text1"/>
          <w:sz w:val="20"/>
          <w:szCs w:val="20"/>
        </w:rPr>
        <w:t xml:space="preserve">The Board revoked the physician’s license </w:t>
      </w:r>
      <w:r w:rsidR="007C14C8" w:rsidRPr="00F24239">
        <w:rPr>
          <w:rFonts w:eastAsia="Aptos"/>
          <w:color w:val="000000" w:themeColor="text1"/>
          <w:sz w:val="20"/>
          <w:szCs w:val="20"/>
        </w:rPr>
        <w:t>while criminal charges were pending.</w:t>
      </w:r>
    </w:p>
  </w:footnote>
  <w:footnote w:id="15">
    <w:p w14:paraId="1516A4C6" w14:textId="1F891890" w:rsidR="00F24239" w:rsidRDefault="00F24239" w:rsidP="00E7676F">
      <w:pPr>
        <w:jc w:val="both"/>
      </w:pPr>
      <w:r w:rsidRPr="00F24239">
        <w:rPr>
          <w:rStyle w:val="FootnoteReference"/>
          <w:sz w:val="20"/>
          <w:szCs w:val="20"/>
        </w:rPr>
        <w:footnoteRef/>
      </w:r>
      <w:r w:rsidRPr="00F24239">
        <w:rPr>
          <w:sz w:val="20"/>
          <w:szCs w:val="20"/>
        </w:rPr>
        <w:t xml:space="preserve"> </w:t>
      </w:r>
      <w:r w:rsidRPr="00F24239">
        <w:rPr>
          <w:sz w:val="20"/>
          <w:szCs w:val="20"/>
          <w:u w:val="single"/>
        </w:rPr>
        <w:t>See</w:t>
      </w:r>
      <w:r w:rsidRPr="00F24239">
        <w:rPr>
          <w:sz w:val="20"/>
          <w:szCs w:val="20"/>
        </w:rPr>
        <w:t xml:space="preserve"> </w:t>
      </w:r>
      <w:r w:rsidRPr="00F24239">
        <w:rPr>
          <w:i/>
          <w:iCs/>
          <w:sz w:val="20"/>
          <w:szCs w:val="20"/>
        </w:rPr>
        <w:t>Falk</w:t>
      </w:r>
      <w:r w:rsidRPr="00F24239">
        <w:rPr>
          <w:sz w:val="20"/>
          <w:szCs w:val="20"/>
        </w:rPr>
        <w:t xml:space="preserve"> at 2 citing </w:t>
      </w:r>
      <w:r w:rsidRPr="00F24239">
        <w:rPr>
          <w:i/>
          <w:iCs/>
          <w:sz w:val="20"/>
          <w:szCs w:val="20"/>
        </w:rPr>
        <w:t>In the Matter of Earl Hoffman, M.D.</w:t>
      </w:r>
      <w:r w:rsidRPr="00F24239">
        <w:rPr>
          <w:sz w:val="20"/>
          <w:szCs w:val="20"/>
        </w:rPr>
        <w:t xml:space="preserve">, Board of Registration in Medicine, Adjudicatory Case No. 85-7-GR (Final Decision and Order, November 20, 1985), </w:t>
      </w:r>
      <w:r w:rsidRPr="00F24239">
        <w:rPr>
          <w:i/>
          <w:iCs/>
          <w:sz w:val="20"/>
          <w:szCs w:val="20"/>
        </w:rPr>
        <w:t>In the Matter of John V. Temte, M.D.</w:t>
      </w:r>
      <w:r w:rsidRPr="00F24239">
        <w:rPr>
          <w:sz w:val="20"/>
          <w:szCs w:val="20"/>
        </w:rPr>
        <w:t>, Board of Registration in Medicine, Adjudicatory Case No. 863 (Final Decision and Order, March 18, 1983).</w:t>
      </w:r>
    </w:p>
  </w:footnote>
  <w:footnote w:id="16">
    <w:p w14:paraId="461CF2A9" w14:textId="48E0173C" w:rsidR="002A31B6" w:rsidRPr="00E7676F" w:rsidRDefault="002A31B6" w:rsidP="00E7676F">
      <w:pPr>
        <w:rPr>
          <w:rFonts w:eastAsia="Aptos"/>
          <w:color w:val="000000" w:themeColor="text1"/>
          <w:sz w:val="20"/>
          <w:szCs w:val="20"/>
        </w:rPr>
      </w:pPr>
      <w:r>
        <w:rPr>
          <w:rStyle w:val="FootnoteReference"/>
        </w:rPr>
        <w:footnoteRef/>
      </w:r>
      <w:r>
        <w:t xml:space="preserve"> </w:t>
      </w:r>
      <w:r w:rsidR="00E7676F" w:rsidRPr="00E7676F">
        <w:rPr>
          <w:sz w:val="20"/>
          <w:szCs w:val="20"/>
          <w:u w:val="single"/>
        </w:rPr>
        <w:t>See</w:t>
      </w:r>
      <w:r w:rsidR="00E7676F" w:rsidRPr="00E7676F">
        <w:rPr>
          <w:sz w:val="20"/>
          <w:szCs w:val="20"/>
        </w:rPr>
        <w:t xml:space="preserve"> </w:t>
      </w:r>
      <w:r w:rsidRPr="00E7676F">
        <w:rPr>
          <w:rFonts w:eastAsia="Aptos"/>
          <w:i/>
          <w:iCs/>
          <w:color w:val="000000" w:themeColor="text1"/>
          <w:sz w:val="20"/>
          <w:szCs w:val="20"/>
        </w:rPr>
        <w:t>Veksler</w:t>
      </w:r>
      <w:r w:rsidRPr="00E7676F">
        <w:rPr>
          <w:rFonts w:eastAsia="Aptos"/>
          <w:color w:val="000000" w:themeColor="text1"/>
          <w:sz w:val="20"/>
          <w:szCs w:val="20"/>
        </w:rPr>
        <w:t xml:space="preserve"> 429 Mass. 650, 651 (1999). </w:t>
      </w:r>
    </w:p>
    <w:p w14:paraId="5F96119D" w14:textId="77777777" w:rsidR="002A31B6" w:rsidRPr="00C53DA1" w:rsidRDefault="002A31B6" w:rsidP="002A31B6">
      <w:pPr>
        <w:spacing w:line="360" w:lineRule="auto"/>
        <w:rPr>
          <w:rFonts w:ascii="Aptos" w:eastAsia="Aptos" w:hAnsi="Aptos" w:cs="Aptos"/>
          <w:color w:val="000000" w:themeColor="text1"/>
          <w:sz w:val="24"/>
          <w:szCs w:val="24"/>
        </w:rPr>
      </w:pPr>
    </w:p>
    <w:p w14:paraId="296DBD90" w14:textId="1B2E942C" w:rsidR="002A31B6" w:rsidRDefault="002A31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703F"/>
    <w:multiLevelType w:val="hybridMultilevel"/>
    <w:tmpl w:val="E0E432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2D901FD7"/>
    <w:multiLevelType w:val="hybridMultilevel"/>
    <w:tmpl w:val="57C6B8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908611756">
    <w:abstractNumId w:val="0"/>
  </w:num>
  <w:num w:numId="2" w16cid:durableId="63826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B"/>
    <w:rsid w:val="00001303"/>
    <w:rsid w:val="000027B6"/>
    <w:rsid w:val="00002AA1"/>
    <w:rsid w:val="00004AC9"/>
    <w:rsid w:val="00010E19"/>
    <w:rsid w:val="0001363D"/>
    <w:rsid w:val="00016820"/>
    <w:rsid w:val="00017B1C"/>
    <w:rsid w:val="000270CC"/>
    <w:rsid w:val="00035E52"/>
    <w:rsid w:val="00042DF0"/>
    <w:rsid w:val="00051B92"/>
    <w:rsid w:val="0005766A"/>
    <w:rsid w:val="00061668"/>
    <w:rsid w:val="00065158"/>
    <w:rsid w:val="000668FA"/>
    <w:rsid w:val="0007370B"/>
    <w:rsid w:val="0008305B"/>
    <w:rsid w:val="00085264"/>
    <w:rsid w:val="000940E9"/>
    <w:rsid w:val="000A36EE"/>
    <w:rsid w:val="000A6C26"/>
    <w:rsid w:val="000A70BA"/>
    <w:rsid w:val="000B4784"/>
    <w:rsid w:val="000C5004"/>
    <w:rsid w:val="000C59D5"/>
    <w:rsid w:val="000C5D11"/>
    <w:rsid w:val="000C61AD"/>
    <w:rsid w:val="000D1103"/>
    <w:rsid w:val="000E0821"/>
    <w:rsid w:val="000E0BDA"/>
    <w:rsid w:val="000E2459"/>
    <w:rsid w:val="000E7201"/>
    <w:rsid w:val="000F1570"/>
    <w:rsid w:val="000F28B9"/>
    <w:rsid w:val="000F5DF3"/>
    <w:rsid w:val="001048B2"/>
    <w:rsid w:val="00105A1E"/>
    <w:rsid w:val="00117BA4"/>
    <w:rsid w:val="001206E8"/>
    <w:rsid w:val="00126F31"/>
    <w:rsid w:val="001360FF"/>
    <w:rsid w:val="00141798"/>
    <w:rsid w:val="00153028"/>
    <w:rsid w:val="001548F0"/>
    <w:rsid w:val="00157C89"/>
    <w:rsid w:val="00160849"/>
    <w:rsid w:val="00165D28"/>
    <w:rsid w:val="00174342"/>
    <w:rsid w:val="0017676C"/>
    <w:rsid w:val="0017787B"/>
    <w:rsid w:val="00183CB1"/>
    <w:rsid w:val="00191A9C"/>
    <w:rsid w:val="00194E35"/>
    <w:rsid w:val="00194E8E"/>
    <w:rsid w:val="0019618B"/>
    <w:rsid w:val="00197445"/>
    <w:rsid w:val="001A01D0"/>
    <w:rsid w:val="001A526F"/>
    <w:rsid w:val="001A583F"/>
    <w:rsid w:val="001B09C9"/>
    <w:rsid w:val="001C4B8F"/>
    <w:rsid w:val="001D2AB8"/>
    <w:rsid w:val="001D35E4"/>
    <w:rsid w:val="001E50CB"/>
    <w:rsid w:val="001E768D"/>
    <w:rsid w:val="001F1595"/>
    <w:rsid w:val="001F4B9C"/>
    <w:rsid w:val="001F610D"/>
    <w:rsid w:val="00202461"/>
    <w:rsid w:val="00202D31"/>
    <w:rsid w:val="00202FE4"/>
    <w:rsid w:val="00213D35"/>
    <w:rsid w:val="00215C79"/>
    <w:rsid w:val="00224844"/>
    <w:rsid w:val="0022485D"/>
    <w:rsid w:val="00225895"/>
    <w:rsid w:val="00232502"/>
    <w:rsid w:val="00242F06"/>
    <w:rsid w:val="00247383"/>
    <w:rsid w:val="00254283"/>
    <w:rsid w:val="0027359A"/>
    <w:rsid w:val="00280B94"/>
    <w:rsid w:val="00281726"/>
    <w:rsid w:val="002900C6"/>
    <w:rsid w:val="002A31B6"/>
    <w:rsid w:val="002A6507"/>
    <w:rsid w:val="002B203E"/>
    <w:rsid w:val="002B2408"/>
    <w:rsid w:val="002B7349"/>
    <w:rsid w:val="002C2BD4"/>
    <w:rsid w:val="002C429C"/>
    <w:rsid w:val="002C7587"/>
    <w:rsid w:val="002D1D57"/>
    <w:rsid w:val="002E7931"/>
    <w:rsid w:val="002E79F7"/>
    <w:rsid w:val="002F54A0"/>
    <w:rsid w:val="002F6D0D"/>
    <w:rsid w:val="00300A0E"/>
    <w:rsid w:val="00305487"/>
    <w:rsid w:val="003126E8"/>
    <w:rsid w:val="00313B1A"/>
    <w:rsid w:val="00324045"/>
    <w:rsid w:val="00325FAC"/>
    <w:rsid w:val="00326EC3"/>
    <w:rsid w:val="003313AA"/>
    <w:rsid w:val="00331DD9"/>
    <w:rsid w:val="003444EE"/>
    <w:rsid w:val="0034638D"/>
    <w:rsid w:val="003469A6"/>
    <w:rsid w:val="00356D4D"/>
    <w:rsid w:val="0036223F"/>
    <w:rsid w:val="00363098"/>
    <w:rsid w:val="0036444A"/>
    <w:rsid w:val="00366C6B"/>
    <w:rsid w:val="00373254"/>
    <w:rsid w:val="00374E94"/>
    <w:rsid w:val="0037599A"/>
    <w:rsid w:val="00375AB0"/>
    <w:rsid w:val="00380DF9"/>
    <w:rsid w:val="003834A2"/>
    <w:rsid w:val="00386EE5"/>
    <w:rsid w:val="003878B4"/>
    <w:rsid w:val="00387D26"/>
    <w:rsid w:val="003945EF"/>
    <w:rsid w:val="00394FA4"/>
    <w:rsid w:val="00396531"/>
    <w:rsid w:val="003A4829"/>
    <w:rsid w:val="003B0DF5"/>
    <w:rsid w:val="003B6413"/>
    <w:rsid w:val="003B7D65"/>
    <w:rsid w:val="003B7EBE"/>
    <w:rsid w:val="003C0A0C"/>
    <w:rsid w:val="003C636C"/>
    <w:rsid w:val="003D5E36"/>
    <w:rsid w:val="003E0DF7"/>
    <w:rsid w:val="003E2209"/>
    <w:rsid w:val="003E2C76"/>
    <w:rsid w:val="003F61A9"/>
    <w:rsid w:val="004007D2"/>
    <w:rsid w:val="00403ECA"/>
    <w:rsid w:val="00413154"/>
    <w:rsid w:val="00426678"/>
    <w:rsid w:val="00430EAB"/>
    <w:rsid w:val="00433560"/>
    <w:rsid w:val="00434489"/>
    <w:rsid w:val="004412D4"/>
    <w:rsid w:val="00442656"/>
    <w:rsid w:val="00446C76"/>
    <w:rsid w:val="004511B4"/>
    <w:rsid w:val="004519D6"/>
    <w:rsid w:val="00454A7D"/>
    <w:rsid w:val="00465E7A"/>
    <w:rsid w:val="00466A9A"/>
    <w:rsid w:val="00472F59"/>
    <w:rsid w:val="004753CB"/>
    <w:rsid w:val="00485119"/>
    <w:rsid w:val="00486A3F"/>
    <w:rsid w:val="004877AC"/>
    <w:rsid w:val="004902FE"/>
    <w:rsid w:val="004917CF"/>
    <w:rsid w:val="004946A9"/>
    <w:rsid w:val="00495325"/>
    <w:rsid w:val="004A15F5"/>
    <w:rsid w:val="004A191F"/>
    <w:rsid w:val="004A2C7E"/>
    <w:rsid w:val="004A4E45"/>
    <w:rsid w:val="004B541F"/>
    <w:rsid w:val="004C3A4F"/>
    <w:rsid w:val="004C674D"/>
    <w:rsid w:val="004D1EA7"/>
    <w:rsid w:val="004D6CC0"/>
    <w:rsid w:val="004E4C11"/>
    <w:rsid w:val="004F4583"/>
    <w:rsid w:val="00505A48"/>
    <w:rsid w:val="00506C03"/>
    <w:rsid w:val="00510343"/>
    <w:rsid w:val="00512182"/>
    <w:rsid w:val="00513039"/>
    <w:rsid w:val="005177F3"/>
    <w:rsid w:val="00526508"/>
    <w:rsid w:val="00535405"/>
    <w:rsid w:val="00545F2B"/>
    <w:rsid w:val="00550DA8"/>
    <w:rsid w:val="0055602A"/>
    <w:rsid w:val="00561EB8"/>
    <w:rsid w:val="0058179F"/>
    <w:rsid w:val="00591348"/>
    <w:rsid w:val="005A352A"/>
    <w:rsid w:val="005A5A72"/>
    <w:rsid w:val="005A6E56"/>
    <w:rsid w:val="005A7364"/>
    <w:rsid w:val="005A790C"/>
    <w:rsid w:val="005B4993"/>
    <w:rsid w:val="005C2E62"/>
    <w:rsid w:val="005C4145"/>
    <w:rsid w:val="005C724E"/>
    <w:rsid w:val="005D0243"/>
    <w:rsid w:val="005D1222"/>
    <w:rsid w:val="005E021C"/>
    <w:rsid w:val="005E22D7"/>
    <w:rsid w:val="005E2F4E"/>
    <w:rsid w:val="005E325E"/>
    <w:rsid w:val="005E6ECB"/>
    <w:rsid w:val="005F36F2"/>
    <w:rsid w:val="005F49BA"/>
    <w:rsid w:val="005F5D0B"/>
    <w:rsid w:val="0060063F"/>
    <w:rsid w:val="00621201"/>
    <w:rsid w:val="00622C11"/>
    <w:rsid w:val="00623D26"/>
    <w:rsid w:val="00631447"/>
    <w:rsid w:val="00634E1A"/>
    <w:rsid w:val="006445E6"/>
    <w:rsid w:val="006458B2"/>
    <w:rsid w:val="006507FA"/>
    <w:rsid w:val="00653E90"/>
    <w:rsid w:val="00654D84"/>
    <w:rsid w:val="00683B0A"/>
    <w:rsid w:val="00683E19"/>
    <w:rsid w:val="00693BD2"/>
    <w:rsid w:val="006A33D2"/>
    <w:rsid w:val="006A5AB5"/>
    <w:rsid w:val="006A7244"/>
    <w:rsid w:val="006B133E"/>
    <w:rsid w:val="006B3857"/>
    <w:rsid w:val="006D20FF"/>
    <w:rsid w:val="006D6042"/>
    <w:rsid w:val="006E563F"/>
    <w:rsid w:val="006E6F26"/>
    <w:rsid w:val="006F0011"/>
    <w:rsid w:val="0071141F"/>
    <w:rsid w:val="007143F7"/>
    <w:rsid w:val="00723342"/>
    <w:rsid w:val="00724387"/>
    <w:rsid w:val="0074299C"/>
    <w:rsid w:val="007505AE"/>
    <w:rsid w:val="00751E0C"/>
    <w:rsid w:val="007520A8"/>
    <w:rsid w:val="00754884"/>
    <w:rsid w:val="00754920"/>
    <w:rsid w:val="00756E79"/>
    <w:rsid w:val="00757B47"/>
    <w:rsid w:val="00761692"/>
    <w:rsid w:val="00767A9C"/>
    <w:rsid w:val="00770DFA"/>
    <w:rsid w:val="007720D2"/>
    <w:rsid w:val="00793448"/>
    <w:rsid w:val="00793742"/>
    <w:rsid w:val="00795C71"/>
    <w:rsid w:val="007A2A9E"/>
    <w:rsid w:val="007A677D"/>
    <w:rsid w:val="007A7BB8"/>
    <w:rsid w:val="007B528A"/>
    <w:rsid w:val="007B574C"/>
    <w:rsid w:val="007B6552"/>
    <w:rsid w:val="007C14C8"/>
    <w:rsid w:val="007D0339"/>
    <w:rsid w:val="007D539B"/>
    <w:rsid w:val="007D557C"/>
    <w:rsid w:val="007D70ED"/>
    <w:rsid w:val="007D7969"/>
    <w:rsid w:val="007E0F62"/>
    <w:rsid w:val="007E1FE1"/>
    <w:rsid w:val="007E4EDD"/>
    <w:rsid w:val="007F0B79"/>
    <w:rsid w:val="007F6AF7"/>
    <w:rsid w:val="007F6C76"/>
    <w:rsid w:val="008006DE"/>
    <w:rsid w:val="00804696"/>
    <w:rsid w:val="008128E1"/>
    <w:rsid w:val="008157B0"/>
    <w:rsid w:val="008157EA"/>
    <w:rsid w:val="00815EC8"/>
    <w:rsid w:val="00822136"/>
    <w:rsid w:val="0082395C"/>
    <w:rsid w:val="008273BC"/>
    <w:rsid w:val="00835B6F"/>
    <w:rsid w:val="00841C3A"/>
    <w:rsid w:val="0084394F"/>
    <w:rsid w:val="008553F8"/>
    <w:rsid w:val="00864236"/>
    <w:rsid w:val="008649A6"/>
    <w:rsid w:val="00864C6F"/>
    <w:rsid w:val="00867EEE"/>
    <w:rsid w:val="008707A6"/>
    <w:rsid w:val="008741D6"/>
    <w:rsid w:val="00874433"/>
    <w:rsid w:val="00874BB9"/>
    <w:rsid w:val="00893377"/>
    <w:rsid w:val="008B744E"/>
    <w:rsid w:val="008C3B65"/>
    <w:rsid w:val="008D04C3"/>
    <w:rsid w:val="008D38F7"/>
    <w:rsid w:val="008E21B1"/>
    <w:rsid w:val="008E56F6"/>
    <w:rsid w:val="008E6852"/>
    <w:rsid w:val="008F3CB6"/>
    <w:rsid w:val="008F5ADE"/>
    <w:rsid w:val="008F61E1"/>
    <w:rsid w:val="00903A83"/>
    <w:rsid w:val="009040DB"/>
    <w:rsid w:val="0091307C"/>
    <w:rsid w:val="00914FAF"/>
    <w:rsid w:val="00952EC2"/>
    <w:rsid w:val="0096400F"/>
    <w:rsid w:val="00972C77"/>
    <w:rsid w:val="009740A8"/>
    <w:rsid w:val="0097479C"/>
    <w:rsid w:val="00975F4B"/>
    <w:rsid w:val="00977BC4"/>
    <w:rsid w:val="00982FA8"/>
    <w:rsid w:val="00993F11"/>
    <w:rsid w:val="00996DCD"/>
    <w:rsid w:val="00997087"/>
    <w:rsid w:val="009B38B1"/>
    <w:rsid w:val="009B5B7C"/>
    <w:rsid w:val="009B6B89"/>
    <w:rsid w:val="009D540E"/>
    <w:rsid w:val="009E09E5"/>
    <w:rsid w:val="009E1662"/>
    <w:rsid w:val="009E2C7D"/>
    <w:rsid w:val="009E3036"/>
    <w:rsid w:val="009F1A2B"/>
    <w:rsid w:val="00A01BE4"/>
    <w:rsid w:val="00A06083"/>
    <w:rsid w:val="00A0648B"/>
    <w:rsid w:val="00A13394"/>
    <w:rsid w:val="00A14CC2"/>
    <w:rsid w:val="00A175C3"/>
    <w:rsid w:val="00A23594"/>
    <w:rsid w:val="00A2449A"/>
    <w:rsid w:val="00A30013"/>
    <w:rsid w:val="00A3028D"/>
    <w:rsid w:val="00A315EE"/>
    <w:rsid w:val="00A370EB"/>
    <w:rsid w:val="00A37A41"/>
    <w:rsid w:val="00A401C6"/>
    <w:rsid w:val="00A42184"/>
    <w:rsid w:val="00A43EED"/>
    <w:rsid w:val="00A569B6"/>
    <w:rsid w:val="00A56F8F"/>
    <w:rsid w:val="00A60BD0"/>
    <w:rsid w:val="00A6373D"/>
    <w:rsid w:val="00A64BB2"/>
    <w:rsid w:val="00A66A5B"/>
    <w:rsid w:val="00A66DE4"/>
    <w:rsid w:val="00A66FFC"/>
    <w:rsid w:val="00A71D96"/>
    <w:rsid w:val="00A77015"/>
    <w:rsid w:val="00A8542E"/>
    <w:rsid w:val="00A91562"/>
    <w:rsid w:val="00AA1C58"/>
    <w:rsid w:val="00AA2B33"/>
    <w:rsid w:val="00AB3411"/>
    <w:rsid w:val="00AB5B87"/>
    <w:rsid w:val="00AB6B34"/>
    <w:rsid w:val="00AC2F1B"/>
    <w:rsid w:val="00AC4C09"/>
    <w:rsid w:val="00AC68D9"/>
    <w:rsid w:val="00AD62C1"/>
    <w:rsid w:val="00AD77C9"/>
    <w:rsid w:val="00AE3519"/>
    <w:rsid w:val="00AE4A4A"/>
    <w:rsid w:val="00AE7240"/>
    <w:rsid w:val="00AF7C25"/>
    <w:rsid w:val="00B01149"/>
    <w:rsid w:val="00B02936"/>
    <w:rsid w:val="00B04CC9"/>
    <w:rsid w:val="00B1706E"/>
    <w:rsid w:val="00B22F48"/>
    <w:rsid w:val="00B308EA"/>
    <w:rsid w:val="00B318F5"/>
    <w:rsid w:val="00B3355A"/>
    <w:rsid w:val="00B46F09"/>
    <w:rsid w:val="00B50D08"/>
    <w:rsid w:val="00B51F74"/>
    <w:rsid w:val="00B538F8"/>
    <w:rsid w:val="00B569D6"/>
    <w:rsid w:val="00B61034"/>
    <w:rsid w:val="00B61AA5"/>
    <w:rsid w:val="00B66AF5"/>
    <w:rsid w:val="00B7041A"/>
    <w:rsid w:val="00B73A35"/>
    <w:rsid w:val="00B750B9"/>
    <w:rsid w:val="00B82910"/>
    <w:rsid w:val="00B82F51"/>
    <w:rsid w:val="00B83C86"/>
    <w:rsid w:val="00B84ECB"/>
    <w:rsid w:val="00B85BA7"/>
    <w:rsid w:val="00B86886"/>
    <w:rsid w:val="00B919B9"/>
    <w:rsid w:val="00BB27B2"/>
    <w:rsid w:val="00BB604F"/>
    <w:rsid w:val="00BC48DF"/>
    <w:rsid w:val="00BC7A83"/>
    <w:rsid w:val="00BD0A04"/>
    <w:rsid w:val="00BD0B07"/>
    <w:rsid w:val="00BD103F"/>
    <w:rsid w:val="00BD7BEB"/>
    <w:rsid w:val="00BE2C5D"/>
    <w:rsid w:val="00BE381B"/>
    <w:rsid w:val="00C03848"/>
    <w:rsid w:val="00C06330"/>
    <w:rsid w:val="00C06374"/>
    <w:rsid w:val="00C0686A"/>
    <w:rsid w:val="00C105AE"/>
    <w:rsid w:val="00C1458B"/>
    <w:rsid w:val="00C30B2F"/>
    <w:rsid w:val="00C340C1"/>
    <w:rsid w:val="00C3455E"/>
    <w:rsid w:val="00C363CC"/>
    <w:rsid w:val="00C37638"/>
    <w:rsid w:val="00C4070F"/>
    <w:rsid w:val="00C4350D"/>
    <w:rsid w:val="00C43720"/>
    <w:rsid w:val="00C465B1"/>
    <w:rsid w:val="00C46D86"/>
    <w:rsid w:val="00C516A5"/>
    <w:rsid w:val="00C51812"/>
    <w:rsid w:val="00C53DA1"/>
    <w:rsid w:val="00C54933"/>
    <w:rsid w:val="00C61930"/>
    <w:rsid w:val="00C62B22"/>
    <w:rsid w:val="00C67E03"/>
    <w:rsid w:val="00C72414"/>
    <w:rsid w:val="00C72A80"/>
    <w:rsid w:val="00C74A3B"/>
    <w:rsid w:val="00C74F5A"/>
    <w:rsid w:val="00C751C7"/>
    <w:rsid w:val="00C81EB4"/>
    <w:rsid w:val="00C87AE2"/>
    <w:rsid w:val="00C912D9"/>
    <w:rsid w:val="00C93E6C"/>
    <w:rsid w:val="00C9580A"/>
    <w:rsid w:val="00C9589B"/>
    <w:rsid w:val="00C95C5C"/>
    <w:rsid w:val="00C9739A"/>
    <w:rsid w:val="00C97544"/>
    <w:rsid w:val="00CA0653"/>
    <w:rsid w:val="00CA3C99"/>
    <w:rsid w:val="00CB0597"/>
    <w:rsid w:val="00CC4F69"/>
    <w:rsid w:val="00CC65DD"/>
    <w:rsid w:val="00CC6773"/>
    <w:rsid w:val="00CD5BB4"/>
    <w:rsid w:val="00CD6239"/>
    <w:rsid w:val="00CE6FEE"/>
    <w:rsid w:val="00CF1591"/>
    <w:rsid w:val="00CF17D1"/>
    <w:rsid w:val="00CF4370"/>
    <w:rsid w:val="00CF6B1A"/>
    <w:rsid w:val="00D00D6C"/>
    <w:rsid w:val="00D010EA"/>
    <w:rsid w:val="00D0454E"/>
    <w:rsid w:val="00D1182B"/>
    <w:rsid w:val="00D14622"/>
    <w:rsid w:val="00D14A7D"/>
    <w:rsid w:val="00D14C3F"/>
    <w:rsid w:val="00D20494"/>
    <w:rsid w:val="00D21029"/>
    <w:rsid w:val="00D21BC7"/>
    <w:rsid w:val="00D2265C"/>
    <w:rsid w:val="00D27074"/>
    <w:rsid w:val="00D33C25"/>
    <w:rsid w:val="00D40F92"/>
    <w:rsid w:val="00D447AD"/>
    <w:rsid w:val="00D46548"/>
    <w:rsid w:val="00D472CE"/>
    <w:rsid w:val="00D53876"/>
    <w:rsid w:val="00D63C81"/>
    <w:rsid w:val="00D64087"/>
    <w:rsid w:val="00D7112B"/>
    <w:rsid w:val="00D730AF"/>
    <w:rsid w:val="00D75F8B"/>
    <w:rsid w:val="00D77E21"/>
    <w:rsid w:val="00D8191F"/>
    <w:rsid w:val="00D91861"/>
    <w:rsid w:val="00D96479"/>
    <w:rsid w:val="00D9756D"/>
    <w:rsid w:val="00DA65C6"/>
    <w:rsid w:val="00DA7F3C"/>
    <w:rsid w:val="00DB6AE2"/>
    <w:rsid w:val="00DC1AE2"/>
    <w:rsid w:val="00DC3D0F"/>
    <w:rsid w:val="00DC5849"/>
    <w:rsid w:val="00DC5FCE"/>
    <w:rsid w:val="00DD421D"/>
    <w:rsid w:val="00DD59F2"/>
    <w:rsid w:val="00DD65C3"/>
    <w:rsid w:val="00DF24F3"/>
    <w:rsid w:val="00DF6EC2"/>
    <w:rsid w:val="00E05767"/>
    <w:rsid w:val="00E127F6"/>
    <w:rsid w:val="00E15C0B"/>
    <w:rsid w:val="00E23375"/>
    <w:rsid w:val="00E235A2"/>
    <w:rsid w:val="00E24194"/>
    <w:rsid w:val="00E26812"/>
    <w:rsid w:val="00E27CE0"/>
    <w:rsid w:val="00E3380B"/>
    <w:rsid w:val="00E54FD4"/>
    <w:rsid w:val="00E61D3A"/>
    <w:rsid w:val="00E62723"/>
    <w:rsid w:val="00E6332C"/>
    <w:rsid w:val="00E6354D"/>
    <w:rsid w:val="00E654AD"/>
    <w:rsid w:val="00E73A74"/>
    <w:rsid w:val="00E74086"/>
    <w:rsid w:val="00E7676F"/>
    <w:rsid w:val="00E77165"/>
    <w:rsid w:val="00E84C53"/>
    <w:rsid w:val="00E84FDA"/>
    <w:rsid w:val="00E90DE6"/>
    <w:rsid w:val="00E95168"/>
    <w:rsid w:val="00EA2C33"/>
    <w:rsid w:val="00EA3232"/>
    <w:rsid w:val="00EA4821"/>
    <w:rsid w:val="00EA56CA"/>
    <w:rsid w:val="00EB4685"/>
    <w:rsid w:val="00EB581D"/>
    <w:rsid w:val="00EB6BCF"/>
    <w:rsid w:val="00EC325B"/>
    <w:rsid w:val="00ED41AF"/>
    <w:rsid w:val="00EE2568"/>
    <w:rsid w:val="00EE3D9D"/>
    <w:rsid w:val="00EF0DD4"/>
    <w:rsid w:val="00EF0EBD"/>
    <w:rsid w:val="00EF4B45"/>
    <w:rsid w:val="00EF5085"/>
    <w:rsid w:val="00EF50CF"/>
    <w:rsid w:val="00F059DE"/>
    <w:rsid w:val="00F11C29"/>
    <w:rsid w:val="00F131D0"/>
    <w:rsid w:val="00F24239"/>
    <w:rsid w:val="00F264B6"/>
    <w:rsid w:val="00F32C9A"/>
    <w:rsid w:val="00F361D1"/>
    <w:rsid w:val="00F40327"/>
    <w:rsid w:val="00F40E83"/>
    <w:rsid w:val="00F42DF7"/>
    <w:rsid w:val="00F466BC"/>
    <w:rsid w:val="00F55B6F"/>
    <w:rsid w:val="00F56B7A"/>
    <w:rsid w:val="00F57CD9"/>
    <w:rsid w:val="00F61348"/>
    <w:rsid w:val="00F70E4F"/>
    <w:rsid w:val="00F733C5"/>
    <w:rsid w:val="00F86E40"/>
    <w:rsid w:val="00F930AC"/>
    <w:rsid w:val="00F937CD"/>
    <w:rsid w:val="00FA2999"/>
    <w:rsid w:val="00FA54D3"/>
    <w:rsid w:val="00FA65E4"/>
    <w:rsid w:val="00FB11F0"/>
    <w:rsid w:val="00FB24CA"/>
    <w:rsid w:val="00FB5AA9"/>
    <w:rsid w:val="00FB6138"/>
    <w:rsid w:val="00FC36A9"/>
    <w:rsid w:val="00FC3E93"/>
    <w:rsid w:val="00FD08FE"/>
    <w:rsid w:val="00FD2016"/>
    <w:rsid w:val="00FE56D2"/>
    <w:rsid w:val="00FE6D90"/>
    <w:rsid w:val="00FF7583"/>
    <w:rsid w:val="0176B560"/>
    <w:rsid w:val="01920DC0"/>
    <w:rsid w:val="01C35838"/>
    <w:rsid w:val="01DFDDD3"/>
    <w:rsid w:val="0268A3CB"/>
    <w:rsid w:val="0268D76A"/>
    <w:rsid w:val="02C5594C"/>
    <w:rsid w:val="03338E69"/>
    <w:rsid w:val="04196A10"/>
    <w:rsid w:val="043291C5"/>
    <w:rsid w:val="0443E771"/>
    <w:rsid w:val="05BC368C"/>
    <w:rsid w:val="06684B0A"/>
    <w:rsid w:val="06DE6D37"/>
    <w:rsid w:val="076E93E7"/>
    <w:rsid w:val="096A11F1"/>
    <w:rsid w:val="098715FD"/>
    <w:rsid w:val="0A0B9188"/>
    <w:rsid w:val="0AEFBB4C"/>
    <w:rsid w:val="0BC1BDE4"/>
    <w:rsid w:val="0D49A050"/>
    <w:rsid w:val="0D8428CB"/>
    <w:rsid w:val="0E0B00A8"/>
    <w:rsid w:val="0EDB6010"/>
    <w:rsid w:val="0EE79264"/>
    <w:rsid w:val="0FB62CE7"/>
    <w:rsid w:val="0FF42500"/>
    <w:rsid w:val="0FF75AE7"/>
    <w:rsid w:val="10CFE70E"/>
    <w:rsid w:val="1100BDEC"/>
    <w:rsid w:val="115B9DFC"/>
    <w:rsid w:val="128FAF09"/>
    <w:rsid w:val="13F745DC"/>
    <w:rsid w:val="148DE68E"/>
    <w:rsid w:val="154E66D2"/>
    <w:rsid w:val="15C7A682"/>
    <w:rsid w:val="1617288F"/>
    <w:rsid w:val="1776A89F"/>
    <w:rsid w:val="182CB68E"/>
    <w:rsid w:val="18635941"/>
    <w:rsid w:val="19084E6F"/>
    <w:rsid w:val="19C362A5"/>
    <w:rsid w:val="1A23B4D0"/>
    <w:rsid w:val="1AB42840"/>
    <w:rsid w:val="1B32E4B9"/>
    <w:rsid w:val="1B9AB145"/>
    <w:rsid w:val="1C2BF3A5"/>
    <w:rsid w:val="1C2DF0B5"/>
    <w:rsid w:val="1C37D894"/>
    <w:rsid w:val="1C5F2F9F"/>
    <w:rsid w:val="1D006620"/>
    <w:rsid w:val="1D10DD0E"/>
    <w:rsid w:val="1E4BE018"/>
    <w:rsid w:val="1E5A5E55"/>
    <w:rsid w:val="1ECACAF6"/>
    <w:rsid w:val="1F8AB8AC"/>
    <w:rsid w:val="1FEFF362"/>
    <w:rsid w:val="20379785"/>
    <w:rsid w:val="2147FDA1"/>
    <w:rsid w:val="2157F488"/>
    <w:rsid w:val="22399132"/>
    <w:rsid w:val="22D393EA"/>
    <w:rsid w:val="233BF806"/>
    <w:rsid w:val="235A9151"/>
    <w:rsid w:val="23C78BBD"/>
    <w:rsid w:val="252E7223"/>
    <w:rsid w:val="254C4528"/>
    <w:rsid w:val="258E539B"/>
    <w:rsid w:val="2608CCDC"/>
    <w:rsid w:val="268D8B1D"/>
    <w:rsid w:val="26CD4D5E"/>
    <w:rsid w:val="26EBCDE4"/>
    <w:rsid w:val="2700395D"/>
    <w:rsid w:val="275AE5D1"/>
    <w:rsid w:val="2783E5D5"/>
    <w:rsid w:val="2795B835"/>
    <w:rsid w:val="27A00861"/>
    <w:rsid w:val="291E3F25"/>
    <w:rsid w:val="29C20C9C"/>
    <w:rsid w:val="2AC135EA"/>
    <w:rsid w:val="2AF4458E"/>
    <w:rsid w:val="2B7916B7"/>
    <w:rsid w:val="2D4B9F1D"/>
    <w:rsid w:val="2D62FCBF"/>
    <w:rsid w:val="2D81A735"/>
    <w:rsid w:val="2D83278E"/>
    <w:rsid w:val="2E340FFE"/>
    <w:rsid w:val="2EB7CAA4"/>
    <w:rsid w:val="2F044C73"/>
    <w:rsid w:val="2F3C637C"/>
    <w:rsid w:val="31252E6B"/>
    <w:rsid w:val="314E080E"/>
    <w:rsid w:val="315DFF17"/>
    <w:rsid w:val="317F4A4F"/>
    <w:rsid w:val="3191E87C"/>
    <w:rsid w:val="3283446C"/>
    <w:rsid w:val="334C9286"/>
    <w:rsid w:val="334DB587"/>
    <w:rsid w:val="33AB40E2"/>
    <w:rsid w:val="343CD8B1"/>
    <w:rsid w:val="356690A4"/>
    <w:rsid w:val="356DB6FA"/>
    <w:rsid w:val="358A14A7"/>
    <w:rsid w:val="359A8493"/>
    <w:rsid w:val="35C9D458"/>
    <w:rsid w:val="35EDB3A1"/>
    <w:rsid w:val="36146A15"/>
    <w:rsid w:val="375F8FA2"/>
    <w:rsid w:val="38C25BE4"/>
    <w:rsid w:val="3947C660"/>
    <w:rsid w:val="3B71C31C"/>
    <w:rsid w:val="3B7AA477"/>
    <w:rsid w:val="3C2F4ED4"/>
    <w:rsid w:val="3C4175D3"/>
    <w:rsid w:val="3C7DF6FB"/>
    <w:rsid w:val="3CA9ACA2"/>
    <w:rsid w:val="3DD4339A"/>
    <w:rsid w:val="3E7A813A"/>
    <w:rsid w:val="3EE31864"/>
    <w:rsid w:val="3EE8B3EC"/>
    <w:rsid w:val="3F251836"/>
    <w:rsid w:val="3F2748BD"/>
    <w:rsid w:val="3F634838"/>
    <w:rsid w:val="3F85BC8D"/>
    <w:rsid w:val="3FA89BB0"/>
    <w:rsid w:val="3FAB32FE"/>
    <w:rsid w:val="407179AC"/>
    <w:rsid w:val="42993642"/>
    <w:rsid w:val="43129098"/>
    <w:rsid w:val="4356B624"/>
    <w:rsid w:val="438BFA6D"/>
    <w:rsid w:val="446A5BBB"/>
    <w:rsid w:val="45341713"/>
    <w:rsid w:val="45644119"/>
    <w:rsid w:val="45D1471B"/>
    <w:rsid w:val="45DD9344"/>
    <w:rsid w:val="45F6B0D1"/>
    <w:rsid w:val="464DD102"/>
    <w:rsid w:val="4660EDD6"/>
    <w:rsid w:val="47631AAB"/>
    <w:rsid w:val="477FF18E"/>
    <w:rsid w:val="47F3E084"/>
    <w:rsid w:val="48D22973"/>
    <w:rsid w:val="498E0BC5"/>
    <w:rsid w:val="49E68877"/>
    <w:rsid w:val="4B6F6D1D"/>
    <w:rsid w:val="4BA3CFDD"/>
    <w:rsid w:val="4CA52089"/>
    <w:rsid w:val="4D6CF2C4"/>
    <w:rsid w:val="4D7CFD49"/>
    <w:rsid w:val="4D82557D"/>
    <w:rsid w:val="4DA3A042"/>
    <w:rsid w:val="4DECC1E6"/>
    <w:rsid w:val="4E18798E"/>
    <w:rsid w:val="4F51A30B"/>
    <w:rsid w:val="501C4C9A"/>
    <w:rsid w:val="50D6ACDA"/>
    <w:rsid w:val="50E2B857"/>
    <w:rsid w:val="5131C047"/>
    <w:rsid w:val="522612DE"/>
    <w:rsid w:val="53076323"/>
    <w:rsid w:val="5349A88F"/>
    <w:rsid w:val="53656553"/>
    <w:rsid w:val="53F15184"/>
    <w:rsid w:val="543DBA28"/>
    <w:rsid w:val="54755C3C"/>
    <w:rsid w:val="5493524F"/>
    <w:rsid w:val="54D0F9B8"/>
    <w:rsid w:val="554462ED"/>
    <w:rsid w:val="554F3C30"/>
    <w:rsid w:val="55A0AB94"/>
    <w:rsid w:val="5608504C"/>
    <w:rsid w:val="56D6956B"/>
    <w:rsid w:val="56FB3137"/>
    <w:rsid w:val="57C0B1A7"/>
    <w:rsid w:val="57F20E59"/>
    <w:rsid w:val="5888F9F8"/>
    <w:rsid w:val="590BA60F"/>
    <w:rsid w:val="592A0471"/>
    <w:rsid w:val="597B3EE6"/>
    <w:rsid w:val="5985E96B"/>
    <w:rsid w:val="59D9EB1C"/>
    <w:rsid w:val="5B133809"/>
    <w:rsid w:val="5B5AFD83"/>
    <w:rsid w:val="5B63ADCC"/>
    <w:rsid w:val="5BA74DE2"/>
    <w:rsid w:val="5BB56E9A"/>
    <w:rsid w:val="5C1149FA"/>
    <w:rsid w:val="5C6B9662"/>
    <w:rsid w:val="5CE6FF92"/>
    <w:rsid w:val="5D1FC28D"/>
    <w:rsid w:val="5D7022BE"/>
    <w:rsid w:val="5F1805B5"/>
    <w:rsid w:val="5F3CC473"/>
    <w:rsid w:val="5FBA8E46"/>
    <w:rsid w:val="6009F599"/>
    <w:rsid w:val="61ADF41C"/>
    <w:rsid w:val="62478253"/>
    <w:rsid w:val="62694D45"/>
    <w:rsid w:val="62A09C01"/>
    <w:rsid w:val="62DB5923"/>
    <w:rsid w:val="62E086F6"/>
    <w:rsid w:val="62EFDF55"/>
    <w:rsid w:val="631D7BA1"/>
    <w:rsid w:val="63BD0271"/>
    <w:rsid w:val="641CD615"/>
    <w:rsid w:val="64A1A150"/>
    <w:rsid w:val="64B10CDD"/>
    <w:rsid w:val="64F5C820"/>
    <w:rsid w:val="65C60F5B"/>
    <w:rsid w:val="65D06A96"/>
    <w:rsid w:val="6642C4F9"/>
    <w:rsid w:val="688660BD"/>
    <w:rsid w:val="68D468FE"/>
    <w:rsid w:val="690489A2"/>
    <w:rsid w:val="6930B998"/>
    <w:rsid w:val="69C1EC61"/>
    <w:rsid w:val="69CA3229"/>
    <w:rsid w:val="69F44541"/>
    <w:rsid w:val="69FE00BF"/>
    <w:rsid w:val="6A5B52C2"/>
    <w:rsid w:val="6C10B480"/>
    <w:rsid w:val="6D921F57"/>
    <w:rsid w:val="6E25192E"/>
    <w:rsid w:val="6E27D14C"/>
    <w:rsid w:val="6F203C18"/>
    <w:rsid w:val="6FA2549B"/>
    <w:rsid w:val="6FB0965C"/>
    <w:rsid w:val="700D329B"/>
    <w:rsid w:val="711B294B"/>
    <w:rsid w:val="71BBE40C"/>
    <w:rsid w:val="71EEDB5F"/>
    <w:rsid w:val="7259B590"/>
    <w:rsid w:val="727CFD7B"/>
    <w:rsid w:val="72A46012"/>
    <w:rsid w:val="72C2EE94"/>
    <w:rsid w:val="73418322"/>
    <w:rsid w:val="73C822CB"/>
    <w:rsid w:val="74368F32"/>
    <w:rsid w:val="7560E5ED"/>
    <w:rsid w:val="75652241"/>
    <w:rsid w:val="761E2699"/>
    <w:rsid w:val="76267C12"/>
    <w:rsid w:val="76AE7C1E"/>
    <w:rsid w:val="7712C9B1"/>
    <w:rsid w:val="775E873D"/>
    <w:rsid w:val="78557166"/>
    <w:rsid w:val="7861CE1B"/>
    <w:rsid w:val="795CDF84"/>
    <w:rsid w:val="79908FEE"/>
    <w:rsid w:val="79E97C8C"/>
    <w:rsid w:val="7A17A82C"/>
    <w:rsid w:val="7AD93246"/>
    <w:rsid w:val="7B377DDF"/>
    <w:rsid w:val="7B99AF5B"/>
    <w:rsid w:val="7BB85866"/>
    <w:rsid w:val="7BFE0A69"/>
    <w:rsid w:val="7C1045D6"/>
    <w:rsid w:val="7C31FF3A"/>
    <w:rsid w:val="7C4519F3"/>
    <w:rsid w:val="7D740E4A"/>
    <w:rsid w:val="7EDE05D8"/>
    <w:rsid w:val="7EEF99BC"/>
    <w:rsid w:val="7F35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E8F3"/>
  <w15:chartTrackingRefBased/>
  <w15:docId w15:val="{0F4CEF0F-23B1-4624-8BE5-F46D921D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380B"/>
    <w:rPr>
      <w:sz w:val="23"/>
      <w:szCs w:val="23"/>
    </w:rPr>
  </w:style>
  <w:style w:type="character" w:customStyle="1" w:styleId="BodyTextChar">
    <w:name w:val="Body Text Char"/>
    <w:basedOn w:val="DefaultParagraphFont"/>
    <w:link w:val="BodyText"/>
    <w:uiPriority w:val="1"/>
    <w:rsid w:val="00E3380B"/>
    <w:rPr>
      <w:rFonts w:ascii="Times New Roman" w:eastAsia="Times New Roman" w:hAnsi="Times New Roman" w:cs="Times New Roman"/>
      <w:sz w:val="23"/>
      <w:szCs w:val="23"/>
    </w:rPr>
  </w:style>
  <w:style w:type="paragraph" w:styleId="FootnoteText">
    <w:name w:val="footnote text"/>
    <w:basedOn w:val="Normal"/>
    <w:link w:val="FootnoteTextChar"/>
    <w:uiPriority w:val="99"/>
    <w:unhideWhenUsed/>
    <w:rsid w:val="003834A2"/>
    <w:rPr>
      <w:sz w:val="20"/>
      <w:szCs w:val="20"/>
    </w:rPr>
  </w:style>
  <w:style w:type="character" w:customStyle="1" w:styleId="FootnoteTextChar">
    <w:name w:val="Footnote Text Char"/>
    <w:basedOn w:val="DefaultParagraphFont"/>
    <w:link w:val="FootnoteText"/>
    <w:uiPriority w:val="99"/>
    <w:rsid w:val="00383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34A2"/>
    <w:rPr>
      <w:vertAlign w:val="superscript"/>
    </w:rPr>
  </w:style>
  <w:style w:type="paragraph" w:styleId="Header">
    <w:name w:val="header"/>
    <w:basedOn w:val="Normal"/>
    <w:link w:val="HeaderChar"/>
    <w:uiPriority w:val="99"/>
    <w:unhideWhenUsed/>
    <w:rsid w:val="00157C89"/>
    <w:pPr>
      <w:tabs>
        <w:tab w:val="center" w:pos="4680"/>
        <w:tab w:val="right" w:pos="9360"/>
      </w:tabs>
    </w:pPr>
  </w:style>
  <w:style w:type="character" w:customStyle="1" w:styleId="HeaderChar">
    <w:name w:val="Header Char"/>
    <w:basedOn w:val="DefaultParagraphFont"/>
    <w:link w:val="Header"/>
    <w:uiPriority w:val="99"/>
    <w:rsid w:val="00157C89"/>
    <w:rPr>
      <w:rFonts w:ascii="Times New Roman" w:eastAsia="Times New Roman" w:hAnsi="Times New Roman" w:cs="Times New Roman"/>
    </w:rPr>
  </w:style>
  <w:style w:type="paragraph" w:styleId="Footer">
    <w:name w:val="footer"/>
    <w:basedOn w:val="Normal"/>
    <w:link w:val="FooterChar"/>
    <w:uiPriority w:val="99"/>
    <w:unhideWhenUsed/>
    <w:rsid w:val="00157C89"/>
    <w:pPr>
      <w:tabs>
        <w:tab w:val="center" w:pos="4680"/>
        <w:tab w:val="right" w:pos="9360"/>
      </w:tabs>
    </w:pPr>
  </w:style>
  <w:style w:type="character" w:customStyle="1" w:styleId="FooterChar">
    <w:name w:val="Footer Char"/>
    <w:basedOn w:val="DefaultParagraphFont"/>
    <w:link w:val="Footer"/>
    <w:uiPriority w:val="99"/>
    <w:rsid w:val="00157C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140A-B2B7-4009-903B-AEFAD6F9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5808</TotalTime>
  <Pages>5</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345</cp:revision>
  <cp:lastPrinted>2025-05-20T20:56:00Z</cp:lastPrinted>
  <dcterms:created xsi:type="dcterms:W3CDTF">2024-02-12T01:02:00Z</dcterms:created>
  <dcterms:modified xsi:type="dcterms:W3CDTF">2025-06-05T12:37:00Z</dcterms:modified>
</cp:coreProperties>
</file>