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98" w:rsidRPr="00AB5708" w:rsidRDefault="001D6598" w:rsidP="001D6598">
      <w:pPr>
        <w:jc w:val="center"/>
        <w:rPr>
          <w:rFonts w:ascii="Times New Roman" w:hAnsi="Times New Roman"/>
          <w:b/>
        </w:rPr>
      </w:pPr>
      <w:smartTag w:uri="urn:schemas-microsoft-com:office:smarttags" w:element="place">
        <w:smartTag w:uri="urn:schemas-microsoft-com:office:smarttags" w:element="PlaceType">
          <w:r w:rsidRPr="00AB5708">
            <w:rPr>
              <w:rFonts w:ascii="Times New Roman" w:hAnsi="Times New Roman"/>
              <w:b/>
            </w:rPr>
            <w:t>COMMONWEALTH</w:t>
          </w:r>
        </w:smartTag>
        <w:r w:rsidRPr="00AB5708">
          <w:rPr>
            <w:rFonts w:ascii="Times New Roman" w:hAnsi="Times New Roman"/>
            <w:b/>
          </w:rPr>
          <w:t xml:space="preserve"> OF </w:t>
        </w:r>
        <w:smartTag w:uri="urn:schemas-microsoft-com:office:smarttags" w:element="PlaceName">
          <w:r w:rsidRPr="00AB5708">
            <w:rPr>
              <w:rFonts w:ascii="Times New Roman" w:hAnsi="Times New Roman"/>
              <w:b/>
            </w:rPr>
            <w:t>MASSACHUSETTS</w:t>
          </w:r>
        </w:smartTag>
      </w:smartTag>
    </w:p>
    <w:p w:rsidR="001D6598" w:rsidRPr="00AB5708" w:rsidRDefault="001D6598" w:rsidP="001D6598">
      <w:pPr>
        <w:jc w:val="center"/>
        <w:rPr>
          <w:rFonts w:ascii="Times New Roman" w:hAnsi="Times New Roman"/>
          <w:b/>
        </w:rPr>
      </w:pPr>
      <w:r w:rsidRPr="00AB5708">
        <w:rPr>
          <w:rFonts w:ascii="Times New Roman" w:hAnsi="Times New Roman"/>
          <w:b/>
        </w:rPr>
        <w:t>BOARD OF REGISTRATION IN MEDICINE</w:t>
      </w:r>
    </w:p>
    <w:p w:rsidR="001D6598" w:rsidRPr="00AB5708" w:rsidRDefault="001D6598" w:rsidP="001D6598">
      <w:pPr>
        <w:jc w:val="center"/>
        <w:rPr>
          <w:rFonts w:ascii="Times New Roman" w:hAnsi="Times New Roman"/>
          <w:b/>
        </w:rPr>
      </w:pPr>
    </w:p>
    <w:p w:rsidR="001D6598" w:rsidRPr="00AB5708" w:rsidRDefault="001D6598" w:rsidP="001D6598">
      <w:pPr>
        <w:rPr>
          <w:rFonts w:ascii="Times New Roman" w:hAnsi="Times New Roman"/>
        </w:rPr>
      </w:pPr>
      <w:r w:rsidRPr="00AB5708">
        <w:rPr>
          <w:rFonts w:ascii="Times New Roman" w:hAnsi="Times New Roman"/>
        </w:rPr>
        <w:t>Middlesex, ss.</w:t>
      </w:r>
      <w:r w:rsidRPr="00AB5708">
        <w:rPr>
          <w:rFonts w:ascii="Times New Roman" w:hAnsi="Times New Roman"/>
        </w:rPr>
        <w:tab/>
      </w:r>
      <w:r w:rsidRPr="00AB5708">
        <w:rPr>
          <w:rFonts w:ascii="Times New Roman" w:hAnsi="Times New Roman"/>
        </w:rPr>
        <w:tab/>
      </w:r>
      <w:r w:rsidRPr="00AB5708">
        <w:rPr>
          <w:rFonts w:ascii="Times New Roman" w:hAnsi="Times New Roman"/>
        </w:rPr>
        <w:tab/>
      </w:r>
      <w:r w:rsidRPr="00AB5708">
        <w:rPr>
          <w:rFonts w:ascii="Times New Roman" w:hAnsi="Times New Roman"/>
        </w:rPr>
        <w:tab/>
      </w:r>
      <w:r w:rsidRPr="00AB5708">
        <w:rPr>
          <w:rFonts w:ascii="Times New Roman" w:hAnsi="Times New Roman"/>
        </w:rPr>
        <w:tab/>
      </w:r>
      <w:r w:rsidRPr="00AB5708">
        <w:rPr>
          <w:rFonts w:ascii="Times New Roman" w:hAnsi="Times New Roman"/>
        </w:rPr>
        <w:tab/>
        <w:t xml:space="preserve">Adjudicatory Case </w:t>
      </w:r>
    </w:p>
    <w:p w:rsidR="001D6598" w:rsidRPr="00AB5708" w:rsidRDefault="001D6598" w:rsidP="001D6598">
      <w:pPr>
        <w:rPr>
          <w:rFonts w:ascii="Times New Roman" w:hAnsi="Times New Roman"/>
        </w:rPr>
      </w:pPr>
      <w:r w:rsidRPr="00AB5708">
        <w:rPr>
          <w:rFonts w:ascii="Times New Roman" w:hAnsi="Times New Roman"/>
        </w:rPr>
        <w:tab/>
      </w:r>
      <w:r w:rsidRPr="00AB5708">
        <w:rPr>
          <w:rFonts w:ascii="Times New Roman" w:hAnsi="Times New Roman"/>
        </w:rPr>
        <w:tab/>
      </w:r>
      <w:r w:rsidRPr="00AB5708">
        <w:rPr>
          <w:rFonts w:ascii="Times New Roman" w:hAnsi="Times New Roman"/>
        </w:rPr>
        <w:tab/>
      </w:r>
      <w:r w:rsidRPr="00AB5708">
        <w:rPr>
          <w:rFonts w:ascii="Times New Roman" w:hAnsi="Times New Roman"/>
        </w:rPr>
        <w:tab/>
      </w:r>
      <w:r w:rsidRPr="00AB5708">
        <w:rPr>
          <w:rFonts w:ascii="Times New Roman" w:hAnsi="Times New Roman"/>
        </w:rPr>
        <w:tab/>
      </w:r>
      <w:r w:rsidRPr="00AB5708">
        <w:rPr>
          <w:rFonts w:ascii="Times New Roman" w:hAnsi="Times New Roman"/>
        </w:rPr>
        <w:tab/>
      </w:r>
      <w:r w:rsidRPr="00AB5708">
        <w:rPr>
          <w:rFonts w:ascii="Times New Roman" w:hAnsi="Times New Roman"/>
        </w:rPr>
        <w:tab/>
        <w:t>No. 20</w:t>
      </w:r>
      <w:r>
        <w:rPr>
          <w:rFonts w:ascii="Times New Roman" w:hAnsi="Times New Roman"/>
        </w:rPr>
        <w:t>1</w:t>
      </w:r>
      <w:r w:rsidR="00C36BEA">
        <w:rPr>
          <w:rFonts w:ascii="Times New Roman" w:hAnsi="Times New Roman"/>
        </w:rPr>
        <w:t>3</w:t>
      </w:r>
      <w:r>
        <w:rPr>
          <w:rFonts w:ascii="Times New Roman" w:hAnsi="Times New Roman"/>
        </w:rPr>
        <w:t>-0</w:t>
      </w:r>
      <w:r w:rsidR="00C36BEA">
        <w:rPr>
          <w:rFonts w:ascii="Times New Roman" w:hAnsi="Times New Roman"/>
        </w:rPr>
        <w:t>31</w:t>
      </w:r>
      <w:r w:rsidR="000466C8">
        <w:rPr>
          <w:rFonts w:ascii="Times New Roman" w:hAnsi="Times New Roman"/>
        </w:rPr>
        <w:t xml:space="preserve"> (RM-09-665</w:t>
      </w:r>
      <w:r>
        <w:rPr>
          <w:rFonts w:ascii="Times New Roman" w:hAnsi="Times New Roman"/>
        </w:rPr>
        <w:t>)</w:t>
      </w:r>
    </w:p>
    <w:p w:rsidR="001D6598" w:rsidRPr="00AB5708" w:rsidRDefault="001D6598" w:rsidP="001D6598">
      <w:pPr>
        <w:rPr>
          <w:rFonts w:ascii="Times New Roman" w:hAnsi="Times New Roman"/>
        </w:rPr>
      </w:pPr>
    </w:p>
    <w:p w:rsidR="001D6598" w:rsidRPr="00AB5708" w:rsidRDefault="001D6598" w:rsidP="001D6598">
      <w:pPr>
        <w:rPr>
          <w:rFonts w:ascii="Times New Roman" w:hAnsi="Times New Roman"/>
        </w:rPr>
      </w:pPr>
    </w:p>
    <w:p w:rsidR="001D6598" w:rsidRPr="00AB5708" w:rsidRDefault="001D6598" w:rsidP="001D6598">
      <w:pPr>
        <w:rPr>
          <w:rFonts w:ascii="Times New Roman" w:hAnsi="Times New Roman"/>
        </w:rPr>
      </w:pPr>
      <w:r w:rsidRPr="00AB5708">
        <w:rPr>
          <w:rFonts w:ascii="Times New Roman" w:hAnsi="Times New Roman"/>
        </w:rPr>
        <w:t>__________________</w:t>
      </w:r>
      <w:r>
        <w:rPr>
          <w:rFonts w:ascii="Times New Roman" w:hAnsi="Times New Roman"/>
        </w:rPr>
        <w:t>___</w:t>
      </w:r>
      <w:r w:rsidRPr="00AB5708">
        <w:rPr>
          <w:rFonts w:ascii="Times New Roman" w:hAnsi="Times New Roman"/>
        </w:rPr>
        <w:t>_________</w:t>
      </w:r>
    </w:p>
    <w:p w:rsidR="001D6598" w:rsidRPr="00AB5708" w:rsidRDefault="001D6598" w:rsidP="001D6598">
      <w:pPr>
        <w:rPr>
          <w:rFonts w:ascii="Times New Roman" w:hAnsi="Times New Roman"/>
        </w:rPr>
      </w:pPr>
      <w:r w:rsidRPr="00AB5708">
        <w:rPr>
          <w:rFonts w:ascii="Times New Roman" w:hAnsi="Times New Roman"/>
        </w:rPr>
        <w:tab/>
      </w:r>
      <w:r w:rsidRPr="00AB5708">
        <w:rPr>
          <w:rFonts w:ascii="Times New Roman" w:hAnsi="Times New Roman"/>
        </w:rPr>
        <w:tab/>
      </w:r>
      <w:r>
        <w:rPr>
          <w:rFonts w:ascii="Times New Roman" w:hAnsi="Times New Roman"/>
        </w:rPr>
        <w:tab/>
      </w:r>
      <w:r w:rsidRPr="00AB5708">
        <w:rPr>
          <w:rFonts w:ascii="Times New Roman" w:hAnsi="Times New Roman"/>
        </w:rPr>
        <w:tab/>
      </w:r>
      <w:r w:rsidRPr="00AB5708">
        <w:rPr>
          <w:rFonts w:ascii="Times New Roman" w:hAnsi="Times New Roman"/>
        </w:rPr>
        <w:tab/>
        <w:t>)</w:t>
      </w:r>
    </w:p>
    <w:p w:rsidR="00AF6547" w:rsidRPr="00AF6547" w:rsidRDefault="001D6598" w:rsidP="00BE658A">
      <w:pPr>
        <w:rPr>
          <w:rFonts w:ascii="Times New Roman" w:hAnsi="Times New Roman"/>
          <w:b/>
          <w:u w:val="single"/>
        </w:rPr>
      </w:pPr>
      <w:r w:rsidRPr="00AB5708">
        <w:rPr>
          <w:rFonts w:ascii="Times New Roman" w:hAnsi="Times New Roman"/>
        </w:rPr>
        <w:t>In the Matter of</w:t>
      </w:r>
      <w:r w:rsidRPr="00AB5708">
        <w:rPr>
          <w:rFonts w:ascii="Times New Roman" w:hAnsi="Times New Roman"/>
        </w:rPr>
        <w:tab/>
      </w:r>
      <w:r w:rsidRPr="00AB5708">
        <w:rPr>
          <w:rFonts w:ascii="Times New Roman" w:hAnsi="Times New Roman"/>
        </w:rPr>
        <w:tab/>
      </w:r>
      <w:r w:rsidRPr="00AB5708">
        <w:rPr>
          <w:rFonts w:ascii="Times New Roman" w:hAnsi="Times New Roman"/>
        </w:rPr>
        <w:tab/>
        <w:t>)</w:t>
      </w:r>
      <w:r w:rsidRPr="00AB5708">
        <w:rPr>
          <w:rFonts w:ascii="Times New Roman" w:hAnsi="Times New Roman"/>
        </w:rPr>
        <w:tab/>
      </w:r>
      <w:r w:rsidR="00AF6547" w:rsidRPr="00AF6547">
        <w:rPr>
          <w:rFonts w:ascii="Times New Roman" w:hAnsi="Times New Roman"/>
          <w:b/>
          <w:u w:val="single"/>
        </w:rPr>
        <w:t>Final Decision and</w:t>
      </w:r>
      <w:r w:rsidR="00AF6547">
        <w:rPr>
          <w:rFonts w:ascii="Times New Roman" w:hAnsi="Times New Roman"/>
        </w:rPr>
        <w:t xml:space="preserve"> </w:t>
      </w:r>
      <w:r w:rsidRPr="00AB5708">
        <w:rPr>
          <w:rFonts w:ascii="Times New Roman" w:hAnsi="Times New Roman"/>
          <w:b/>
          <w:u w:val="single"/>
        </w:rPr>
        <w:t xml:space="preserve">Order </w:t>
      </w:r>
    </w:p>
    <w:p w:rsidR="001D6598" w:rsidRPr="00AB5708" w:rsidRDefault="001D6598" w:rsidP="00AF6547">
      <w:pPr>
        <w:ind w:left="3600"/>
        <w:rPr>
          <w:rFonts w:ascii="Times New Roman" w:hAnsi="Times New Roman"/>
          <w:b/>
          <w:u w:val="single"/>
        </w:rPr>
      </w:pPr>
      <w:r w:rsidRPr="00AB5708">
        <w:rPr>
          <w:rFonts w:ascii="Times New Roman" w:hAnsi="Times New Roman"/>
        </w:rPr>
        <w:t>)</w:t>
      </w:r>
      <w:r w:rsidRPr="00AB5708">
        <w:rPr>
          <w:rFonts w:ascii="Times New Roman" w:hAnsi="Times New Roman"/>
        </w:rPr>
        <w:tab/>
      </w:r>
      <w:r w:rsidRPr="00AB5708">
        <w:rPr>
          <w:rFonts w:ascii="Times New Roman" w:hAnsi="Times New Roman"/>
        </w:rPr>
        <w:tab/>
      </w:r>
    </w:p>
    <w:p w:rsidR="001D6598" w:rsidRPr="00AB5708" w:rsidRDefault="000466C8" w:rsidP="001D6598">
      <w:pPr>
        <w:rPr>
          <w:rFonts w:ascii="Times New Roman" w:hAnsi="Times New Roman"/>
          <w:b/>
          <w:u w:val="single"/>
        </w:rPr>
      </w:pPr>
      <w:r>
        <w:rPr>
          <w:rFonts w:ascii="Times New Roman" w:hAnsi="Times New Roman"/>
        </w:rPr>
        <w:t>Bentley A. Ogoke</w:t>
      </w:r>
      <w:r w:rsidR="00C36BEA">
        <w:rPr>
          <w:rFonts w:ascii="Times New Roman" w:hAnsi="Times New Roman"/>
        </w:rPr>
        <w:t>,</w:t>
      </w:r>
      <w:r w:rsidR="001D6598">
        <w:rPr>
          <w:rFonts w:ascii="Times New Roman" w:hAnsi="Times New Roman"/>
        </w:rPr>
        <w:t xml:space="preserve"> </w:t>
      </w:r>
      <w:r w:rsidR="001D6598" w:rsidRPr="00AB5708">
        <w:rPr>
          <w:rFonts w:ascii="Times New Roman" w:hAnsi="Times New Roman"/>
        </w:rPr>
        <w:t>M.D.</w:t>
      </w:r>
      <w:r w:rsidR="00C36BEA">
        <w:rPr>
          <w:rFonts w:ascii="Times New Roman" w:hAnsi="Times New Roman"/>
        </w:rPr>
        <w:tab/>
      </w:r>
      <w:r w:rsidR="00C36BEA">
        <w:rPr>
          <w:rFonts w:ascii="Times New Roman" w:hAnsi="Times New Roman"/>
        </w:rPr>
        <w:tab/>
      </w:r>
      <w:r w:rsidR="001D6598" w:rsidRPr="00AB5708">
        <w:rPr>
          <w:rFonts w:ascii="Times New Roman" w:hAnsi="Times New Roman"/>
        </w:rPr>
        <w:t>)</w:t>
      </w:r>
      <w:r w:rsidR="001D6598" w:rsidRPr="00AB5708">
        <w:rPr>
          <w:rFonts w:ascii="Times New Roman" w:hAnsi="Times New Roman"/>
        </w:rPr>
        <w:tab/>
      </w:r>
    </w:p>
    <w:p w:rsidR="001D6598" w:rsidRPr="00AB5708" w:rsidRDefault="001D6598" w:rsidP="001D6598">
      <w:pPr>
        <w:rPr>
          <w:rFonts w:ascii="Times New Roman" w:hAnsi="Times New Roman"/>
          <w:b/>
          <w:u w:val="single"/>
        </w:rPr>
      </w:pPr>
      <w:r w:rsidRPr="00AB5708">
        <w:rPr>
          <w:rFonts w:ascii="Times New Roman" w:hAnsi="Times New Roman"/>
        </w:rPr>
        <w:tab/>
      </w:r>
      <w:r w:rsidRPr="00AB5708">
        <w:rPr>
          <w:rFonts w:ascii="Times New Roman" w:hAnsi="Times New Roman"/>
        </w:rPr>
        <w:tab/>
      </w:r>
      <w:r w:rsidRPr="00AB5708">
        <w:rPr>
          <w:rFonts w:ascii="Times New Roman" w:hAnsi="Times New Roman"/>
        </w:rPr>
        <w:tab/>
      </w:r>
      <w:r w:rsidRPr="00AB5708">
        <w:rPr>
          <w:rFonts w:ascii="Times New Roman" w:hAnsi="Times New Roman"/>
        </w:rPr>
        <w:tab/>
      </w:r>
      <w:r w:rsidRPr="00AB5708">
        <w:rPr>
          <w:rFonts w:ascii="Times New Roman" w:hAnsi="Times New Roman"/>
        </w:rPr>
        <w:tab/>
        <w:t>)</w:t>
      </w:r>
      <w:r w:rsidRPr="00AB5708">
        <w:rPr>
          <w:rFonts w:ascii="Times New Roman" w:hAnsi="Times New Roman"/>
        </w:rPr>
        <w:tab/>
      </w:r>
    </w:p>
    <w:p w:rsidR="001D6598" w:rsidRPr="00AB5708" w:rsidRDefault="001D6598" w:rsidP="001D6598">
      <w:pPr>
        <w:rPr>
          <w:rFonts w:ascii="Times New Roman" w:hAnsi="Times New Roman"/>
        </w:rPr>
      </w:pPr>
      <w:r w:rsidRPr="00AB5708">
        <w:rPr>
          <w:rFonts w:ascii="Times New Roman" w:hAnsi="Times New Roman"/>
        </w:rPr>
        <w:t>_____________________</w:t>
      </w:r>
      <w:r>
        <w:rPr>
          <w:rFonts w:ascii="Times New Roman" w:hAnsi="Times New Roman"/>
        </w:rPr>
        <w:t>____</w:t>
      </w:r>
      <w:r w:rsidRPr="00AB5708">
        <w:rPr>
          <w:rFonts w:ascii="Times New Roman" w:hAnsi="Times New Roman"/>
        </w:rPr>
        <w:t>____</w:t>
      </w:r>
      <w:r w:rsidR="009F05DF">
        <w:rPr>
          <w:rFonts w:ascii="Times New Roman" w:hAnsi="Times New Roman"/>
        </w:rPr>
        <w:t>_</w:t>
      </w:r>
      <w:r w:rsidRPr="00AB5708">
        <w:rPr>
          <w:rFonts w:ascii="Times New Roman" w:hAnsi="Times New Roman"/>
        </w:rPr>
        <w:t>)</w:t>
      </w:r>
    </w:p>
    <w:p w:rsidR="001D6598" w:rsidRPr="00AB5708" w:rsidRDefault="001D6598" w:rsidP="001D6598">
      <w:pPr>
        <w:rPr>
          <w:rFonts w:ascii="Times New Roman" w:hAnsi="Times New Roman"/>
        </w:rPr>
      </w:pPr>
    </w:p>
    <w:p w:rsidR="001D6598" w:rsidRPr="00AB5708" w:rsidRDefault="001D6598" w:rsidP="001D6598">
      <w:pPr>
        <w:rPr>
          <w:rFonts w:ascii="Times New Roman" w:hAnsi="Times New Roman"/>
        </w:rPr>
      </w:pPr>
    </w:p>
    <w:p w:rsidR="004A4AF3" w:rsidRDefault="001D6598" w:rsidP="00BE658A">
      <w:pPr>
        <w:jc w:val="both"/>
        <w:rPr>
          <w:rFonts w:ascii="Times New Roman" w:hAnsi="Times New Roman"/>
        </w:rPr>
      </w:pPr>
      <w:r w:rsidRPr="00AB5708">
        <w:rPr>
          <w:rFonts w:ascii="Times New Roman" w:hAnsi="Times New Roman"/>
        </w:rPr>
        <w:tab/>
      </w:r>
      <w:r w:rsidRPr="00437A5E">
        <w:rPr>
          <w:rFonts w:ascii="Times New Roman" w:hAnsi="Times New Roman"/>
        </w:rPr>
        <w:t>This matter came before the Board, on the basis of the Administrative Magistrate’s</w:t>
      </w:r>
      <w:r w:rsidR="00C36BEA" w:rsidRPr="00437A5E">
        <w:rPr>
          <w:rFonts w:ascii="Times New Roman" w:hAnsi="Times New Roman"/>
        </w:rPr>
        <w:t xml:space="preserve"> (Magistrate’s) </w:t>
      </w:r>
      <w:r w:rsidRPr="00437A5E">
        <w:rPr>
          <w:rFonts w:ascii="Times New Roman" w:hAnsi="Times New Roman"/>
        </w:rPr>
        <w:t>Recommended Decision, dated</w:t>
      </w:r>
      <w:r w:rsidR="00852C1B" w:rsidRPr="00437A5E">
        <w:rPr>
          <w:rFonts w:ascii="Times New Roman" w:hAnsi="Times New Roman"/>
        </w:rPr>
        <w:t xml:space="preserve"> February 24</w:t>
      </w:r>
      <w:r w:rsidR="00C36BEA" w:rsidRPr="00437A5E">
        <w:rPr>
          <w:rFonts w:ascii="Times New Roman" w:hAnsi="Times New Roman"/>
        </w:rPr>
        <w:t>, 201</w:t>
      </w:r>
      <w:r w:rsidR="00852C1B" w:rsidRPr="00437A5E">
        <w:rPr>
          <w:rFonts w:ascii="Times New Roman" w:hAnsi="Times New Roman"/>
        </w:rPr>
        <w:t>7</w:t>
      </w:r>
      <w:r w:rsidR="00E21109" w:rsidRPr="00437A5E">
        <w:rPr>
          <w:rFonts w:ascii="Times New Roman" w:hAnsi="Times New Roman"/>
        </w:rPr>
        <w:t xml:space="preserve">. </w:t>
      </w:r>
      <w:r w:rsidRPr="00437A5E">
        <w:rPr>
          <w:rFonts w:ascii="Times New Roman" w:hAnsi="Times New Roman"/>
        </w:rPr>
        <w:t>After full consideration of the Recommended Decision,</w:t>
      </w:r>
      <w:r w:rsidR="00FB3E62" w:rsidRPr="00437A5E">
        <w:rPr>
          <w:rFonts w:ascii="Times New Roman" w:hAnsi="Times New Roman"/>
        </w:rPr>
        <w:t xml:space="preserve"> attached to and incorporated into this Final Decision and Order,</w:t>
      </w:r>
      <w:r w:rsidRPr="00437A5E">
        <w:rPr>
          <w:rFonts w:ascii="Times New Roman" w:hAnsi="Times New Roman"/>
        </w:rPr>
        <w:t xml:space="preserve"> the Board hereby</w:t>
      </w:r>
      <w:r w:rsidR="00852C1B" w:rsidRPr="00437A5E">
        <w:rPr>
          <w:rFonts w:ascii="Times New Roman" w:hAnsi="Times New Roman"/>
        </w:rPr>
        <w:t xml:space="preserve"> adopts it</w:t>
      </w:r>
      <w:r w:rsidR="00BE658A">
        <w:rPr>
          <w:rFonts w:ascii="Times New Roman" w:hAnsi="Times New Roman"/>
        </w:rPr>
        <w:t xml:space="preserve">, as amended to </w:t>
      </w:r>
      <w:r w:rsidR="004A4AF3">
        <w:rPr>
          <w:rFonts w:ascii="Times New Roman" w:hAnsi="Times New Roman"/>
        </w:rPr>
        <w:t>add the following Conclusions of Law:</w:t>
      </w:r>
    </w:p>
    <w:p w:rsidR="004A4AF3" w:rsidRDefault="004A4AF3" w:rsidP="0097196A">
      <w:pPr>
        <w:jc w:val="both"/>
        <w:rPr>
          <w:rFonts w:ascii="Times New Roman" w:hAnsi="Times New Roman"/>
        </w:rPr>
      </w:pPr>
    </w:p>
    <w:p w:rsidR="0097196A" w:rsidRDefault="0097196A" w:rsidP="0097196A">
      <w:pPr>
        <w:pStyle w:val="FootnoteText"/>
        <w:numPr>
          <w:ilvl w:val="0"/>
          <w:numId w:val="5"/>
        </w:numPr>
        <w:ind w:right="86"/>
        <w:jc w:val="both"/>
        <w:rPr>
          <w:rFonts w:ascii="Times New Roman" w:hAnsi="Times New Roman"/>
          <w:sz w:val="24"/>
          <w:szCs w:val="24"/>
        </w:rPr>
      </w:pPr>
      <w:r w:rsidRPr="0097196A">
        <w:rPr>
          <w:rFonts w:ascii="Times New Roman" w:hAnsi="Times New Roman"/>
          <w:sz w:val="24"/>
          <w:szCs w:val="24"/>
        </w:rPr>
        <w:t xml:space="preserve">Pursuant to G.L. c. 112, §5, ninth par. (c) and 243 CMR 1.03(5)(a)3 the Respondent engaged in conduct that places into question his competence to practice medicine, including but not limited to gross misconduct in the practice of medicine, or practicing medicine fraudulently, or beyond its scope, or with gross incompetence, or with gross negligence on a particular occasion or negligence on repeated occasions. </w:t>
      </w:r>
    </w:p>
    <w:p w:rsidR="0097196A" w:rsidRDefault="00CC4C03" w:rsidP="0097196A">
      <w:pPr>
        <w:pStyle w:val="FootnoteText"/>
        <w:numPr>
          <w:ilvl w:val="0"/>
          <w:numId w:val="5"/>
        </w:numPr>
        <w:ind w:right="90"/>
        <w:jc w:val="both"/>
        <w:rPr>
          <w:rFonts w:ascii="Times New Roman" w:hAnsi="Times New Roman"/>
          <w:sz w:val="24"/>
          <w:szCs w:val="24"/>
        </w:rPr>
      </w:pPr>
      <w:r w:rsidRPr="0097196A">
        <w:rPr>
          <w:rFonts w:ascii="Times New Roman" w:hAnsi="Times New Roman"/>
          <w:sz w:val="24"/>
          <w:szCs w:val="24"/>
        </w:rPr>
        <w:t>Pursuant to G.L. c. 112, § 5(b) and 243 CMR 1.03(5)(a)2, the</w:t>
      </w:r>
      <w:r w:rsidR="00BE658A" w:rsidRPr="0097196A">
        <w:rPr>
          <w:rFonts w:ascii="Times New Roman" w:hAnsi="Times New Roman"/>
          <w:sz w:val="24"/>
          <w:szCs w:val="24"/>
        </w:rPr>
        <w:t xml:space="preserve"> Respondent</w:t>
      </w:r>
      <w:r w:rsidRPr="0097196A">
        <w:rPr>
          <w:rFonts w:ascii="Times New Roman" w:hAnsi="Times New Roman"/>
          <w:sz w:val="24"/>
          <w:szCs w:val="24"/>
        </w:rPr>
        <w:t xml:space="preserve"> committed an offense against the provisions of the laws of the Commonwealth relating to the practice of medicine or rule or regulation promulgated thereunder.  General Laws c. 94C relates to the practice of medicine.</w:t>
      </w:r>
    </w:p>
    <w:p w:rsidR="00CC4C03" w:rsidRPr="0097196A" w:rsidRDefault="00CC4C03" w:rsidP="0097196A">
      <w:pPr>
        <w:pStyle w:val="FootnoteText"/>
        <w:numPr>
          <w:ilvl w:val="0"/>
          <w:numId w:val="5"/>
        </w:numPr>
        <w:ind w:right="90"/>
        <w:jc w:val="both"/>
        <w:rPr>
          <w:rFonts w:ascii="Times New Roman" w:hAnsi="Times New Roman"/>
          <w:sz w:val="24"/>
          <w:szCs w:val="24"/>
        </w:rPr>
      </w:pPr>
      <w:r w:rsidRPr="0097196A">
        <w:rPr>
          <w:rFonts w:ascii="Times New Roman" w:hAnsi="Times New Roman"/>
          <w:sz w:val="24"/>
          <w:szCs w:val="24"/>
        </w:rPr>
        <w:t xml:space="preserve">Pursuant to G.L. c. 112, § 5(h) and 243 CMR 1.03(5)(a)11, the </w:t>
      </w:r>
      <w:r w:rsidR="00BE658A" w:rsidRPr="0097196A">
        <w:rPr>
          <w:rFonts w:ascii="Times New Roman" w:hAnsi="Times New Roman"/>
          <w:sz w:val="24"/>
          <w:szCs w:val="24"/>
        </w:rPr>
        <w:t xml:space="preserve">Respondent </w:t>
      </w:r>
      <w:r w:rsidRPr="0097196A">
        <w:rPr>
          <w:rFonts w:ascii="Times New Roman" w:hAnsi="Times New Roman"/>
          <w:sz w:val="24"/>
          <w:szCs w:val="24"/>
        </w:rPr>
        <w:t>violated a rule or regulation of the Board.</w:t>
      </w:r>
      <w:r w:rsidR="00BE658A" w:rsidRPr="0097196A">
        <w:rPr>
          <w:rFonts w:ascii="Times New Roman" w:hAnsi="Times New Roman"/>
          <w:sz w:val="24"/>
          <w:szCs w:val="24"/>
        </w:rPr>
        <w:t xml:space="preserve"> Specifically, the bases are:</w:t>
      </w:r>
    </w:p>
    <w:p w:rsidR="00CC4C03" w:rsidRPr="0097196A" w:rsidRDefault="00CC4C03" w:rsidP="0097196A">
      <w:pPr>
        <w:tabs>
          <w:tab w:val="left" w:pos="2160"/>
        </w:tabs>
        <w:ind w:left="720" w:right="90" w:firstLine="720"/>
        <w:rPr>
          <w:rFonts w:ascii="Times New Roman" w:hAnsi="Times New Roman"/>
        </w:rPr>
      </w:pPr>
      <w:r w:rsidRPr="0097196A">
        <w:rPr>
          <w:rFonts w:ascii="Times New Roman" w:hAnsi="Times New Roman"/>
        </w:rPr>
        <w:t>1.</w:t>
      </w:r>
      <w:r w:rsidRPr="0097196A">
        <w:rPr>
          <w:rFonts w:ascii="Times New Roman" w:hAnsi="Times New Roman"/>
        </w:rPr>
        <w:tab/>
        <w:t>Pursuant to 243 CMR 2.07(5), a licensee who violates G.L. c. 94C also violates a rule or regulation of the Board.</w:t>
      </w:r>
    </w:p>
    <w:p w:rsidR="00CC4C03" w:rsidRPr="0097196A" w:rsidRDefault="00CC4C03" w:rsidP="0097196A">
      <w:pPr>
        <w:tabs>
          <w:tab w:val="left" w:pos="2160"/>
        </w:tabs>
        <w:ind w:left="720" w:right="90" w:firstLine="720"/>
        <w:rPr>
          <w:rFonts w:ascii="Times New Roman" w:hAnsi="Times New Roman"/>
        </w:rPr>
      </w:pPr>
      <w:r w:rsidRPr="0097196A">
        <w:rPr>
          <w:rFonts w:ascii="Times New Roman" w:hAnsi="Times New Roman"/>
        </w:rPr>
        <w:t>2.</w:t>
      </w:r>
      <w:r w:rsidRPr="0097196A">
        <w:rPr>
          <w:rFonts w:ascii="Times New Roman" w:hAnsi="Times New Roman"/>
        </w:rPr>
        <w:tab/>
        <w:t>Pursuant to 243 CMR 2.07(13)(a), a physician must maintain a medical record for each patient, which is adequate to enable the licensee to provide proper diagnosis and treatment; or maintain a patient’s medical record in a manner which permits the former patient or a successor physician access to them.</w:t>
      </w:r>
    </w:p>
    <w:p w:rsidR="0097196A" w:rsidRPr="0097196A" w:rsidRDefault="00CC4C03" w:rsidP="0097196A">
      <w:pPr>
        <w:tabs>
          <w:tab w:val="left" w:pos="2160"/>
        </w:tabs>
        <w:ind w:left="720" w:right="90" w:firstLine="720"/>
        <w:rPr>
          <w:rFonts w:ascii="Times New Roman" w:hAnsi="Times New Roman"/>
        </w:rPr>
      </w:pPr>
      <w:r w:rsidRPr="0097196A">
        <w:rPr>
          <w:rFonts w:ascii="Times New Roman" w:hAnsi="Times New Roman"/>
        </w:rPr>
        <w:t>3.</w:t>
      </w:r>
      <w:r w:rsidRPr="0097196A">
        <w:rPr>
          <w:rFonts w:ascii="Times New Roman" w:hAnsi="Times New Roman"/>
        </w:rPr>
        <w:tab/>
        <w:t>Pursuant to 243 CMR 2.07(13)(b), a physician must, upon a patient request, failed to provide a copy of the patient’s medical record to a patient, other licensee or other specifically authorized person, in a timely manner.</w:t>
      </w:r>
    </w:p>
    <w:p w:rsidR="0097196A" w:rsidRDefault="0097196A" w:rsidP="0097196A">
      <w:pPr>
        <w:tabs>
          <w:tab w:val="left" w:pos="2160"/>
        </w:tabs>
        <w:ind w:right="90"/>
        <w:rPr>
          <w:rFonts w:ascii="Times New Roman" w:hAnsi="Times New Roman"/>
        </w:rPr>
      </w:pPr>
    </w:p>
    <w:p w:rsidR="0097196A" w:rsidRDefault="0097196A" w:rsidP="0097196A">
      <w:pPr>
        <w:tabs>
          <w:tab w:val="left" w:pos="2160"/>
        </w:tabs>
        <w:ind w:right="90"/>
        <w:rPr>
          <w:rFonts w:ascii="Times New Roman" w:hAnsi="Times New Roman"/>
        </w:rPr>
      </w:pPr>
      <w:r>
        <w:rPr>
          <w:rFonts w:ascii="Times New Roman" w:hAnsi="Times New Roman"/>
        </w:rPr>
        <w:tab/>
      </w:r>
    </w:p>
    <w:p w:rsidR="0032115A" w:rsidRDefault="0032115A" w:rsidP="0097196A">
      <w:pPr>
        <w:tabs>
          <w:tab w:val="left" w:pos="2160"/>
        </w:tabs>
        <w:ind w:right="90"/>
        <w:rPr>
          <w:rFonts w:ascii="Times New Roman" w:hAnsi="Times New Roman"/>
        </w:rPr>
      </w:pPr>
    </w:p>
    <w:p w:rsidR="0032115A" w:rsidRPr="00CC4C03" w:rsidRDefault="0032115A" w:rsidP="0097196A">
      <w:pPr>
        <w:tabs>
          <w:tab w:val="left" w:pos="2160"/>
        </w:tabs>
        <w:ind w:right="90"/>
        <w:rPr>
          <w:rFonts w:ascii="Times New Roman" w:hAnsi="Times New Roman"/>
        </w:rPr>
      </w:pPr>
    </w:p>
    <w:p w:rsidR="00CC4C03" w:rsidRPr="00CC4C03" w:rsidRDefault="00CC4C03" w:rsidP="00BE658A">
      <w:pPr>
        <w:tabs>
          <w:tab w:val="left" w:pos="2160"/>
        </w:tabs>
        <w:ind w:left="720" w:firstLine="720"/>
        <w:rPr>
          <w:rFonts w:ascii="Times New Roman" w:hAnsi="Times New Roman"/>
        </w:rPr>
      </w:pPr>
    </w:p>
    <w:p w:rsidR="00CC4C03" w:rsidRPr="00441ED9" w:rsidRDefault="00441ED9" w:rsidP="00441ED9">
      <w:pPr>
        <w:ind w:right="90"/>
        <w:jc w:val="center"/>
        <w:rPr>
          <w:rFonts w:ascii="Times New Roman" w:hAnsi="Times New Roman"/>
          <w:u w:val="single"/>
        </w:rPr>
      </w:pPr>
      <w:r w:rsidRPr="00441ED9">
        <w:rPr>
          <w:rFonts w:ascii="Times New Roman" w:hAnsi="Times New Roman"/>
          <w:u w:val="single"/>
        </w:rPr>
        <w:lastRenderedPageBreak/>
        <w:t>SANCTION</w:t>
      </w:r>
    </w:p>
    <w:p w:rsidR="00441ED9" w:rsidRDefault="00441ED9" w:rsidP="00CC4C03">
      <w:pPr>
        <w:ind w:right="90"/>
        <w:rPr>
          <w:rFonts w:ascii="Times New Roman" w:hAnsi="Times New Roman"/>
        </w:rPr>
      </w:pPr>
    </w:p>
    <w:p w:rsidR="0097196A" w:rsidRPr="0097196A" w:rsidRDefault="0097196A" w:rsidP="0097196A">
      <w:pPr>
        <w:ind w:firstLine="720"/>
        <w:jc w:val="both"/>
        <w:rPr>
          <w:rFonts w:ascii="Times New Roman" w:hAnsi="Times New Roman"/>
        </w:rPr>
      </w:pPr>
      <w:r w:rsidRPr="0097196A">
        <w:rPr>
          <w:rFonts w:ascii="Times New Roman" w:hAnsi="Times New Roman"/>
        </w:rPr>
        <w:t xml:space="preserve">Upon consideration of the entirety of the record before the Board, it is appropriate for the Board to sanction the Respondent in order to fulfill the Board’s obligation to protect the public health, safety and welfare. </w:t>
      </w:r>
      <w:r w:rsidRPr="0097196A">
        <w:rPr>
          <w:rFonts w:ascii="Times New Roman" w:hAnsi="Times New Roman"/>
          <w:u w:val="single"/>
        </w:rPr>
        <w:t>See</w:t>
      </w:r>
      <w:r w:rsidRPr="0097196A">
        <w:rPr>
          <w:rFonts w:ascii="Times New Roman" w:hAnsi="Times New Roman"/>
        </w:rPr>
        <w:t xml:space="preserve"> </w:t>
      </w:r>
      <w:r w:rsidRPr="0097196A">
        <w:rPr>
          <w:rFonts w:ascii="Times New Roman" w:hAnsi="Times New Roman"/>
          <w:i/>
        </w:rPr>
        <w:t>Levy v. Board of Registration in Medicine</w:t>
      </w:r>
      <w:r w:rsidRPr="0097196A">
        <w:rPr>
          <w:rFonts w:ascii="Times New Roman" w:hAnsi="Times New Roman"/>
        </w:rPr>
        <w:t xml:space="preserve">, 378 Mass. 519 (1979). After a hearing, the Board may “revoke, suspend, or cancel the certificate of registration or reprimand, censure, impose a fine…require a course of education or training or otherwise” discipline a physician. See G.L. c. 112, § 5, paragraph 9(c). </w:t>
      </w:r>
    </w:p>
    <w:p w:rsidR="00441ED9" w:rsidRDefault="00441ED9" w:rsidP="00CC4C03">
      <w:pPr>
        <w:ind w:right="90"/>
        <w:rPr>
          <w:rFonts w:ascii="Times New Roman" w:hAnsi="Times New Roman"/>
        </w:rPr>
      </w:pPr>
    </w:p>
    <w:p w:rsidR="002B29CF" w:rsidRDefault="00441ED9" w:rsidP="002B29CF">
      <w:pPr>
        <w:pStyle w:val="FootnoteText"/>
        <w:rPr>
          <w:rFonts w:ascii="Times New Roman" w:hAnsi="Times New Roman"/>
          <w:sz w:val="24"/>
          <w:szCs w:val="24"/>
        </w:rPr>
      </w:pPr>
      <w:r>
        <w:rPr>
          <w:rFonts w:ascii="Times New Roman" w:hAnsi="Times New Roman"/>
        </w:rPr>
        <w:tab/>
      </w:r>
      <w:r w:rsidRPr="002B29CF">
        <w:rPr>
          <w:rFonts w:ascii="Times New Roman" w:hAnsi="Times New Roman"/>
          <w:sz w:val="24"/>
          <w:szCs w:val="24"/>
        </w:rPr>
        <w:t>The Board has long held that</w:t>
      </w:r>
      <w:r w:rsidR="002B29CF" w:rsidRPr="002B29CF">
        <w:rPr>
          <w:rFonts w:ascii="Times New Roman" w:hAnsi="Times New Roman"/>
          <w:sz w:val="24"/>
          <w:szCs w:val="24"/>
        </w:rPr>
        <w:t>,</w:t>
      </w:r>
      <w:r>
        <w:rPr>
          <w:rFonts w:ascii="Times New Roman" w:hAnsi="Times New Roman"/>
        </w:rPr>
        <w:t xml:space="preserve"> </w:t>
      </w:r>
      <w:r w:rsidR="002B29CF" w:rsidRPr="00A828EC">
        <w:rPr>
          <w:rFonts w:ascii="Times New Roman" w:hAnsi="Times New Roman"/>
          <w:sz w:val="24"/>
          <w:szCs w:val="24"/>
        </w:rPr>
        <w:t>“Record-keeping deficiencies are not ‘technical’ violations, because accurate and current medical records are absolutely essential in maintaining a patient’s health and welfare.”</w:t>
      </w:r>
      <w:r w:rsidR="002B29CF" w:rsidRPr="002B29CF">
        <w:rPr>
          <w:rFonts w:ascii="Times New Roman" w:hAnsi="Times New Roman"/>
          <w:i/>
        </w:rPr>
        <w:t xml:space="preserve"> </w:t>
      </w:r>
      <w:r w:rsidR="002B29CF" w:rsidRPr="002B29CF">
        <w:rPr>
          <w:rFonts w:ascii="Times New Roman" w:hAnsi="Times New Roman"/>
          <w:i/>
          <w:sz w:val="24"/>
          <w:szCs w:val="24"/>
        </w:rPr>
        <w:t>See</w:t>
      </w:r>
      <w:r w:rsidR="002B29CF" w:rsidRPr="002B29CF">
        <w:rPr>
          <w:rFonts w:ascii="Times New Roman" w:hAnsi="Times New Roman"/>
          <w:sz w:val="24"/>
          <w:szCs w:val="24"/>
        </w:rPr>
        <w:t xml:space="preserve"> </w:t>
      </w:r>
      <w:r w:rsidR="002B29CF" w:rsidRPr="002B29CF">
        <w:rPr>
          <w:rFonts w:ascii="Times New Roman" w:hAnsi="Times New Roman"/>
          <w:i/>
          <w:sz w:val="24"/>
          <w:szCs w:val="24"/>
        </w:rPr>
        <w:t>In the Matter of Peter J.</w:t>
      </w:r>
      <w:r w:rsidR="002B29CF" w:rsidRPr="002B29CF">
        <w:rPr>
          <w:rFonts w:ascii="Times New Roman" w:hAnsi="Times New Roman"/>
          <w:sz w:val="24"/>
          <w:szCs w:val="24"/>
        </w:rPr>
        <w:t xml:space="preserve"> </w:t>
      </w:r>
      <w:r w:rsidR="002B29CF" w:rsidRPr="002B29CF">
        <w:rPr>
          <w:rFonts w:ascii="Times New Roman" w:hAnsi="Times New Roman"/>
          <w:i/>
          <w:sz w:val="24"/>
          <w:szCs w:val="24"/>
        </w:rPr>
        <w:t>Krokidas, M.D.</w:t>
      </w:r>
      <w:r w:rsidR="002B29CF" w:rsidRPr="002B29CF">
        <w:rPr>
          <w:rFonts w:ascii="Times New Roman" w:hAnsi="Times New Roman"/>
          <w:sz w:val="24"/>
          <w:szCs w:val="24"/>
        </w:rPr>
        <w:t xml:space="preserve">, Board of Registration in Medicine, Adjudicatory Case No. 88-36-CA (Final Decision and Order, June 7, 1989) </w:t>
      </w:r>
      <w:r w:rsidR="002B29CF" w:rsidRPr="002B29CF">
        <w:rPr>
          <w:rFonts w:ascii="Times New Roman" w:hAnsi="Times New Roman"/>
          <w:i/>
          <w:sz w:val="24"/>
          <w:szCs w:val="24"/>
        </w:rPr>
        <w:t>quoting</w:t>
      </w:r>
      <w:r w:rsidR="002B29CF" w:rsidRPr="002B29CF">
        <w:rPr>
          <w:rFonts w:ascii="Times New Roman" w:hAnsi="Times New Roman"/>
          <w:sz w:val="24"/>
          <w:szCs w:val="24"/>
          <w:u w:val="single"/>
        </w:rPr>
        <w:t xml:space="preserve"> </w:t>
      </w:r>
      <w:r w:rsidR="002B29CF" w:rsidRPr="002B29CF">
        <w:rPr>
          <w:rFonts w:ascii="Times New Roman" w:hAnsi="Times New Roman"/>
          <w:i/>
          <w:sz w:val="24"/>
          <w:szCs w:val="24"/>
        </w:rPr>
        <w:t>In the Matter of Robert Wakeling</w:t>
      </w:r>
      <w:r w:rsidR="002B29CF" w:rsidRPr="002B29CF">
        <w:rPr>
          <w:rFonts w:ascii="Times New Roman" w:hAnsi="Times New Roman"/>
          <w:sz w:val="24"/>
          <w:szCs w:val="24"/>
        </w:rPr>
        <w:t xml:space="preserve">, </w:t>
      </w:r>
      <w:r w:rsidR="002B29CF" w:rsidRPr="002B29CF">
        <w:rPr>
          <w:rFonts w:ascii="Times New Roman" w:hAnsi="Times New Roman"/>
          <w:i/>
          <w:sz w:val="24"/>
          <w:szCs w:val="24"/>
        </w:rPr>
        <w:t>D.O.</w:t>
      </w:r>
      <w:r w:rsidR="002B29CF" w:rsidRPr="002B29CF">
        <w:rPr>
          <w:rFonts w:ascii="Times New Roman" w:hAnsi="Times New Roman"/>
          <w:sz w:val="24"/>
          <w:szCs w:val="24"/>
        </w:rPr>
        <w:t>, Adjudicatory Case No. 87-50-CA (Final Decision and Order, September 16, 1987).</w:t>
      </w:r>
      <w:r w:rsidR="00DB4820">
        <w:rPr>
          <w:rFonts w:ascii="Times New Roman" w:hAnsi="Times New Roman"/>
          <w:sz w:val="24"/>
          <w:szCs w:val="24"/>
        </w:rPr>
        <w:t xml:space="preserve"> In this matter, the Magistrate determined that the Respondent’s medical records for Patient M were inadequate. In addition, the Magistrate determined that the Respondent failed to provide Patient H with his medical records in a timely manner.</w:t>
      </w:r>
    </w:p>
    <w:p w:rsidR="00DB4820" w:rsidRDefault="00DB4820" w:rsidP="002B29CF">
      <w:pPr>
        <w:pStyle w:val="FootnoteText"/>
        <w:rPr>
          <w:rFonts w:ascii="Times New Roman" w:hAnsi="Times New Roman"/>
          <w:sz w:val="24"/>
          <w:szCs w:val="24"/>
        </w:rPr>
      </w:pPr>
    </w:p>
    <w:p w:rsidR="00DB4820" w:rsidRDefault="00DB4820" w:rsidP="00DB4820">
      <w:pPr>
        <w:pStyle w:val="FootnoteText"/>
        <w:rPr>
          <w:rFonts w:ascii="Times New Roman" w:hAnsi="Times New Roman"/>
          <w:sz w:val="24"/>
          <w:szCs w:val="24"/>
        </w:rPr>
      </w:pPr>
      <w:r>
        <w:rPr>
          <w:rFonts w:ascii="Times New Roman" w:hAnsi="Times New Roman"/>
          <w:sz w:val="24"/>
          <w:szCs w:val="24"/>
        </w:rPr>
        <w:tab/>
        <w:t xml:space="preserve">In addition, the Magistrate determined that the Respondent did not respond to positive drugs tests for three patients: Patients G, J and N and thus failed to meet the standard of care. </w:t>
      </w:r>
      <w:r w:rsidRPr="00DB4820">
        <w:rPr>
          <w:rFonts w:ascii="Times New Roman" w:hAnsi="Times New Roman"/>
          <w:sz w:val="24"/>
          <w:szCs w:val="24"/>
        </w:rPr>
        <w:t>When determining the appropriate sanction in a substandard care case, the Board has taken into consideration the number of patients involved, the degree of deviation from the standard of care, and mitigating circumstances.</w:t>
      </w:r>
      <w:r>
        <w:t xml:space="preserve"> </w:t>
      </w:r>
      <w:r w:rsidRPr="00DB4820">
        <w:rPr>
          <w:rFonts w:ascii="Times New Roman" w:hAnsi="Times New Roman"/>
          <w:sz w:val="24"/>
          <w:szCs w:val="24"/>
          <w:u w:val="single"/>
        </w:rPr>
        <w:t>See</w:t>
      </w:r>
      <w:r w:rsidRPr="00DB4820">
        <w:rPr>
          <w:rFonts w:ascii="Times New Roman" w:hAnsi="Times New Roman"/>
          <w:sz w:val="24"/>
          <w:szCs w:val="24"/>
        </w:rPr>
        <w:t xml:space="preserve"> </w:t>
      </w:r>
      <w:r w:rsidRPr="00DB4820">
        <w:rPr>
          <w:rFonts w:ascii="Times New Roman" w:hAnsi="Times New Roman"/>
          <w:i/>
          <w:sz w:val="24"/>
          <w:szCs w:val="24"/>
        </w:rPr>
        <w:t>Ernest Osei-Tutu, M.D.</w:t>
      </w:r>
      <w:r w:rsidRPr="00DB4820">
        <w:rPr>
          <w:rFonts w:ascii="Times New Roman" w:hAnsi="Times New Roman"/>
          <w:sz w:val="24"/>
          <w:szCs w:val="24"/>
        </w:rPr>
        <w:t>, Board of Registration in Medicine, Adjudicatory Case No. 2007-004 (Final Decision and Order, February 25, 2009).</w:t>
      </w:r>
      <w:r w:rsidR="0038447C">
        <w:rPr>
          <w:rFonts w:ascii="Times New Roman" w:hAnsi="Times New Roman"/>
          <w:sz w:val="24"/>
          <w:szCs w:val="24"/>
        </w:rPr>
        <w:t xml:space="preserve"> </w:t>
      </w:r>
      <w:r>
        <w:rPr>
          <w:rFonts w:ascii="Times New Roman" w:hAnsi="Times New Roman"/>
          <w:sz w:val="24"/>
          <w:szCs w:val="24"/>
        </w:rPr>
        <w:t xml:space="preserve">In this matter, the Board notes that while the Respondent’s response to the positive tests may not have been </w:t>
      </w:r>
      <w:r w:rsidR="0097196A">
        <w:rPr>
          <w:rFonts w:ascii="Times New Roman" w:hAnsi="Times New Roman"/>
          <w:sz w:val="24"/>
          <w:szCs w:val="24"/>
        </w:rPr>
        <w:t xml:space="preserve">as </w:t>
      </w:r>
      <w:r>
        <w:rPr>
          <w:rFonts w:ascii="Times New Roman" w:hAnsi="Times New Roman"/>
          <w:sz w:val="24"/>
          <w:szCs w:val="24"/>
        </w:rPr>
        <w:t>timely</w:t>
      </w:r>
      <w:r w:rsidR="0097196A">
        <w:rPr>
          <w:rFonts w:ascii="Times New Roman" w:hAnsi="Times New Roman"/>
          <w:sz w:val="24"/>
          <w:szCs w:val="24"/>
        </w:rPr>
        <w:t xml:space="preserve"> as could be</w:t>
      </w:r>
      <w:r>
        <w:rPr>
          <w:rFonts w:ascii="Times New Roman" w:hAnsi="Times New Roman"/>
          <w:sz w:val="24"/>
          <w:szCs w:val="24"/>
        </w:rPr>
        <w:t>, the Respondent did, in fact, respond to the positive tests and proper</w:t>
      </w:r>
      <w:r w:rsidR="0038447C">
        <w:rPr>
          <w:rFonts w:ascii="Times New Roman" w:hAnsi="Times New Roman"/>
          <w:sz w:val="24"/>
          <w:szCs w:val="24"/>
        </w:rPr>
        <w:t>ly terminated prescribing for the patients.</w:t>
      </w:r>
      <w:r w:rsidR="0097196A">
        <w:rPr>
          <w:rFonts w:ascii="Times New Roman" w:hAnsi="Times New Roman"/>
          <w:sz w:val="24"/>
          <w:szCs w:val="24"/>
        </w:rPr>
        <w:t xml:space="preserve"> </w:t>
      </w:r>
    </w:p>
    <w:p w:rsidR="0038447C" w:rsidRDefault="0038447C" w:rsidP="00DB4820">
      <w:pPr>
        <w:pStyle w:val="FootnoteText"/>
        <w:rPr>
          <w:rFonts w:ascii="Times New Roman" w:hAnsi="Times New Roman"/>
          <w:sz w:val="24"/>
          <w:szCs w:val="24"/>
        </w:rPr>
      </w:pPr>
    </w:p>
    <w:p w:rsidR="0038447C" w:rsidRDefault="0038447C" w:rsidP="00DB4820">
      <w:pPr>
        <w:pStyle w:val="FootnoteText"/>
        <w:rPr>
          <w:rFonts w:ascii="Times New Roman" w:hAnsi="Times New Roman"/>
          <w:sz w:val="24"/>
          <w:szCs w:val="24"/>
        </w:rPr>
      </w:pPr>
      <w:r>
        <w:rPr>
          <w:rFonts w:ascii="Times New Roman" w:hAnsi="Times New Roman"/>
          <w:sz w:val="24"/>
          <w:szCs w:val="24"/>
        </w:rPr>
        <w:tab/>
      </w:r>
      <w:r w:rsidR="0032115A">
        <w:rPr>
          <w:rFonts w:ascii="Times New Roman" w:hAnsi="Times New Roman"/>
          <w:sz w:val="24"/>
          <w:szCs w:val="24"/>
        </w:rPr>
        <w:t>However, i</w:t>
      </w:r>
      <w:r>
        <w:rPr>
          <w:rFonts w:ascii="Times New Roman" w:hAnsi="Times New Roman"/>
          <w:sz w:val="24"/>
          <w:szCs w:val="24"/>
        </w:rPr>
        <w:t>n determining the appropriate sanction in this matter, the Board took into consideration the length of time this matter</w:t>
      </w:r>
      <w:r w:rsidR="0032115A">
        <w:rPr>
          <w:rFonts w:ascii="Times New Roman" w:hAnsi="Times New Roman"/>
          <w:sz w:val="24"/>
          <w:szCs w:val="24"/>
        </w:rPr>
        <w:t xml:space="preserve"> has</w:t>
      </w:r>
      <w:r>
        <w:rPr>
          <w:rFonts w:ascii="Times New Roman" w:hAnsi="Times New Roman"/>
          <w:sz w:val="24"/>
          <w:szCs w:val="24"/>
        </w:rPr>
        <w:t xml:space="preserve"> taken to reach a resolution. This matter began on September 20, 2009 when the Respondent entered into a Voluntary Agreement Not to Practice. The Board issued its Statement of Allegations on October 7, 2009. The Division of Administrative Law Appeals’ proceedings concluded on April 3, 2012. The Respondent has not been allowed to practice medicine since September 2009, eight years ago.</w:t>
      </w:r>
    </w:p>
    <w:p w:rsidR="0038447C" w:rsidRDefault="0038447C" w:rsidP="00DB4820">
      <w:pPr>
        <w:pStyle w:val="FootnoteText"/>
        <w:rPr>
          <w:rFonts w:ascii="Times New Roman" w:hAnsi="Times New Roman"/>
          <w:sz w:val="24"/>
          <w:szCs w:val="24"/>
        </w:rPr>
      </w:pPr>
    </w:p>
    <w:p w:rsidR="0038447C" w:rsidRDefault="0038447C" w:rsidP="00DB4820">
      <w:pPr>
        <w:pStyle w:val="FootnoteText"/>
        <w:rPr>
          <w:rFonts w:ascii="Times New Roman" w:hAnsi="Times New Roman"/>
          <w:sz w:val="24"/>
          <w:szCs w:val="24"/>
        </w:rPr>
      </w:pPr>
      <w:r>
        <w:rPr>
          <w:rFonts w:ascii="Times New Roman" w:hAnsi="Times New Roman"/>
          <w:sz w:val="24"/>
          <w:szCs w:val="24"/>
        </w:rPr>
        <w:tab/>
        <w:t>In light of the above consideration, the Board hereby orders the Respondent to complete four (4) additional hours of continuing medical education, beyond those required for maintenance of licensure, in the area of prescribing. The courses must be approved in advance by the Board and must be completed within sixty (60) days of this Order.</w:t>
      </w:r>
    </w:p>
    <w:p w:rsidR="0024551F" w:rsidRDefault="0024551F" w:rsidP="00DB4820">
      <w:pPr>
        <w:pStyle w:val="FootnoteText"/>
        <w:rPr>
          <w:rFonts w:ascii="Times New Roman" w:hAnsi="Times New Roman"/>
          <w:sz w:val="24"/>
          <w:szCs w:val="24"/>
        </w:rPr>
      </w:pPr>
    </w:p>
    <w:p w:rsidR="0024551F" w:rsidRDefault="0024551F" w:rsidP="0024551F">
      <w:pPr>
        <w:jc w:val="center"/>
        <w:rPr>
          <w:rFonts w:ascii="Times New Roman" w:hAnsi="Times New Roman"/>
          <w:u w:val="single"/>
        </w:rPr>
      </w:pPr>
      <w:r w:rsidRPr="0024551F">
        <w:rPr>
          <w:rFonts w:ascii="Times New Roman" w:hAnsi="Times New Roman"/>
          <w:u w:val="single"/>
        </w:rPr>
        <w:t xml:space="preserve">Execution of this </w:t>
      </w:r>
      <w:r>
        <w:rPr>
          <w:rFonts w:ascii="Times New Roman" w:hAnsi="Times New Roman"/>
          <w:u w:val="single"/>
        </w:rPr>
        <w:t xml:space="preserve">Final Decision and </w:t>
      </w:r>
      <w:r w:rsidRPr="0024551F">
        <w:rPr>
          <w:rFonts w:ascii="Times New Roman" w:hAnsi="Times New Roman"/>
          <w:u w:val="single"/>
        </w:rPr>
        <w:t>Order</w:t>
      </w:r>
    </w:p>
    <w:p w:rsidR="0024551F" w:rsidRPr="0024551F" w:rsidRDefault="0024551F" w:rsidP="0024551F">
      <w:pPr>
        <w:jc w:val="center"/>
        <w:rPr>
          <w:rFonts w:ascii="Times New Roman" w:hAnsi="Times New Roman"/>
        </w:rPr>
      </w:pPr>
    </w:p>
    <w:p w:rsidR="0024551F" w:rsidRPr="0024551F" w:rsidRDefault="0024551F" w:rsidP="0024551F">
      <w:pPr>
        <w:rPr>
          <w:rFonts w:ascii="Times New Roman" w:hAnsi="Times New Roman"/>
        </w:rPr>
      </w:pPr>
      <w:r w:rsidRPr="0024551F">
        <w:rPr>
          <w:rFonts w:ascii="Times New Roman" w:hAnsi="Times New Roman"/>
          <w:b/>
          <w:bCs/>
        </w:rPr>
        <w:tab/>
      </w:r>
      <w:r w:rsidRPr="0024551F">
        <w:rPr>
          <w:rFonts w:ascii="Times New Roman" w:hAnsi="Times New Roman"/>
        </w:rPr>
        <w:t xml:space="preserve">The Respondent shall provide a complete copy of this </w:t>
      </w:r>
      <w:r>
        <w:rPr>
          <w:rFonts w:ascii="Times New Roman" w:hAnsi="Times New Roman"/>
        </w:rPr>
        <w:t xml:space="preserve">Final Decision and </w:t>
      </w:r>
      <w:r w:rsidRPr="0024551F">
        <w:rPr>
          <w:rFonts w:ascii="Times New Roman" w:hAnsi="Times New Roman"/>
        </w:rPr>
        <w:t>Order</w:t>
      </w:r>
      <w:r w:rsidRPr="0024551F">
        <w:rPr>
          <w:rFonts w:ascii="Times New Roman" w:hAnsi="Times New Roman"/>
          <w:b/>
        </w:rPr>
        <w:t xml:space="preserve"> </w:t>
      </w:r>
      <w:r w:rsidRPr="0024551F">
        <w:rPr>
          <w:rFonts w:ascii="Times New Roman" w:hAnsi="Times New Roman"/>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w:t>
      </w:r>
      <w:r w:rsidRPr="0024551F">
        <w:rPr>
          <w:rFonts w:ascii="Times New Roman" w:hAnsi="Times New Roman"/>
        </w:rPr>
        <w:lastRenderedPageBreak/>
        <w:t xml:space="preserve">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The Respondent shall also provide this notification to any such designated entities with which the Respondent becomes associated in the year following the date of imposition of this </w:t>
      </w:r>
      <w:r w:rsidRPr="0024551F">
        <w:rPr>
          <w:rFonts w:ascii="Times New Roman" w:hAnsi="Times New Roman"/>
          <w:bCs/>
        </w:rPr>
        <w:t>admonishment</w:t>
      </w:r>
      <w:r w:rsidRPr="0024551F">
        <w:rPr>
          <w:rFonts w:ascii="Times New Roman" w:hAnsi="Times New Roman"/>
          <w:b/>
        </w:rPr>
        <w:t>.</w:t>
      </w:r>
      <w:r w:rsidRPr="0024551F">
        <w:rPr>
          <w:rFonts w:ascii="Times New Roman" w:hAnsi="Times New Roman"/>
        </w:rPr>
        <w:t xml:space="preserve">  The Respondent is further directed to certify to the Board within ten (10) days that the Respondent has complied with this directive.</w:t>
      </w:r>
      <w:r>
        <w:rPr>
          <w:rFonts w:ascii="Times New Roman" w:hAnsi="Times New Roman"/>
        </w:rPr>
        <w:t xml:space="preserve"> </w:t>
      </w:r>
      <w:r w:rsidRPr="0024551F">
        <w:rPr>
          <w:rFonts w:ascii="Times New Roman" w:hAnsi="Times New Roman"/>
        </w:rPr>
        <w:t>The Board expressly reserves the authority to independently notify, at any time, any of the entities designated above, or any other affected entity, of any action it has taken.</w:t>
      </w:r>
    </w:p>
    <w:p w:rsidR="0024551F" w:rsidRPr="00DB4820" w:rsidRDefault="0024551F" w:rsidP="00DB4820">
      <w:pPr>
        <w:pStyle w:val="FootnoteText"/>
        <w:rPr>
          <w:rFonts w:ascii="Times New Roman" w:hAnsi="Times New Roman"/>
          <w:sz w:val="24"/>
          <w:szCs w:val="24"/>
        </w:rPr>
      </w:pPr>
    </w:p>
    <w:p w:rsidR="00DB4820" w:rsidRPr="00DB4820" w:rsidRDefault="00DB4820" w:rsidP="00DB4820">
      <w:pPr>
        <w:pStyle w:val="FootnoteText"/>
        <w:rPr>
          <w:rFonts w:ascii="Times New Roman" w:hAnsi="Times New Roman"/>
          <w:sz w:val="24"/>
          <w:szCs w:val="24"/>
        </w:rPr>
      </w:pPr>
    </w:p>
    <w:p w:rsidR="00821ECC" w:rsidRPr="00437A5E" w:rsidRDefault="0038447C" w:rsidP="0097196A">
      <w:pPr>
        <w:pStyle w:val="FootnoteText"/>
        <w:rPr>
          <w:rFonts w:ascii="Times New Roman" w:hAnsi="Times New Roman"/>
        </w:rPr>
      </w:pPr>
      <w:r>
        <w:rPr>
          <w:rFonts w:ascii="Times New Roman" w:hAnsi="Times New Roman"/>
          <w:sz w:val="24"/>
          <w:szCs w:val="24"/>
        </w:rPr>
        <w:tab/>
      </w:r>
    </w:p>
    <w:p w:rsidR="00821ECC" w:rsidRPr="00394113" w:rsidRDefault="00821ECC" w:rsidP="00437A5E">
      <w:pPr>
        <w:ind w:left="360"/>
        <w:rPr>
          <w:rFonts w:ascii="Times New Roman" w:hAnsi="Times New Roman"/>
          <w:u w:val="single"/>
        </w:rPr>
      </w:pPr>
      <w:r w:rsidRPr="00437A5E">
        <w:rPr>
          <w:rFonts w:ascii="Times New Roman" w:hAnsi="Times New Roman"/>
        </w:rPr>
        <w:t>Dated:</w:t>
      </w:r>
      <w:r w:rsidRPr="00437A5E">
        <w:rPr>
          <w:rFonts w:ascii="Times New Roman" w:hAnsi="Times New Roman"/>
        </w:rPr>
        <w:tab/>
      </w:r>
      <w:r w:rsidR="007F745A">
        <w:rPr>
          <w:rFonts w:ascii="Times New Roman" w:hAnsi="Times New Roman"/>
        </w:rPr>
        <w:t>September 28</w:t>
      </w:r>
      <w:r w:rsidRPr="00437A5E">
        <w:rPr>
          <w:rFonts w:ascii="Times New Roman" w:hAnsi="Times New Roman"/>
        </w:rPr>
        <w:t>, 201</w:t>
      </w:r>
      <w:r w:rsidR="007F745A">
        <w:rPr>
          <w:rFonts w:ascii="Times New Roman" w:hAnsi="Times New Roman"/>
        </w:rPr>
        <w:t>7</w:t>
      </w:r>
      <w:r w:rsidRPr="00437A5E">
        <w:rPr>
          <w:rFonts w:ascii="Times New Roman" w:hAnsi="Times New Roman"/>
        </w:rPr>
        <w:tab/>
      </w:r>
      <w:r w:rsidRPr="00437A5E">
        <w:rPr>
          <w:rFonts w:ascii="Times New Roman" w:hAnsi="Times New Roman"/>
        </w:rPr>
        <w:tab/>
      </w:r>
      <w:r w:rsidR="00394113">
        <w:rPr>
          <w:rFonts w:ascii="Times New Roman" w:hAnsi="Times New Roman"/>
          <w:u w:val="single"/>
        </w:rPr>
        <w:t>Signed by Candace Lapidus Sloane, M.D.</w:t>
      </w:r>
      <w:bookmarkStart w:id="0" w:name="_GoBack"/>
      <w:bookmarkEnd w:id="0"/>
    </w:p>
    <w:p w:rsidR="00821ECC" w:rsidRPr="00437A5E" w:rsidRDefault="00821ECC" w:rsidP="00437A5E">
      <w:pPr>
        <w:ind w:left="360"/>
        <w:rPr>
          <w:rFonts w:ascii="Times New Roman" w:hAnsi="Times New Roman"/>
        </w:rPr>
      </w:pPr>
      <w:r w:rsidRPr="00437A5E">
        <w:rPr>
          <w:rFonts w:ascii="Times New Roman" w:hAnsi="Times New Roman"/>
        </w:rPr>
        <w:tab/>
      </w:r>
      <w:r w:rsidRPr="00437A5E">
        <w:rPr>
          <w:rFonts w:ascii="Times New Roman" w:hAnsi="Times New Roman"/>
        </w:rPr>
        <w:tab/>
      </w:r>
      <w:r w:rsidRPr="00437A5E">
        <w:rPr>
          <w:rFonts w:ascii="Times New Roman" w:hAnsi="Times New Roman"/>
        </w:rPr>
        <w:tab/>
      </w:r>
      <w:r w:rsidRPr="00437A5E">
        <w:rPr>
          <w:rFonts w:ascii="Times New Roman" w:hAnsi="Times New Roman"/>
        </w:rPr>
        <w:tab/>
      </w:r>
      <w:r w:rsidRPr="00437A5E">
        <w:rPr>
          <w:rFonts w:ascii="Times New Roman" w:hAnsi="Times New Roman"/>
        </w:rPr>
        <w:tab/>
      </w:r>
      <w:r w:rsidR="007F745A">
        <w:rPr>
          <w:rFonts w:ascii="Times New Roman" w:hAnsi="Times New Roman"/>
        </w:rPr>
        <w:tab/>
        <w:t>Candace Lapidus Sloane, M.D., Chair</w:t>
      </w:r>
    </w:p>
    <w:p w:rsidR="00821ECC" w:rsidRPr="00437A5E" w:rsidRDefault="00821ECC" w:rsidP="00437A5E">
      <w:pPr>
        <w:ind w:left="360"/>
        <w:rPr>
          <w:rFonts w:ascii="Times New Roman" w:hAnsi="Times New Roman"/>
        </w:rPr>
      </w:pPr>
      <w:r w:rsidRPr="00437A5E">
        <w:rPr>
          <w:rFonts w:ascii="Times New Roman" w:hAnsi="Times New Roman"/>
        </w:rPr>
        <w:tab/>
      </w:r>
      <w:r w:rsidRPr="00437A5E">
        <w:rPr>
          <w:rFonts w:ascii="Times New Roman" w:hAnsi="Times New Roman"/>
        </w:rPr>
        <w:tab/>
      </w:r>
      <w:r w:rsidRPr="00437A5E">
        <w:rPr>
          <w:rFonts w:ascii="Times New Roman" w:hAnsi="Times New Roman"/>
        </w:rPr>
        <w:tab/>
      </w:r>
      <w:r w:rsidRPr="00437A5E">
        <w:rPr>
          <w:rFonts w:ascii="Times New Roman" w:hAnsi="Times New Roman"/>
        </w:rPr>
        <w:tab/>
      </w:r>
      <w:r w:rsidRPr="00437A5E">
        <w:rPr>
          <w:rFonts w:ascii="Times New Roman" w:hAnsi="Times New Roman"/>
        </w:rPr>
        <w:tab/>
      </w:r>
      <w:r w:rsidRPr="00437A5E">
        <w:rPr>
          <w:rFonts w:ascii="Times New Roman" w:hAnsi="Times New Roman"/>
        </w:rPr>
        <w:tab/>
        <w:t xml:space="preserve">Board of Registration in Medicine </w:t>
      </w:r>
    </w:p>
    <w:p w:rsidR="00821ECC" w:rsidRPr="00437A5E" w:rsidRDefault="00821ECC" w:rsidP="00437A5E">
      <w:pPr>
        <w:tabs>
          <w:tab w:val="left" w:pos="0"/>
        </w:tabs>
        <w:jc w:val="both"/>
        <w:rPr>
          <w:rFonts w:ascii="Times New Roman" w:hAnsi="Times New Roman"/>
        </w:rPr>
      </w:pPr>
    </w:p>
    <w:p w:rsidR="00DF61E7" w:rsidRPr="00437A5E" w:rsidRDefault="00DF61E7" w:rsidP="00437A5E">
      <w:pPr>
        <w:tabs>
          <w:tab w:val="left" w:pos="0"/>
        </w:tabs>
        <w:jc w:val="both"/>
        <w:rPr>
          <w:rFonts w:ascii="Times New Roman" w:hAnsi="Times New Roman"/>
          <w:u w:val="single"/>
        </w:rPr>
      </w:pPr>
    </w:p>
    <w:p w:rsidR="00DF61E7" w:rsidRPr="00437A5E" w:rsidRDefault="00DF61E7" w:rsidP="00437A5E">
      <w:pPr>
        <w:jc w:val="both"/>
        <w:rPr>
          <w:rFonts w:ascii="Times New Roman" w:hAnsi="Times New Roman"/>
        </w:rPr>
      </w:pPr>
    </w:p>
    <w:sectPr w:rsidR="00DF61E7" w:rsidRPr="00437A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E4A" w:rsidRDefault="00CB3E4A" w:rsidP="00D80EFC">
      <w:r>
        <w:separator/>
      </w:r>
    </w:p>
  </w:endnote>
  <w:endnote w:type="continuationSeparator" w:id="0">
    <w:p w:rsidR="00CB3E4A" w:rsidRDefault="00CB3E4A" w:rsidP="00D8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0654"/>
      <w:docPartObj>
        <w:docPartGallery w:val="Page Numbers (Bottom of Page)"/>
        <w:docPartUnique/>
      </w:docPartObj>
    </w:sdtPr>
    <w:sdtEndPr>
      <w:rPr>
        <w:noProof/>
      </w:rPr>
    </w:sdtEndPr>
    <w:sdtContent>
      <w:p w:rsidR="006A1E1B" w:rsidRDefault="006A1E1B">
        <w:pPr>
          <w:pStyle w:val="Footer"/>
          <w:jc w:val="center"/>
        </w:pPr>
        <w:r>
          <w:fldChar w:fldCharType="begin"/>
        </w:r>
        <w:r>
          <w:instrText xml:space="preserve"> PAGE   \* MERGEFORMAT </w:instrText>
        </w:r>
        <w:r>
          <w:fldChar w:fldCharType="separate"/>
        </w:r>
        <w:r w:rsidR="0042762F">
          <w:rPr>
            <w:noProof/>
          </w:rPr>
          <w:t>1</w:t>
        </w:r>
        <w:r>
          <w:rPr>
            <w:noProof/>
          </w:rPr>
          <w:fldChar w:fldCharType="end"/>
        </w:r>
      </w:p>
    </w:sdtContent>
  </w:sdt>
  <w:p w:rsidR="006A1E1B" w:rsidRDefault="006A1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E4A" w:rsidRDefault="00CB3E4A" w:rsidP="00D80EFC">
      <w:r>
        <w:separator/>
      </w:r>
    </w:p>
  </w:footnote>
  <w:footnote w:type="continuationSeparator" w:id="0">
    <w:p w:rsidR="00CB3E4A" w:rsidRDefault="00CB3E4A" w:rsidP="00D80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3EE"/>
    <w:multiLevelType w:val="hybridMultilevel"/>
    <w:tmpl w:val="CBC260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30AB3"/>
    <w:multiLevelType w:val="hybridMultilevel"/>
    <w:tmpl w:val="CFE2D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F1A14"/>
    <w:multiLevelType w:val="hybridMultilevel"/>
    <w:tmpl w:val="11D0C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E4544C"/>
    <w:multiLevelType w:val="hybridMultilevel"/>
    <w:tmpl w:val="45C60A2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nsid w:val="5BE11DF0"/>
    <w:multiLevelType w:val="hybridMultilevel"/>
    <w:tmpl w:val="583C6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D3569"/>
    <w:multiLevelType w:val="hybridMultilevel"/>
    <w:tmpl w:val="5C2C7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98"/>
    <w:rsid w:val="000466C8"/>
    <w:rsid w:val="00161DAB"/>
    <w:rsid w:val="001D6598"/>
    <w:rsid w:val="001F0B9B"/>
    <w:rsid w:val="002243DE"/>
    <w:rsid w:val="00236CEF"/>
    <w:rsid w:val="0024551F"/>
    <w:rsid w:val="002B29CF"/>
    <w:rsid w:val="0032115A"/>
    <w:rsid w:val="00322BC8"/>
    <w:rsid w:val="0038447C"/>
    <w:rsid w:val="00394113"/>
    <w:rsid w:val="0042762F"/>
    <w:rsid w:val="00437A5E"/>
    <w:rsid w:val="00441ED9"/>
    <w:rsid w:val="004A4AF3"/>
    <w:rsid w:val="004B46A2"/>
    <w:rsid w:val="004C1A41"/>
    <w:rsid w:val="004C2CCB"/>
    <w:rsid w:val="00507E14"/>
    <w:rsid w:val="00553EC8"/>
    <w:rsid w:val="005570AA"/>
    <w:rsid w:val="0056579A"/>
    <w:rsid w:val="005B22B3"/>
    <w:rsid w:val="006A19A2"/>
    <w:rsid w:val="006A1E1B"/>
    <w:rsid w:val="0076268C"/>
    <w:rsid w:val="007804E4"/>
    <w:rsid w:val="007C0F76"/>
    <w:rsid w:val="007F4B3E"/>
    <w:rsid w:val="007F745A"/>
    <w:rsid w:val="00821ECC"/>
    <w:rsid w:val="00840A73"/>
    <w:rsid w:val="00852C1B"/>
    <w:rsid w:val="00855C63"/>
    <w:rsid w:val="00880307"/>
    <w:rsid w:val="0097196A"/>
    <w:rsid w:val="00977F0B"/>
    <w:rsid w:val="0098193A"/>
    <w:rsid w:val="009903F8"/>
    <w:rsid w:val="009F05DF"/>
    <w:rsid w:val="00A61C43"/>
    <w:rsid w:val="00AF6547"/>
    <w:rsid w:val="00B34DEC"/>
    <w:rsid w:val="00BE658A"/>
    <w:rsid w:val="00C36BEA"/>
    <w:rsid w:val="00CB3E4A"/>
    <w:rsid w:val="00CB516A"/>
    <w:rsid w:val="00CC4C03"/>
    <w:rsid w:val="00D32F04"/>
    <w:rsid w:val="00D45A73"/>
    <w:rsid w:val="00D67E03"/>
    <w:rsid w:val="00D80EFC"/>
    <w:rsid w:val="00DB4820"/>
    <w:rsid w:val="00DC2B8F"/>
    <w:rsid w:val="00DD1794"/>
    <w:rsid w:val="00DF61E7"/>
    <w:rsid w:val="00E21109"/>
    <w:rsid w:val="00EF418D"/>
    <w:rsid w:val="00F010FF"/>
    <w:rsid w:val="00F776F4"/>
    <w:rsid w:val="00FA0FDD"/>
    <w:rsid w:val="00FB3E62"/>
    <w:rsid w:val="00FE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598"/>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61E7"/>
    <w:pPr>
      <w:spacing w:after="200" w:line="276" w:lineRule="auto"/>
      <w:ind w:left="720"/>
      <w:contextualSpacing/>
    </w:pPr>
    <w:rPr>
      <w:rFonts w:eastAsia="Calibri"/>
      <w:sz w:val="22"/>
      <w:szCs w:val="22"/>
    </w:rPr>
  </w:style>
  <w:style w:type="paragraph" w:styleId="FootnoteText">
    <w:name w:val="footnote text"/>
    <w:basedOn w:val="Normal"/>
    <w:link w:val="FootnoteTextChar"/>
    <w:unhideWhenUsed/>
    <w:rsid w:val="00D80EFC"/>
    <w:rPr>
      <w:sz w:val="20"/>
      <w:szCs w:val="20"/>
    </w:rPr>
  </w:style>
  <w:style w:type="character" w:customStyle="1" w:styleId="FootnoteTextChar">
    <w:name w:val="Footnote Text Char"/>
    <w:basedOn w:val="DefaultParagraphFont"/>
    <w:link w:val="FootnoteText"/>
    <w:rsid w:val="00D80EFC"/>
    <w:rPr>
      <w:rFonts w:ascii="Calibri" w:eastAsia="Times New Roman" w:hAnsi="Calibri" w:cs="Times New Roman"/>
      <w:sz w:val="20"/>
      <w:szCs w:val="20"/>
    </w:rPr>
  </w:style>
  <w:style w:type="character" w:styleId="FootnoteReference">
    <w:name w:val="footnote reference"/>
    <w:basedOn w:val="DefaultParagraphFont"/>
    <w:unhideWhenUsed/>
    <w:rsid w:val="00D80EFC"/>
    <w:rPr>
      <w:vertAlign w:val="superscript"/>
    </w:rPr>
  </w:style>
  <w:style w:type="paragraph" w:styleId="Header">
    <w:name w:val="header"/>
    <w:basedOn w:val="Normal"/>
    <w:link w:val="HeaderChar"/>
    <w:uiPriority w:val="99"/>
    <w:unhideWhenUsed/>
    <w:rsid w:val="006A1E1B"/>
    <w:pPr>
      <w:tabs>
        <w:tab w:val="center" w:pos="4680"/>
        <w:tab w:val="right" w:pos="9360"/>
      </w:tabs>
    </w:pPr>
  </w:style>
  <w:style w:type="character" w:customStyle="1" w:styleId="HeaderChar">
    <w:name w:val="Header Char"/>
    <w:basedOn w:val="DefaultParagraphFont"/>
    <w:link w:val="Header"/>
    <w:uiPriority w:val="99"/>
    <w:rsid w:val="006A1E1B"/>
    <w:rPr>
      <w:rFonts w:ascii="Calibri" w:eastAsia="Times New Roman" w:hAnsi="Calibri" w:cs="Times New Roman"/>
      <w:sz w:val="24"/>
      <w:szCs w:val="24"/>
    </w:rPr>
  </w:style>
  <w:style w:type="paragraph" w:styleId="Footer">
    <w:name w:val="footer"/>
    <w:basedOn w:val="Normal"/>
    <w:link w:val="FooterChar"/>
    <w:uiPriority w:val="99"/>
    <w:unhideWhenUsed/>
    <w:rsid w:val="006A1E1B"/>
    <w:pPr>
      <w:tabs>
        <w:tab w:val="center" w:pos="4680"/>
        <w:tab w:val="right" w:pos="9360"/>
      </w:tabs>
    </w:pPr>
  </w:style>
  <w:style w:type="character" w:customStyle="1" w:styleId="FooterChar">
    <w:name w:val="Footer Char"/>
    <w:basedOn w:val="DefaultParagraphFont"/>
    <w:link w:val="Footer"/>
    <w:uiPriority w:val="99"/>
    <w:rsid w:val="006A1E1B"/>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CB516A"/>
    <w:rPr>
      <w:sz w:val="16"/>
      <w:szCs w:val="16"/>
    </w:rPr>
  </w:style>
  <w:style w:type="paragraph" w:styleId="CommentText">
    <w:name w:val="annotation text"/>
    <w:basedOn w:val="Normal"/>
    <w:link w:val="CommentTextChar"/>
    <w:uiPriority w:val="99"/>
    <w:semiHidden/>
    <w:unhideWhenUsed/>
    <w:rsid w:val="00CB516A"/>
    <w:rPr>
      <w:sz w:val="20"/>
      <w:szCs w:val="20"/>
    </w:rPr>
  </w:style>
  <w:style w:type="character" w:customStyle="1" w:styleId="CommentTextChar">
    <w:name w:val="Comment Text Char"/>
    <w:basedOn w:val="DefaultParagraphFont"/>
    <w:link w:val="CommentText"/>
    <w:uiPriority w:val="99"/>
    <w:semiHidden/>
    <w:rsid w:val="00CB516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516A"/>
    <w:rPr>
      <w:b/>
      <w:bCs/>
    </w:rPr>
  </w:style>
  <w:style w:type="character" w:customStyle="1" w:styleId="CommentSubjectChar">
    <w:name w:val="Comment Subject Char"/>
    <w:basedOn w:val="CommentTextChar"/>
    <w:link w:val="CommentSubject"/>
    <w:uiPriority w:val="99"/>
    <w:semiHidden/>
    <w:rsid w:val="00CB516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B516A"/>
    <w:rPr>
      <w:rFonts w:ascii="Tahoma" w:hAnsi="Tahoma" w:cs="Tahoma"/>
      <w:sz w:val="16"/>
      <w:szCs w:val="16"/>
    </w:rPr>
  </w:style>
  <w:style w:type="character" w:customStyle="1" w:styleId="BalloonTextChar">
    <w:name w:val="Balloon Text Char"/>
    <w:basedOn w:val="DefaultParagraphFont"/>
    <w:link w:val="BalloonText"/>
    <w:uiPriority w:val="99"/>
    <w:semiHidden/>
    <w:rsid w:val="00CB51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598"/>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F61E7"/>
    <w:pPr>
      <w:spacing w:after="200" w:line="276" w:lineRule="auto"/>
      <w:ind w:left="720"/>
      <w:contextualSpacing/>
    </w:pPr>
    <w:rPr>
      <w:rFonts w:eastAsia="Calibri"/>
      <w:sz w:val="22"/>
      <w:szCs w:val="22"/>
    </w:rPr>
  </w:style>
  <w:style w:type="paragraph" w:styleId="FootnoteText">
    <w:name w:val="footnote text"/>
    <w:basedOn w:val="Normal"/>
    <w:link w:val="FootnoteTextChar"/>
    <w:unhideWhenUsed/>
    <w:rsid w:val="00D80EFC"/>
    <w:rPr>
      <w:sz w:val="20"/>
      <w:szCs w:val="20"/>
    </w:rPr>
  </w:style>
  <w:style w:type="character" w:customStyle="1" w:styleId="FootnoteTextChar">
    <w:name w:val="Footnote Text Char"/>
    <w:basedOn w:val="DefaultParagraphFont"/>
    <w:link w:val="FootnoteText"/>
    <w:rsid w:val="00D80EFC"/>
    <w:rPr>
      <w:rFonts w:ascii="Calibri" w:eastAsia="Times New Roman" w:hAnsi="Calibri" w:cs="Times New Roman"/>
      <w:sz w:val="20"/>
      <w:szCs w:val="20"/>
    </w:rPr>
  </w:style>
  <w:style w:type="character" w:styleId="FootnoteReference">
    <w:name w:val="footnote reference"/>
    <w:basedOn w:val="DefaultParagraphFont"/>
    <w:unhideWhenUsed/>
    <w:rsid w:val="00D80EFC"/>
    <w:rPr>
      <w:vertAlign w:val="superscript"/>
    </w:rPr>
  </w:style>
  <w:style w:type="paragraph" w:styleId="Header">
    <w:name w:val="header"/>
    <w:basedOn w:val="Normal"/>
    <w:link w:val="HeaderChar"/>
    <w:uiPriority w:val="99"/>
    <w:unhideWhenUsed/>
    <w:rsid w:val="006A1E1B"/>
    <w:pPr>
      <w:tabs>
        <w:tab w:val="center" w:pos="4680"/>
        <w:tab w:val="right" w:pos="9360"/>
      </w:tabs>
    </w:pPr>
  </w:style>
  <w:style w:type="character" w:customStyle="1" w:styleId="HeaderChar">
    <w:name w:val="Header Char"/>
    <w:basedOn w:val="DefaultParagraphFont"/>
    <w:link w:val="Header"/>
    <w:uiPriority w:val="99"/>
    <w:rsid w:val="006A1E1B"/>
    <w:rPr>
      <w:rFonts w:ascii="Calibri" w:eastAsia="Times New Roman" w:hAnsi="Calibri" w:cs="Times New Roman"/>
      <w:sz w:val="24"/>
      <w:szCs w:val="24"/>
    </w:rPr>
  </w:style>
  <w:style w:type="paragraph" w:styleId="Footer">
    <w:name w:val="footer"/>
    <w:basedOn w:val="Normal"/>
    <w:link w:val="FooterChar"/>
    <w:uiPriority w:val="99"/>
    <w:unhideWhenUsed/>
    <w:rsid w:val="006A1E1B"/>
    <w:pPr>
      <w:tabs>
        <w:tab w:val="center" w:pos="4680"/>
        <w:tab w:val="right" w:pos="9360"/>
      </w:tabs>
    </w:pPr>
  </w:style>
  <w:style w:type="character" w:customStyle="1" w:styleId="FooterChar">
    <w:name w:val="Footer Char"/>
    <w:basedOn w:val="DefaultParagraphFont"/>
    <w:link w:val="Footer"/>
    <w:uiPriority w:val="99"/>
    <w:rsid w:val="006A1E1B"/>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CB516A"/>
    <w:rPr>
      <w:sz w:val="16"/>
      <w:szCs w:val="16"/>
    </w:rPr>
  </w:style>
  <w:style w:type="paragraph" w:styleId="CommentText">
    <w:name w:val="annotation text"/>
    <w:basedOn w:val="Normal"/>
    <w:link w:val="CommentTextChar"/>
    <w:uiPriority w:val="99"/>
    <w:semiHidden/>
    <w:unhideWhenUsed/>
    <w:rsid w:val="00CB516A"/>
    <w:rPr>
      <w:sz w:val="20"/>
      <w:szCs w:val="20"/>
    </w:rPr>
  </w:style>
  <w:style w:type="character" w:customStyle="1" w:styleId="CommentTextChar">
    <w:name w:val="Comment Text Char"/>
    <w:basedOn w:val="DefaultParagraphFont"/>
    <w:link w:val="CommentText"/>
    <w:uiPriority w:val="99"/>
    <w:semiHidden/>
    <w:rsid w:val="00CB516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516A"/>
    <w:rPr>
      <w:b/>
      <w:bCs/>
    </w:rPr>
  </w:style>
  <w:style w:type="character" w:customStyle="1" w:styleId="CommentSubjectChar">
    <w:name w:val="Comment Subject Char"/>
    <w:basedOn w:val="CommentTextChar"/>
    <w:link w:val="CommentSubject"/>
    <w:uiPriority w:val="99"/>
    <w:semiHidden/>
    <w:rsid w:val="00CB516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B516A"/>
    <w:rPr>
      <w:rFonts w:ascii="Tahoma" w:hAnsi="Tahoma" w:cs="Tahoma"/>
      <w:sz w:val="16"/>
      <w:szCs w:val="16"/>
    </w:rPr>
  </w:style>
  <w:style w:type="character" w:customStyle="1" w:styleId="BalloonTextChar">
    <w:name w:val="Balloon Text Char"/>
    <w:basedOn w:val="DefaultParagraphFont"/>
    <w:link w:val="BalloonText"/>
    <w:uiPriority w:val="99"/>
    <w:semiHidden/>
    <w:rsid w:val="00CB51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1C96-E244-41AD-B607-24A5935C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Lockwood, Rebecca (MED)</dc:creator>
  <cp:lastModifiedBy> </cp:lastModifiedBy>
  <cp:revision>2</cp:revision>
  <cp:lastPrinted>2017-09-28T23:26:00Z</cp:lastPrinted>
  <dcterms:created xsi:type="dcterms:W3CDTF">2017-10-30T12:57:00Z</dcterms:created>
  <dcterms:modified xsi:type="dcterms:W3CDTF">2017-10-30T12:57:00Z</dcterms:modified>
</cp:coreProperties>
</file>