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DD2" w:rsidRPr="00246A25" w:rsidRDefault="003F1DD2" w:rsidP="003F1DD2">
      <w:pPr>
        <w:jc w:val="center"/>
        <w:rPr>
          <w:sz w:val="24"/>
          <w:szCs w:val="24"/>
        </w:rPr>
      </w:pPr>
      <w:r w:rsidRPr="00246A25">
        <w:rPr>
          <w:sz w:val="24"/>
          <w:szCs w:val="24"/>
        </w:rPr>
        <w:t>COMMONWEALTH OF MASSACHUSETTS</w:t>
      </w:r>
    </w:p>
    <w:p w:rsidR="003F1DD2" w:rsidRPr="00246A25" w:rsidRDefault="003F1DD2" w:rsidP="003F1DD2">
      <w:pPr>
        <w:rPr>
          <w:sz w:val="24"/>
          <w:szCs w:val="24"/>
        </w:rPr>
      </w:pPr>
    </w:p>
    <w:p w:rsidR="003F1DD2" w:rsidRPr="00246A25" w:rsidRDefault="003F1DD2" w:rsidP="003F1DD2">
      <w:pPr>
        <w:rPr>
          <w:sz w:val="24"/>
          <w:szCs w:val="24"/>
        </w:rPr>
      </w:pPr>
      <w:r>
        <w:rPr>
          <w:sz w:val="24"/>
          <w:szCs w:val="24"/>
        </w:rPr>
        <w:t>MIDDLESEX, SS</w:t>
      </w:r>
      <w:r>
        <w:rPr>
          <w:sz w:val="24"/>
          <w:szCs w:val="24"/>
        </w:rPr>
        <w:tab/>
      </w:r>
      <w:r>
        <w:rPr>
          <w:sz w:val="24"/>
          <w:szCs w:val="24"/>
        </w:rPr>
        <w:tab/>
      </w:r>
      <w:r>
        <w:rPr>
          <w:sz w:val="24"/>
          <w:szCs w:val="24"/>
        </w:rPr>
        <w:tab/>
      </w:r>
      <w:r>
        <w:rPr>
          <w:sz w:val="24"/>
          <w:szCs w:val="24"/>
        </w:rPr>
        <w:tab/>
      </w:r>
      <w:r>
        <w:rPr>
          <w:sz w:val="24"/>
          <w:szCs w:val="24"/>
        </w:rPr>
        <w:tab/>
        <w:t>BOARD OF R</w:t>
      </w:r>
      <w:r w:rsidRPr="00246A25">
        <w:rPr>
          <w:sz w:val="24"/>
          <w:szCs w:val="24"/>
        </w:rPr>
        <w:t>EGISTRATION</w:t>
      </w:r>
    </w:p>
    <w:p w:rsidR="003F1DD2" w:rsidRDefault="003F1DD2" w:rsidP="003F1DD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246A25">
        <w:rPr>
          <w:sz w:val="24"/>
          <w:szCs w:val="24"/>
        </w:rPr>
        <w:t>IN MEDICINE</w:t>
      </w:r>
    </w:p>
    <w:p w:rsidR="003F1DD2" w:rsidRDefault="003F1DD2" w:rsidP="003F1DD2">
      <w:pPr>
        <w:rPr>
          <w:sz w:val="24"/>
          <w:szCs w:val="24"/>
        </w:rPr>
      </w:pPr>
    </w:p>
    <w:p w:rsidR="00417E13" w:rsidRPr="003F1DD2" w:rsidRDefault="00417E13" w:rsidP="003F1DD2">
      <w:pPr>
        <w:pStyle w:val="Heading1"/>
      </w:pPr>
      <w:r w:rsidRPr="003F1DD2">
        <w:tab/>
      </w:r>
      <w:r w:rsidRPr="003F1DD2">
        <w:tab/>
      </w:r>
      <w:r w:rsidRPr="003F1DD2">
        <w:tab/>
      </w:r>
      <w:r w:rsidRPr="003F1DD2">
        <w:tab/>
      </w:r>
      <w:r w:rsidRPr="003F1DD2">
        <w:tab/>
      </w:r>
      <w:r w:rsidRPr="003F1DD2">
        <w:tab/>
      </w:r>
      <w:r w:rsidRPr="003F1DD2">
        <w:tab/>
        <w:t>Adjudicatory Case</w:t>
      </w:r>
      <w:r w:rsidR="003F1DD2">
        <w:t xml:space="preserve"> 2015-005</w:t>
      </w:r>
    </w:p>
    <w:p w:rsidR="00417E13" w:rsidRPr="003F1DD2" w:rsidRDefault="003F1DD2">
      <w:pPr>
        <w:rPr>
          <w:sz w:val="24"/>
        </w:rPr>
      </w:pPr>
      <w:r>
        <w:rPr>
          <w:sz w:val="24"/>
        </w:rPr>
        <w:tab/>
      </w:r>
      <w:r>
        <w:rPr>
          <w:sz w:val="24"/>
        </w:rPr>
        <w:tab/>
      </w:r>
      <w:r>
        <w:rPr>
          <w:sz w:val="24"/>
        </w:rPr>
        <w:tab/>
      </w:r>
      <w:r>
        <w:rPr>
          <w:sz w:val="24"/>
        </w:rPr>
        <w:tab/>
      </w:r>
      <w:r>
        <w:rPr>
          <w:sz w:val="24"/>
        </w:rPr>
        <w:tab/>
      </w:r>
      <w:r>
        <w:rPr>
          <w:sz w:val="24"/>
        </w:rPr>
        <w:tab/>
      </w:r>
      <w:r>
        <w:rPr>
          <w:sz w:val="24"/>
        </w:rPr>
        <w:tab/>
        <w:t>(RM-15-38</w:t>
      </w:r>
      <w:r w:rsidR="00417E13" w:rsidRPr="003F1DD2">
        <w:rPr>
          <w:sz w:val="24"/>
        </w:rPr>
        <w:t>)</w:t>
      </w:r>
    </w:p>
    <w:p w:rsidR="00417E13" w:rsidRPr="003F1DD2" w:rsidRDefault="00417E13">
      <w:pPr>
        <w:rPr>
          <w:sz w:val="24"/>
        </w:rPr>
      </w:pP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p>
    <w:p w:rsidR="00417E13" w:rsidRPr="003F1DD2" w:rsidRDefault="00417E13">
      <w:pPr>
        <w:rPr>
          <w:sz w:val="24"/>
        </w:rPr>
      </w:pPr>
      <w:r w:rsidRPr="003F1DD2">
        <w:rPr>
          <w:sz w:val="24"/>
        </w:rPr>
        <w:t>__________________________</w:t>
      </w:r>
      <w:r w:rsidR="003F1DD2">
        <w:rPr>
          <w:sz w:val="24"/>
        </w:rPr>
        <w:t xml:space="preserve"> </w:t>
      </w:r>
    </w:p>
    <w:p w:rsidR="00417E13" w:rsidRPr="003F1DD2" w:rsidRDefault="00417E13">
      <w:pPr>
        <w:rPr>
          <w:sz w:val="24"/>
        </w:rPr>
      </w:pPr>
      <w:r w:rsidRPr="003F1DD2">
        <w:rPr>
          <w:sz w:val="24"/>
        </w:rPr>
        <w:tab/>
      </w:r>
      <w:r w:rsidRPr="003F1DD2">
        <w:rPr>
          <w:sz w:val="24"/>
        </w:rPr>
        <w:tab/>
      </w:r>
      <w:r w:rsidRPr="003F1DD2">
        <w:rPr>
          <w:sz w:val="24"/>
        </w:rPr>
        <w:tab/>
      </w:r>
      <w:r w:rsidRPr="003F1DD2">
        <w:rPr>
          <w:sz w:val="24"/>
        </w:rPr>
        <w:tab/>
      </w:r>
      <w:r w:rsidR="003F1DD2">
        <w:rPr>
          <w:sz w:val="24"/>
        </w:rPr>
        <w:t xml:space="preserve">    </w:t>
      </w:r>
      <w:r w:rsidRPr="003F1DD2">
        <w:rPr>
          <w:sz w:val="24"/>
        </w:rPr>
        <w:t>)</w:t>
      </w:r>
    </w:p>
    <w:p w:rsidR="00417E13" w:rsidRPr="003F1DD2" w:rsidRDefault="003F1DD2">
      <w:pPr>
        <w:rPr>
          <w:sz w:val="24"/>
        </w:rPr>
      </w:pPr>
      <w:r>
        <w:rPr>
          <w:sz w:val="24"/>
        </w:rPr>
        <w:t>In the Matter of</w:t>
      </w:r>
      <w:r>
        <w:rPr>
          <w:sz w:val="24"/>
        </w:rPr>
        <w:tab/>
      </w:r>
      <w:r>
        <w:rPr>
          <w:sz w:val="24"/>
        </w:rPr>
        <w:tab/>
        <w:t xml:space="preserve">    </w:t>
      </w:r>
      <w:r w:rsidR="00417E13" w:rsidRPr="003F1DD2">
        <w:rPr>
          <w:sz w:val="24"/>
        </w:rPr>
        <w:t>)</w:t>
      </w:r>
    </w:p>
    <w:p w:rsidR="00417E13" w:rsidRPr="003F1DD2" w:rsidRDefault="00417E13">
      <w:pPr>
        <w:rPr>
          <w:b/>
          <w:sz w:val="24"/>
          <w:u w:val="single"/>
        </w:rPr>
      </w:pPr>
      <w:r w:rsidRPr="003F1DD2">
        <w:rPr>
          <w:sz w:val="24"/>
        </w:rPr>
        <w:tab/>
      </w:r>
      <w:r w:rsidRPr="003F1DD2">
        <w:rPr>
          <w:sz w:val="24"/>
        </w:rPr>
        <w:tab/>
      </w:r>
      <w:r w:rsidRPr="003F1DD2">
        <w:rPr>
          <w:sz w:val="24"/>
        </w:rPr>
        <w:tab/>
      </w:r>
      <w:r w:rsidRPr="003F1DD2">
        <w:rPr>
          <w:sz w:val="24"/>
        </w:rPr>
        <w:tab/>
      </w:r>
      <w:r w:rsidR="003F1DD2">
        <w:rPr>
          <w:sz w:val="24"/>
        </w:rPr>
        <w:t xml:space="preserve">    </w:t>
      </w:r>
      <w:r w:rsidRPr="003F1DD2">
        <w:rPr>
          <w:sz w:val="24"/>
        </w:rPr>
        <w:t>)</w:t>
      </w:r>
      <w:r w:rsidRPr="003F1DD2">
        <w:rPr>
          <w:sz w:val="24"/>
        </w:rPr>
        <w:tab/>
      </w:r>
      <w:r w:rsidRPr="003F1DD2">
        <w:rPr>
          <w:sz w:val="24"/>
        </w:rPr>
        <w:tab/>
      </w:r>
      <w:r w:rsidRPr="003F1DD2">
        <w:rPr>
          <w:sz w:val="24"/>
        </w:rPr>
        <w:tab/>
      </w:r>
      <w:r w:rsidRPr="003F1DD2">
        <w:rPr>
          <w:b/>
          <w:sz w:val="24"/>
          <w:u w:val="single"/>
        </w:rPr>
        <w:t>Final Decision &amp; Order</w:t>
      </w:r>
    </w:p>
    <w:p w:rsidR="00417E13" w:rsidRPr="003F1DD2" w:rsidRDefault="003F1DD2">
      <w:pPr>
        <w:rPr>
          <w:sz w:val="24"/>
        </w:rPr>
      </w:pPr>
      <w:r>
        <w:rPr>
          <w:sz w:val="24"/>
        </w:rPr>
        <w:t>Joseph F. Piazza, M.D.</w:t>
      </w:r>
      <w:r>
        <w:rPr>
          <w:sz w:val="24"/>
        </w:rPr>
        <w:tab/>
        <w:t xml:space="preserve">    </w:t>
      </w:r>
      <w:r w:rsidR="00417E13" w:rsidRPr="003F1DD2">
        <w:rPr>
          <w:sz w:val="24"/>
        </w:rPr>
        <w:t>)</w:t>
      </w:r>
    </w:p>
    <w:p w:rsidR="00417E13" w:rsidRPr="003F1DD2" w:rsidRDefault="003F1DD2">
      <w:pPr>
        <w:rPr>
          <w:sz w:val="24"/>
        </w:rPr>
      </w:pPr>
      <w:r>
        <w:rPr>
          <w:sz w:val="24"/>
        </w:rPr>
        <w:t>__________________________</w:t>
      </w:r>
      <w:r w:rsidR="00417E13" w:rsidRPr="003F1DD2">
        <w:rPr>
          <w:sz w:val="24"/>
        </w:rPr>
        <w:t>)</w:t>
      </w:r>
    </w:p>
    <w:p w:rsidR="00417E13" w:rsidRPr="003F1DD2" w:rsidRDefault="00417E13">
      <w:pPr>
        <w:rPr>
          <w:sz w:val="24"/>
        </w:rPr>
      </w:pPr>
    </w:p>
    <w:p w:rsidR="00417E13" w:rsidRPr="003F1DD2" w:rsidRDefault="00417E13">
      <w:pPr>
        <w:rPr>
          <w:sz w:val="24"/>
        </w:rPr>
      </w:pPr>
    </w:p>
    <w:p w:rsidR="00417E13" w:rsidRPr="003F1DD2" w:rsidRDefault="00417E13">
      <w:pPr>
        <w:spacing w:line="480" w:lineRule="auto"/>
        <w:rPr>
          <w:sz w:val="24"/>
        </w:rPr>
      </w:pPr>
      <w:r w:rsidRPr="003F1DD2">
        <w:tab/>
      </w:r>
      <w:r w:rsidRPr="003F1DD2">
        <w:rPr>
          <w:sz w:val="24"/>
        </w:rPr>
        <w:t xml:space="preserve">This matter came before the Board for final disposition on the basis of the Administrative Magistrate’s </w:t>
      </w:r>
      <w:r w:rsidR="003F1DD2">
        <w:rPr>
          <w:sz w:val="24"/>
        </w:rPr>
        <w:t>Recommended Order of Summary Decision (“Recommended Decision”)</w:t>
      </w:r>
      <w:r w:rsidRPr="003F1DD2">
        <w:rPr>
          <w:sz w:val="24"/>
        </w:rPr>
        <w:t xml:space="preserve">, dated </w:t>
      </w:r>
      <w:r w:rsidR="003F1DD2">
        <w:rPr>
          <w:sz w:val="24"/>
        </w:rPr>
        <w:t>September 4, 2015</w:t>
      </w:r>
      <w:r w:rsidRPr="003F1DD2">
        <w:rPr>
          <w:sz w:val="24"/>
        </w:rPr>
        <w:t>.  After full consideration of the Recommended Decision, which is attached hereto and incorporated by reference,</w:t>
      </w:r>
      <w:r w:rsidR="003772C0">
        <w:rPr>
          <w:sz w:val="24"/>
        </w:rPr>
        <w:t xml:space="preserve"> and Complaint Counsel’s Memorandum on Disposition,</w:t>
      </w:r>
      <w:r w:rsidRPr="003F1DD2">
        <w:rPr>
          <w:sz w:val="24"/>
        </w:rPr>
        <w:t xml:space="preserve"> the Board adopts the Recommended Decision, amending it by adding the following:</w:t>
      </w:r>
    </w:p>
    <w:p w:rsidR="00417E13" w:rsidRPr="003F1DD2" w:rsidRDefault="00417E13">
      <w:pPr>
        <w:pStyle w:val="Heading2"/>
        <w:spacing w:line="480" w:lineRule="auto"/>
      </w:pPr>
      <w:r w:rsidRPr="003F1DD2">
        <w:t>Sanction</w:t>
      </w:r>
    </w:p>
    <w:p w:rsidR="00A9546C" w:rsidRDefault="00446838" w:rsidP="00A9546C">
      <w:pPr>
        <w:pStyle w:val="le-brm-normal-32-level"/>
        <w:spacing w:before="0" w:after="0" w:line="480" w:lineRule="auto"/>
        <w:ind w:firstLine="720"/>
        <w:rPr>
          <w:rFonts w:ascii="Times New Roman" w:hAnsi="Times New Roman"/>
          <w:sz w:val="24"/>
          <w:szCs w:val="24"/>
        </w:rPr>
      </w:pPr>
      <w:r w:rsidRPr="00446838">
        <w:rPr>
          <w:rFonts w:ascii="Times New Roman" w:hAnsi="Times New Roman"/>
          <w:sz w:val="24"/>
          <w:szCs w:val="24"/>
        </w:rPr>
        <w:t>The Board may, in accordance with 243 CMR 1.03(5)(a)(7) and M.G.L. c. 112, § 5(g), discipline a physician who has been convicted of a crime.</w:t>
      </w:r>
      <w:r w:rsidR="002871B1">
        <w:rPr>
          <w:rFonts w:ascii="Times New Roman" w:hAnsi="Times New Roman"/>
          <w:sz w:val="24"/>
          <w:szCs w:val="24"/>
        </w:rPr>
        <w:t xml:space="preserve"> </w:t>
      </w:r>
      <w:r w:rsidRPr="00446838">
        <w:rPr>
          <w:rFonts w:ascii="Times New Roman" w:hAnsi="Times New Roman"/>
          <w:sz w:val="24"/>
          <w:szCs w:val="24"/>
        </w:rPr>
        <w:t xml:space="preserve"> </w:t>
      </w:r>
      <w:r w:rsidR="00A02480">
        <w:rPr>
          <w:rFonts w:ascii="Times New Roman" w:hAnsi="Times New Roman"/>
          <w:sz w:val="24"/>
          <w:szCs w:val="24"/>
        </w:rPr>
        <w:t>In particular, the</w:t>
      </w:r>
      <w:r w:rsidRPr="00446838">
        <w:rPr>
          <w:rFonts w:ascii="Times New Roman" w:hAnsi="Times New Roman"/>
          <w:sz w:val="24"/>
          <w:szCs w:val="24"/>
        </w:rPr>
        <w:t xml:space="preserve"> Board has long viewed with the utmost seriousness any physician’s inability or failure to faithfully discharge the grave responsibility of issuing prescriptions for controlled substances, and has dealt strictly with cases involving the unlawful distribution of controlled substances. </w:t>
      </w:r>
      <w:r w:rsidR="00641807">
        <w:rPr>
          <w:rFonts w:ascii="Times New Roman" w:hAnsi="Times New Roman"/>
          <w:sz w:val="24"/>
          <w:szCs w:val="24"/>
        </w:rPr>
        <w:t xml:space="preserve"> </w:t>
      </w:r>
      <w:r w:rsidRPr="00446838">
        <w:rPr>
          <w:rFonts w:ascii="Times New Roman" w:hAnsi="Times New Roman"/>
          <w:sz w:val="24"/>
          <w:szCs w:val="24"/>
        </w:rPr>
        <w:t xml:space="preserve">In these situations, </w:t>
      </w:r>
      <w:r w:rsidR="00A02480">
        <w:rPr>
          <w:rFonts w:ascii="Times New Roman" w:hAnsi="Times New Roman"/>
          <w:sz w:val="24"/>
          <w:szCs w:val="24"/>
        </w:rPr>
        <w:t>the Board has generally imp</w:t>
      </w:r>
      <w:r w:rsidR="00024545">
        <w:rPr>
          <w:rFonts w:ascii="Times New Roman" w:hAnsi="Times New Roman"/>
          <w:sz w:val="24"/>
          <w:szCs w:val="24"/>
        </w:rPr>
        <w:t>osed the sanction of revocation</w:t>
      </w:r>
      <w:r w:rsidRPr="00446838">
        <w:rPr>
          <w:rFonts w:ascii="Times New Roman" w:hAnsi="Times New Roman"/>
          <w:sz w:val="24"/>
          <w:szCs w:val="24"/>
        </w:rPr>
        <w:t xml:space="preserve">. </w:t>
      </w:r>
      <w:r w:rsidR="00641807">
        <w:rPr>
          <w:rFonts w:ascii="Times New Roman" w:hAnsi="Times New Roman"/>
          <w:sz w:val="24"/>
          <w:szCs w:val="24"/>
        </w:rPr>
        <w:t xml:space="preserve"> </w:t>
      </w:r>
      <w:r w:rsidR="00A9546C" w:rsidRPr="009229A7">
        <w:rPr>
          <w:rFonts w:ascii="Times New Roman" w:hAnsi="Times New Roman"/>
          <w:sz w:val="24"/>
          <w:szCs w:val="24"/>
          <w:u w:val="single"/>
        </w:rPr>
        <w:t>See</w:t>
      </w:r>
      <w:r w:rsidR="00A9546C" w:rsidRPr="009229A7">
        <w:rPr>
          <w:rFonts w:ascii="Times New Roman" w:hAnsi="Times New Roman"/>
          <w:sz w:val="24"/>
          <w:szCs w:val="24"/>
        </w:rPr>
        <w:t xml:space="preserve"> </w:t>
      </w:r>
      <w:r w:rsidR="00A9546C" w:rsidRPr="009229A7">
        <w:rPr>
          <w:rFonts w:ascii="Times New Roman" w:hAnsi="Times New Roman"/>
          <w:sz w:val="24"/>
          <w:szCs w:val="24"/>
          <w:u w:val="single"/>
        </w:rPr>
        <w:t>In the Matter of Michael L. Mavroidis, M.D.</w:t>
      </w:r>
      <w:r w:rsidR="00A9546C" w:rsidRPr="009229A7">
        <w:rPr>
          <w:rFonts w:ascii="Times New Roman" w:hAnsi="Times New Roman"/>
          <w:sz w:val="24"/>
          <w:szCs w:val="24"/>
        </w:rPr>
        <w:t>, Board of Registration in Medicine, Adjudicatory Case No. 01-27-DALA (Final Decision and Order, November 19, 2008)(</w:t>
      </w:r>
      <w:r w:rsidR="00A9546C">
        <w:rPr>
          <w:rFonts w:ascii="Times New Roman" w:hAnsi="Times New Roman"/>
          <w:sz w:val="24"/>
          <w:szCs w:val="24"/>
        </w:rPr>
        <w:t xml:space="preserve">revocation for conviction on </w:t>
      </w:r>
      <w:r w:rsidR="00A9546C" w:rsidRPr="009229A7">
        <w:rPr>
          <w:rFonts w:ascii="Times New Roman" w:hAnsi="Times New Roman"/>
          <w:sz w:val="24"/>
          <w:szCs w:val="24"/>
        </w:rPr>
        <w:t>ten counts of unauthorized distribution of Class B, C and E controlled substances</w:t>
      </w:r>
      <w:r w:rsidR="00A9546C">
        <w:rPr>
          <w:rFonts w:ascii="Times New Roman" w:hAnsi="Times New Roman"/>
          <w:sz w:val="24"/>
          <w:szCs w:val="24"/>
        </w:rPr>
        <w:t>)</w:t>
      </w:r>
      <w:r w:rsidR="00A9546C" w:rsidRPr="009229A7">
        <w:rPr>
          <w:rFonts w:ascii="Times New Roman" w:hAnsi="Times New Roman"/>
          <w:sz w:val="24"/>
          <w:szCs w:val="24"/>
        </w:rPr>
        <w:t xml:space="preserve">; </w:t>
      </w:r>
      <w:r w:rsidR="00A9546C" w:rsidRPr="009229A7">
        <w:rPr>
          <w:rFonts w:ascii="Times New Roman" w:hAnsi="Times New Roman"/>
          <w:sz w:val="24"/>
          <w:szCs w:val="24"/>
          <w:u w:val="single"/>
        </w:rPr>
        <w:t xml:space="preserve">In the Matter of Luis A. Molmenti, </w:t>
      </w:r>
      <w:r w:rsidR="00A9546C" w:rsidRPr="009229A7">
        <w:rPr>
          <w:rFonts w:ascii="Times New Roman" w:hAnsi="Times New Roman"/>
          <w:sz w:val="24"/>
          <w:szCs w:val="24"/>
          <w:u w:val="single"/>
        </w:rPr>
        <w:lastRenderedPageBreak/>
        <w:t>M.D.</w:t>
      </w:r>
      <w:r w:rsidR="00A9546C" w:rsidRPr="009229A7">
        <w:rPr>
          <w:rFonts w:ascii="Times New Roman" w:hAnsi="Times New Roman"/>
          <w:sz w:val="24"/>
          <w:szCs w:val="24"/>
        </w:rPr>
        <w:t>, Board of Registration in Medicine, Adjudicatory Case No. 2006-017 (Consent Order, April 12, 2006)(</w:t>
      </w:r>
      <w:r w:rsidR="00A9546C">
        <w:rPr>
          <w:rFonts w:ascii="Times New Roman" w:hAnsi="Times New Roman"/>
          <w:sz w:val="24"/>
          <w:szCs w:val="24"/>
        </w:rPr>
        <w:t>revocation for convictions on one count of health care fraud and one count of obtaining drugs by fraud)</w:t>
      </w:r>
      <w:r w:rsidR="00F04DBA">
        <w:rPr>
          <w:rFonts w:ascii="Times New Roman" w:hAnsi="Times New Roman"/>
          <w:sz w:val="24"/>
          <w:szCs w:val="24"/>
        </w:rPr>
        <w:t xml:space="preserve">; </w:t>
      </w:r>
      <w:r w:rsidR="00A9546C" w:rsidRPr="009229A7">
        <w:rPr>
          <w:rFonts w:ascii="Times New Roman" w:hAnsi="Times New Roman"/>
          <w:sz w:val="24"/>
          <w:szCs w:val="24"/>
          <w:u w:val="single"/>
        </w:rPr>
        <w:t>In the Matter of David C. Arndt, M.D.</w:t>
      </w:r>
      <w:r w:rsidR="00A9546C" w:rsidRPr="009229A7">
        <w:rPr>
          <w:rFonts w:ascii="Times New Roman" w:hAnsi="Times New Roman"/>
          <w:sz w:val="24"/>
          <w:szCs w:val="24"/>
        </w:rPr>
        <w:t>, Board of Registration in Medicine, Adjudicatory Case No. 2005-031 (Final Decision and Order, November 16, 2005)(</w:t>
      </w:r>
      <w:r w:rsidR="00A9546C">
        <w:rPr>
          <w:rFonts w:ascii="Times New Roman" w:hAnsi="Times New Roman"/>
          <w:sz w:val="24"/>
          <w:szCs w:val="24"/>
        </w:rPr>
        <w:t xml:space="preserve">reaffirmation of prior </w:t>
      </w:r>
      <w:r w:rsidR="00A9546C" w:rsidRPr="009229A7">
        <w:rPr>
          <w:rFonts w:ascii="Times New Roman" w:hAnsi="Times New Roman"/>
          <w:sz w:val="24"/>
          <w:szCs w:val="24"/>
        </w:rPr>
        <w:t>revocation</w:t>
      </w:r>
      <w:r w:rsidR="00A9546C">
        <w:rPr>
          <w:rFonts w:ascii="Times New Roman" w:hAnsi="Times New Roman"/>
          <w:sz w:val="24"/>
          <w:szCs w:val="24"/>
        </w:rPr>
        <w:t>,</w:t>
      </w:r>
      <w:r w:rsidR="00A9546C" w:rsidRPr="009229A7">
        <w:rPr>
          <w:rFonts w:ascii="Times New Roman" w:hAnsi="Times New Roman"/>
          <w:sz w:val="24"/>
          <w:szCs w:val="24"/>
        </w:rPr>
        <w:t xml:space="preserve"> for conviction on nine counts of controlled substance law</w:t>
      </w:r>
      <w:r w:rsidR="00A9546C">
        <w:rPr>
          <w:rFonts w:ascii="Times New Roman" w:hAnsi="Times New Roman"/>
          <w:sz w:val="24"/>
          <w:szCs w:val="24"/>
        </w:rPr>
        <w:t xml:space="preserve"> violations</w:t>
      </w:r>
      <w:r w:rsidR="00A9546C" w:rsidRPr="001E4C2A">
        <w:rPr>
          <w:rFonts w:ascii="Times New Roman" w:hAnsi="Times New Roman"/>
          <w:sz w:val="24"/>
          <w:szCs w:val="24"/>
        </w:rPr>
        <w:t>)</w:t>
      </w:r>
      <w:r w:rsidR="00A9546C">
        <w:rPr>
          <w:rFonts w:ascii="Times New Roman" w:hAnsi="Times New Roman"/>
          <w:sz w:val="24"/>
          <w:szCs w:val="24"/>
        </w:rPr>
        <w:t xml:space="preserve">; and </w:t>
      </w:r>
      <w:r w:rsidR="00A9546C" w:rsidRPr="001A2B38">
        <w:rPr>
          <w:rFonts w:ascii="Times New Roman" w:hAnsi="Times New Roman"/>
          <w:sz w:val="24"/>
          <w:szCs w:val="24"/>
          <w:u w:val="single"/>
        </w:rPr>
        <w:t xml:space="preserve">In the Matter of Anish </w:t>
      </w:r>
      <w:r w:rsidR="00A9546C">
        <w:rPr>
          <w:rFonts w:ascii="Times New Roman" w:hAnsi="Times New Roman"/>
          <w:sz w:val="24"/>
          <w:szCs w:val="24"/>
          <w:u w:val="single"/>
        </w:rPr>
        <w:t xml:space="preserve">B. </w:t>
      </w:r>
      <w:r w:rsidR="00A9546C" w:rsidRPr="001A2B38">
        <w:rPr>
          <w:rFonts w:ascii="Times New Roman" w:hAnsi="Times New Roman"/>
          <w:sz w:val="24"/>
          <w:szCs w:val="24"/>
          <w:u w:val="single"/>
        </w:rPr>
        <w:t>Doshi, M.D.</w:t>
      </w:r>
      <w:r w:rsidR="00A9546C">
        <w:rPr>
          <w:rFonts w:ascii="Times New Roman" w:hAnsi="Times New Roman"/>
          <w:sz w:val="24"/>
          <w:szCs w:val="24"/>
        </w:rPr>
        <w:t xml:space="preserve">, Board of Registration in Medicine, Adjudicatory Case No. 02-11-XX (Consent Order, April 10, 2002)(revocation for admitting to sufficient facts for a finding guilty on 26 counts of illegal distribution of controlled substances). </w:t>
      </w:r>
    </w:p>
    <w:p w:rsidR="00446838" w:rsidRPr="00446838" w:rsidRDefault="00446838" w:rsidP="00641807">
      <w:pPr>
        <w:pStyle w:val="le-brm-normal-32-level"/>
        <w:spacing w:line="480" w:lineRule="auto"/>
        <w:ind w:firstLine="720"/>
        <w:rPr>
          <w:rFonts w:ascii="Times New Roman" w:hAnsi="Times New Roman"/>
          <w:sz w:val="24"/>
          <w:szCs w:val="24"/>
        </w:rPr>
      </w:pPr>
      <w:r w:rsidRPr="00446838">
        <w:rPr>
          <w:rFonts w:ascii="Times New Roman" w:hAnsi="Times New Roman"/>
          <w:sz w:val="24"/>
          <w:szCs w:val="24"/>
        </w:rPr>
        <w:t xml:space="preserve"> </w:t>
      </w:r>
      <w:r w:rsidR="00641807">
        <w:rPr>
          <w:rFonts w:ascii="Times New Roman" w:hAnsi="Times New Roman"/>
          <w:sz w:val="24"/>
          <w:szCs w:val="24"/>
        </w:rPr>
        <w:t xml:space="preserve">As a function of its obligations to protect the public health, welfare and safety, it is proper for the board to exercise its authority to discipline the Respondent.  </w:t>
      </w:r>
      <w:r w:rsidR="00641807" w:rsidRPr="00B54586">
        <w:rPr>
          <w:rFonts w:ascii="Times New Roman" w:hAnsi="Times New Roman"/>
          <w:sz w:val="24"/>
          <w:szCs w:val="24"/>
          <w:u w:val="single"/>
        </w:rPr>
        <w:t>See</w:t>
      </w:r>
      <w:r w:rsidR="00641807">
        <w:rPr>
          <w:rFonts w:ascii="Times New Roman" w:hAnsi="Times New Roman"/>
          <w:sz w:val="24"/>
          <w:szCs w:val="24"/>
        </w:rPr>
        <w:t xml:space="preserve"> </w:t>
      </w:r>
      <w:r w:rsidR="00641807" w:rsidRPr="00B54586">
        <w:rPr>
          <w:rFonts w:ascii="Times New Roman" w:hAnsi="Times New Roman"/>
          <w:sz w:val="24"/>
          <w:szCs w:val="24"/>
          <w:u w:val="single"/>
        </w:rPr>
        <w:t>Levy v. Board of Registration in Medicine</w:t>
      </w:r>
      <w:r w:rsidR="00641807">
        <w:rPr>
          <w:rFonts w:ascii="Times New Roman" w:hAnsi="Times New Roman"/>
          <w:sz w:val="24"/>
          <w:szCs w:val="24"/>
        </w:rPr>
        <w:t>, 378 Mass. 519 (1979).  Therefore, the Board REVOKES the Respondent’s inchoate right to renew his license to practice medicine in the Commonwealth.</w:t>
      </w:r>
      <w:r w:rsidR="00443185">
        <w:rPr>
          <w:rFonts w:ascii="Times New Roman" w:hAnsi="Times New Roman"/>
          <w:sz w:val="24"/>
          <w:szCs w:val="24"/>
        </w:rPr>
        <w:t xml:space="preserve">  The Board can foresee no circumstance under which it would allow a petition for reinstatement.</w:t>
      </w:r>
    </w:p>
    <w:p w:rsidR="00446838" w:rsidRPr="00446838" w:rsidRDefault="00446838" w:rsidP="00446838">
      <w:pPr>
        <w:pStyle w:val="le-brm-normal-32-level"/>
        <w:spacing w:line="480" w:lineRule="auto"/>
        <w:rPr>
          <w:rFonts w:ascii="Times New Roman" w:hAnsi="Times New Roman"/>
          <w:sz w:val="24"/>
          <w:szCs w:val="24"/>
        </w:rPr>
      </w:pPr>
      <w:r w:rsidRPr="00446838">
        <w:rPr>
          <w:rFonts w:ascii="Times New Roman" w:hAnsi="Times New Roman"/>
          <w:sz w:val="24"/>
          <w:szCs w:val="24"/>
        </w:rPr>
        <w:tab/>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and the state licensing boards of all states in which he has any kind of license to practice medicine. The Respondent shall also provide this notification to any such designated entities with which he becomes associated for the duration of this revocation. The Respondent is further </w:t>
      </w:r>
      <w:r w:rsidRPr="00446838">
        <w:rPr>
          <w:rFonts w:ascii="Times New Roman" w:hAnsi="Times New Roman"/>
          <w:sz w:val="24"/>
          <w:szCs w:val="24"/>
        </w:rPr>
        <w:lastRenderedPageBreak/>
        <w:t>directed to certify to the Board within ten (10) days that he has complied with this directive.  The Board expressly reserves the authority to notify independently, at any time, any of the entities designated above, or any other affected entity, of any action taken.</w:t>
      </w:r>
    </w:p>
    <w:p w:rsidR="00446838" w:rsidRPr="00446838" w:rsidRDefault="00446838" w:rsidP="00B54586">
      <w:pPr>
        <w:spacing w:line="480" w:lineRule="auto"/>
        <w:rPr>
          <w:sz w:val="24"/>
          <w:szCs w:val="24"/>
        </w:rPr>
      </w:pPr>
      <w:r w:rsidRPr="00446838">
        <w:rPr>
          <w:sz w:val="24"/>
          <w:szCs w:val="24"/>
        </w:rPr>
        <w:tab/>
        <w:t>The Respondent has the right to appeal this final Decision and Order within thirty (30) days, pursuant to G.L. c. 30A, §§ 14 and 15, and G.L. c. 112, § 64.</w:t>
      </w:r>
    </w:p>
    <w:p w:rsidR="00417E13" w:rsidRPr="003F1DD2" w:rsidRDefault="00417E13" w:rsidP="00446838">
      <w:pPr>
        <w:pStyle w:val="le-brm-normal-32-level"/>
        <w:spacing w:line="480" w:lineRule="auto"/>
        <w:rPr>
          <w:rFonts w:ascii="Times New Roman" w:hAnsi="Times New Roman"/>
          <w:sz w:val="24"/>
        </w:rPr>
      </w:pPr>
      <w:r w:rsidRPr="003F1DD2">
        <w:rPr>
          <w:rFonts w:ascii="Times New Roman" w:hAnsi="Times New Roman"/>
          <w:sz w:val="24"/>
        </w:rPr>
        <w:tab/>
      </w:r>
    </w:p>
    <w:p w:rsidR="00417E13" w:rsidRPr="003F1DD2" w:rsidRDefault="00417E13">
      <w:pPr>
        <w:spacing w:line="480" w:lineRule="auto"/>
        <w:rPr>
          <w:sz w:val="24"/>
        </w:rPr>
      </w:pPr>
    </w:p>
    <w:p w:rsidR="00417E13" w:rsidRPr="003F1DD2" w:rsidRDefault="00417E13">
      <w:pPr>
        <w:pStyle w:val="Heading1"/>
      </w:pPr>
      <w:r w:rsidRPr="003F1DD2">
        <w:t>DATE:_</w:t>
      </w:r>
      <w:r w:rsidR="005E524D">
        <w:rPr>
          <w:u w:val="single"/>
        </w:rPr>
        <w:t>November 19, 2015</w:t>
      </w:r>
      <w:r w:rsidRPr="003F1DD2">
        <w:tab/>
      </w:r>
      <w:r w:rsidRPr="003F1DD2">
        <w:tab/>
      </w:r>
      <w:r w:rsidRPr="003F1DD2">
        <w:tab/>
      </w:r>
      <w:r w:rsidRPr="003F1DD2">
        <w:tab/>
      </w:r>
      <w:r w:rsidR="005E524D">
        <w:rPr>
          <w:u w:val="single"/>
        </w:rPr>
        <w:t>Signed by Candace Lapidus Sloane, M.D.</w:t>
      </w:r>
    </w:p>
    <w:p w:rsidR="00417E13" w:rsidRPr="003F1DD2" w:rsidRDefault="00417E13">
      <w:pPr>
        <w:rPr>
          <w:sz w:val="24"/>
        </w:rPr>
      </w:pP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r w:rsidR="00641807">
        <w:rPr>
          <w:sz w:val="24"/>
        </w:rPr>
        <w:t>Candace Lapidus Sloane</w:t>
      </w:r>
      <w:r w:rsidRPr="003F1DD2">
        <w:rPr>
          <w:sz w:val="24"/>
        </w:rPr>
        <w:t>, M.D.</w:t>
      </w:r>
    </w:p>
    <w:p w:rsidR="00417E13" w:rsidRPr="003F1DD2" w:rsidRDefault="00417E13">
      <w:pPr>
        <w:ind w:firstLine="720"/>
        <w:rPr>
          <w:sz w:val="24"/>
        </w:rPr>
      </w:pPr>
      <w:r w:rsidRPr="003F1DD2">
        <w:rPr>
          <w:sz w:val="24"/>
        </w:rPr>
        <w:tab/>
      </w:r>
      <w:r w:rsidRPr="003F1DD2">
        <w:rPr>
          <w:sz w:val="24"/>
        </w:rPr>
        <w:tab/>
      </w:r>
      <w:r w:rsidRPr="003F1DD2">
        <w:rPr>
          <w:sz w:val="24"/>
        </w:rPr>
        <w:tab/>
      </w:r>
      <w:r w:rsidRPr="003F1DD2">
        <w:rPr>
          <w:sz w:val="24"/>
        </w:rPr>
        <w:tab/>
      </w:r>
      <w:r w:rsidRPr="003F1DD2">
        <w:rPr>
          <w:sz w:val="24"/>
        </w:rPr>
        <w:tab/>
      </w:r>
      <w:r w:rsidRPr="003F1DD2">
        <w:rPr>
          <w:sz w:val="24"/>
        </w:rPr>
        <w:tab/>
      </w:r>
      <w:bookmarkStart w:id="0" w:name="_GoBack"/>
      <w:bookmarkEnd w:id="0"/>
      <w:r w:rsidR="00641807">
        <w:rPr>
          <w:sz w:val="24"/>
        </w:rPr>
        <w:t>Chair</w:t>
      </w:r>
    </w:p>
    <w:sectPr w:rsidR="00417E13" w:rsidRPr="003F1DD2" w:rsidSect="003F1DD2">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79B" w:rsidRDefault="0073079B">
      <w:r>
        <w:separator/>
      </w:r>
    </w:p>
  </w:endnote>
  <w:endnote w:type="continuationSeparator" w:id="0">
    <w:p w:rsidR="0073079B" w:rsidRDefault="00730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E13" w:rsidRDefault="00417E13">
    <w:pPr>
      <w:pStyle w:val="Foo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5E524D">
      <w:rPr>
        <w:noProof/>
        <w:snapToGrid w:val="0"/>
      </w:rPr>
      <w:t>3</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5E524D">
      <w:rPr>
        <w:noProof/>
        <w:snapToGrid w:val="0"/>
      </w:rPr>
      <w:t>3</w:t>
    </w:r>
    <w:r>
      <w:rPr>
        <w:snapToGrid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79B" w:rsidRDefault="0073079B">
      <w:r>
        <w:separator/>
      </w:r>
    </w:p>
  </w:footnote>
  <w:footnote w:type="continuationSeparator" w:id="0">
    <w:p w:rsidR="0073079B" w:rsidRDefault="007307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A82E57"/>
    <w:multiLevelType w:val="hybridMultilevel"/>
    <w:tmpl w:val="60F0338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31F"/>
    <w:rsid w:val="00024545"/>
    <w:rsid w:val="001932B3"/>
    <w:rsid w:val="00237C3B"/>
    <w:rsid w:val="002871B1"/>
    <w:rsid w:val="003772C0"/>
    <w:rsid w:val="003F1DD2"/>
    <w:rsid w:val="00417E13"/>
    <w:rsid w:val="00443185"/>
    <w:rsid w:val="00446838"/>
    <w:rsid w:val="0059345E"/>
    <w:rsid w:val="005E524D"/>
    <w:rsid w:val="00641807"/>
    <w:rsid w:val="0073079B"/>
    <w:rsid w:val="009759FB"/>
    <w:rsid w:val="00A02480"/>
    <w:rsid w:val="00A9546C"/>
    <w:rsid w:val="00AF631F"/>
    <w:rsid w:val="00B54586"/>
    <w:rsid w:val="00CE461B"/>
    <w:rsid w:val="00EF1E42"/>
    <w:rsid w:val="00F04DBA"/>
    <w:rsid w:val="00F6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u w:val="single"/>
    </w:rPr>
  </w:style>
  <w:style w:type="paragraph" w:styleId="Heading3">
    <w:name w:val="heading 3"/>
    <w:basedOn w:val="Normal"/>
    <w:next w:val="Normal"/>
    <w:qFormat/>
    <w:pPr>
      <w:keepNext/>
      <w:spacing w:line="480" w:lineRule="auto"/>
      <w:ind w:firstLine="720"/>
      <w:outlineLvl w:val="2"/>
    </w:pPr>
    <w:rPr>
      <w:rFonts w:ascii="Arial" w:hAnsi="Arial" w:cs="Arial"/>
      <w:b/>
      <w:bCs/>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brm-normal-32-level">
    <w:name w:val="le-brm-normal-32-level"/>
    <w:basedOn w:val="Normal"/>
    <w:pPr>
      <w:spacing w:before="15" w:after="15"/>
    </w:pPr>
    <w:rPr>
      <w:rFonts w:ascii="Courier New" w:hAnsi="Courier New"/>
      <w:color w:val="000000"/>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link w:val="BalloonTextChar"/>
    <w:rsid w:val="0059345E"/>
    <w:rPr>
      <w:rFonts w:ascii="Tahoma" w:hAnsi="Tahoma" w:cs="Tahoma"/>
      <w:sz w:val="16"/>
      <w:szCs w:val="16"/>
    </w:rPr>
  </w:style>
  <w:style w:type="character" w:customStyle="1" w:styleId="BalloonTextChar">
    <w:name w:val="Balloon Text Char"/>
    <w:link w:val="BalloonText"/>
    <w:rsid w:val="005934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4281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2015-11-23T20:03:00Z</dcterms:created>
  <dc:creator>sdonnelly</dc:creator>
  <lastModifiedBy/>
  <lastPrinted>2015-11-20T16:04:00Z</lastPrinted>
  <dcterms:modified xsi:type="dcterms:W3CDTF">2015-11-23T20:52:00Z</dcterms:modified>
  <revision>3</revision>
  <dc:title>COMMONWEALTH OF MASSACHUSETTS</dc:title>
</coreProperties>
</file>