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0A518" w14:textId="098C1F9B" w:rsidR="00FD52AF" w:rsidRPr="009C774A" w:rsidRDefault="00EB5879" w:rsidP="00FD52AF">
      <w:pPr>
        <w:jc w:val="center"/>
      </w:pPr>
      <w:r w:rsidRPr="009C774A">
        <w:t>CO</w:t>
      </w:r>
      <w:r w:rsidR="00FD52AF" w:rsidRPr="009C774A">
        <w:t>MMONWEALTH OF MASSACHUSETTS</w:t>
      </w:r>
    </w:p>
    <w:p w14:paraId="6D9A7191" w14:textId="77777777" w:rsidR="00FD52AF" w:rsidRPr="009C774A" w:rsidRDefault="00FD52AF" w:rsidP="00FD52AF">
      <w:pPr>
        <w:jc w:val="center"/>
      </w:pPr>
      <w:r w:rsidRPr="009C774A">
        <w:t>BOARD OF REGISTRATION IN MEDICINE</w:t>
      </w:r>
    </w:p>
    <w:p w14:paraId="5903BE70" w14:textId="77777777" w:rsidR="00FD52AF" w:rsidRPr="009C774A" w:rsidRDefault="00FD52AF" w:rsidP="00FD52AF"/>
    <w:p w14:paraId="7FADA4C7" w14:textId="77777777" w:rsidR="00FD52AF" w:rsidRPr="009C774A" w:rsidRDefault="00FD52AF" w:rsidP="00FD52AF"/>
    <w:p w14:paraId="43975B2E" w14:textId="4C80AECD" w:rsidR="00FD52AF" w:rsidRPr="009C774A" w:rsidRDefault="00FD52AF" w:rsidP="00FD52AF">
      <w:pPr>
        <w:jc w:val="both"/>
      </w:pPr>
      <w:r w:rsidRPr="009C774A">
        <w:t>MIDDLESEX, SS</w:t>
      </w:r>
      <w:r w:rsidRPr="009C774A">
        <w:tab/>
      </w:r>
      <w:r w:rsidRPr="009C774A">
        <w:tab/>
      </w:r>
      <w:r w:rsidRPr="009C774A">
        <w:tab/>
      </w:r>
      <w:r w:rsidRPr="009C774A">
        <w:tab/>
      </w:r>
      <w:r w:rsidRPr="009C774A">
        <w:tab/>
        <w:t>Adjudicatory Case No. 20</w:t>
      </w:r>
      <w:r w:rsidR="001D3DB3" w:rsidRPr="009C774A">
        <w:t>2</w:t>
      </w:r>
      <w:r w:rsidR="00861ADD" w:rsidRPr="009C774A">
        <w:t>3</w:t>
      </w:r>
      <w:r w:rsidRPr="009C774A">
        <w:t>-</w:t>
      </w:r>
      <w:r w:rsidR="001D3DB3" w:rsidRPr="009C774A">
        <w:t>0</w:t>
      </w:r>
      <w:r w:rsidR="00FC1D86" w:rsidRPr="009C774A">
        <w:t>38</w:t>
      </w:r>
    </w:p>
    <w:p w14:paraId="2091DB57" w14:textId="1C7CA849" w:rsidR="00FD52AF" w:rsidRPr="009C774A" w:rsidRDefault="00FD52AF" w:rsidP="00FD52AF">
      <w:pPr>
        <w:jc w:val="both"/>
      </w:pPr>
      <w:r w:rsidRPr="009C774A">
        <w:tab/>
      </w:r>
      <w:r w:rsidRPr="009C774A">
        <w:tab/>
      </w:r>
      <w:r w:rsidRPr="009C774A">
        <w:tab/>
      </w:r>
      <w:r w:rsidRPr="009C774A">
        <w:tab/>
      </w:r>
      <w:r w:rsidRPr="009C774A">
        <w:tab/>
      </w:r>
      <w:r w:rsidRPr="009C774A">
        <w:tab/>
      </w:r>
      <w:r w:rsidRPr="009C774A">
        <w:tab/>
        <w:t>(RM-2</w:t>
      </w:r>
      <w:r w:rsidR="00FC1D86" w:rsidRPr="009C774A">
        <w:t>3</w:t>
      </w:r>
      <w:r w:rsidRPr="009C774A">
        <w:t>-0</w:t>
      </w:r>
      <w:r w:rsidR="00FC1D86" w:rsidRPr="009C774A">
        <w:t>475</w:t>
      </w:r>
      <w:r w:rsidRPr="009C774A">
        <w:t>)</w:t>
      </w:r>
    </w:p>
    <w:p w14:paraId="1698541A" w14:textId="77777777" w:rsidR="00FD52AF" w:rsidRPr="009C774A" w:rsidRDefault="00FD52AF" w:rsidP="00FD52AF">
      <w:pPr>
        <w:jc w:val="both"/>
      </w:pPr>
      <w:r w:rsidRPr="009C774A">
        <w:t>________________________</w:t>
      </w:r>
    </w:p>
    <w:p w14:paraId="6CDF2576" w14:textId="77777777" w:rsidR="00FD52AF" w:rsidRPr="009C774A" w:rsidRDefault="00FD52AF" w:rsidP="00FD52AF">
      <w:pPr>
        <w:jc w:val="both"/>
      </w:pPr>
      <w:r w:rsidRPr="009C774A">
        <w:tab/>
      </w:r>
      <w:r w:rsidRPr="009C774A">
        <w:tab/>
      </w:r>
      <w:r w:rsidRPr="009C774A">
        <w:tab/>
      </w:r>
      <w:r w:rsidRPr="009C774A">
        <w:tab/>
        <w:t>)</w:t>
      </w:r>
    </w:p>
    <w:p w14:paraId="75BE5B14" w14:textId="60E75266" w:rsidR="006F41E6" w:rsidRPr="009C774A" w:rsidRDefault="00FD52AF" w:rsidP="00FD52AF">
      <w:pPr>
        <w:jc w:val="both"/>
      </w:pPr>
      <w:r w:rsidRPr="009C774A">
        <w:t xml:space="preserve">In the Matter of </w:t>
      </w:r>
      <w:r w:rsidRPr="009C774A">
        <w:tab/>
      </w:r>
      <w:r w:rsidRPr="009C774A">
        <w:tab/>
        <w:t>)</w:t>
      </w:r>
      <w:r w:rsidRPr="009C774A">
        <w:tab/>
      </w:r>
      <w:r w:rsidRPr="009C774A">
        <w:tab/>
      </w:r>
      <w:r w:rsidRPr="009C774A">
        <w:tab/>
        <w:t xml:space="preserve">    </w:t>
      </w:r>
      <w:r w:rsidRPr="009C774A">
        <w:tab/>
      </w:r>
      <w:r w:rsidRPr="009C774A">
        <w:tab/>
      </w:r>
      <w:r w:rsidRPr="009C774A">
        <w:tab/>
      </w:r>
      <w:r w:rsidRPr="009C774A">
        <w:tab/>
      </w:r>
      <w:r w:rsidRPr="009C774A">
        <w:tab/>
      </w:r>
      <w:r w:rsidRPr="009C774A">
        <w:tab/>
      </w:r>
      <w:r w:rsidRPr="009C774A">
        <w:tab/>
      </w:r>
      <w:r w:rsidRPr="009C774A">
        <w:tab/>
      </w:r>
      <w:r w:rsidRPr="009C774A">
        <w:tab/>
      </w:r>
      <w:r w:rsidRPr="009C774A">
        <w:tab/>
        <w:t>)</w:t>
      </w:r>
      <w:r w:rsidRPr="009C774A">
        <w:tab/>
      </w:r>
      <w:r w:rsidRPr="009C774A">
        <w:tab/>
      </w:r>
      <w:r w:rsidRPr="009C774A">
        <w:tab/>
      </w:r>
      <w:r w:rsidR="007B79C4" w:rsidRPr="009C774A">
        <w:t>Final Decision and Order</w:t>
      </w:r>
    </w:p>
    <w:p w14:paraId="54CBA5B5" w14:textId="6CC14BA2" w:rsidR="00FD52AF" w:rsidRPr="009C774A" w:rsidRDefault="00FC1D86" w:rsidP="00FD52AF">
      <w:pPr>
        <w:jc w:val="both"/>
      </w:pPr>
      <w:r w:rsidRPr="009C774A">
        <w:t>Brian J. Poore</w:t>
      </w:r>
      <w:r w:rsidR="00FD52AF" w:rsidRPr="009C774A">
        <w:t xml:space="preserve">, </w:t>
      </w:r>
      <w:r w:rsidRPr="009C774A">
        <w:t>M.D.</w:t>
      </w:r>
      <w:r w:rsidRPr="009C774A">
        <w:tab/>
      </w:r>
      <w:r w:rsidR="00FD52AF" w:rsidRPr="009C774A">
        <w:tab/>
        <w:t>)</w:t>
      </w:r>
      <w:r w:rsidR="00FD52AF" w:rsidRPr="009C774A">
        <w:tab/>
      </w:r>
      <w:r w:rsidR="00FD52AF" w:rsidRPr="009C774A">
        <w:tab/>
      </w:r>
      <w:r w:rsidR="00FD52AF" w:rsidRPr="009C774A">
        <w:tab/>
        <w:t xml:space="preserve"> </w:t>
      </w:r>
    </w:p>
    <w:p w14:paraId="23A0E354" w14:textId="30C03F84" w:rsidR="00FD52AF" w:rsidRPr="009C774A" w:rsidRDefault="00FD52AF" w:rsidP="00FD52AF">
      <w:pPr>
        <w:jc w:val="both"/>
      </w:pPr>
      <w:r w:rsidRPr="009C774A">
        <w:t xml:space="preserve">________________________)                       </w:t>
      </w:r>
      <w:r w:rsidRPr="009C774A">
        <w:tab/>
      </w:r>
    </w:p>
    <w:p w14:paraId="74A32524" w14:textId="77777777" w:rsidR="00FD52AF" w:rsidRPr="009C774A" w:rsidRDefault="00FD52AF" w:rsidP="00FD52AF">
      <w:pPr>
        <w:jc w:val="both"/>
      </w:pPr>
    </w:p>
    <w:p w14:paraId="5318D6D3" w14:textId="5F3C0800" w:rsidR="00FD52AF" w:rsidRPr="009C774A" w:rsidRDefault="00FD52AF" w:rsidP="00FD52AF">
      <w:pPr>
        <w:jc w:val="center"/>
        <w:rPr>
          <w:u w:val="single"/>
        </w:rPr>
      </w:pPr>
      <w:r w:rsidRPr="009C774A">
        <w:rPr>
          <w:u w:val="single"/>
        </w:rPr>
        <w:t>Procedural History</w:t>
      </w:r>
    </w:p>
    <w:p w14:paraId="0AB4C162" w14:textId="77777777" w:rsidR="00FD52AF" w:rsidRPr="009C774A" w:rsidRDefault="00FD52AF" w:rsidP="00FD52AF">
      <w:pPr>
        <w:jc w:val="center"/>
        <w:rPr>
          <w:u w:val="single"/>
        </w:rPr>
      </w:pPr>
    </w:p>
    <w:p w14:paraId="42BA15E0" w14:textId="18FA3DC5" w:rsidR="00E618B0" w:rsidRPr="009C774A" w:rsidRDefault="00FD52AF" w:rsidP="00267EDA">
      <w:pPr>
        <w:spacing w:line="276" w:lineRule="auto"/>
        <w:jc w:val="both"/>
      </w:pPr>
      <w:r w:rsidRPr="009C774A">
        <w:tab/>
      </w:r>
      <w:r w:rsidR="00A95D5F" w:rsidRPr="009C774A">
        <w:t>On September 21, 2023, t</w:t>
      </w:r>
      <w:r w:rsidR="00EB5879" w:rsidRPr="009C774A">
        <w:t>he Board</w:t>
      </w:r>
      <w:r w:rsidR="00A95D5F" w:rsidRPr="009C774A">
        <w:t xml:space="preserve"> of Registration in Medicine (Board)</w:t>
      </w:r>
      <w:r w:rsidR="00EB5879" w:rsidRPr="009C774A">
        <w:t xml:space="preserve"> initiated this matter by issuing a </w:t>
      </w:r>
      <w:r w:rsidRPr="009C774A">
        <w:t>Statement of Allegations (SOA)</w:t>
      </w:r>
      <w:r w:rsidR="00E618B0" w:rsidRPr="009C774A">
        <w:t xml:space="preserve"> ordering Brian J. Poore, M.D. (Respondent) to show cause why </w:t>
      </w:r>
      <w:r w:rsidR="00682CF6" w:rsidRPr="009C774A">
        <w:t xml:space="preserve">this Board </w:t>
      </w:r>
      <w:r w:rsidR="00E618B0" w:rsidRPr="009C774A">
        <w:t xml:space="preserve">should </w:t>
      </w:r>
      <w:r w:rsidR="00581C32" w:rsidRPr="009C774A">
        <w:t xml:space="preserve">not </w:t>
      </w:r>
      <w:r w:rsidR="0002341E" w:rsidRPr="009C774A">
        <w:t xml:space="preserve">impose </w:t>
      </w:r>
      <w:r w:rsidR="00425098" w:rsidRPr="009C774A">
        <w:t xml:space="preserve">reciprocal </w:t>
      </w:r>
      <w:r w:rsidR="00E618B0" w:rsidRPr="009C774A">
        <w:t xml:space="preserve">discipline based on his May 16, 2023 discipline by the Tennessee Board </w:t>
      </w:r>
      <w:r w:rsidR="0063012F" w:rsidRPr="009C774A">
        <w:t xml:space="preserve">of Medical Examiners (Tennessee Board) </w:t>
      </w:r>
      <w:r w:rsidR="00E618B0" w:rsidRPr="009C774A">
        <w:t>for “[h]abitual intoxication or personal misuse of…controlled substances…in such manner as to adversely affect the person’s ability to practice medicine.” Tenn. Code Ann. §63-6-214(b).</w:t>
      </w:r>
      <w:r w:rsidR="009277F3" w:rsidRPr="009C774A">
        <w:rPr>
          <w:rStyle w:val="FootnoteReference"/>
        </w:rPr>
        <w:footnoteReference w:id="2"/>
      </w:r>
      <w:r w:rsidR="00E618B0" w:rsidRPr="009C774A">
        <w:t xml:space="preserve"> </w:t>
      </w:r>
      <w:r w:rsidR="009772A7" w:rsidRPr="009C774A">
        <w:t xml:space="preserve">The Board simultaneously referred the matter to the Division of Administrative Law Appeals (DALA) for </w:t>
      </w:r>
      <w:r w:rsidR="00961BBD" w:rsidRPr="009C774A">
        <w:t>findings of fact and conclusions of law.</w:t>
      </w:r>
      <w:r w:rsidR="00961BBD" w:rsidRPr="009C774A">
        <w:rPr>
          <w:rStyle w:val="FootnoteReference"/>
        </w:rPr>
        <w:t xml:space="preserve"> </w:t>
      </w:r>
    </w:p>
    <w:p w14:paraId="6383398B" w14:textId="77777777" w:rsidR="000C397A" w:rsidRPr="009C774A" w:rsidRDefault="000C397A" w:rsidP="00267EDA">
      <w:pPr>
        <w:spacing w:line="276" w:lineRule="auto"/>
        <w:jc w:val="both"/>
      </w:pPr>
    </w:p>
    <w:p w14:paraId="094D7166" w14:textId="2C3451EC" w:rsidR="002F6CC1" w:rsidRPr="009C774A" w:rsidRDefault="00E16286" w:rsidP="00267EDA">
      <w:pPr>
        <w:spacing w:line="276" w:lineRule="auto"/>
        <w:jc w:val="both"/>
      </w:pPr>
      <w:r w:rsidRPr="009C774A">
        <w:tab/>
      </w:r>
      <w:r w:rsidR="00D833DE" w:rsidRPr="009C774A">
        <w:t xml:space="preserve">On January </w:t>
      </w:r>
      <w:r w:rsidR="00EA06D0" w:rsidRPr="009C774A">
        <w:t>1</w:t>
      </w:r>
      <w:r w:rsidR="004362AF" w:rsidRPr="009C774A">
        <w:t>0</w:t>
      </w:r>
      <w:r w:rsidR="00EA06D0" w:rsidRPr="009C774A">
        <w:t>, 202</w:t>
      </w:r>
      <w:r w:rsidR="004362AF" w:rsidRPr="009C774A">
        <w:t>4</w:t>
      </w:r>
      <w:r w:rsidR="00D833DE" w:rsidRPr="009C774A">
        <w:t xml:space="preserve">, the </w:t>
      </w:r>
      <w:r w:rsidR="00EA06D0" w:rsidRPr="009C774A">
        <w:t>Board</w:t>
      </w:r>
      <w:r w:rsidR="00CB523D" w:rsidRPr="009C774A">
        <w:t>’s Complaint Counsel</w:t>
      </w:r>
      <w:r w:rsidR="00EA06D0" w:rsidRPr="009C774A">
        <w:t xml:space="preserve"> </w:t>
      </w:r>
      <w:r w:rsidR="00D833DE" w:rsidRPr="009C774A">
        <w:t xml:space="preserve">filed </w:t>
      </w:r>
      <w:r w:rsidR="00EA06D0" w:rsidRPr="009C774A">
        <w:t>a Motion for Summary Decision (Motion).</w:t>
      </w:r>
      <w:r w:rsidR="00D833DE" w:rsidRPr="009C774A">
        <w:rPr>
          <w:rStyle w:val="FootnoteReference"/>
        </w:rPr>
        <w:footnoteReference w:id="3"/>
      </w:r>
      <w:r w:rsidR="00D833DE" w:rsidRPr="009C774A">
        <w:t xml:space="preserve"> </w:t>
      </w:r>
      <w:r w:rsidR="00CC5A46" w:rsidRPr="009C774A">
        <w:t xml:space="preserve"> </w:t>
      </w:r>
      <w:r w:rsidR="00927471" w:rsidRPr="009C774A">
        <w:t>On</w:t>
      </w:r>
      <w:r w:rsidR="00CC5A46" w:rsidRPr="009C774A">
        <w:t xml:space="preserve"> </w:t>
      </w:r>
      <w:r w:rsidR="00AE2183" w:rsidRPr="009C774A">
        <w:t>January 30, 2024</w:t>
      </w:r>
      <w:r w:rsidR="00927471" w:rsidRPr="009C774A">
        <w:t>, the Respondent filed an</w:t>
      </w:r>
      <w:r w:rsidR="00AE2183" w:rsidRPr="009C774A">
        <w:t xml:space="preserve"> Opposition to the Motion (Opposition)</w:t>
      </w:r>
      <w:r w:rsidR="00927471" w:rsidRPr="009C774A">
        <w:t>.</w:t>
      </w:r>
      <w:r w:rsidR="00E97D69" w:rsidRPr="009C774A">
        <w:rPr>
          <w:rStyle w:val="FootnoteReference"/>
        </w:rPr>
        <w:footnoteReference w:id="4"/>
      </w:r>
      <w:r w:rsidR="00CC5A46" w:rsidRPr="009C774A">
        <w:t xml:space="preserve"> </w:t>
      </w:r>
    </w:p>
    <w:p w14:paraId="02B38FFC" w14:textId="77777777" w:rsidR="000C397A" w:rsidRPr="009C774A" w:rsidRDefault="000C397A" w:rsidP="00267EDA">
      <w:pPr>
        <w:spacing w:line="276" w:lineRule="auto"/>
        <w:jc w:val="both"/>
      </w:pPr>
    </w:p>
    <w:p w14:paraId="08AAFB5F" w14:textId="3A4B2657" w:rsidR="006F43A6" w:rsidRPr="009C774A" w:rsidRDefault="002F6CC1" w:rsidP="00267EDA">
      <w:pPr>
        <w:spacing w:line="276" w:lineRule="auto"/>
        <w:ind w:firstLine="720"/>
        <w:jc w:val="both"/>
      </w:pPr>
      <w:r w:rsidRPr="009C774A">
        <w:t xml:space="preserve">On </w:t>
      </w:r>
      <w:r w:rsidR="00135822" w:rsidRPr="009C774A">
        <w:t xml:space="preserve">October 17, 2025, </w:t>
      </w:r>
      <w:r w:rsidR="00B746FB" w:rsidRPr="009C774A">
        <w:t>D</w:t>
      </w:r>
      <w:r w:rsidR="00035C62" w:rsidRPr="009C774A">
        <w:t>A</w:t>
      </w:r>
      <w:r w:rsidR="00B746FB" w:rsidRPr="009C774A">
        <w:t>LA</w:t>
      </w:r>
      <w:r w:rsidR="0018721B" w:rsidRPr="009C774A">
        <w:t xml:space="preserve"> Magistrate </w:t>
      </w:r>
      <w:r w:rsidR="00135822" w:rsidRPr="009C774A">
        <w:t xml:space="preserve">Timothy </w:t>
      </w:r>
      <w:r w:rsidR="00D84759" w:rsidRPr="009C774A">
        <w:t xml:space="preserve">M. Pomarole </w:t>
      </w:r>
      <w:r w:rsidR="0018721B" w:rsidRPr="009C774A">
        <w:t>(Magistrate)</w:t>
      </w:r>
      <w:r w:rsidR="00B746FB" w:rsidRPr="009C774A">
        <w:t xml:space="preserve"> issued a Recommended Decision</w:t>
      </w:r>
      <w:r w:rsidR="00023000" w:rsidRPr="009C774A">
        <w:t>.</w:t>
      </w:r>
      <w:r w:rsidR="006C0435" w:rsidRPr="009C774A">
        <w:rPr>
          <w:rStyle w:val="FootnoteReference"/>
        </w:rPr>
        <w:footnoteReference w:id="5"/>
      </w:r>
      <w:r w:rsidR="00996A8D" w:rsidRPr="009C774A">
        <w:t xml:space="preserve"> </w:t>
      </w:r>
      <w:r w:rsidR="005A2DBC" w:rsidRPr="009C774A">
        <w:t>Neither Party s</w:t>
      </w:r>
      <w:r w:rsidR="009E797B" w:rsidRPr="009C774A">
        <w:t xml:space="preserve">ubmitted Objections to the Recommended Decision. </w:t>
      </w:r>
    </w:p>
    <w:p w14:paraId="43AD0E71" w14:textId="77777777" w:rsidR="006F43A6" w:rsidRPr="009C774A" w:rsidRDefault="006F43A6" w:rsidP="003833C0">
      <w:pPr>
        <w:spacing w:line="276" w:lineRule="auto"/>
        <w:ind w:firstLine="720"/>
        <w:jc w:val="both"/>
      </w:pPr>
    </w:p>
    <w:p w14:paraId="6A196868" w14:textId="43AC6CD6" w:rsidR="00812F8B" w:rsidRPr="009C774A" w:rsidRDefault="00635EC6" w:rsidP="003833C0">
      <w:pPr>
        <w:spacing w:line="276" w:lineRule="auto"/>
        <w:ind w:firstLine="720"/>
        <w:jc w:val="both"/>
      </w:pPr>
      <w:r w:rsidRPr="009C774A">
        <w:t xml:space="preserve">On  </w:t>
      </w:r>
      <w:r w:rsidR="00152558" w:rsidRPr="009C774A">
        <w:t xml:space="preserve">December 5, 2025, </w:t>
      </w:r>
      <w:r w:rsidRPr="009C774A">
        <w:t xml:space="preserve"> </w:t>
      </w:r>
      <w:r w:rsidR="009E797B" w:rsidRPr="009C774A">
        <w:t>Complaint Counsel</w:t>
      </w:r>
      <w:r w:rsidR="00152558" w:rsidRPr="009C774A">
        <w:t xml:space="preserve"> submitted a Memorandum on Disposition</w:t>
      </w:r>
      <w:r w:rsidR="00615362" w:rsidRPr="009C774A">
        <w:t xml:space="preserve">. </w:t>
      </w:r>
      <w:r w:rsidR="00152558" w:rsidRPr="009C774A">
        <w:t>The Respondent did not submit a Memorandum on Disposition</w:t>
      </w:r>
      <w:r w:rsidR="00DF176D" w:rsidRPr="009C774A">
        <w:t>.</w:t>
      </w:r>
      <w:r w:rsidR="00152558" w:rsidRPr="009C774A">
        <w:t xml:space="preserve"> </w:t>
      </w:r>
    </w:p>
    <w:p w14:paraId="51C3C0AF" w14:textId="77777777" w:rsidR="00360AC5" w:rsidRPr="009C774A" w:rsidRDefault="00360AC5" w:rsidP="003833C0">
      <w:pPr>
        <w:spacing w:line="276" w:lineRule="auto"/>
        <w:ind w:firstLine="720"/>
        <w:jc w:val="both"/>
      </w:pPr>
    </w:p>
    <w:p w14:paraId="7A73C0DA" w14:textId="240EC823" w:rsidR="00416A61" w:rsidRPr="009C774A" w:rsidRDefault="00DD0ABE" w:rsidP="003833C0">
      <w:pPr>
        <w:spacing w:line="276" w:lineRule="auto"/>
        <w:ind w:firstLine="720"/>
        <w:jc w:val="both"/>
      </w:pPr>
      <w:r w:rsidRPr="009C774A">
        <w:lastRenderedPageBreak/>
        <w:t>T</w:t>
      </w:r>
      <w:r w:rsidR="001438B1" w:rsidRPr="009C774A">
        <w:t>he Board adopts the Findings of Fact and Conclusions of Law in the Recommended Decisio</w:t>
      </w:r>
      <w:r w:rsidR="008654E7" w:rsidRPr="009C774A">
        <w:t>n</w:t>
      </w:r>
      <w:r w:rsidR="00020C90" w:rsidRPr="009C774A">
        <w:t xml:space="preserve"> and adds </w:t>
      </w:r>
      <w:r w:rsidR="008323C8">
        <w:t>the following:</w:t>
      </w:r>
      <w:r w:rsidR="001B77BA" w:rsidRPr="009C774A">
        <w:t xml:space="preserve"> </w:t>
      </w:r>
    </w:p>
    <w:p w14:paraId="0EE7EC54" w14:textId="77777777" w:rsidR="00020C90" w:rsidRPr="009C774A" w:rsidRDefault="00020C90" w:rsidP="003833C0">
      <w:pPr>
        <w:spacing w:line="276" w:lineRule="auto"/>
        <w:ind w:firstLine="720"/>
        <w:jc w:val="both"/>
      </w:pPr>
    </w:p>
    <w:p w14:paraId="4ACB95D0" w14:textId="554F3B3A" w:rsidR="00AC193F" w:rsidRPr="009C774A" w:rsidRDefault="008654E7" w:rsidP="009F2279">
      <w:pPr>
        <w:spacing w:line="276" w:lineRule="auto"/>
        <w:jc w:val="center"/>
        <w:rPr>
          <w:u w:val="single"/>
        </w:rPr>
      </w:pPr>
      <w:r w:rsidRPr="009C774A">
        <w:rPr>
          <w:u w:val="single"/>
        </w:rPr>
        <w:t>D</w:t>
      </w:r>
      <w:r w:rsidR="00B346AC" w:rsidRPr="009C774A">
        <w:rPr>
          <w:u w:val="single"/>
        </w:rPr>
        <w:t>iscussion</w:t>
      </w:r>
    </w:p>
    <w:p w14:paraId="7CC9DD5B" w14:textId="77777777" w:rsidR="00B84492" w:rsidRPr="009C774A" w:rsidRDefault="00B84492" w:rsidP="003833C0">
      <w:pPr>
        <w:spacing w:line="276" w:lineRule="auto"/>
        <w:ind w:firstLine="720"/>
        <w:jc w:val="both"/>
        <w:rPr>
          <w:rFonts w:eastAsiaTheme="minorHAnsi"/>
          <w:kern w:val="2"/>
          <w14:ligatures w14:val="standardContextual"/>
        </w:rPr>
      </w:pPr>
    </w:p>
    <w:p w14:paraId="40964548" w14:textId="375B7E20" w:rsidR="000458BF" w:rsidRPr="009C774A" w:rsidRDefault="000458BF" w:rsidP="003833C0">
      <w:pPr>
        <w:spacing w:line="276" w:lineRule="auto"/>
        <w:ind w:firstLine="720"/>
        <w:jc w:val="both"/>
        <w:rPr>
          <w:rFonts w:eastAsiaTheme="minorHAnsi"/>
          <w:kern w:val="2"/>
          <w14:ligatures w14:val="standardContextual"/>
        </w:rPr>
      </w:pPr>
      <w:r w:rsidRPr="009C774A">
        <w:rPr>
          <w:rFonts w:eastAsiaTheme="minorHAnsi"/>
          <w:kern w:val="2"/>
          <w14:ligatures w14:val="standardContextual"/>
        </w:rPr>
        <w:t xml:space="preserve">It </w:t>
      </w:r>
      <w:r w:rsidR="001B77BA" w:rsidRPr="009C774A">
        <w:rPr>
          <w:rFonts w:eastAsiaTheme="minorHAnsi"/>
          <w:kern w:val="2"/>
          <w14:ligatures w14:val="standardContextual"/>
        </w:rPr>
        <w:t xml:space="preserve"> </w:t>
      </w:r>
      <w:r w:rsidRPr="009C774A">
        <w:rPr>
          <w:rFonts w:eastAsiaTheme="minorHAnsi"/>
          <w:kern w:val="2"/>
          <w14:ligatures w14:val="standardContextual"/>
        </w:rPr>
        <w:t>is well established that the Board is authorized</w:t>
      </w:r>
      <w:r w:rsidR="00666376" w:rsidRPr="009C774A">
        <w:rPr>
          <w:rFonts w:eastAsiaTheme="minorHAnsi"/>
          <w:kern w:val="2"/>
          <w14:ligatures w14:val="standardContextual"/>
        </w:rPr>
        <w:t>, pursuant to 243 CMR 1.03(5)(a)12</w:t>
      </w:r>
      <w:r w:rsidR="005F5020" w:rsidRPr="009C774A">
        <w:rPr>
          <w:rFonts w:eastAsiaTheme="minorHAnsi"/>
          <w:kern w:val="2"/>
          <w14:ligatures w14:val="standardContextual"/>
        </w:rPr>
        <w:t xml:space="preserve">, </w:t>
      </w:r>
      <w:r w:rsidRPr="009C774A">
        <w:rPr>
          <w:rFonts w:eastAsiaTheme="minorHAnsi"/>
          <w:kern w:val="2"/>
          <w14:ligatures w14:val="standardContextual"/>
        </w:rPr>
        <w:t xml:space="preserve">to discipline a physician who has been disciplined in another jurisdiction in any way by the proper licensing authority for reasons substantially the same as those set forth in </w:t>
      </w:r>
      <w:r w:rsidR="00020C90" w:rsidRPr="009C774A">
        <w:rPr>
          <w:rFonts w:eastAsiaTheme="minorHAnsi"/>
          <w:kern w:val="2"/>
          <w14:ligatures w14:val="standardContextual"/>
        </w:rPr>
        <w:t>M.</w:t>
      </w:r>
      <w:r w:rsidRPr="009C774A">
        <w:rPr>
          <w:rFonts w:eastAsiaTheme="minorHAnsi"/>
          <w:kern w:val="2"/>
          <w14:ligatures w14:val="standardContextual"/>
        </w:rPr>
        <w:t xml:space="preserve">G.L. c. 112, § 5 or 243 CMR 1.03(5). </w:t>
      </w:r>
      <w:r w:rsidRPr="009C774A">
        <w:rPr>
          <w:rFonts w:eastAsiaTheme="minorHAnsi"/>
          <w:i/>
          <w:iCs/>
          <w:kern w:val="2"/>
          <w14:ligatures w14:val="standardContextual"/>
        </w:rPr>
        <w:t>Ramirez v. Board of Registration in Medicine</w:t>
      </w:r>
      <w:r w:rsidRPr="009C774A">
        <w:rPr>
          <w:rFonts w:eastAsiaTheme="minorHAnsi"/>
          <w:kern w:val="2"/>
          <w14:ligatures w14:val="standardContextual"/>
        </w:rPr>
        <w:t xml:space="preserve">, 441 Mass. 479 (2004). </w:t>
      </w:r>
    </w:p>
    <w:p w14:paraId="4A2D8EFF" w14:textId="77777777" w:rsidR="00141718" w:rsidRPr="009C774A" w:rsidRDefault="00141718" w:rsidP="003833C0">
      <w:pPr>
        <w:spacing w:line="276" w:lineRule="auto"/>
        <w:ind w:firstLine="720"/>
        <w:jc w:val="both"/>
        <w:rPr>
          <w:rFonts w:eastAsiaTheme="minorHAnsi"/>
          <w:kern w:val="2"/>
          <w14:ligatures w14:val="standardContextual"/>
        </w:rPr>
      </w:pPr>
    </w:p>
    <w:p w14:paraId="7F2B08B0" w14:textId="26DA53A7" w:rsidR="00DA118A" w:rsidRPr="009C774A" w:rsidRDefault="007F3000" w:rsidP="00DA118A">
      <w:pPr>
        <w:spacing w:line="276" w:lineRule="auto"/>
        <w:ind w:firstLine="720"/>
        <w:jc w:val="both"/>
        <w:rPr>
          <w:rFonts w:eastAsiaTheme="minorHAnsi"/>
          <w:kern w:val="2"/>
          <w14:ligatures w14:val="standardContextual"/>
        </w:rPr>
      </w:pPr>
      <w:r w:rsidRPr="009C774A">
        <w:rPr>
          <w:rFonts w:eastAsiaTheme="minorHAnsi"/>
          <w:kern w:val="2"/>
          <w14:ligatures w14:val="standardContextual"/>
        </w:rPr>
        <w:t xml:space="preserve">The </w:t>
      </w:r>
      <w:r w:rsidR="00615362" w:rsidRPr="009C774A">
        <w:rPr>
          <w:rFonts w:eastAsiaTheme="minorHAnsi"/>
          <w:kern w:val="2"/>
          <w14:ligatures w14:val="standardContextual"/>
        </w:rPr>
        <w:t>Tennessee Board disciplined the Respondent for</w:t>
      </w:r>
      <w:r w:rsidRPr="009C774A">
        <w:rPr>
          <w:rFonts w:eastAsiaTheme="minorHAnsi"/>
          <w:kern w:val="2"/>
          <w14:ligatures w14:val="standardContextual"/>
        </w:rPr>
        <w:t xml:space="preserve"> </w:t>
      </w:r>
      <w:r w:rsidRPr="009C774A">
        <w:t>“[h]abitual intoxication or personal misuse of any drugs or the use of intoxicating liquors, narcotics, controlled substances, controlled substance analogues or other drugs or stimulants in such manner as to adversely affect the person’s ability to practice medicine.” Tenn. Code Ann. §63-6-214(b). Th</w:t>
      </w:r>
      <w:r w:rsidR="00DF7583" w:rsidRPr="009C774A">
        <w:t>is</w:t>
      </w:r>
      <w:r w:rsidRPr="009C774A">
        <w:t xml:space="preserve"> basis for discipline is substantially the same as the Massachusetts Board’s ability to impose discipline</w:t>
      </w:r>
      <w:r w:rsidR="00DB6E38" w:rsidRPr="009C774A">
        <w:t xml:space="preserve"> pursuant to </w:t>
      </w:r>
      <w:r w:rsidRPr="009C774A">
        <w:t xml:space="preserve"> </w:t>
      </w:r>
      <w:r w:rsidR="003A0A67" w:rsidRPr="009C774A">
        <w:t>M.</w:t>
      </w:r>
      <w:r w:rsidR="00DA118A" w:rsidRPr="009C774A">
        <w:rPr>
          <w:rFonts w:eastAsiaTheme="minorHAnsi"/>
          <w:kern w:val="2"/>
          <w14:ligatures w14:val="standardContextual"/>
        </w:rPr>
        <w:t xml:space="preserve">G.L. </w:t>
      </w:r>
      <w:r w:rsidR="003A0A67" w:rsidRPr="009C774A">
        <w:rPr>
          <w:rFonts w:eastAsiaTheme="minorHAnsi"/>
          <w:kern w:val="2"/>
          <w14:ligatures w14:val="standardContextual"/>
        </w:rPr>
        <w:t xml:space="preserve">c. </w:t>
      </w:r>
      <w:r w:rsidR="00DF7583" w:rsidRPr="009C774A">
        <w:rPr>
          <w:rFonts w:eastAsiaTheme="minorHAnsi"/>
          <w:kern w:val="2"/>
          <w14:ligatures w14:val="standardContextual"/>
        </w:rPr>
        <w:t>112</w:t>
      </w:r>
      <w:r w:rsidR="003A0A67" w:rsidRPr="009C774A">
        <w:rPr>
          <w:rFonts w:eastAsiaTheme="minorHAnsi"/>
          <w:kern w:val="2"/>
          <w14:ligatures w14:val="standardContextual"/>
        </w:rPr>
        <w:t xml:space="preserve"> </w:t>
      </w:r>
      <w:r w:rsidR="00DA118A" w:rsidRPr="009C774A">
        <w:rPr>
          <w:rFonts w:eastAsiaTheme="minorHAnsi"/>
          <w:kern w:val="2"/>
          <w14:ligatures w14:val="standardContextual"/>
        </w:rPr>
        <w:t>§</w:t>
      </w:r>
      <w:r w:rsidR="003A0A67" w:rsidRPr="009C774A">
        <w:rPr>
          <w:rFonts w:eastAsiaTheme="minorHAnsi"/>
          <w:kern w:val="2"/>
          <w14:ligatures w14:val="standardContextual"/>
        </w:rPr>
        <w:t>5</w:t>
      </w:r>
      <w:r w:rsidR="00DA118A" w:rsidRPr="009C774A">
        <w:rPr>
          <w:rFonts w:eastAsiaTheme="minorHAnsi"/>
          <w:kern w:val="2"/>
          <w14:ligatures w14:val="standardContextual"/>
        </w:rPr>
        <w:t xml:space="preserve"> (d)</w:t>
      </w:r>
      <w:r w:rsidR="00DB6E38" w:rsidRPr="009C774A">
        <w:rPr>
          <w:rFonts w:eastAsiaTheme="minorHAnsi"/>
          <w:kern w:val="2"/>
          <w14:ligatures w14:val="standardContextual"/>
        </w:rPr>
        <w:t>-</w:t>
      </w:r>
      <w:r w:rsidR="00DA118A" w:rsidRPr="009C774A">
        <w:rPr>
          <w:rFonts w:eastAsiaTheme="minorHAnsi"/>
          <w:kern w:val="2"/>
          <w14:ligatures w14:val="standardContextual"/>
        </w:rPr>
        <w:t>(e)</w:t>
      </w:r>
      <w:r w:rsidR="00DB6E38" w:rsidRPr="009C774A">
        <w:rPr>
          <w:rFonts w:eastAsiaTheme="minorHAnsi"/>
          <w:kern w:val="2"/>
          <w14:ligatures w14:val="standardContextual"/>
        </w:rPr>
        <w:t xml:space="preserve"> </w:t>
      </w:r>
      <w:r w:rsidR="009722B5" w:rsidRPr="009C774A">
        <w:rPr>
          <w:rFonts w:eastAsiaTheme="minorHAnsi"/>
          <w:kern w:val="2"/>
          <w14:ligatures w14:val="standardContextual"/>
        </w:rPr>
        <w:t>and 243 CMR 1.03(5)(a)4-5 for</w:t>
      </w:r>
      <w:r w:rsidR="00DB6E38" w:rsidRPr="009C774A">
        <w:rPr>
          <w:rFonts w:eastAsiaTheme="minorHAnsi"/>
          <w:kern w:val="2"/>
          <w14:ligatures w14:val="standardContextual"/>
        </w:rPr>
        <w:t xml:space="preserve"> “practicing medicine while the ability to practice is impaired by alcohol, drugs, physical disability or mental instability” </w:t>
      </w:r>
      <w:r w:rsidR="00F409E7" w:rsidRPr="009C774A">
        <w:rPr>
          <w:rFonts w:eastAsiaTheme="minorHAnsi"/>
          <w:kern w:val="2"/>
          <w14:ligatures w14:val="standardContextual"/>
        </w:rPr>
        <w:t>or “</w:t>
      </w:r>
      <w:r w:rsidR="00DB6E38" w:rsidRPr="009C774A">
        <w:rPr>
          <w:rFonts w:eastAsiaTheme="minorHAnsi"/>
          <w:kern w:val="2"/>
          <w14:ligatures w14:val="standardContextual"/>
        </w:rPr>
        <w:t>being habitually drunk or being or having been addicted to, dependent on, or a habitual user of narcotics, barbiturates, amphetamines, hallucinogens, or other drugs having similar effects</w:t>
      </w:r>
      <w:r w:rsidR="00F409E7" w:rsidRPr="009C774A">
        <w:rPr>
          <w:rFonts w:eastAsiaTheme="minorHAnsi"/>
          <w:kern w:val="2"/>
          <w14:ligatures w14:val="standardContextual"/>
        </w:rPr>
        <w:t>.</w:t>
      </w:r>
      <w:r w:rsidR="00DB6E38" w:rsidRPr="009C774A">
        <w:rPr>
          <w:rFonts w:eastAsiaTheme="minorHAnsi"/>
          <w:kern w:val="2"/>
          <w14:ligatures w14:val="standardContextual"/>
        </w:rPr>
        <w:t xml:space="preserve">” </w:t>
      </w:r>
    </w:p>
    <w:p w14:paraId="3D610B4A" w14:textId="77777777" w:rsidR="00571625" w:rsidRPr="009C774A" w:rsidRDefault="00571625" w:rsidP="00DA118A">
      <w:pPr>
        <w:spacing w:line="276" w:lineRule="auto"/>
        <w:ind w:firstLine="720"/>
        <w:jc w:val="both"/>
      </w:pPr>
    </w:p>
    <w:p w14:paraId="3D2DAB11" w14:textId="12211A15" w:rsidR="00C301AB" w:rsidRPr="009C774A" w:rsidRDefault="00571625" w:rsidP="00DA118A">
      <w:pPr>
        <w:spacing w:line="276" w:lineRule="auto"/>
        <w:ind w:firstLine="720"/>
        <w:jc w:val="both"/>
      </w:pPr>
      <w:r w:rsidRPr="009C774A">
        <w:t xml:space="preserve">When the Board imposes reciprocal discipline, it may impose any sanction consistent with its policies and </w:t>
      </w:r>
      <w:proofErr w:type="gramStart"/>
      <w:r w:rsidRPr="009C774A">
        <w:t>precedent</w:t>
      </w:r>
      <w:proofErr w:type="gramEnd"/>
      <w:r w:rsidRPr="009C774A">
        <w:t xml:space="preserve"> and based on the out-of-state facts.</w:t>
      </w:r>
      <w:r w:rsidRPr="009C774A">
        <w:rPr>
          <w:rStyle w:val="FootnoteReference"/>
        </w:rPr>
        <w:footnoteReference w:id="6"/>
      </w:r>
      <w:r w:rsidRPr="009C774A">
        <w:t xml:space="preserve"> The Board is not bound by the out-of-state sanction.</w:t>
      </w:r>
      <w:r w:rsidRPr="009C774A">
        <w:rPr>
          <w:rStyle w:val="FootnoteReference"/>
        </w:rPr>
        <w:footnoteReference w:id="7"/>
      </w:r>
      <w:r w:rsidRPr="009C774A">
        <w:t xml:space="preserve"> </w:t>
      </w:r>
    </w:p>
    <w:p w14:paraId="0F596B51" w14:textId="77777777" w:rsidR="00C301AB" w:rsidRPr="009C774A" w:rsidRDefault="00C301AB" w:rsidP="00DA118A">
      <w:pPr>
        <w:spacing w:line="276" w:lineRule="auto"/>
        <w:ind w:firstLine="720"/>
        <w:jc w:val="both"/>
      </w:pPr>
    </w:p>
    <w:p w14:paraId="1C885079" w14:textId="49405D39" w:rsidR="006830B7" w:rsidRPr="009C774A" w:rsidRDefault="00571625" w:rsidP="00DA118A">
      <w:pPr>
        <w:spacing w:line="276" w:lineRule="auto"/>
        <w:ind w:firstLine="720"/>
        <w:jc w:val="both"/>
      </w:pPr>
      <w:r w:rsidRPr="009C774A">
        <w:t>When determining the appropriate sanction, the Board is guided by its paramount duty to ensure the health and safety of patients. Accordingly, the Board considers both the nature and extent of the physician’s wrong-doing and mitigating factors, including documented remediation of deficits.</w:t>
      </w:r>
    </w:p>
    <w:p w14:paraId="146B6787" w14:textId="264C89FC" w:rsidR="00284947" w:rsidRDefault="009F2279" w:rsidP="009F2279">
      <w:pPr>
        <w:spacing w:line="276" w:lineRule="auto"/>
        <w:jc w:val="center"/>
        <w:rPr>
          <w:u w:val="single"/>
        </w:rPr>
      </w:pPr>
      <w:r w:rsidRPr="009F2279">
        <w:rPr>
          <w:u w:val="single"/>
        </w:rPr>
        <w:t>Sanction</w:t>
      </w:r>
    </w:p>
    <w:p w14:paraId="31899828" w14:textId="77777777" w:rsidR="009F2279" w:rsidRPr="009F2279" w:rsidRDefault="009F2279" w:rsidP="009F2279">
      <w:pPr>
        <w:spacing w:line="276" w:lineRule="auto"/>
        <w:jc w:val="center"/>
        <w:rPr>
          <w:u w:val="single"/>
        </w:rPr>
      </w:pPr>
    </w:p>
    <w:p w14:paraId="2B4FA208" w14:textId="089FFD04" w:rsidR="00D11C0F" w:rsidRPr="009C774A" w:rsidRDefault="00284947" w:rsidP="00DA118A">
      <w:pPr>
        <w:spacing w:line="276" w:lineRule="auto"/>
        <w:ind w:firstLine="720"/>
        <w:jc w:val="both"/>
      </w:pPr>
      <w:r w:rsidRPr="009C774A">
        <w:t>The record reflects that</w:t>
      </w:r>
      <w:r w:rsidR="00206CA5" w:rsidRPr="009C774A">
        <w:t>, beginning in 2018,</w:t>
      </w:r>
      <w:r w:rsidRPr="009C774A">
        <w:t xml:space="preserve"> the Respondent </w:t>
      </w:r>
      <w:r w:rsidR="00756DDD" w:rsidRPr="009C774A">
        <w:t>was “habitually intoxicated</w:t>
      </w:r>
      <w:r w:rsidR="00C301AB" w:rsidRPr="009C774A">
        <w:t>.</w:t>
      </w:r>
      <w:r w:rsidR="00756DDD" w:rsidRPr="009C774A">
        <w:t>”</w:t>
      </w:r>
      <w:r w:rsidR="00831012" w:rsidRPr="009C774A">
        <w:t xml:space="preserve"> </w:t>
      </w:r>
      <w:r w:rsidR="00354F01">
        <w:t>On May 16, 2023, t</w:t>
      </w:r>
      <w:r w:rsidR="00476A74">
        <w:t xml:space="preserve">he Tennessee Board </w:t>
      </w:r>
      <w:r w:rsidR="00354F01">
        <w:t>disciplined the Respondent, requiring him to enter into a monitoring agreement with the Tennessee Medical Foundation and pay a civil penalty, as well as certain costs associated with the proceeding.</w:t>
      </w:r>
      <w:r w:rsidR="0073578F" w:rsidRPr="009C774A">
        <w:t xml:space="preserve"> </w:t>
      </w:r>
    </w:p>
    <w:p w14:paraId="50F6B7E9" w14:textId="1EACA489" w:rsidR="0073483B" w:rsidRPr="009C774A" w:rsidRDefault="001D5B56" w:rsidP="00143845">
      <w:pPr>
        <w:spacing w:line="276" w:lineRule="auto"/>
        <w:ind w:firstLine="720"/>
        <w:jc w:val="both"/>
        <w:rPr>
          <w:rFonts w:eastAsiaTheme="minorHAnsi"/>
          <w:kern w:val="2"/>
          <w14:ligatures w14:val="standardContextual"/>
        </w:rPr>
      </w:pPr>
      <w:r w:rsidRPr="009C774A">
        <w:rPr>
          <w:rFonts w:eastAsiaTheme="minorHAnsi"/>
          <w:kern w:val="2"/>
          <w14:ligatures w14:val="standardContextual"/>
        </w:rPr>
        <w:lastRenderedPageBreak/>
        <w:t>In cases where physician</w:t>
      </w:r>
      <w:r w:rsidR="005C4CB2" w:rsidRPr="009C774A">
        <w:rPr>
          <w:rFonts w:eastAsiaTheme="minorHAnsi"/>
          <w:kern w:val="2"/>
          <w14:ligatures w14:val="standardContextual"/>
        </w:rPr>
        <w:t>s</w:t>
      </w:r>
      <w:r w:rsidRPr="009C774A">
        <w:rPr>
          <w:rFonts w:eastAsiaTheme="minorHAnsi"/>
          <w:kern w:val="2"/>
          <w14:ligatures w14:val="standardContextual"/>
        </w:rPr>
        <w:t xml:space="preserve"> </w:t>
      </w:r>
      <w:r w:rsidR="005C4CB2" w:rsidRPr="009C774A">
        <w:rPr>
          <w:rFonts w:eastAsiaTheme="minorHAnsi"/>
          <w:kern w:val="2"/>
          <w14:ligatures w14:val="standardContextual"/>
        </w:rPr>
        <w:t>have practiced while impaired and ha</w:t>
      </w:r>
      <w:r w:rsidR="0098197E" w:rsidRPr="009C774A">
        <w:rPr>
          <w:rFonts w:eastAsiaTheme="minorHAnsi"/>
          <w:kern w:val="2"/>
          <w14:ligatures w14:val="standardContextual"/>
        </w:rPr>
        <w:t>v</w:t>
      </w:r>
      <w:r w:rsidR="000844FB" w:rsidRPr="009C774A">
        <w:rPr>
          <w:rFonts w:eastAsiaTheme="minorHAnsi"/>
          <w:kern w:val="2"/>
          <w14:ligatures w14:val="standardContextual"/>
        </w:rPr>
        <w:t>e</w:t>
      </w:r>
      <w:r w:rsidR="005C4CB2" w:rsidRPr="009C774A">
        <w:rPr>
          <w:rFonts w:eastAsiaTheme="minorHAnsi"/>
          <w:kern w:val="2"/>
          <w14:ligatures w14:val="standardContextual"/>
        </w:rPr>
        <w:t xml:space="preserve"> engaged in other transgressions, the Board has imposed license revocation as the sanction.</w:t>
      </w:r>
      <w:r w:rsidR="00911B2F" w:rsidRPr="009C774A">
        <w:rPr>
          <w:rStyle w:val="FootnoteReference"/>
          <w:rFonts w:eastAsiaTheme="minorHAnsi"/>
          <w:kern w:val="2"/>
          <w14:ligatures w14:val="standardContextual"/>
        </w:rPr>
        <w:footnoteReference w:id="8"/>
      </w:r>
      <w:r w:rsidR="005C4CB2" w:rsidRPr="009C774A">
        <w:rPr>
          <w:rFonts w:eastAsiaTheme="minorHAnsi"/>
          <w:kern w:val="2"/>
          <w14:ligatures w14:val="standardContextual"/>
        </w:rPr>
        <w:t xml:space="preserve"> </w:t>
      </w:r>
      <w:r w:rsidR="00143845" w:rsidRPr="009C774A">
        <w:rPr>
          <w:rFonts w:eastAsiaTheme="minorHAnsi"/>
          <w:kern w:val="2"/>
          <w14:ligatures w14:val="standardContextual"/>
        </w:rPr>
        <w:t>In cases where there are no violations beyond practicing while impaired, the Board</w:t>
      </w:r>
      <w:r w:rsidR="009412EC" w:rsidRPr="009C774A">
        <w:rPr>
          <w:rFonts w:eastAsiaTheme="minorHAnsi"/>
          <w:kern w:val="2"/>
          <w14:ligatures w14:val="standardContextual"/>
        </w:rPr>
        <w:t xml:space="preserve"> generally</w:t>
      </w:r>
      <w:r w:rsidR="00143845" w:rsidRPr="009C774A">
        <w:rPr>
          <w:rFonts w:eastAsiaTheme="minorHAnsi"/>
          <w:kern w:val="2"/>
          <w14:ligatures w14:val="standardContextual"/>
        </w:rPr>
        <w:t xml:space="preserve"> has imposed </w:t>
      </w:r>
      <w:r w:rsidR="00D21989" w:rsidRPr="009C774A">
        <w:rPr>
          <w:rFonts w:eastAsiaTheme="minorHAnsi"/>
          <w:kern w:val="2"/>
          <w14:ligatures w14:val="standardContextual"/>
        </w:rPr>
        <w:t>an indefinite suspension</w:t>
      </w:r>
      <w:r w:rsidR="009412EC" w:rsidRPr="009C774A">
        <w:rPr>
          <w:rFonts w:eastAsiaTheme="minorHAnsi"/>
          <w:kern w:val="2"/>
          <w14:ligatures w14:val="standardContextual"/>
        </w:rPr>
        <w:t xml:space="preserve"> of the physician’s inchoate right to renew his license</w:t>
      </w:r>
      <w:r w:rsidR="00D21989" w:rsidRPr="009C774A">
        <w:rPr>
          <w:rFonts w:eastAsiaTheme="minorHAnsi"/>
          <w:kern w:val="2"/>
          <w14:ligatures w14:val="standardContextual"/>
        </w:rPr>
        <w:t xml:space="preserve"> with the possibility of staying the suspension if certain conditions are met.</w:t>
      </w:r>
      <w:r w:rsidR="00D21989" w:rsidRPr="009C774A">
        <w:rPr>
          <w:rStyle w:val="FootnoteReference"/>
          <w:rFonts w:eastAsiaTheme="minorHAnsi"/>
          <w:kern w:val="2"/>
          <w14:ligatures w14:val="standardContextual"/>
        </w:rPr>
        <w:footnoteReference w:id="9"/>
      </w:r>
    </w:p>
    <w:p w14:paraId="37C2ECCA" w14:textId="77777777" w:rsidR="00845DF3" w:rsidRPr="009C774A" w:rsidRDefault="00845DF3" w:rsidP="00143845">
      <w:pPr>
        <w:spacing w:line="276" w:lineRule="auto"/>
        <w:ind w:firstLine="720"/>
        <w:jc w:val="both"/>
        <w:rPr>
          <w:rFonts w:eastAsiaTheme="minorHAnsi"/>
          <w:kern w:val="2"/>
          <w14:ligatures w14:val="standardContextual"/>
        </w:rPr>
      </w:pPr>
    </w:p>
    <w:p w14:paraId="2D72D4F9" w14:textId="0ED29574" w:rsidR="001A7B42" w:rsidRPr="009C774A" w:rsidRDefault="00CC35FE" w:rsidP="00CC35FE">
      <w:pPr>
        <w:spacing w:line="276" w:lineRule="auto"/>
        <w:ind w:firstLine="720"/>
        <w:jc w:val="both"/>
        <w:rPr>
          <w:rFonts w:eastAsiaTheme="minorHAnsi"/>
        </w:rPr>
      </w:pPr>
      <w:r w:rsidRPr="009C774A">
        <w:rPr>
          <w:rFonts w:eastAsiaTheme="minorHAnsi"/>
        </w:rPr>
        <w:t xml:space="preserve">When fashioning a sanction in the </w:t>
      </w:r>
      <w:r w:rsidR="0073483B" w:rsidRPr="009C774A">
        <w:rPr>
          <w:rFonts w:eastAsiaTheme="minorHAnsi"/>
        </w:rPr>
        <w:t xml:space="preserve">pending </w:t>
      </w:r>
      <w:r w:rsidR="007F24FE" w:rsidRPr="009C774A">
        <w:rPr>
          <w:rFonts w:eastAsiaTheme="minorHAnsi"/>
        </w:rPr>
        <w:t>matter</w:t>
      </w:r>
      <w:r w:rsidR="0073483B" w:rsidRPr="009C774A">
        <w:rPr>
          <w:rFonts w:eastAsiaTheme="minorHAnsi"/>
        </w:rPr>
        <w:t xml:space="preserve">, the </w:t>
      </w:r>
      <w:r w:rsidR="008F4493" w:rsidRPr="009C774A">
        <w:rPr>
          <w:rFonts w:eastAsiaTheme="minorHAnsi"/>
        </w:rPr>
        <w:t>Board</w:t>
      </w:r>
      <w:r w:rsidRPr="009C774A">
        <w:rPr>
          <w:rFonts w:eastAsiaTheme="minorHAnsi"/>
        </w:rPr>
        <w:t xml:space="preserve"> considers:</w:t>
      </w:r>
    </w:p>
    <w:p w14:paraId="7A5ADB35" w14:textId="0C47DD62" w:rsidR="001A7B42" w:rsidRPr="009C774A" w:rsidRDefault="008F4493" w:rsidP="001A7B42">
      <w:pPr>
        <w:pStyle w:val="ListParagraph"/>
        <w:numPr>
          <w:ilvl w:val="0"/>
          <w:numId w:val="10"/>
        </w:numPr>
        <w:spacing w:line="276" w:lineRule="auto"/>
        <w:jc w:val="both"/>
        <w:rPr>
          <w:rFonts w:ascii="Times New Roman" w:hAnsi="Times New Roman" w:cs="Times New Roman"/>
          <w:sz w:val="24"/>
          <w:szCs w:val="24"/>
        </w:rPr>
      </w:pPr>
      <w:r w:rsidRPr="009C774A">
        <w:rPr>
          <w:rFonts w:ascii="Times New Roman" w:hAnsi="Times New Roman" w:cs="Times New Roman"/>
          <w:sz w:val="24"/>
          <w:szCs w:val="24"/>
        </w:rPr>
        <w:t xml:space="preserve">the gravity of </w:t>
      </w:r>
      <w:r w:rsidR="007F24FE" w:rsidRPr="009C774A">
        <w:rPr>
          <w:rFonts w:ascii="Times New Roman" w:hAnsi="Times New Roman" w:cs="Times New Roman"/>
          <w:sz w:val="24"/>
          <w:szCs w:val="24"/>
        </w:rPr>
        <w:t xml:space="preserve">the Respondent’s </w:t>
      </w:r>
      <w:r w:rsidRPr="009C774A">
        <w:rPr>
          <w:rFonts w:ascii="Times New Roman" w:hAnsi="Times New Roman" w:cs="Times New Roman"/>
          <w:sz w:val="24"/>
          <w:szCs w:val="24"/>
        </w:rPr>
        <w:t xml:space="preserve">practice while </w:t>
      </w:r>
      <w:proofErr w:type="gramStart"/>
      <w:r w:rsidRPr="009C774A">
        <w:rPr>
          <w:rFonts w:ascii="Times New Roman" w:hAnsi="Times New Roman" w:cs="Times New Roman"/>
          <w:sz w:val="24"/>
          <w:szCs w:val="24"/>
        </w:rPr>
        <w:t>impaired</w:t>
      </w:r>
      <w:r w:rsidR="001A7B42" w:rsidRPr="009C774A">
        <w:rPr>
          <w:rFonts w:ascii="Times New Roman" w:hAnsi="Times New Roman" w:cs="Times New Roman"/>
          <w:sz w:val="24"/>
          <w:szCs w:val="24"/>
        </w:rPr>
        <w:t>;</w:t>
      </w:r>
      <w:proofErr w:type="gramEnd"/>
      <w:r w:rsidR="001F14DD" w:rsidRPr="009C774A">
        <w:rPr>
          <w:rFonts w:ascii="Times New Roman" w:hAnsi="Times New Roman" w:cs="Times New Roman"/>
          <w:sz w:val="24"/>
          <w:szCs w:val="24"/>
        </w:rPr>
        <w:t xml:space="preserve"> </w:t>
      </w:r>
    </w:p>
    <w:p w14:paraId="339C10A8" w14:textId="009BC410" w:rsidR="00410253" w:rsidRPr="009C774A" w:rsidRDefault="00410253" w:rsidP="001A7B42">
      <w:pPr>
        <w:pStyle w:val="ListParagraph"/>
        <w:numPr>
          <w:ilvl w:val="0"/>
          <w:numId w:val="10"/>
        </w:numPr>
        <w:spacing w:line="276" w:lineRule="auto"/>
        <w:jc w:val="both"/>
        <w:rPr>
          <w:rFonts w:ascii="Times New Roman" w:hAnsi="Times New Roman" w:cs="Times New Roman"/>
          <w:sz w:val="24"/>
          <w:szCs w:val="24"/>
        </w:rPr>
      </w:pPr>
      <w:r w:rsidRPr="009C774A">
        <w:rPr>
          <w:rFonts w:ascii="Times New Roman" w:hAnsi="Times New Roman" w:cs="Times New Roman"/>
          <w:sz w:val="24"/>
          <w:szCs w:val="24"/>
        </w:rPr>
        <w:t xml:space="preserve">the absence of additional </w:t>
      </w:r>
      <w:proofErr w:type="gramStart"/>
      <w:r w:rsidRPr="009C774A">
        <w:rPr>
          <w:rFonts w:ascii="Times New Roman" w:hAnsi="Times New Roman" w:cs="Times New Roman"/>
          <w:sz w:val="24"/>
          <w:szCs w:val="24"/>
        </w:rPr>
        <w:t>transgressions;</w:t>
      </w:r>
      <w:proofErr w:type="gramEnd"/>
    </w:p>
    <w:p w14:paraId="6E20C6B1" w14:textId="429D7E4A" w:rsidR="00845DF3" w:rsidRPr="009C774A" w:rsidRDefault="00DC3687" w:rsidP="001A7B42">
      <w:pPr>
        <w:pStyle w:val="ListParagraph"/>
        <w:numPr>
          <w:ilvl w:val="0"/>
          <w:numId w:val="10"/>
        </w:numPr>
        <w:spacing w:line="276" w:lineRule="auto"/>
        <w:jc w:val="both"/>
        <w:rPr>
          <w:rFonts w:ascii="Times New Roman" w:hAnsi="Times New Roman" w:cs="Times New Roman"/>
          <w:sz w:val="24"/>
          <w:szCs w:val="24"/>
        </w:rPr>
      </w:pPr>
      <w:bookmarkStart w:id="0" w:name="_Hlk219022875"/>
      <w:r w:rsidRPr="009C774A">
        <w:rPr>
          <w:rFonts w:ascii="Times New Roman" w:hAnsi="Times New Roman" w:cs="Times New Roman"/>
          <w:sz w:val="24"/>
          <w:szCs w:val="24"/>
        </w:rPr>
        <w:t>the Respondent’s entry into a TMF contract</w:t>
      </w:r>
      <w:r w:rsidR="001E5671">
        <w:rPr>
          <w:rFonts w:ascii="Times New Roman" w:hAnsi="Times New Roman" w:cs="Times New Roman"/>
          <w:sz w:val="24"/>
          <w:szCs w:val="24"/>
        </w:rPr>
        <w:t>; and</w:t>
      </w:r>
      <w:r w:rsidRPr="009C774A">
        <w:rPr>
          <w:rFonts w:ascii="Times New Roman" w:hAnsi="Times New Roman" w:cs="Times New Roman"/>
          <w:sz w:val="24"/>
          <w:szCs w:val="24"/>
        </w:rPr>
        <w:t xml:space="preserve"> </w:t>
      </w:r>
    </w:p>
    <w:p w14:paraId="286B401A" w14:textId="4B90055F" w:rsidR="009B6666" w:rsidRPr="009C774A" w:rsidRDefault="009B6666" w:rsidP="001A7B42">
      <w:pPr>
        <w:pStyle w:val="ListParagraph"/>
        <w:numPr>
          <w:ilvl w:val="0"/>
          <w:numId w:val="10"/>
        </w:numPr>
        <w:spacing w:line="276" w:lineRule="auto"/>
        <w:jc w:val="both"/>
        <w:rPr>
          <w:rFonts w:ascii="Times New Roman" w:hAnsi="Times New Roman" w:cs="Times New Roman"/>
          <w:sz w:val="24"/>
          <w:szCs w:val="24"/>
        </w:rPr>
      </w:pPr>
      <w:r w:rsidRPr="009C774A">
        <w:rPr>
          <w:rFonts w:ascii="Times New Roman" w:hAnsi="Times New Roman" w:cs="Times New Roman"/>
          <w:sz w:val="24"/>
          <w:szCs w:val="24"/>
        </w:rPr>
        <w:t xml:space="preserve">the absence of documentation with respect to the Respondent’s compliance with that </w:t>
      </w:r>
      <w:r w:rsidR="00410253" w:rsidRPr="009C774A">
        <w:rPr>
          <w:rFonts w:ascii="Times New Roman" w:hAnsi="Times New Roman" w:cs="Times New Roman"/>
          <w:sz w:val="24"/>
          <w:szCs w:val="24"/>
        </w:rPr>
        <w:t>c</w:t>
      </w:r>
      <w:r w:rsidRPr="009C774A">
        <w:rPr>
          <w:rFonts w:ascii="Times New Roman" w:hAnsi="Times New Roman" w:cs="Times New Roman"/>
          <w:sz w:val="24"/>
          <w:szCs w:val="24"/>
        </w:rPr>
        <w:t>ontract and practice of medicine since May of 20</w:t>
      </w:r>
      <w:r w:rsidR="00845DF3" w:rsidRPr="009C774A">
        <w:rPr>
          <w:rFonts w:ascii="Times New Roman" w:hAnsi="Times New Roman" w:cs="Times New Roman"/>
          <w:sz w:val="24"/>
          <w:szCs w:val="24"/>
        </w:rPr>
        <w:t>2</w:t>
      </w:r>
      <w:r w:rsidRPr="009C774A">
        <w:rPr>
          <w:rFonts w:ascii="Times New Roman" w:hAnsi="Times New Roman" w:cs="Times New Roman"/>
          <w:sz w:val="24"/>
          <w:szCs w:val="24"/>
        </w:rPr>
        <w:t>3</w:t>
      </w:r>
      <w:r w:rsidR="00410253" w:rsidRPr="009C774A">
        <w:rPr>
          <w:rFonts w:ascii="Times New Roman" w:hAnsi="Times New Roman" w:cs="Times New Roman"/>
          <w:sz w:val="24"/>
          <w:szCs w:val="24"/>
        </w:rPr>
        <w:t>.</w:t>
      </w:r>
    </w:p>
    <w:p w14:paraId="485413ED" w14:textId="4EAC5535" w:rsidR="00410253" w:rsidRDefault="00B93986" w:rsidP="00410253">
      <w:pPr>
        <w:spacing w:line="276" w:lineRule="auto"/>
        <w:ind w:firstLine="720"/>
        <w:jc w:val="both"/>
        <w:rPr>
          <w:rFonts w:eastAsiaTheme="minorHAnsi"/>
          <w:kern w:val="2"/>
          <w14:ligatures w14:val="standardContextual"/>
        </w:rPr>
      </w:pPr>
      <w:r w:rsidRPr="009C774A">
        <w:t xml:space="preserve">In consideration of these factors and consistent with Board precedent, </w:t>
      </w:r>
      <w:r w:rsidR="00410253" w:rsidRPr="009C774A">
        <w:t xml:space="preserve">the Board SUSPENDS </w:t>
      </w:r>
      <w:r w:rsidRPr="009C774A">
        <w:t xml:space="preserve">indefinitely </w:t>
      </w:r>
      <w:r w:rsidR="00410253" w:rsidRPr="009C774A">
        <w:t xml:space="preserve">the Respondent’s inchoate right to renew his medical license. </w:t>
      </w:r>
      <w:r w:rsidR="00410253" w:rsidRPr="009C774A">
        <w:rPr>
          <w:rFonts w:eastAsiaTheme="minorHAnsi"/>
          <w:kern w:val="2"/>
          <w14:ligatures w14:val="standardContextual"/>
        </w:rPr>
        <w:t xml:space="preserve">The Respondent is granted leave to petition for a stay of the suspension upon demonstrating his fitness to practice, including but not limited </w:t>
      </w:r>
      <w:proofErr w:type="gramStart"/>
      <w:r w:rsidR="00410253" w:rsidRPr="009C774A">
        <w:rPr>
          <w:rFonts w:eastAsiaTheme="minorHAnsi"/>
          <w:kern w:val="2"/>
          <w14:ligatures w14:val="standardContextual"/>
        </w:rPr>
        <w:t>to:</w:t>
      </w:r>
      <w:proofErr w:type="gramEnd"/>
      <w:r w:rsidR="00410253" w:rsidRPr="009C774A">
        <w:rPr>
          <w:rFonts w:eastAsiaTheme="minorHAnsi"/>
          <w:kern w:val="2"/>
          <w14:ligatures w14:val="standardContextual"/>
        </w:rPr>
        <w:t xml:space="preserve"> </w:t>
      </w:r>
      <w:r w:rsidRPr="009C774A">
        <w:rPr>
          <w:rFonts w:eastAsiaTheme="minorHAnsi"/>
          <w:kern w:val="2"/>
          <w14:ligatures w14:val="standardContextual"/>
        </w:rPr>
        <w:t>documentation of his</w:t>
      </w:r>
      <w:r w:rsidR="00410253" w:rsidRPr="009C774A">
        <w:rPr>
          <w:rFonts w:eastAsiaTheme="minorHAnsi"/>
          <w:kern w:val="2"/>
          <w14:ligatures w14:val="standardContextual"/>
        </w:rPr>
        <w:t xml:space="preserve"> consistent compliance with his Tennessee monitoring contract </w:t>
      </w:r>
      <w:r w:rsidR="004B31A1">
        <w:rPr>
          <w:rFonts w:eastAsiaTheme="minorHAnsi"/>
          <w:kern w:val="2"/>
          <w14:ligatures w14:val="standardContextual"/>
        </w:rPr>
        <w:t xml:space="preserve">or the equivalent </w:t>
      </w:r>
      <w:r w:rsidR="00410253" w:rsidRPr="009C774A">
        <w:rPr>
          <w:rFonts w:eastAsiaTheme="minorHAnsi"/>
          <w:kern w:val="2"/>
          <w14:ligatures w14:val="standardContextual"/>
        </w:rPr>
        <w:t xml:space="preserve">for </w:t>
      </w:r>
      <w:r w:rsidRPr="009C774A">
        <w:rPr>
          <w:rFonts w:eastAsiaTheme="minorHAnsi"/>
          <w:kern w:val="2"/>
          <w14:ligatures w14:val="standardContextual"/>
        </w:rPr>
        <w:t xml:space="preserve">the </w:t>
      </w:r>
      <w:r w:rsidR="00410253" w:rsidRPr="009C774A">
        <w:rPr>
          <w:rFonts w:eastAsiaTheme="minorHAnsi"/>
          <w:kern w:val="2"/>
          <w14:ligatures w14:val="standardContextual"/>
        </w:rPr>
        <w:t xml:space="preserve">eighteen months immediately preceding </w:t>
      </w:r>
      <w:r w:rsidRPr="009C774A">
        <w:rPr>
          <w:rFonts w:eastAsiaTheme="minorHAnsi"/>
          <w:kern w:val="2"/>
          <w14:ligatures w14:val="standardContextual"/>
        </w:rPr>
        <w:t>his petition and</w:t>
      </w:r>
      <w:r w:rsidR="00410253" w:rsidRPr="009C774A">
        <w:rPr>
          <w:rFonts w:eastAsiaTheme="minorHAnsi"/>
          <w:kern w:val="2"/>
          <w14:ligatures w14:val="standardContextual"/>
        </w:rPr>
        <w:t xml:space="preserve"> such other terms as the Board may require. </w:t>
      </w:r>
    </w:p>
    <w:p w14:paraId="1C33217E" w14:textId="77777777" w:rsidR="009F2279" w:rsidRPr="009C774A" w:rsidRDefault="009F2279" w:rsidP="00410253">
      <w:pPr>
        <w:spacing w:line="276" w:lineRule="auto"/>
        <w:ind w:firstLine="720"/>
        <w:jc w:val="both"/>
        <w:rPr>
          <w:rFonts w:eastAsiaTheme="minorHAnsi"/>
          <w:kern w:val="2"/>
          <w14:ligatures w14:val="standardContextual"/>
        </w:rPr>
      </w:pPr>
    </w:p>
    <w:p w14:paraId="30D4514B" w14:textId="77777777" w:rsidR="00410253" w:rsidRPr="009C774A" w:rsidRDefault="00410253" w:rsidP="00410253">
      <w:pPr>
        <w:spacing w:line="276" w:lineRule="auto"/>
        <w:ind w:firstLine="720"/>
        <w:jc w:val="both"/>
        <w:rPr>
          <w:rFonts w:eastAsiaTheme="minorHAnsi"/>
          <w:kern w:val="2"/>
          <w14:ligatures w14:val="standardContextual"/>
        </w:rPr>
      </w:pPr>
      <w:r w:rsidRPr="009C774A">
        <w:rPr>
          <w:rFonts w:eastAsiaTheme="minorHAnsi"/>
          <w:kern w:val="2"/>
          <w14:ligatures w14:val="standardContextual"/>
        </w:rPr>
        <w:t xml:space="preserve">The Respondent shall provide a complete copy of this Final Decision and Order within ten (10) days by certified mail, return receipt requested, or by hand delivery to the following designate entities; any in- or out-of-state hospital, nursing home, clinic, other licensed facility, or municipal, state, or federal facility at which the Respondent practices medicine; any in- or out-of-state health maintenance organization with whom the Respondent has privileges or any other kind of association; any state agency, in- or out-of-state, with which the Respondent has a provider contract; any in- or out-of-state medical employer, whether or not the Respondent practices medicine there; the state licensing boards of all states in which the Respondent has any kind of license to practice medicine; the Drug Enforcement Administration Boston Diversion Group; and </w:t>
      </w:r>
      <w:r w:rsidRPr="009C774A">
        <w:rPr>
          <w:rFonts w:eastAsiaTheme="minorHAnsi"/>
          <w:kern w:val="2"/>
          <w14:ligatures w14:val="standardContextual"/>
        </w:rPr>
        <w:lastRenderedPageBreak/>
        <w:t xml:space="preserve">the Massachusetts Department of Public Health Drug Control Program. The Respondent shall also provide this notification to any such designated entities with which the Respondent becomes associated for the duration of the suspension and any subsequent Probation Agreement. The Respondent is further directed to certify to the Board within ten (10) days that the Respondent has complied with this directive. </w:t>
      </w:r>
    </w:p>
    <w:p w14:paraId="5C3F8296" w14:textId="77777777" w:rsidR="00410253" w:rsidRPr="009C774A" w:rsidRDefault="00410253" w:rsidP="00410253">
      <w:pPr>
        <w:spacing w:line="276" w:lineRule="auto"/>
        <w:ind w:firstLine="720"/>
        <w:jc w:val="both"/>
        <w:rPr>
          <w:rFonts w:eastAsiaTheme="minorHAnsi"/>
          <w:kern w:val="2"/>
          <w14:ligatures w14:val="standardContextual"/>
        </w:rPr>
      </w:pPr>
    </w:p>
    <w:p w14:paraId="0B819441" w14:textId="77777777" w:rsidR="00410253" w:rsidRPr="009C774A" w:rsidRDefault="00410253" w:rsidP="00410253">
      <w:pPr>
        <w:spacing w:line="276" w:lineRule="auto"/>
        <w:ind w:firstLine="720"/>
        <w:jc w:val="both"/>
        <w:rPr>
          <w:rFonts w:eastAsiaTheme="minorHAnsi"/>
          <w:kern w:val="2"/>
          <w14:ligatures w14:val="standardContextual"/>
        </w:rPr>
      </w:pPr>
      <w:r w:rsidRPr="009C774A">
        <w:rPr>
          <w:rFonts w:eastAsiaTheme="minorHAnsi"/>
          <w:kern w:val="2"/>
          <w14:ligatures w14:val="standardContextual"/>
        </w:rPr>
        <w:t xml:space="preserve">The Board expressly reserves the authority to independently notify, at any time, any of the entities designated above, or any other affected entity, of any action it has taken.  </w:t>
      </w:r>
    </w:p>
    <w:p w14:paraId="4F06715A" w14:textId="77777777" w:rsidR="00E947B5" w:rsidRPr="009C774A" w:rsidRDefault="00E947B5" w:rsidP="00410253">
      <w:pPr>
        <w:spacing w:line="276" w:lineRule="auto"/>
        <w:ind w:firstLine="720"/>
        <w:jc w:val="both"/>
        <w:rPr>
          <w:rFonts w:eastAsiaTheme="minorHAnsi"/>
          <w:kern w:val="2"/>
          <w14:ligatures w14:val="standardContextual"/>
        </w:rPr>
      </w:pPr>
    </w:p>
    <w:p w14:paraId="380D90E5" w14:textId="10CF979E" w:rsidR="009B6666" w:rsidRPr="009C774A" w:rsidRDefault="009B6666" w:rsidP="00267EDA">
      <w:pPr>
        <w:spacing w:line="276" w:lineRule="auto"/>
      </w:pPr>
      <w:r w:rsidRPr="009C774A">
        <w:tab/>
        <w:t xml:space="preserve">On </w:t>
      </w:r>
      <w:r w:rsidR="009A1FE8">
        <w:t>February 1</w:t>
      </w:r>
      <w:r w:rsidR="00E947B5" w:rsidRPr="009C774A">
        <w:t>2, 2026,</w:t>
      </w:r>
      <w:r w:rsidRPr="009C774A">
        <w:t xml:space="preserve"> in accordance with the Board’s authority and statutory mandate, the Board voted to issue this Order, </w:t>
      </w:r>
      <w:r w:rsidR="00E947B5" w:rsidRPr="009C774A">
        <w:t xml:space="preserve">indefinitely suspending Dr. Brian J. Poore’s inchoate right to renew his </w:t>
      </w:r>
      <w:r w:rsidRPr="009C774A">
        <w:t>license to practice medicine under certificate 74082.</w:t>
      </w:r>
    </w:p>
    <w:p w14:paraId="25326F14" w14:textId="77777777" w:rsidR="00E947B5" w:rsidRPr="009C774A" w:rsidRDefault="00E947B5" w:rsidP="009B6666">
      <w:pPr>
        <w:spacing w:line="360" w:lineRule="auto"/>
      </w:pPr>
    </w:p>
    <w:p w14:paraId="7B7C801F" w14:textId="036DE064" w:rsidR="009B6666" w:rsidRPr="009C774A" w:rsidRDefault="009B6666" w:rsidP="009B6666">
      <w:pPr>
        <w:spacing w:line="360" w:lineRule="auto"/>
      </w:pPr>
      <w:r w:rsidRPr="009C774A">
        <w:rPr>
          <w:b/>
          <w:bCs/>
          <w:u w:val="single"/>
        </w:rPr>
        <w:t>Board Members Voting Affirmatively</w:t>
      </w:r>
      <w:r w:rsidR="00072AFB" w:rsidRPr="00072AFB">
        <w:rPr>
          <w:b/>
          <w:bCs/>
        </w:rPr>
        <w:t>:</w:t>
      </w:r>
    </w:p>
    <w:p w14:paraId="724C2AC8" w14:textId="77777777" w:rsidR="009B6666" w:rsidRPr="009C774A" w:rsidRDefault="009B6666" w:rsidP="009B6666">
      <w:pPr>
        <w:numPr>
          <w:ilvl w:val="0"/>
          <w:numId w:val="8"/>
        </w:numPr>
        <w:spacing w:line="360" w:lineRule="auto"/>
        <w:rPr>
          <w:b/>
          <w:bCs/>
        </w:rPr>
      </w:pPr>
      <w:r w:rsidRPr="009C774A">
        <w:t>Booker T. Bush, M.D., Physician Member, Chair</w:t>
      </w:r>
    </w:p>
    <w:p w14:paraId="6F122EDE" w14:textId="77777777" w:rsidR="009B6666" w:rsidRPr="009C774A" w:rsidRDefault="009B6666" w:rsidP="009B6666">
      <w:pPr>
        <w:numPr>
          <w:ilvl w:val="0"/>
          <w:numId w:val="8"/>
        </w:numPr>
        <w:spacing w:line="360" w:lineRule="auto"/>
        <w:rPr>
          <w:b/>
          <w:bCs/>
        </w:rPr>
      </w:pPr>
      <w:r w:rsidRPr="009C774A">
        <w:t>Frank O’Donnell, Esq., Public Member, Vice Chair</w:t>
      </w:r>
    </w:p>
    <w:p w14:paraId="279CF05D" w14:textId="77777777" w:rsidR="009B6666" w:rsidRPr="009C774A" w:rsidRDefault="009B6666" w:rsidP="009B6666">
      <w:pPr>
        <w:numPr>
          <w:ilvl w:val="0"/>
          <w:numId w:val="8"/>
        </w:numPr>
        <w:spacing w:line="360" w:lineRule="auto"/>
      </w:pPr>
      <w:r w:rsidRPr="009C774A">
        <w:t>Sandeep Singh Jubbal, M.D., Physician Member, Secretary</w:t>
      </w:r>
    </w:p>
    <w:p w14:paraId="4ABDE10C" w14:textId="77777777" w:rsidR="009B6666" w:rsidRPr="009C774A" w:rsidRDefault="009B6666" w:rsidP="009B6666">
      <w:pPr>
        <w:numPr>
          <w:ilvl w:val="0"/>
          <w:numId w:val="8"/>
        </w:numPr>
        <w:spacing w:line="360" w:lineRule="auto"/>
      </w:pPr>
      <w:r w:rsidRPr="009C774A">
        <w:t>Aviva Lee-Parritz, M.D., Physician Member</w:t>
      </w:r>
    </w:p>
    <w:p w14:paraId="0FBED470" w14:textId="25B8E824" w:rsidR="00CD160A" w:rsidRPr="009C774A" w:rsidRDefault="00CD160A" w:rsidP="009B6666">
      <w:pPr>
        <w:numPr>
          <w:ilvl w:val="0"/>
          <w:numId w:val="8"/>
        </w:numPr>
        <w:spacing w:line="360" w:lineRule="auto"/>
      </w:pPr>
      <w:r w:rsidRPr="009C774A">
        <w:t>David Rosenbloom, Ph.D., Public Member</w:t>
      </w:r>
    </w:p>
    <w:p w14:paraId="3C01594B" w14:textId="1C560C6F" w:rsidR="009B6666" w:rsidRPr="009C774A" w:rsidRDefault="009B6666" w:rsidP="009B6666">
      <w:pPr>
        <w:spacing w:line="360" w:lineRule="auto"/>
      </w:pPr>
      <w:r w:rsidRPr="009C774A">
        <w:rPr>
          <w:b/>
          <w:bCs/>
          <w:u w:val="single"/>
        </w:rPr>
        <w:t>Board Members Voting to Oppose</w:t>
      </w:r>
      <w:r w:rsidR="00072AFB">
        <w:t>:</w:t>
      </w:r>
      <w:r w:rsidRPr="0074383F">
        <w:t xml:space="preserve">  </w:t>
      </w:r>
      <w:r w:rsidR="009A1FE8">
        <w:t>None</w:t>
      </w:r>
    </w:p>
    <w:p w14:paraId="00C73073" w14:textId="27A230E2" w:rsidR="009B6666" w:rsidRPr="009C774A" w:rsidRDefault="009B6666" w:rsidP="009B6666">
      <w:pPr>
        <w:spacing w:line="360" w:lineRule="auto"/>
      </w:pPr>
      <w:r w:rsidRPr="009C774A">
        <w:rPr>
          <w:b/>
          <w:bCs/>
          <w:u w:val="single"/>
        </w:rPr>
        <w:t>Board Members Recused:</w:t>
      </w:r>
      <w:r w:rsidRPr="009C774A">
        <w:t xml:space="preserve">  </w:t>
      </w:r>
      <w:r w:rsidR="009A1FE8">
        <w:t>None</w:t>
      </w:r>
    </w:p>
    <w:p w14:paraId="5718C74F" w14:textId="77777777" w:rsidR="009B6666" w:rsidRPr="009C774A" w:rsidRDefault="009B6666" w:rsidP="009B6666">
      <w:pPr>
        <w:spacing w:line="360" w:lineRule="auto"/>
        <w:rPr>
          <w:u w:val="single"/>
        </w:rPr>
      </w:pPr>
      <w:r w:rsidRPr="009C774A">
        <w:rPr>
          <w:b/>
          <w:bCs/>
          <w:u w:val="single"/>
        </w:rPr>
        <w:t>Board Members Absent:</w:t>
      </w:r>
      <w:r w:rsidRPr="009C774A">
        <w:t xml:space="preserve">  </w:t>
      </w:r>
    </w:p>
    <w:p w14:paraId="12F63E70" w14:textId="77777777" w:rsidR="009A1FE8" w:rsidRPr="009C774A" w:rsidRDefault="009A1FE8" w:rsidP="009A1FE8">
      <w:pPr>
        <w:numPr>
          <w:ilvl w:val="0"/>
          <w:numId w:val="8"/>
        </w:numPr>
        <w:spacing w:line="360" w:lineRule="auto"/>
      </w:pPr>
      <w:r w:rsidRPr="009C774A">
        <w:t>Yvonne Y. Cheung, MD, MPH, MBA, Physician Member</w:t>
      </w:r>
    </w:p>
    <w:p w14:paraId="0BC604B7" w14:textId="77777777" w:rsidR="009A1FE8" w:rsidRPr="009C774A" w:rsidRDefault="009A1FE8" w:rsidP="009A1FE8">
      <w:pPr>
        <w:numPr>
          <w:ilvl w:val="0"/>
          <w:numId w:val="8"/>
        </w:numPr>
        <w:spacing w:line="360" w:lineRule="auto"/>
      </w:pPr>
      <w:r w:rsidRPr="009C774A">
        <w:t>Jason Qu, M.D., Physician Member</w:t>
      </w:r>
    </w:p>
    <w:p w14:paraId="737CBD50" w14:textId="77777777" w:rsidR="009A1FE8" w:rsidRDefault="009A1FE8" w:rsidP="00CD160A">
      <w:pPr>
        <w:spacing w:line="360" w:lineRule="auto"/>
        <w:ind w:firstLine="720"/>
      </w:pPr>
    </w:p>
    <w:p w14:paraId="248B116E" w14:textId="77777777" w:rsidR="009A1FE8" w:rsidRPr="00521789" w:rsidRDefault="009A1FE8" w:rsidP="009A1FE8">
      <w:pPr>
        <w:ind w:left="360"/>
        <w:jc w:val="center"/>
      </w:pPr>
      <w:r w:rsidRPr="00521789">
        <w:rPr>
          <w:b/>
          <w:bCs/>
          <w:u w:val="single"/>
        </w:rPr>
        <w:t>EFFECTIVE DATE OF ORDER</w:t>
      </w:r>
    </w:p>
    <w:p w14:paraId="2302267B" w14:textId="77777777" w:rsidR="009A1FE8" w:rsidRDefault="009A1FE8" w:rsidP="00CD160A">
      <w:pPr>
        <w:spacing w:line="360" w:lineRule="auto"/>
        <w:ind w:firstLine="720"/>
      </w:pPr>
    </w:p>
    <w:p w14:paraId="3E7D4E02" w14:textId="295FF4B4" w:rsidR="00CD160A" w:rsidRPr="009C774A" w:rsidRDefault="00CD160A" w:rsidP="00CD160A">
      <w:pPr>
        <w:spacing w:line="360" w:lineRule="auto"/>
        <w:ind w:firstLine="720"/>
      </w:pPr>
      <w:r w:rsidRPr="009C774A">
        <w:t xml:space="preserve">The Order is effective as of </w:t>
      </w:r>
      <w:r w:rsidR="009A1FE8">
        <w:t>February 1</w:t>
      </w:r>
      <w:r w:rsidRPr="009C774A">
        <w:t>2, 2026.</w:t>
      </w:r>
    </w:p>
    <w:p w14:paraId="17F39ED4" w14:textId="77777777" w:rsidR="006E4538" w:rsidRPr="009C774A" w:rsidRDefault="006E4538" w:rsidP="009B6666">
      <w:pPr>
        <w:spacing w:line="360" w:lineRule="auto"/>
      </w:pPr>
    </w:p>
    <w:p w14:paraId="01F558A9" w14:textId="5F4FB519" w:rsidR="009B6666" w:rsidRPr="001316F6" w:rsidRDefault="009B6666" w:rsidP="009B6666">
      <w:pPr>
        <w:spacing w:line="360" w:lineRule="auto"/>
        <w:rPr>
          <w:u w:val="single"/>
        </w:rPr>
      </w:pPr>
      <w:r w:rsidRPr="009C774A">
        <w:t>Date Issued:    </w:t>
      </w:r>
      <w:r w:rsidR="009A1FE8">
        <w:t>February 1</w:t>
      </w:r>
      <w:r w:rsidR="00A974DD" w:rsidRPr="009C774A">
        <w:t>2, 2026</w:t>
      </w:r>
      <w:r w:rsidR="00A974DD" w:rsidRPr="009C774A">
        <w:tab/>
      </w:r>
      <w:r w:rsidRPr="009C774A">
        <w:t>                </w:t>
      </w:r>
      <w:r w:rsidRPr="009C774A">
        <w:tab/>
      </w:r>
      <w:r w:rsidR="001316F6">
        <w:rPr>
          <w:u w:val="single"/>
        </w:rPr>
        <w:t>Signed by George Zachos</w:t>
      </w:r>
      <w:r w:rsidR="001316F6">
        <w:rPr>
          <w:u w:val="single"/>
        </w:rPr>
        <w:tab/>
      </w:r>
      <w:r w:rsidR="001316F6">
        <w:rPr>
          <w:u w:val="single"/>
        </w:rPr>
        <w:tab/>
      </w:r>
    </w:p>
    <w:p w14:paraId="3C57047E" w14:textId="77777777" w:rsidR="009B6666" w:rsidRPr="009C774A" w:rsidRDefault="009B6666" w:rsidP="00267EDA">
      <w:pPr>
        <w:spacing w:line="276" w:lineRule="auto"/>
      </w:pPr>
      <w:r w:rsidRPr="009C774A">
        <w:t>                                                                                    George Zachos, Executive Director</w:t>
      </w:r>
    </w:p>
    <w:p w14:paraId="26321E1A" w14:textId="4A2C7E5F" w:rsidR="000D263B" w:rsidRPr="009C774A" w:rsidRDefault="009B6666" w:rsidP="00DB43EC">
      <w:pPr>
        <w:spacing w:line="276" w:lineRule="auto"/>
      </w:pPr>
      <w:r w:rsidRPr="009C774A">
        <w:t>                                                                                    Board or Registration in Medicine</w:t>
      </w:r>
      <w:bookmarkEnd w:id="0"/>
    </w:p>
    <w:p w14:paraId="75D0E173" w14:textId="77777777" w:rsidR="00A14130" w:rsidRPr="009C774A" w:rsidRDefault="00A14130" w:rsidP="002E256F">
      <w:pPr>
        <w:ind w:firstLine="720"/>
        <w:jc w:val="both"/>
      </w:pPr>
    </w:p>
    <w:p w14:paraId="2FFA94B6" w14:textId="77777777" w:rsidR="00505D1F" w:rsidRPr="009C774A" w:rsidRDefault="00505D1F"/>
    <w:sectPr w:rsidR="00505D1F" w:rsidRPr="009C774A" w:rsidSect="00C41AA8">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4D6C5" w14:textId="77777777" w:rsidR="00273BE9" w:rsidRDefault="00273BE9" w:rsidP="00D77993">
      <w:r>
        <w:separator/>
      </w:r>
    </w:p>
  </w:endnote>
  <w:endnote w:type="continuationSeparator" w:id="0">
    <w:p w14:paraId="2D09FC01" w14:textId="77777777" w:rsidR="00273BE9" w:rsidRDefault="00273BE9" w:rsidP="00D77993">
      <w:r>
        <w:continuationSeparator/>
      </w:r>
    </w:p>
  </w:endnote>
  <w:endnote w:type="continuationNotice" w:id="1">
    <w:p w14:paraId="1BC7A30A" w14:textId="77777777" w:rsidR="00273BE9" w:rsidRDefault="00273B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380363"/>
      <w:docPartObj>
        <w:docPartGallery w:val="Page Numbers (Bottom of Page)"/>
        <w:docPartUnique/>
      </w:docPartObj>
    </w:sdtPr>
    <w:sdtEndPr>
      <w:rPr>
        <w:noProof/>
      </w:rPr>
    </w:sdtEndPr>
    <w:sdtContent>
      <w:p w14:paraId="1A9DE0EF" w14:textId="43F6D65C" w:rsidR="00C41AA8" w:rsidRDefault="00C41A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5EAE85" w14:textId="77777777" w:rsidR="001C6745" w:rsidRDefault="001C6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C0C79" w14:textId="77777777" w:rsidR="00273BE9" w:rsidRDefault="00273BE9" w:rsidP="00D77993">
      <w:r>
        <w:separator/>
      </w:r>
    </w:p>
  </w:footnote>
  <w:footnote w:type="continuationSeparator" w:id="0">
    <w:p w14:paraId="0223868B" w14:textId="77777777" w:rsidR="00273BE9" w:rsidRDefault="00273BE9" w:rsidP="00D77993">
      <w:r>
        <w:continuationSeparator/>
      </w:r>
    </w:p>
  </w:footnote>
  <w:footnote w:type="continuationNotice" w:id="1">
    <w:p w14:paraId="54BA866C" w14:textId="77777777" w:rsidR="00273BE9" w:rsidRDefault="00273BE9"/>
  </w:footnote>
  <w:footnote w:id="2">
    <w:p w14:paraId="2F148364" w14:textId="137F3EC2" w:rsidR="009277F3" w:rsidRPr="00663EA0" w:rsidRDefault="009277F3" w:rsidP="00663EA0">
      <w:pPr>
        <w:spacing w:line="276" w:lineRule="auto"/>
        <w:jc w:val="both"/>
        <w:rPr>
          <w:sz w:val="20"/>
          <w:szCs w:val="20"/>
        </w:rPr>
      </w:pPr>
      <w:r w:rsidRPr="00663EA0">
        <w:rPr>
          <w:rStyle w:val="FootnoteReference"/>
          <w:sz w:val="20"/>
          <w:szCs w:val="20"/>
        </w:rPr>
        <w:footnoteRef/>
      </w:r>
      <w:r w:rsidRPr="00663EA0">
        <w:rPr>
          <w:sz w:val="20"/>
          <w:szCs w:val="20"/>
        </w:rPr>
        <w:t xml:space="preserve"> The </w:t>
      </w:r>
      <w:r w:rsidR="00C343FD" w:rsidRPr="00663EA0">
        <w:rPr>
          <w:sz w:val="20"/>
          <w:szCs w:val="20"/>
        </w:rPr>
        <w:t>Tennessee</w:t>
      </w:r>
      <w:r w:rsidR="00D11E0B" w:rsidRPr="00663EA0">
        <w:rPr>
          <w:sz w:val="20"/>
          <w:szCs w:val="20"/>
        </w:rPr>
        <w:t xml:space="preserve"> Board’s</w:t>
      </w:r>
      <w:r w:rsidR="00C343FD" w:rsidRPr="00663EA0">
        <w:rPr>
          <w:sz w:val="20"/>
          <w:szCs w:val="20"/>
        </w:rPr>
        <w:t xml:space="preserve"> May 16, 2023 Consent Order </w:t>
      </w:r>
      <w:r w:rsidR="00D11E0B" w:rsidRPr="00663EA0">
        <w:rPr>
          <w:sz w:val="20"/>
          <w:szCs w:val="20"/>
        </w:rPr>
        <w:t>is incorporated by reference</w:t>
      </w:r>
      <w:r w:rsidR="009660C3">
        <w:rPr>
          <w:sz w:val="20"/>
          <w:szCs w:val="20"/>
        </w:rPr>
        <w:t>.</w:t>
      </w:r>
      <w:r w:rsidRPr="00663EA0">
        <w:rPr>
          <w:sz w:val="20"/>
          <w:szCs w:val="20"/>
        </w:rPr>
        <w:t xml:space="preserve"> </w:t>
      </w:r>
    </w:p>
  </w:footnote>
  <w:footnote w:id="3">
    <w:p w14:paraId="51DAB259" w14:textId="2EF27771" w:rsidR="00D833DE" w:rsidRPr="00663EA0" w:rsidRDefault="00D833DE" w:rsidP="00FC1ADC">
      <w:pPr>
        <w:jc w:val="both"/>
        <w:rPr>
          <w:sz w:val="20"/>
          <w:szCs w:val="20"/>
        </w:rPr>
      </w:pPr>
      <w:r w:rsidRPr="00663EA0">
        <w:rPr>
          <w:rStyle w:val="FootnoteReference"/>
          <w:sz w:val="20"/>
          <w:szCs w:val="20"/>
        </w:rPr>
        <w:footnoteRef/>
      </w:r>
      <w:r w:rsidRPr="00663EA0">
        <w:rPr>
          <w:sz w:val="20"/>
          <w:szCs w:val="20"/>
        </w:rPr>
        <w:t xml:space="preserve"> When a Party is of the opinion that there is no genuine issue of fact relating to one or more of the claims, he may move for summary decision as to the claim</w:t>
      </w:r>
      <w:r w:rsidR="00306BF4" w:rsidRPr="00663EA0">
        <w:rPr>
          <w:sz w:val="20"/>
          <w:szCs w:val="20"/>
        </w:rPr>
        <w:t xml:space="preserve">. </w:t>
      </w:r>
    </w:p>
  </w:footnote>
  <w:footnote w:id="4">
    <w:p w14:paraId="12141832" w14:textId="276F8C1A" w:rsidR="00E97D69" w:rsidRPr="00663EA0" w:rsidRDefault="00E97D69" w:rsidP="006C0435">
      <w:pPr>
        <w:spacing w:line="276" w:lineRule="auto"/>
        <w:jc w:val="both"/>
        <w:rPr>
          <w:sz w:val="20"/>
          <w:szCs w:val="20"/>
        </w:rPr>
      </w:pPr>
      <w:r w:rsidRPr="00663EA0">
        <w:rPr>
          <w:rStyle w:val="FootnoteReference"/>
          <w:sz w:val="20"/>
          <w:szCs w:val="20"/>
        </w:rPr>
        <w:footnoteRef/>
      </w:r>
      <w:r w:rsidRPr="00663EA0">
        <w:rPr>
          <w:sz w:val="20"/>
          <w:szCs w:val="20"/>
        </w:rPr>
        <w:t xml:space="preserve"> </w:t>
      </w:r>
      <w:r w:rsidR="00927471" w:rsidRPr="00663EA0">
        <w:rPr>
          <w:sz w:val="20"/>
          <w:szCs w:val="20"/>
        </w:rPr>
        <w:t xml:space="preserve">The Respondent argued that the Massachusetts Board lacks jurisdiction over him, since his Massachusetts license lapsed </w:t>
      </w:r>
      <w:r w:rsidR="00AB52FE" w:rsidRPr="00663EA0">
        <w:rPr>
          <w:sz w:val="20"/>
          <w:szCs w:val="20"/>
        </w:rPr>
        <w:t xml:space="preserve">in 1999, </w:t>
      </w:r>
      <w:r w:rsidR="00927471" w:rsidRPr="00663EA0">
        <w:rPr>
          <w:sz w:val="20"/>
          <w:szCs w:val="20"/>
        </w:rPr>
        <w:t>and he is not a licensee within the meaning of M.G. L. c. 112 §5.</w:t>
      </w:r>
      <w:r w:rsidR="00AB52FE" w:rsidRPr="00663EA0">
        <w:rPr>
          <w:sz w:val="20"/>
          <w:szCs w:val="20"/>
        </w:rPr>
        <w:t xml:space="preserve"> </w:t>
      </w:r>
    </w:p>
  </w:footnote>
  <w:footnote w:id="5">
    <w:p w14:paraId="700A9C3D" w14:textId="050301DB" w:rsidR="006C0435" w:rsidRDefault="006C0435" w:rsidP="004F098A">
      <w:pPr>
        <w:spacing w:line="276" w:lineRule="auto"/>
        <w:jc w:val="both"/>
      </w:pPr>
      <w:r w:rsidRPr="00663EA0">
        <w:rPr>
          <w:rStyle w:val="FootnoteReference"/>
          <w:sz w:val="20"/>
          <w:szCs w:val="20"/>
        </w:rPr>
        <w:footnoteRef/>
      </w:r>
      <w:r w:rsidRPr="00663EA0">
        <w:rPr>
          <w:sz w:val="20"/>
          <w:szCs w:val="20"/>
        </w:rPr>
        <w:t xml:space="preserve"> The Recommended Decision clarifies that the Board’s jurisdiction over a lapsed licensee, is based on the lapsed licensee’s: i) having forged the requisite minimum contacts with Massachusetts since, when seeking and receiving licensure in the Commonwealth, thereby availing himself of the privilege of conducting an important and highly regulated activity (the practice of medicine) within Massachusetts and thereby subject themselves to the oversight of its medical board and legal system; and ii) </w:t>
      </w:r>
      <w:r w:rsidR="002B6077" w:rsidRPr="00663EA0">
        <w:rPr>
          <w:sz w:val="20"/>
          <w:szCs w:val="20"/>
        </w:rPr>
        <w:t xml:space="preserve">retaining </w:t>
      </w:r>
      <w:r w:rsidRPr="00663EA0">
        <w:rPr>
          <w:sz w:val="20"/>
          <w:szCs w:val="20"/>
        </w:rPr>
        <w:t>an inchoate right to renew his license.</w:t>
      </w:r>
      <w:r w:rsidRPr="00DF176D">
        <w:rPr>
          <w:sz w:val="20"/>
          <w:szCs w:val="20"/>
        </w:rPr>
        <w:t xml:space="preserve"> </w:t>
      </w:r>
    </w:p>
  </w:footnote>
  <w:footnote w:id="6">
    <w:p w14:paraId="0F3BBCB8" w14:textId="08593F69" w:rsidR="00571625" w:rsidRDefault="00571625" w:rsidP="005B1109">
      <w:pPr>
        <w:pStyle w:val="FootnoteText"/>
        <w:jc w:val="both"/>
      </w:pPr>
      <w:r>
        <w:rPr>
          <w:rStyle w:val="FootnoteReference"/>
        </w:rPr>
        <w:footnoteRef/>
      </w:r>
      <w:r>
        <w:t xml:space="preserve"> </w:t>
      </w:r>
      <w:r w:rsidRPr="005515C7">
        <w:rPr>
          <w:u w:val="single"/>
        </w:rPr>
        <w:t>See</w:t>
      </w:r>
      <w:r>
        <w:t xml:space="preserve"> </w:t>
      </w:r>
      <w:r w:rsidRPr="005515C7">
        <w:rPr>
          <w:i/>
          <w:iCs/>
        </w:rPr>
        <w:t>In the Matter of Carmen A. Puliafito, M.D.</w:t>
      </w:r>
      <w:r>
        <w:t xml:space="preserve">, Board of </w:t>
      </w:r>
      <w:r w:rsidR="005B1109">
        <w:t xml:space="preserve">Registration in </w:t>
      </w:r>
      <w:r>
        <w:t>Medicine, Adjudicatory Case No. 2016-012 (Final Decision and Order, December 5, 2019)</w:t>
      </w:r>
      <w:r w:rsidR="005B1109" w:rsidRPr="00AC7C1C">
        <w:rPr>
          <w:rFonts w:eastAsiaTheme="minorHAnsi"/>
          <w:kern w:val="2"/>
          <w14:ligatures w14:val="standardContextual"/>
        </w:rPr>
        <w:t xml:space="preserve">(Board revoked inchoate right to renew license based on </w:t>
      </w:r>
      <w:r w:rsidR="005B1109">
        <w:rPr>
          <w:rFonts w:eastAsiaTheme="minorHAnsi"/>
          <w:kern w:val="2"/>
          <w14:ligatures w14:val="standardContextual"/>
        </w:rPr>
        <w:t>out-of-state</w:t>
      </w:r>
      <w:r w:rsidR="005B1109" w:rsidRPr="00AC7C1C">
        <w:rPr>
          <w:rFonts w:eastAsiaTheme="minorHAnsi"/>
          <w:kern w:val="2"/>
          <w14:ligatures w14:val="standardContextual"/>
        </w:rPr>
        <w:t xml:space="preserve"> discipline for</w:t>
      </w:r>
      <w:r w:rsidR="005B1109">
        <w:rPr>
          <w:rFonts w:eastAsiaTheme="minorHAnsi"/>
          <w:kern w:val="2"/>
          <w14:ligatures w14:val="standardContextual"/>
        </w:rPr>
        <w:t xml:space="preserve"> practicing while impaired,</w:t>
      </w:r>
      <w:r w:rsidR="005B1109" w:rsidRPr="00AC7C1C">
        <w:rPr>
          <w:rFonts w:eastAsiaTheme="minorHAnsi"/>
          <w:kern w:val="2"/>
          <w14:ligatures w14:val="standardContextual"/>
        </w:rPr>
        <w:t xml:space="preserve"> prescribing violations</w:t>
      </w:r>
      <w:r w:rsidR="005B1109">
        <w:rPr>
          <w:rFonts w:eastAsiaTheme="minorHAnsi"/>
          <w:kern w:val="2"/>
          <w14:ligatures w14:val="standardContextual"/>
        </w:rPr>
        <w:t>, and other transgressions).</w:t>
      </w:r>
      <w:r>
        <w:t xml:space="preserve"> </w:t>
      </w:r>
    </w:p>
  </w:footnote>
  <w:footnote w:id="7">
    <w:p w14:paraId="01C3A714" w14:textId="77777777" w:rsidR="00571625" w:rsidRDefault="00571625" w:rsidP="00571625">
      <w:pPr>
        <w:pStyle w:val="FootnoteText"/>
      </w:pPr>
      <w:r>
        <w:rPr>
          <w:rStyle w:val="FootnoteReference"/>
        </w:rPr>
        <w:footnoteRef/>
      </w:r>
      <w:r>
        <w:t xml:space="preserve"> </w:t>
      </w:r>
      <w:r w:rsidRPr="005515C7">
        <w:rPr>
          <w:u w:val="single"/>
        </w:rPr>
        <w:t>Id</w:t>
      </w:r>
      <w:r>
        <w:t xml:space="preserve">. </w:t>
      </w:r>
    </w:p>
  </w:footnote>
  <w:footnote w:id="8">
    <w:p w14:paraId="6EE7BA41" w14:textId="54D24C62" w:rsidR="00911B2F" w:rsidRDefault="00911B2F" w:rsidP="00020C90">
      <w:pPr>
        <w:pStyle w:val="FootnoteText"/>
        <w:jc w:val="both"/>
      </w:pPr>
      <w:r>
        <w:rPr>
          <w:rStyle w:val="FootnoteReference"/>
        </w:rPr>
        <w:footnoteRef/>
      </w:r>
      <w:r>
        <w:t xml:space="preserve"> </w:t>
      </w:r>
      <w:r w:rsidRPr="00911B2F">
        <w:rPr>
          <w:rFonts w:eastAsiaTheme="minorHAnsi"/>
          <w:i/>
          <w:iCs/>
          <w:kern w:val="2"/>
          <w14:ligatures w14:val="standardContextual"/>
        </w:rPr>
        <w:t>In the Matter of Carmen A. Puliafito, M.D.</w:t>
      </w:r>
      <w:r w:rsidRPr="00AC7C1C">
        <w:rPr>
          <w:rFonts w:eastAsiaTheme="minorHAnsi"/>
          <w:kern w:val="2"/>
          <w14:ligatures w14:val="standardContextual"/>
        </w:rPr>
        <w:t xml:space="preserve">, </w:t>
      </w:r>
      <w:r w:rsidR="003C1A7C">
        <w:rPr>
          <w:rFonts w:eastAsiaTheme="minorHAnsi"/>
          <w:kern w:val="2"/>
          <w14:ligatures w14:val="standardContextual"/>
        </w:rPr>
        <w:t xml:space="preserve">supra, </w:t>
      </w:r>
      <w:r w:rsidRPr="00911B2F">
        <w:rPr>
          <w:rFonts w:eastAsiaTheme="minorHAnsi"/>
          <w:i/>
          <w:iCs/>
          <w:kern w:val="2"/>
          <w14:ligatures w14:val="standardContextual"/>
        </w:rPr>
        <w:t xml:space="preserve">In the Matter of Joseph Knight, M.D., </w:t>
      </w:r>
      <w:r w:rsidRPr="00AC7C1C">
        <w:rPr>
          <w:rFonts w:eastAsiaTheme="minorHAnsi"/>
          <w:kern w:val="2"/>
          <w14:ligatures w14:val="standardContextual"/>
        </w:rPr>
        <w:t xml:space="preserve">Board of Registration in Medicine, Adjudicatory Case No. 2016-012)(Final Decision and Order, November 8, 2019)(Board revoked inchoate right to renew license based on </w:t>
      </w:r>
      <w:r w:rsidR="00C9138D">
        <w:rPr>
          <w:rFonts w:eastAsiaTheme="minorHAnsi"/>
          <w:kern w:val="2"/>
          <w14:ligatures w14:val="standardContextual"/>
        </w:rPr>
        <w:t>out-of-state discipline for practicing while impaired, failure to report out-of-state medical board</w:t>
      </w:r>
      <w:r w:rsidR="003F59A8">
        <w:rPr>
          <w:rFonts w:eastAsiaTheme="minorHAnsi"/>
          <w:kern w:val="2"/>
          <w14:ligatures w14:val="standardContextual"/>
        </w:rPr>
        <w:t xml:space="preserve"> discipline</w:t>
      </w:r>
      <w:r w:rsidR="00C9138D">
        <w:rPr>
          <w:rFonts w:eastAsiaTheme="minorHAnsi"/>
          <w:kern w:val="2"/>
          <w14:ligatures w14:val="standardContextual"/>
        </w:rPr>
        <w:t xml:space="preserve"> and </w:t>
      </w:r>
      <w:r w:rsidR="003F59A8">
        <w:rPr>
          <w:rFonts w:eastAsiaTheme="minorHAnsi"/>
          <w:kern w:val="2"/>
          <w14:ligatures w14:val="standardContextual"/>
        </w:rPr>
        <w:t xml:space="preserve">action by the </w:t>
      </w:r>
      <w:r w:rsidR="00C9138D">
        <w:rPr>
          <w:rFonts w:eastAsiaTheme="minorHAnsi"/>
          <w:kern w:val="2"/>
          <w14:ligatures w14:val="standardContextual"/>
        </w:rPr>
        <w:t xml:space="preserve">Drug Enforcement </w:t>
      </w:r>
      <w:r w:rsidR="003F59A8">
        <w:rPr>
          <w:rFonts w:eastAsiaTheme="minorHAnsi"/>
          <w:kern w:val="2"/>
          <w14:ligatures w14:val="standardContextual"/>
        </w:rPr>
        <w:t>Administration</w:t>
      </w:r>
      <w:r w:rsidRPr="00AC7C1C">
        <w:rPr>
          <w:rFonts w:eastAsiaTheme="minorHAnsi"/>
          <w:kern w:val="2"/>
          <w14:ligatures w14:val="standardContextual"/>
        </w:rPr>
        <w:t>)</w:t>
      </w:r>
    </w:p>
  </w:footnote>
  <w:footnote w:id="9">
    <w:p w14:paraId="2206C86A" w14:textId="35C8DE9D" w:rsidR="000B06AD" w:rsidRDefault="00D21989" w:rsidP="000B06AD">
      <w:pPr>
        <w:pStyle w:val="FootnoteText"/>
        <w:jc w:val="both"/>
      </w:pPr>
      <w:r>
        <w:rPr>
          <w:rStyle w:val="FootnoteReference"/>
        </w:rPr>
        <w:footnoteRef/>
      </w:r>
      <w:r>
        <w:t xml:space="preserve"> </w:t>
      </w:r>
      <w:r w:rsidR="00D86DA6" w:rsidRPr="00661F7D">
        <w:rPr>
          <w:i/>
          <w:iCs/>
        </w:rPr>
        <w:t>In the Matter of Courtney E. Barrows, M.D.</w:t>
      </w:r>
      <w:r w:rsidR="00D86DA6">
        <w:t>, Board of Registration in Medicine, Adjudicatory Case No. 2025-006 (Consent Order, March 13, 2025)(Board indefinitely suspended inchoate right to renew with leave to petition for stay of suspension upon demonstrating fitness to practice, including but, not limited to, documented consistent compliance for twelve months with Ohio Medical Board Substance Abuse Monitoring Contract, documentation from treating therapist, and entry into five-year Probation Agreement) and</w:t>
      </w:r>
      <w:r w:rsidRPr="002415DB">
        <w:t xml:space="preserve"> </w:t>
      </w:r>
      <w:r w:rsidRPr="007F6FB4">
        <w:rPr>
          <w:i/>
          <w:iCs/>
        </w:rPr>
        <w:t>In the Matter of Patricia Myers, M.D.</w:t>
      </w:r>
      <w:r w:rsidR="004430FE" w:rsidRPr="002415DB">
        <w:t>, Board of Registration in Medicine, Adjudicatory Case No. 2020-050 (Final Decision and Order, January 19, 2023)</w:t>
      </w:r>
      <w:r w:rsidR="0032285B" w:rsidRPr="002415DB">
        <w:t xml:space="preserve">(Board indefinitely suspended inchoate right to renew license with </w:t>
      </w:r>
      <w:r w:rsidR="00CD42AD" w:rsidRPr="002415DB">
        <w:t xml:space="preserve">the possibility of a </w:t>
      </w:r>
      <w:r w:rsidR="00004013" w:rsidRPr="002415DB">
        <w:t xml:space="preserve">stay upon </w:t>
      </w:r>
      <w:r w:rsidR="00546F42" w:rsidRPr="002415DB">
        <w:t>18 months compliance with a PHS or out-of-state monitoring contract</w:t>
      </w:r>
      <w:r w:rsidR="00961ABF">
        <w:t xml:space="preserve">, providing the Board with a release allowing it to communicate and </w:t>
      </w:r>
      <w:r w:rsidR="008D4A5D">
        <w:t>exchange information with the physician health program monitoring entity, completing an</w:t>
      </w:r>
      <w:r w:rsidR="00382973">
        <w:t>d submitting an</w:t>
      </w:r>
      <w:r w:rsidR="008D4A5D">
        <w:t xml:space="preserve"> evaluation by a Board</w:t>
      </w:r>
      <w:r w:rsidR="00A1620F">
        <w:t>-</w:t>
      </w:r>
      <w:r w:rsidR="008D4A5D">
        <w:t>approved psychiatrist with s</w:t>
      </w:r>
      <w:r w:rsidR="00A1620F">
        <w:t>p</w:t>
      </w:r>
      <w:r w:rsidR="008D4A5D">
        <w:t>ecialization in addiction</w:t>
      </w:r>
      <w:r w:rsidR="00A1620F">
        <w:t xml:space="preserve"> </w:t>
      </w:r>
      <w:r w:rsidR="00382973">
        <w:t>and entering a standard Probation Agreement.</w:t>
      </w:r>
      <w:r w:rsidR="00546F42" w:rsidRPr="002415DB">
        <w:t>)</w:t>
      </w:r>
      <w:r w:rsidR="00CB09C5">
        <w:t xml:space="preserve"> </w:t>
      </w:r>
    </w:p>
    <w:p w14:paraId="50D7A47B" w14:textId="794348C5" w:rsidR="00D21989" w:rsidRDefault="00546F42" w:rsidP="00020C90">
      <w:pPr>
        <w:pStyle w:val="FootnoteText"/>
        <w:jc w:val="both"/>
      </w:pPr>
      <w:r w:rsidRPr="008A214D">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041"/>
    <w:multiLevelType w:val="hybridMultilevel"/>
    <w:tmpl w:val="21DA2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0681B90"/>
    <w:multiLevelType w:val="hybridMultilevel"/>
    <w:tmpl w:val="19CAD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0820B4"/>
    <w:multiLevelType w:val="hybridMultilevel"/>
    <w:tmpl w:val="AEC8D9C8"/>
    <w:lvl w:ilvl="0" w:tplc="F90619A0">
      <w:start w:val="1"/>
      <w:numFmt w:val="lowerRoman"/>
      <w:lvlText w:val="%1)"/>
      <w:lvlJc w:val="left"/>
      <w:pPr>
        <w:ind w:left="1504" w:hanging="360"/>
      </w:pPr>
      <w:rPr>
        <w:rFonts w:hint="default"/>
      </w:rPr>
    </w:lvl>
    <w:lvl w:ilvl="1" w:tplc="04090019" w:tentative="1">
      <w:start w:val="1"/>
      <w:numFmt w:val="lowerLetter"/>
      <w:lvlText w:val="%2."/>
      <w:lvlJc w:val="left"/>
      <w:pPr>
        <w:ind w:left="2224" w:hanging="360"/>
      </w:pPr>
    </w:lvl>
    <w:lvl w:ilvl="2" w:tplc="0409001B" w:tentative="1">
      <w:start w:val="1"/>
      <w:numFmt w:val="lowerRoman"/>
      <w:lvlText w:val="%3."/>
      <w:lvlJc w:val="right"/>
      <w:pPr>
        <w:ind w:left="2944" w:hanging="180"/>
      </w:pPr>
    </w:lvl>
    <w:lvl w:ilvl="3" w:tplc="0409000F" w:tentative="1">
      <w:start w:val="1"/>
      <w:numFmt w:val="decimal"/>
      <w:lvlText w:val="%4."/>
      <w:lvlJc w:val="left"/>
      <w:pPr>
        <w:ind w:left="3664" w:hanging="360"/>
      </w:pPr>
    </w:lvl>
    <w:lvl w:ilvl="4" w:tplc="04090019" w:tentative="1">
      <w:start w:val="1"/>
      <w:numFmt w:val="lowerLetter"/>
      <w:lvlText w:val="%5."/>
      <w:lvlJc w:val="left"/>
      <w:pPr>
        <w:ind w:left="4384" w:hanging="360"/>
      </w:pPr>
    </w:lvl>
    <w:lvl w:ilvl="5" w:tplc="0409001B" w:tentative="1">
      <w:start w:val="1"/>
      <w:numFmt w:val="lowerRoman"/>
      <w:lvlText w:val="%6."/>
      <w:lvlJc w:val="right"/>
      <w:pPr>
        <w:ind w:left="5104" w:hanging="180"/>
      </w:pPr>
    </w:lvl>
    <w:lvl w:ilvl="6" w:tplc="0409000F" w:tentative="1">
      <w:start w:val="1"/>
      <w:numFmt w:val="decimal"/>
      <w:lvlText w:val="%7."/>
      <w:lvlJc w:val="left"/>
      <w:pPr>
        <w:ind w:left="5824" w:hanging="360"/>
      </w:pPr>
    </w:lvl>
    <w:lvl w:ilvl="7" w:tplc="04090019" w:tentative="1">
      <w:start w:val="1"/>
      <w:numFmt w:val="lowerLetter"/>
      <w:lvlText w:val="%8."/>
      <w:lvlJc w:val="left"/>
      <w:pPr>
        <w:ind w:left="6544" w:hanging="360"/>
      </w:pPr>
    </w:lvl>
    <w:lvl w:ilvl="8" w:tplc="0409001B" w:tentative="1">
      <w:start w:val="1"/>
      <w:numFmt w:val="lowerRoman"/>
      <w:lvlText w:val="%9."/>
      <w:lvlJc w:val="right"/>
      <w:pPr>
        <w:ind w:left="7264" w:hanging="180"/>
      </w:pPr>
    </w:lvl>
  </w:abstractNum>
  <w:abstractNum w:abstractNumId="3" w15:restartNumberingAfterBreak="0">
    <w:nsid w:val="25CF361A"/>
    <w:multiLevelType w:val="hybridMultilevel"/>
    <w:tmpl w:val="35FC52B2"/>
    <w:lvl w:ilvl="0" w:tplc="F90619A0">
      <w:start w:val="1"/>
      <w:numFmt w:val="lowerRoman"/>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4" w15:restartNumberingAfterBreak="0">
    <w:nsid w:val="45411BA5"/>
    <w:multiLevelType w:val="hybridMultilevel"/>
    <w:tmpl w:val="5E5A0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262528"/>
    <w:multiLevelType w:val="hybridMultilevel"/>
    <w:tmpl w:val="5D3060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2C61D41"/>
    <w:multiLevelType w:val="hybridMultilevel"/>
    <w:tmpl w:val="6BA29E06"/>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7" w15:restartNumberingAfterBreak="0">
    <w:nsid w:val="75476917"/>
    <w:multiLevelType w:val="hybridMultilevel"/>
    <w:tmpl w:val="E55C9522"/>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8" w15:restartNumberingAfterBreak="0">
    <w:nsid w:val="7DA03E3A"/>
    <w:multiLevelType w:val="hybridMultilevel"/>
    <w:tmpl w:val="4EF0CE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931A27"/>
    <w:multiLevelType w:val="hybridMultilevel"/>
    <w:tmpl w:val="224C0A98"/>
    <w:lvl w:ilvl="0" w:tplc="04090001">
      <w:start w:val="1"/>
      <w:numFmt w:val="bullet"/>
      <w:lvlText w:val=""/>
      <w:lvlJc w:val="left"/>
      <w:pPr>
        <w:ind w:left="1498" w:hanging="360"/>
      </w:pPr>
      <w:rPr>
        <w:rFonts w:ascii="Symbol" w:hAnsi="Symbol"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num w:numId="1" w16cid:durableId="1188373642">
    <w:abstractNumId w:val="8"/>
  </w:num>
  <w:num w:numId="2" w16cid:durableId="1872064998">
    <w:abstractNumId w:val="5"/>
  </w:num>
  <w:num w:numId="3" w16cid:durableId="1877965314">
    <w:abstractNumId w:val="6"/>
  </w:num>
  <w:num w:numId="4" w16cid:durableId="2076321392">
    <w:abstractNumId w:val="4"/>
  </w:num>
  <w:num w:numId="5" w16cid:durableId="13774875">
    <w:abstractNumId w:val="3"/>
  </w:num>
  <w:num w:numId="6" w16cid:durableId="1216433319">
    <w:abstractNumId w:val="7"/>
  </w:num>
  <w:num w:numId="7" w16cid:durableId="686253706">
    <w:abstractNumId w:val="2"/>
  </w:num>
  <w:num w:numId="8" w16cid:durableId="1403869833">
    <w:abstractNumId w:val="0"/>
  </w:num>
  <w:num w:numId="9" w16cid:durableId="624392824">
    <w:abstractNumId w:val="1"/>
  </w:num>
  <w:num w:numId="10" w16cid:durableId="15879553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2AF"/>
    <w:rsid w:val="00001DEC"/>
    <w:rsid w:val="00002726"/>
    <w:rsid w:val="00004013"/>
    <w:rsid w:val="00020C90"/>
    <w:rsid w:val="00023000"/>
    <w:rsid w:val="0002341E"/>
    <w:rsid w:val="00035C62"/>
    <w:rsid w:val="00043D98"/>
    <w:rsid w:val="000458BF"/>
    <w:rsid w:val="00047CE8"/>
    <w:rsid w:val="00066A4F"/>
    <w:rsid w:val="00072AFB"/>
    <w:rsid w:val="00073EDA"/>
    <w:rsid w:val="000746E8"/>
    <w:rsid w:val="000776F7"/>
    <w:rsid w:val="000844FB"/>
    <w:rsid w:val="00093668"/>
    <w:rsid w:val="000A0812"/>
    <w:rsid w:val="000A2298"/>
    <w:rsid w:val="000A2AE0"/>
    <w:rsid w:val="000A4F95"/>
    <w:rsid w:val="000B06AD"/>
    <w:rsid w:val="000B1B17"/>
    <w:rsid w:val="000B228D"/>
    <w:rsid w:val="000C397A"/>
    <w:rsid w:val="000C3FD5"/>
    <w:rsid w:val="000D236F"/>
    <w:rsid w:val="000D263B"/>
    <w:rsid w:val="000F2A90"/>
    <w:rsid w:val="000F2C29"/>
    <w:rsid w:val="000F7C3A"/>
    <w:rsid w:val="00101B61"/>
    <w:rsid w:val="001044D5"/>
    <w:rsid w:val="00105EBC"/>
    <w:rsid w:val="00114926"/>
    <w:rsid w:val="001200A6"/>
    <w:rsid w:val="001316F6"/>
    <w:rsid w:val="00133532"/>
    <w:rsid w:val="00135822"/>
    <w:rsid w:val="00141718"/>
    <w:rsid w:val="00141C35"/>
    <w:rsid w:val="00143641"/>
    <w:rsid w:val="00143845"/>
    <w:rsid w:val="001438B1"/>
    <w:rsid w:val="00145471"/>
    <w:rsid w:val="001464FC"/>
    <w:rsid w:val="001473CE"/>
    <w:rsid w:val="00152558"/>
    <w:rsid w:val="0015647C"/>
    <w:rsid w:val="00172154"/>
    <w:rsid w:val="001834F7"/>
    <w:rsid w:val="00183B60"/>
    <w:rsid w:val="00184A56"/>
    <w:rsid w:val="0018721B"/>
    <w:rsid w:val="00195D5C"/>
    <w:rsid w:val="001A2778"/>
    <w:rsid w:val="001A7B42"/>
    <w:rsid w:val="001B2368"/>
    <w:rsid w:val="001B77BA"/>
    <w:rsid w:val="001C2BF9"/>
    <w:rsid w:val="001C6745"/>
    <w:rsid w:val="001C7DE2"/>
    <w:rsid w:val="001D060E"/>
    <w:rsid w:val="001D3DB3"/>
    <w:rsid w:val="001D5B56"/>
    <w:rsid w:val="001D6C7F"/>
    <w:rsid w:val="001E5671"/>
    <w:rsid w:val="001F14DD"/>
    <w:rsid w:val="001F2BC6"/>
    <w:rsid w:val="002022CA"/>
    <w:rsid w:val="00202395"/>
    <w:rsid w:val="00206CA5"/>
    <w:rsid w:val="002070DF"/>
    <w:rsid w:val="00212590"/>
    <w:rsid w:val="002313D5"/>
    <w:rsid w:val="00232F27"/>
    <w:rsid w:val="00235048"/>
    <w:rsid w:val="002415DB"/>
    <w:rsid w:val="00242E1A"/>
    <w:rsid w:val="002510C1"/>
    <w:rsid w:val="0025278C"/>
    <w:rsid w:val="00262374"/>
    <w:rsid w:val="00264F84"/>
    <w:rsid w:val="00267EDA"/>
    <w:rsid w:val="00271EE5"/>
    <w:rsid w:val="00273BE9"/>
    <w:rsid w:val="00274823"/>
    <w:rsid w:val="002838FF"/>
    <w:rsid w:val="00284947"/>
    <w:rsid w:val="00293F05"/>
    <w:rsid w:val="00294AD3"/>
    <w:rsid w:val="00295097"/>
    <w:rsid w:val="002952D3"/>
    <w:rsid w:val="002A13FE"/>
    <w:rsid w:val="002B586B"/>
    <w:rsid w:val="002B6077"/>
    <w:rsid w:val="002B6BC8"/>
    <w:rsid w:val="002C1AA7"/>
    <w:rsid w:val="002C375B"/>
    <w:rsid w:val="002D0DE2"/>
    <w:rsid w:val="002E1690"/>
    <w:rsid w:val="002E256F"/>
    <w:rsid w:val="002E5AFA"/>
    <w:rsid w:val="002F50A0"/>
    <w:rsid w:val="002F6CC1"/>
    <w:rsid w:val="00301454"/>
    <w:rsid w:val="00306BF4"/>
    <w:rsid w:val="003107DC"/>
    <w:rsid w:val="00311036"/>
    <w:rsid w:val="00314FCE"/>
    <w:rsid w:val="0032285B"/>
    <w:rsid w:val="00324F35"/>
    <w:rsid w:val="003260AF"/>
    <w:rsid w:val="00336AE3"/>
    <w:rsid w:val="00354F01"/>
    <w:rsid w:val="003554C0"/>
    <w:rsid w:val="00360AC5"/>
    <w:rsid w:val="00360B9C"/>
    <w:rsid w:val="003659A5"/>
    <w:rsid w:val="00367CCE"/>
    <w:rsid w:val="003747BE"/>
    <w:rsid w:val="00382973"/>
    <w:rsid w:val="003833C0"/>
    <w:rsid w:val="00385A5B"/>
    <w:rsid w:val="0039168D"/>
    <w:rsid w:val="00395E1E"/>
    <w:rsid w:val="003A031C"/>
    <w:rsid w:val="003A0A67"/>
    <w:rsid w:val="003A2EF2"/>
    <w:rsid w:val="003A3A46"/>
    <w:rsid w:val="003C1A7C"/>
    <w:rsid w:val="003C3DD8"/>
    <w:rsid w:val="003D27B5"/>
    <w:rsid w:val="003D3086"/>
    <w:rsid w:val="003D60DD"/>
    <w:rsid w:val="003E79FA"/>
    <w:rsid w:val="003F59A8"/>
    <w:rsid w:val="003F6875"/>
    <w:rsid w:val="0040072A"/>
    <w:rsid w:val="00403D22"/>
    <w:rsid w:val="004061FB"/>
    <w:rsid w:val="00410253"/>
    <w:rsid w:val="00416A61"/>
    <w:rsid w:val="00422EB0"/>
    <w:rsid w:val="00425098"/>
    <w:rsid w:val="00431413"/>
    <w:rsid w:val="00432FE3"/>
    <w:rsid w:val="004361E8"/>
    <w:rsid w:val="004362AF"/>
    <w:rsid w:val="004430FE"/>
    <w:rsid w:val="00444584"/>
    <w:rsid w:val="00465EF8"/>
    <w:rsid w:val="00471856"/>
    <w:rsid w:val="00476263"/>
    <w:rsid w:val="00476A74"/>
    <w:rsid w:val="0048339B"/>
    <w:rsid w:val="004A7BA8"/>
    <w:rsid w:val="004B2FE2"/>
    <w:rsid w:val="004B31A1"/>
    <w:rsid w:val="004D0791"/>
    <w:rsid w:val="004D232C"/>
    <w:rsid w:val="004D3C52"/>
    <w:rsid w:val="004E3B58"/>
    <w:rsid w:val="004F098A"/>
    <w:rsid w:val="004F5366"/>
    <w:rsid w:val="00501CCC"/>
    <w:rsid w:val="00505D1F"/>
    <w:rsid w:val="00505F74"/>
    <w:rsid w:val="0050654C"/>
    <w:rsid w:val="00510A85"/>
    <w:rsid w:val="00513B3A"/>
    <w:rsid w:val="00521554"/>
    <w:rsid w:val="00521D02"/>
    <w:rsid w:val="00526EB4"/>
    <w:rsid w:val="005323AA"/>
    <w:rsid w:val="00533162"/>
    <w:rsid w:val="00535EC4"/>
    <w:rsid w:val="00537538"/>
    <w:rsid w:val="00537911"/>
    <w:rsid w:val="00542D0E"/>
    <w:rsid w:val="00546F42"/>
    <w:rsid w:val="005509AD"/>
    <w:rsid w:val="005515C7"/>
    <w:rsid w:val="00571625"/>
    <w:rsid w:val="005760F5"/>
    <w:rsid w:val="00576D45"/>
    <w:rsid w:val="00581C32"/>
    <w:rsid w:val="00583517"/>
    <w:rsid w:val="00591C72"/>
    <w:rsid w:val="005930CE"/>
    <w:rsid w:val="005A15CB"/>
    <w:rsid w:val="005A2DBC"/>
    <w:rsid w:val="005B0134"/>
    <w:rsid w:val="005B1109"/>
    <w:rsid w:val="005B19BF"/>
    <w:rsid w:val="005B2098"/>
    <w:rsid w:val="005B3E3B"/>
    <w:rsid w:val="005B52CC"/>
    <w:rsid w:val="005B7B8E"/>
    <w:rsid w:val="005C210D"/>
    <w:rsid w:val="005C4CB2"/>
    <w:rsid w:val="005D2B7B"/>
    <w:rsid w:val="005D41CC"/>
    <w:rsid w:val="005D50A7"/>
    <w:rsid w:val="005E1971"/>
    <w:rsid w:val="005F0B9F"/>
    <w:rsid w:val="005F4C76"/>
    <w:rsid w:val="005F5020"/>
    <w:rsid w:val="0060363F"/>
    <w:rsid w:val="00606823"/>
    <w:rsid w:val="00615362"/>
    <w:rsid w:val="00615F7F"/>
    <w:rsid w:val="00617A12"/>
    <w:rsid w:val="0063012F"/>
    <w:rsid w:val="006319AD"/>
    <w:rsid w:val="00634231"/>
    <w:rsid w:val="00635EC6"/>
    <w:rsid w:val="006507B3"/>
    <w:rsid w:val="006606CC"/>
    <w:rsid w:val="00661985"/>
    <w:rsid w:val="0066240E"/>
    <w:rsid w:val="00663EA0"/>
    <w:rsid w:val="00666376"/>
    <w:rsid w:val="00673D97"/>
    <w:rsid w:val="00682CF6"/>
    <w:rsid w:val="006830B7"/>
    <w:rsid w:val="0068317F"/>
    <w:rsid w:val="006850EC"/>
    <w:rsid w:val="006916C8"/>
    <w:rsid w:val="00695337"/>
    <w:rsid w:val="006A3E7D"/>
    <w:rsid w:val="006B4969"/>
    <w:rsid w:val="006C0435"/>
    <w:rsid w:val="006D4C20"/>
    <w:rsid w:val="006E4538"/>
    <w:rsid w:val="006E4C7C"/>
    <w:rsid w:val="006E73E5"/>
    <w:rsid w:val="006E7B07"/>
    <w:rsid w:val="006F203A"/>
    <w:rsid w:val="006F41E6"/>
    <w:rsid w:val="006F43A6"/>
    <w:rsid w:val="006F57B9"/>
    <w:rsid w:val="00711DCD"/>
    <w:rsid w:val="0071323E"/>
    <w:rsid w:val="00716011"/>
    <w:rsid w:val="00721596"/>
    <w:rsid w:val="00722121"/>
    <w:rsid w:val="00725990"/>
    <w:rsid w:val="0073483B"/>
    <w:rsid w:val="0073578F"/>
    <w:rsid w:val="0074383F"/>
    <w:rsid w:val="00753932"/>
    <w:rsid w:val="00753DF5"/>
    <w:rsid w:val="00755013"/>
    <w:rsid w:val="00756606"/>
    <w:rsid w:val="00756DDD"/>
    <w:rsid w:val="007605A8"/>
    <w:rsid w:val="00760C2C"/>
    <w:rsid w:val="007616D5"/>
    <w:rsid w:val="00761D67"/>
    <w:rsid w:val="00775E65"/>
    <w:rsid w:val="00776215"/>
    <w:rsid w:val="007770E9"/>
    <w:rsid w:val="00781528"/>
    <w:rsid w:val="00782F47"/>
    <w:rsid w:val="0078374E"/>
    <w:rsid w:val="00784889"/>
    <w:rsid w:val="0079240A"/>
    <w:rsid w:val="007B79C4"/>
    <w:rsid w:val="007B7D6C"/>
    <w:rsid w:val="007C528A"/>
    <w:rsid w:val="007C7C2E"/>
    <w:rsid w:val="007D2B32"/>
    <w:rsid w:val="007E1B8A"/>
    <w:rsid w:val="007F24FE"/>
    <w:rsid w:val="007F3000"/>
    <w:rsid w:val="007F6FB4"/>
    <w:rsid w:val="00805899"/>
    <w:rsid w:val="00812F8B"/>
    <w:rsid w:val="0082332D"/>
    <w:rsid w:val="00824848"/>
    <w:rsid w:val="00825C31"/>
    <w:rsid w:val="00831012"/>
    <w:rsid w:val="008323C8"/>
    <w:rsid w:val="00835A01"/>
    <w:rsid w:val="00845DF3"/>
    <w:rsid w:val="008535A4"/>
    <w:rsid w:val="00853C63"/>
    <w:rsid w:val="00853D51"/>
    <w:rsid w:val="00855AD0"/>
    <w:rsid w:val="00861ADD"/>
    <w:rsid w:val="008654E7"/>
    <w:rsid w:val="00867040"/>
    <w:rsid w:val="00875EA2"/>
    <w:rsid w:val="0089058E"/>
    <w:rsid w:val="00891C92"/>
    <w:rsid w:val="00894B73"/>
    <w:rsid w:val="008A1FE3"/>
    <w:rsid w:val="008A214D"/>
    <w:rsid w:val="008A3809"/>
    <w:rsid w:val="008B3697"/>
    <w:rsid w:val="008B67EB"/>
    <w:rsid w:val="008C0226"/>
    <w:rsid w:val="008D0CC0"/>
    <w:rsid w:val="008D3E8A"/>
    <w:rsid w:val="008D4A5D"/>
    <w:rsid w:val="008E74C4"/>
    <w:rsid w:val="008F4493"/>
    <w:rsid w:val="008F44AF"/>
    <w:rsid w:val="00901384"/>
    <w:rsid w:val="00906FD8"/>
    <w:rsid w:val="00911997"/>
    <w:rsid w:val="00911B2F"/>
    <w:rsid w:val="00927471"/>
    <w:rsid w:val="009277F3"/>
    <w:rsid w:val="00927FBA"/>
    <w:rsid w:val="0093027A"/>
    <w:rsid w:val="0093240A"/>
    <w:rsid w:val="00933D7B"/>
    <w:rsid w:val="009412EC"/>
    <w:rsid w:val="00946535"/>
    <w:rsid w:val="0096116E"/>
    <w:rsid w:val="00961ABF"/>
    <w:rsid w:val="00961BBD"/>
    <w:rsid w:val="0096325C"/>
    <w:rsid w:val="009660C3"/>
    <w:rsid w:val="009722B5"/>
    <w:rsid w:val="00975B80"/>
    <w:rsid w:val="009772A7"/>
    <w:rsid w:val="0098197E"/>
    <w:rsid w:val="00984D37"/>
    <w:rsid w:val="0098586F"/>
    <w:rsid w:val="00985AF0"/>
    <w:rsid w:val="009914EB"/>
    <w:rsid w:val="00996A8D"/>
    <w:rsid w:val="009A1FE8"/>
    <w:rsid w:val="009A7D0C"/>
    <w:rsid w:val="009B4904"/>
    <w:rsid w:val="009B6666"/>
    <w:rsid w:val="009C774A"/>
    <w:rsid w:val="009D5964"/>
    <w:rsid w:val="009E08FC"/>
    <w:rsid w:val="009E488F"/>
    <w:rsid w:val="009E797B"/>
    <w:rsid w:val="009F0F38"/>
    <w:rsid w:val="009F2279"/>
    <w:rsid w:val="009F655F"/>
    <w:rsid w:val="00A14130"/>
    <w:rsid w:val="00A1620F"/>
    <w:rsid w:val="00A2132F"/>
    <w:rsid w:val="00A222CC"/>
    <w:rsid w:val="00A23A7F"/>
    <w:rsid w:val="00A347EF"/>
    <w:rsid w:val="00A411E6"/>
    <w:rsid w:val="00A422C1"/>
    <w:rsid w:val="00A4387D"/>
    <w:rsid w:val="00A4575A"/>
    <w:rsid w:val="00A50E89"/>
    <w:rsid w:val="00A51BF6"/>
    <w:rsid w:val="00A53993"/>
    <w:rsid w:val="00A563E9"/>
    <w:rsid w:val="00A5676F"/>
    <w:rsid w:val="00A63595"/>
    <w:rsid w:val="00A64138"/>
    <w:rsid w:val="00A86F1A"/>
    <w:rsid w:val="00A95D5F"/>
    <w:rsid w:val="00A95DE5"/>
    <w:rsid w:val="00A96038"/>
    <w:rsid w:val="00A974DD"/>
    <w:rsid w:val="00AB52FE"/>
    <w:rsid w:val="00AB5C2B"/>
    <w:rsid w:val="00AB7947"/>
    <w:rsid w:val="00AC193F"/>
    <w:rsid w:val="00AC5125"/>
    <w:rsid w:val="00AC7C1C"/>
    <w:rsid w:val="00AD3EA8"/>
    <w:rsid w:val="00AD4CFE"/>
    <w:rsid w:val="00AE0D57"/>
    <w:rsid w:val="00AE2183"/>
    <w:rsid w:val="00AF6497"/>
    <w:rsid w:val="00B000FA"/>
    <w:rsid w:val="00B050F8"/>
    <w:rsid w:val="00B060B4"/>
    <w:rsid w:val="00B0763C"/>
    <w:rsid w:val="00B15EC3"/>
    <w:rsid w:val="00B16336"/>
    <w:rsid w:val="00B300F1"/>
    <w:rsid w:val="00B31B02"/>
    <w:rsid w:val="00B346AC"/>
    <w:rsid w:val="00B419B3"/>
    <w:rsid w:val="00B422DF"/>
    <w:rsid w:val="00B568BA"/>
    <w:rsid w:val="00B60758"/>
    <w:rsid w:val="00B72DE2"/>
    <w:rsid w:val="00B735F5"/>
    <w:rsid w:val="00B73C9A"/>
    <w:rsid w:val="00B746FB"/>
    <w:rsid w:val="00B762CA"/>
    <w:rsid w:val="00B7733F"/>
    <w:rsid w:val="00B804A0"/>
    <w:rsid w:val="00B8224C"/>
    <w:rsid w:val="00B835F2"/>
    <w:rsid w:val="00B84492"/>
    <w:rsid w:val="00B86BB9"/>
    <w:rsid w:val="00B91364"/>
    <w:rsid w:val="00B93986"/>
    <w:rsid w:val="00B95050"/>
    <w:rsid w:val="00B95E13"/>
    <w:rsid w:val="00BB185A"/>
    <w:rsid w:val="00BB4410"/>
    <w:rsid w:val="00BC1CCC"/>
    <w:rsid w:val="00BC3F6F"/>
    <w:rsid w:val="00BC4594"/>
    <w:rsid w:val="00BD3660"/>
    <w:rsid w:val="00BD4B40"/>
    <w:rsid w:val="00BD5FA0"/>
    <w:rsid w:val="00BF5C79"/>
    <w:rsid w:val="00BF68FC"/>
    <w:rsid w:val="00C016D2"/>
    <w:rsid w:val="00C16062"/>
    <w:rsid w:val="00C22EBD"/>
    <w:rsid w:val="00C301AB"/>
    <w:rsid w:val="00C343FD"/>
    <w:rsid w:val="00C41AA8"/>
    <w:rsid w:val="00C55DCA"/>
    <w:rsid w:val="00C56A1D"/>
    <w:rsid w:val="00C61691"/>
    <w:rsid w:val="00C62527"/>
    <w:rsid w:val="00C63B9A"/>
    <w:rsid w:val="00C74355"/>
    <w:rsid w:val="00C840B2"/>
    <w:rsid w:val="00C9138D"/>
    <w:rsid w:val="00C9621E"/>
    <w:rsid w:val="00C9734C"/>
    <w:rsid w:val="00CA0E7E"/>
    <w:rsid w:val="00CB09C5"/>
    <w:rsid w:val="00CB523D"/>
    <w:rsid w:val="00CC0515"/>
    <w:rsid w:val="00CC0AB5"/>
    <w:rsid w:val="00CC35FE"/>
    <w:rsid w:val="00CC5A46"/>
    <w:rsid w:val="00CD14EA"/>
    <w:rsid w:val="00CD160A"/>
    <w:rsid w:val="00CD35FE"/>
    <w:rsid w:val="00CD42AD"/>
    <w:rsid w:val="00CD43C1"/>
    <w:rsid w:val="00CE6205"/>
    <w:rsid w:val="00CF11FF"/>
    <w:rsid w:val="00D026DF"/>
    <w:rsid w:val="00D059CE"/>
    <w:rsid w:val="00D06244"/>
    <w:rsid w:val="00D11C0F"/>
    <w:rsid w:val="00D11E0B"/>
    <w:rsid w:val="00D15B96"/>
    <w:rsid w:val="00D21989"/>
    <w:rsid w:val="00D25BE5"/>
    <w:rsid w:val="00D27DF5"/>
    <w:rsid w:val="00D33A95"/>
    <w:rsid w:val="00D65DBB"/>
    <w:rsid w:val="00D72C0E"/>
    <w:rsid w:val="00D75913"/>
    <w:rsid w:val="00D77993"/>
    <w:rsid w:val="00D813CD"/>
    <w:rsid w:val="00D833DE"/>
    <w:rsid w:val="00D84759"/>
    <w:rsid w:val="00D85DB8"/>
    <w:rsid w:val="00D86DA6"/>
    <w:rsid w:val="00D93409"/>
    <w:rsid w:val="00DA0C27"/>
    <w:rsid w:val="00DA118A"/>
    <w:rsid w:val="00DA47F5"/>
    <w:rsid w:val="00DA5987"/>
    <w:rsid w:val="00DB43EC"/>
    <w:rsid w:val="00DB6E38"/>
    <w:rsid w:val="00DB6F9F"/>
    <w:rsid w:val="00DC1E8D"/>
    <w:rsid w:val="00DC3687"/>
    <w:rsid w:val="00DC3ACC"/>
    <w:rsid w:val="00DC606D"/>
    <w:rsid w:val="00DC68E0"/>
    <w:rsid w:val="00DD0ABE"/>
    <w:rsid w:val="00DD424E"/>
    <w:rsid w:val="00DD7720"/>
    <w:rsid w:val="00DE3DF8"/>
    <w:rsid w:val="00DE73F5"/>
    <w:rsid w:val="00DF068F"/>
    <w:rsid w:val="00DF176D"/>
    <w:rsid w:val="00DF7583"/>
    <w:rsid w:val="00E00248"/>
    <w:rsid w:val="00E032F5"/>
    <w:rsid w:val="00E11D54"/>
    <w:rsid w:val="00E16286"/>
    <w:rsid w:val="00E1760D"/>
    <w:rsid w:val="00E21A23"/>
    <w:rsid w:val="00E329D5"/>
    <w:rsid w:val="00E43555"/>
    <w:rsid w:val="00E43829"/>
    <w:rsid w:val="00E46A67"/>
    <w:rsid w:val="00E53DD6"/>
    <w:rsid w:val="00E56EC7"/>
    <w:rsid w:val="00E5742D"/>
    <w:rsid w:val="00E618B0"/>
    <w:rsid w:val="00E82B3A"/>
    <w:rsid w:val="00E82C14"/>
    <w:rsid w:val="00E86E6D"/>
    <w:rsid w:val="00E947B5"/>
    <w:rsid w:val="00E957AB"/>
    <w:rsid w:val="00E97D69"/>
    <w:rsid w:val="00EA06D0"/>
    <w:rsid w:val="00EB28F1"/>
    <w:rsid w:val="00EB5879"/>
    <w:rsid w:val="00EC1A4F"/>
    <w:rsid w:val="00EC755F"/>
    <w:rsid w:val="00ED1AA0"/>
    <w:rsid w:val="00ED2989"/>
    <w:rsid w:val="00ED5396"/>
    <w:rsid w:val="00EE2A70"/>
    <w:rsid w:val="00F11B2F"/>
    <w:rsid w:val="00F16629"/>
    <w:rsid w:val="00F36BF4"/>
    <w:rsid w:val="00F409E7"/>
    <w:rsid w:val="00F40BEF"/>
    <w:rsid w:val="00F41C77"/>
    <w:rsid w:val="00F45CC6"/>
    <w:rsid w:val="00F53F4E"/>
    <w:rsid w:val="00F701B6"/>
    <w:rsid w:val="00F726D1"/>
    <w:rsid w:val="00F754C4"/>
    <w:rsid w:val="00F85FEC"/>
    <w:rsid w:val="00F9217E"/>
    <w:rsid w:val="00F92ABB"/>
    <w:rsid w:val="00FA6C38"/>
    <w:rsid w:val="00FA77F4"/>
    <w:rsid w:val="00FB2DC4"/>
    <w:rsid w:val="00FB3F52"/>
    <w:rsid w:val="00FC1ADC"/>
    <w:rsid w:val="00FC1D86"/>
    <w:rsid w:val="00FC7673"/>
    <w:rsid w:val="00FD52AF"/>
    <w:rsid w:val="00FD6196"/>
    <w:rsid w:val="00FE12E6"/>
    <w:rsid w:val="00FE2765"/>
    <w:rsid w:val="00FE52CE"/>
    <w:rsid w:val="00FF1B58"/>
    <w:rsid w:val="00FF2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DE753"/>
  <w15:chartTrackingRefBased/>
  <w15:docId w15:val="{A6E4C7E5-D37F-4F7F-959E-8172AC68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2AF"/>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FD52A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D52A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D52A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D52A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FD52A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FD52A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FD52A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FD52AF"/>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FD52AF"/>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2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52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2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2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2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2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2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2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2AF"/>
    <w:rPr>
      <w:rFonts w:eastAsiaTheme="majorEastAsia" w:cstheme="majorBidi"/>
      <w:color w:val="272727" w:themeColor="text1" w:themeTint="D8"/>
    </w:rPr>
  </w:style>
  <w:style w:type="paragraph" w:styleId="Title">
    <w:name w:val="Title"/>
    <w:basedOn w:val="Normal"/>
    <w:next w:val="Normal"/>
    <w:link w:val="TitleChar"/>
    <w:uiPriority w:val="10"/>
    <w:qFormat/>
    <w:rsid w:val="00FD52A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D52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2A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D52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2AF"/>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FD52AF"/>
    <w:rPr>
      <w:i/>
      <w:iCs/>
      <w:color w:val="404040" w:themeColor="text1" w:themeTint="BF"/>
    </w:rPr>
  </w:style>
  <w:style w:type="paragraph" w:styleId="ListParagraph">
    <w:name w:val="List Paragraph"/>
    <w:basedOn w:val="Normal"/>
    <w:uiPriority w:val="34"/>
    <w:qFormat/>
    <w:rsid w:val="00FD52AF"/>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FD52AF"/>
    <w:rPr>
      <w:i/>
      <w:iCs/>
      <w:color w:val="0F4761" w:themeColor="accent1" w:themeShade="BF"/>
    </w:rPr>
  </w:style>
  <w:style w:type="paragraph" w:styleId="IntenseQuote">
    <w:name w:val="Intense Quote"/>
    <w:basedOn w:val="Normal"/>
    <w:next w:val="Normal"/>
    <w:link w:val="IntenseQuoteChar"/>
    <w:uiPriority w:val="30"/>
    <w:qFormat/>
    <w:rsid w:val="00FD52A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FD52AF"/>
    <w:rPr>
      <w:i/>
      <w:iCs/>
      <w:color w:val="0F4761" w:themeColor="accent1" w:themeShade="BF"/>
    </w:rPr>
  </w:style>
  <w:style w:type="character" w:styleId="IntenseReference">
    <w:name w:val="Intense Reference"/>
    <w:basedOn w:val="DefaultParagraphFont"/>
    <w:uiPriority w:val="32"/>
    <w:qFormat/>
    <w:rsid w:val="00FD52AF"/>
    <w:rPr>
      <w:b/>
      <w:bCs/>
      <w:smallCaps/>
      <w:color w:val="0F4761" w:themeColor="accent1" w:themeShade="BF"/>
      <w:spacing w:val="5"/>
    </w:rPr>
  </w:style>
  <w:style w:type="paragraph" w:styleId="FootnoteText">
    <w:name w:val="footnote text"/>
    <w:basedOn w:val="Normal"/>
    <w:link w:val="FootnoteTextChar"/>
    <w:uiPriority w:val="99"/>
    <w:semiHidden/>
    <w:unhideWhenUsed/>
    <w:rsid w:val="00D77993"/>
    <w:rPr>
      <w:sz w:val="20"/>
      <w:szCs w:val="20"/>
    </w:rPr>
  </w:style>
  <w:style w:type="character" w:customStyle="1" w:styleId="FootnoteTextChar">
    <w:name w:val="Footnote Text Char"/>
    <w:basedOn w:val="DefaultParagraphFont"/>
    <w:link w:val="FootnoteText"/>
    <w:uiPriority w:val="99"/>
    <w:semiHidden/>
    <w:rsid w:val="00D77993"/>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D77993"/>
    <w:rPr>
      <w:vertAlign w:val="superscript"/>
    </w:rPr>
  </w:style>
  <w:style w:type="paragraph" w:styleId="Header">
    <w:name w:val="header"/>
    <w:basedOn w:val="Normal"/>
    <w:link w:val="HeaderChar"/>
    <w:uiPriority w:val="99"/>
    <w:unhideWhenUsed/>
    <w:rsid w:val="00043D98"/>
    <w:pPr>
      <w:tabs>
        <w:tab w:val="center" w:pos="4680"/>
        <w:tab w:val="right" w:pos="9360"/>
      </w:tabs>
    </w:pPr>
  </w:style>
  <w:style w:type="character" w:customStyle="1" w:styleId="HeaderChar">
    <w:name w:val="Header Char"/>
    <w:basedOn w:val="DefaultParagraphFont"/>
    <w:link w:val="Header"/>
    <w:uiPriority w:val="99"/>
    <w:rsid w:val="00043D98"/>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043D98"/>
    <w:pPr>
      <w:tabs>
        <w:tab w:val="center" w:pos="4680"/>
        <w:tab w:val="right" w:pos="9360"/>
      </w:tabs>
    </w:pPr>
  </w:style>
  <w:style w:type="character" w:customStyle="1" w:styleId="FooterChar">
    <w:name w:val="Footer Char"/>
    <w:basedOn w:val="DefaultParagraphFont"/>
    <w:link w:val="Footer"/>
    <w:uiPriority w:val="99"/>
    <w:rsid w:val="00043D98"/>
    <w:rPr>
      <w:rFonts w:ascii="Times New Roman" w:eastAsia="Times New Roman" w:hAnsi="Times New Roman" w:cs="Times New Roman"/>
      <w:kern w:val="0"/>
      <w:sz w:val="24"/>
      <w:szCs w:val="24"/>
      <w14:ligatures w14:val="none"/>
    </w:rPr>
  </w:style>
  <w:style w:type="character" w:styleId="PlaceholderText">
    <w:name w:val="Placeholder Text"/>
    <w:basedOn w:val="DefaultParagraphFont"/>
    <w:uiPriority w:val="99"/>
    <w:semiHidden/>
    <w:rsid w:val="0014171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66C29-7C35-4145-8375-2593BFF9258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7</TotalTime>
  <Pages>4</Pages>
  <Words>1122</Words>
  <Characters>6400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Lockwood, Rebecca (DPH)</dc:creator>
  <cp:keywords/>
  <dc:description/>
  <cp:lastModifiedBy>LaPointe, Donald (DPH)</cp:lastModifiedBy>
  <cp:revision>7</cp:revision>
  <cp:lastPrinted>2026-01-12T18:31:00Z</cp:lastPrinted>
  <dcterms:created xsi:type="dcterms:W3CDTF">2026-02-12T20:40:00Z</dcterms:created>
  <dcterms:modified xsi:type="dcterms:W3CDTF">2026-02-17T14:18:00Z</dcterms:modified>
</cp:coreProperties>
</file>