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E89" w:rsidRPr="00E972B6" w:rsidRDefault="006A6E89" w:rsidP="006A6E89">
      <w:pPr>
        <w:jc w:val="center"/>
      </w:pPr>
      <w:bookmarkStart w:id="0" w:name="_GoBack"/>
      <w:bookmarkEnd w:id="0"/>
      <w:r w:rsidRPr="00E972B6">
        <w:t>COMMONWEALTH OF MASSACHUSETTS</w:t>
      </w:r>
    </w:p>
    <w:p w:rsidR="006A6E89" w:rsidRDefault="006A6E89" w:rsidP="006A6E89"/>
    <w:p w:rsidR="006A6E89" w:rsidRDefault="006A6E89" w:rsidP="006A6E89">
      <w:r>
        <w:t>MIDDLESEX, SS.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BOARD OF REGISTRATION </w:t>
      </w:r>
    </w:p>
    <w:p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IN MEDICINE</w:t>
      </w:r>
    </w:p>
    <w:p w:rsidR="006A6E89" w:rsidRDefault="006A6E89" w:rsidP="006A6E89"/>
    <w:p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Adjudicatory Case No. </w:t>
      </w:r>
      <w:r w:rsidR="00C96CD5">
        <w:t>2016-028</w:t>
      </w:r>
    </w:p>
    <w:p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2B4B04" w:rsidRDefault="002B4B04" w:rsidP="008B0E08">
      <w:r>
        <w:tab/>
      </w:r>
      <w:r>
        <w:tab/>
      </w:r>
      <w:r>
        <w:tab/>
      </w:r>
      <w:r>
        <w:tab/>
      </w:r>
    </w:p>
    <w:p w:rsidR="008B0E08" w:rsidRDefault="008B0E08" w:rsidP="008B0E08">
      <w:r>
        <w:t>______________________________</w:t>
      </w:r>
      <w:r w:rsidR="00EB23C5">
        <w:t>__</w:t>
      </w:r>
    </w:p>
    <w:p w:rsidR="004C52A1" w:rsidRDefault="004C52A1" w:rsidP="008B0E0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B23C5">
        <w:tab/>
      </w:r>
      <w:r w:rsidR="00EB23C5">
        <w:tab/>
      </w:r>
      <w:r>
        <w:t>)</w:t>
      </w:r>
    </w:p>
    <w:p w:rsidR="000C6D38" w:rsidRDefault="000C6D38" w:rsidP="000C6D38">
      <w:pPr>
        <w:ind w:left="3024" w:hanging="3024"/>
      </w:pPr>
      <w:r>
        <w:t xml:space="preserve">In the Matter of </w:t>
      </w:r>
      <w:r>
        <w:tab/>
      </w:r>
      <w:r>
        <w:tab/>
      </w:r>
      <w:r>
        <w:tab/>
      </w:r>
      <w:r>
        <w:tab/>
      </w:r>
      <w:r>
        <w:tab/>
      </w:r>
      <w:r w:rsidR="00EB23C5">
        <w:tab/>
      </w:r>
      <w:r w:rsidR="00EB23C5">
        <w:tab/>
      </w:r>
      <w:r w:rsidR="00764A23">
        <w:t>)</w:t>
      </w:r>
      <w:r>
        <w:t xml:space="preserve">       </w:t>
      </w:r>
      <w:r w:rsidR="00082159">
        <w:t xml:space="preserve">    </w:t>
      </w:r>
      <w:r w:rsidR="00EB23C5">
        <w:tab/>
      </w:r>
      <w:r>
        <w:t xml:space="preserve"> </w:t>
      </w:r>
    </w:p>
    <w:p w:rsidR="00082159" w:rsidRDefault="000C6D38" w:rsidP="000C6D38">
      <w:pPr>
        <w:ind w:left="3024" w:hanging="3024"/>
      </w:pPr>
      <w:r>
        <w:tab/>
      </w:r>
      <w:r>
        <w:tab/>
      </w:r>
      <w:r>
        <w:tab/>
      </w:r>
      <w:r>
        <w:tab/>
      </w:r>
      <w:r>
        <w:tab/>
      </w:r>
      <w:r w:rsidR="00EB23C5">
        <w:tab/>
      </w:r>
      <w:r w:rsidR="00EB23C5">
        <w:tab/>
      </w:r>
      <w:r>
        <w:t>)</w:t>
      </w:r>
      <w:r>
        <w:tab/>
      </w:r>
      <w:r>
        <w:tab/>
      </w:r>
      <w:r>
        <w:tab/>
      </w:r>
      <w:r w:rsidR="00921D9F">
        <w:tab/>
      </w:r>
      <w:r w:rsidR="00921D9F">
        <w:tab/>
      </w:r>
      <w:r w:rsidR="00921D9F">
        <w:tab/>
      </w:r>
      <w:r w:rsidR="00921D9F">
        <w:tab/>
      </w:r>
      <w:r w:rsidR="00921D9F">
        <w:tab/>
      </w:r>
      <w:r w:rsidR="00921D9F" w:rsidRPr="00921D9F">
        <w:rPr>
          <w:b/>
        </w:rPr>
        <w:t>FINAL DECISION AND ORDER</w:t>
      </w:r>
      <w:r w:rsidRPr="00921D9F">
        <w:rPr>
          <w:b/>
        </w:rPr>
        <w:tab/>
      </w:r>
      <w:r w:rsidRPr="00921D9F">
        <w:rPr>
          <w:b/>
        </w:rPr>
        <w:tab/>
      </w:r>
      <w:r w:rsidR="00EB23C5" w:rsidRPr="00921D9F">
        <w:rPr>
          <w:b/>
        </w:rPr>
        <w:tab/>
      </w:r>
      <w:r>
        <w:t xml:space="preserve"> </w:t>
      </w:r>
    </w:p>
    <w:p w:rsidR="00082159" w:rsidRDefault="00C96CD5" w:rsidP="00FD42AA">
      <w:pPr>
        <w:ind w:left="3024" w:hanging="3024"/>
      </w:pPr>
      <w:r>
        <w:t>MILTON</w:t>
      </w:r>
      <w:r w:rsidR="000C5266">
        <w:t xml:space="preserve"> A.</w:t>
      </w:r>
      <w:r>
        <w:t xml:space="preserve"> REDER</w:t>
      </w:r>
      <w:r w:rsidR="00E47ECD">
        <w:t>, M.D.</w:t>
      </w:r>
      <w:r w:rsidR="000C6D38">
        <w:tab/>
      </w:r>
      <w:r w:rsidR="000C6D38">
        <w:tab/>
      </w:r>
      <w:r w:rsidR="00476DDF">
        <w:tab/>
      </w:r>
      <w:r w:rsidR="00476DDF">
        <w:tab/>
      </w:r>
      <w:r w:rsidR="00476DDF">
        <w:tab/>
      </w:r>
      <w:r w:rsidR="00476DDF">
        <w:tab/>
      </w:r>
      <w:r w:rsidR="00476DDF">
        <w:tab/>
      </w:r>
      <w:r w:rsidR="00EB23C5">
        <w:t>)</w:t>
      </w:r>
      <w:r w:rsidR="000C6D38">
        <w:tab/>
      </w:r>
      <w:r w:rsidR="009A70FD">
        <w:t xml:space="preserve">   </w:t>
      </w:r>
      <w:r w:rsidR="00EB23C5">
        <w:tab/>
      </w:r>
      <w:r w:rsidR="00EB23C5">
        <w:tab/>
      </w:r>
      <w:r w:rsidR="00EB23C5">
        <w:tab/>
        <w:t xml:space="preserve">  </w:t>
      </w:r>
      <w:r w:rsidR="00676CC3">
        <w:tab/>
      </w:r>
      <w:r w:rsidR="00676CC3">
        <w:tab/>
      </w:r>
      <w:r w:rsidR="00676CC3">
        <w:tab/>
      </w:r>
      <w:r w:rsidR="00676CC3">
        <w:tab/>
      </w:r>
      <w:r w:rsidR="00676CC3">
        <w:tab/>
      </w:r>
      <w:r w:rsidR="00676CC3">
        <w:tab/>
      </w:r>
      <w:r w:rsidR="00676CC3">
        <w:tab/>
      </w:r>
      <w:r w:rsidR="00676CC3">
        <w:tab/>
      </w:r>
      <w:r w:rsidR="000C6D38">
        <w:t xml:space="preserve">  </w:t>
      </w:r>
      <w:r w:rsidR="00EA1257">
        <w:tab/>
      </w:r>
      <w:r w:rsidR="00EA1257">
        <w:tab/>
      </w:r>
      <w:r w:rsidR="00EA1257">
        <w:tab/>
      </w:r>
      <w:r w:rsidR="00EA1257">
        <w:tab/>
      </w:r>
      <w:r w:rsidR="00EA1257">
        <w:tab/>
      </w:r>
      <w:r w:rsidR="00921D9F">
        <w:tab/>
      </w:r>
    </w:p>
    <w:p w:rsidR="008B0E08" w:rsidRDefault="008B0E08" w:rsidP="008B0E08">
      <w:r>
        <w:t>______________________________</w:t>
      </w:r>
      <w:r w:rsidR="00EB23C5">
        <w:t xml:space="preserve">__ </w:t>
      </w:r>
      <w:r>
        <w:t>)</w:t>
      </w:r>
    </w:p>
    <w:p w:rsidR="00082159" w:rsidRDefault="00082159" w:rsidP="008B0E08"/>
    <w:p w:rsidR="00921D9F" w:rsidRDefault="00A80520" w:rsidP="000C5266">
      <w:pPr>
        <w:pStyle w:val="le-brm-normal-32-level"/>
        <w:spacing w:line="480" w:lineRule="auto"/>
        <w:ind w:firstLine="720"/>
        <w:rPr>
          <w:rFonts w:ascii="Times New Roman" w:hAnsi="Times New Roman" w:cs="Times New Roman"/>
          <w:sz w:val="24"/>
          <w:szCs w:val="24"/>
        </w:rPr>
      </w:pPr>
      <w:r w:rsidRPr="00C72BBB">
        <w:rPr>
          <w:rFonts w:ascii="Times New Roman" w:hAnsi="Times New Roman" w:cs="Times New Roman"/>
          <w:sz w:val="24"/>
          <w:szCs w:val="24"/>
        </w:rPr>
        <w:t xml:space="preserve">This matter came before the Board for </w:t>
      </w:r>
      <w:r w:rsidR="00921D9F">
        <w:rPr>
          <w:rFonts w:ascii="Times New Roman" w:hAnsi="Times New Roman" w:cs="Times New Roman"/>
          <w:sz w:val="24"/>
          <w:szCs w:val="24"/>
        </w:rPr>
        <w:t xml:space="preserve">final </w:t>
      </w:r>
      <w:r w:rsidRPr="00C72BBB">
        <w:rPr>
          <w:rFonts w:ascii="Times New Roman" w:hAnsi="Times New Roman" w:cs="Times New Roman"/>
          <w:sz w:val="24"/>
          <w:szCs w:val="24"/>
        </w:rPr>
        <w:t>disposition</w:t>
      </w:r>
      <w:r w:rsidR="00921D9F">
        <w:rPr>
          <w:rFonts w:ascii="Times New Roman" w:hAnsi="Times New Roman" w:cs="Times New Roman"/>
          <w:sz w:val="24"/>
          <w:szCs w:val="24"/>
        </w:rPr>
        <w:t xml:space="preserve"> on the basis</w:t>
      </w:r>
      <w:r w:rsidR="00561B97" w:rsidRPr="00C72BBB">
        <w:rPr>
          <w:rFonts w:ascii="Times New Roman" w:hAnsi="Times New Roman" w:cs="Times New Roman"/>
          <w:sz w:val="24"/>
          <w:szCs w:val="24"/>
        </w:rPr>
        <w:t xml:space="preserve"> of the Administrative Magistrate’s </w:t>
      </w:r>
      <w:r w:rsidR="009C4B74" w:rsidRPr="00C72BBB">
        <w:rPr>
          <w:rFonts w:ascii="Times New Roman" w:hAnsi="Times New Roman" w:cs="Times New Roman"/>
          <w:sz w:val="24"/>
          <w:szCs w:val="24"/>
        </w:rPr>
        <w:t>Recommended Decision</w:t>
      </w:r>
      <w:r w:rsidR="00D90CA8" w:rsidRPr="00C72BBB">
        <w:rPr>
          <w:rFonts w:ascii="Times New Roman" w:hAnsi="Times New Roman" w:cs="Times New Roman"/>
          <w:sz w:val="24"/>
          <w:szCs w:val="24"/>
        </w:rPr>
        <w:t>,</w:t>
      </w:r>
      <w:r w:rsidR="00573314" w:rsidRPr="00C72BBB">
        <w:rPr>
          <w:rFonts w:ascii="Times New Roman" w:hAnsi="Times New Roman" w:cs="Times New Roman"/>
          <w:sz w:val="24"/>
          <w:szCs w:val="24"/>
        </w:rPr>
        <w:t xml:space="preserve"> </w:t>
      </w:r>
      <w:r w:rsidR="00085A77" w:rsidRPr="00C72BBB">
        <w:rPr>
          <w:rFonts w:ascii="Times New Roman" w:hAnsi="Times New Roman" w:cs="Times New Roman"/>
          <w:sz w:val="24"/>
          <w:szCs w:val="24"/>
        </w:rPr>
        <w:t xml:space="preserve">dated </w:t>
      </w:r>
      <w:r w:rsidR="00C96CD5">
        <w:rPr>
          <w:rFonts w:ascii="Times New Roman" w:hAnsi="Times New Roman" w:cs="Times New Roman"/>
          <w:sz w:val="24"/>
          <w:szCs w:val="24"/>
        </w:rPr>
        <w:t>March 15</w:t>
      </w:r>
      <w:r w:rsidR="000C5266">
        <w:rPr>
          <w:rFonts w:ascii="Times New Roman" w:hAnsi="Times New Roman" w:cs="Times New Roman"/>
          <w:sz w:val="24"/>
          <w:szCs w:val="24"/>
        </w:rPr>
        <w:t>, 201</w:t>
      </w:r>
      <w:r w:rsidR="00C96CD5">
        <w:rPr>
          <w:rFonts w:ascii="Times New Roman" w:hAnsi="Times New Roman" w:cs="Times New Roman"/>
          <w:sz w:val="24"/>
          <w:szCs w:val="24"/>
        </w:rPr>
        <w:t>7</w:t>
      </w:r>
      <w:r w:rsidR="00921D9F">
        <w:rPr>
          <w:rFonts w:ascii="Times New Roman" w:hAnsi="Times New Roman" w:cs="Times New Roman"/>
          <w:sz w:val="24"/>
          <w:szCs w:val="24"/>
        </w:rPr>
        <w:t xml:space="preserve">, which attaches and incorporates by </w:t>
      </w:r>
      <w:r w:rsidR="00AF3507">
        <w:rPr>
          <w:rFonts w:ascii="Times New Roman" w:hAnsi="Times New Roman" w:cs="Times New Roman"/>
          <w:sz w:val="24"/>
          <w:szCs w:val="24"/>
        </w:rPr>
        <w:t xml:space="preserve">reference the </w:t>
      </w:r>
      <w:r w:rsidR="000C5266">
        <w:rPr>
          <w:rFonts w:ascii="Times New Roman" w:hAnsi="Times New Roman" w:cs="Times New Roman"/>
          <w:sz w:val="24"/>
          <w:szCs w:val="24"/>
        </w:rPr>
        <w:t>February 22, 2017</w:t>
      </w:r>
      <w:r w:rsidR="00921D9F">
        <w:rPr>
          <w:rFonts w:ascii="Times New Roman" w:hAnsi="Times New Roman" w:cs="Times New Roman"/>
          <w:sz w:val="24"/>
          <w:szCs w:val="24"/>
        </w:rPr>
        <w:t xml:space="preserve"> Stipulation of the Parties.  After full consideration of the Recommended Decision</w:t>
      </w:r>
      <w:r w:rsidR="005B7C02">
        <w:rPr>
          <w:rFonts w:ascii="Times New Roman" w:hAnsi="Times New Roman" w:cs="Times New Roman"/>
          <w:sz w:val="24"/>
          <w:szCs w:val="24"/>
        </w:rPr>
        <w:t>, which is</w:t>
      </w:r>
      <w:r w:rsidR="00921D9F">
        <w:rPr>
          <w:rFonts w:ascii="Times New Roman" w:hAnsi="Times New Roman" w:cs="Times New Roman"/>
          <w:sz w:val="24"/>
          <w:szCs w:val="24"/>
        </w:rPr>
        <w:t xml:space="preserve"> attached hereto and incorporated by reference, </w:t>
      </w:r>
      <w:r w:rsidR="00E47ECD">
        <w:rPr>
          <w:rFonts w:ascii="Times New Roman" w:hAnsi="Times New Roman" w:cs="Times New Roman"/>
          <w:sz w:val="24"/>
          <w:szCs w:val="24"/>
        </w:rPr>
        <w:t>as well as Complaint Counsel’s Memorandum on Disposition, the Respon</w:t>
      </w:r>
      <w:r w:rsidR="000C5266">
        <w:rPr>
          <w:rFonts w:ascii="Times New Roman" w:hAnsi="Times New Roman" w:cs="Times New Roman"/>
          <w:sz w:val="24"/>
          <w:szCs w:val="24"/>
        </w:rPr>
        <w:t>dent’s Memorandum on Disposition, the Respondent’s Affidavit in Support of his Memorandum on Disposition, and the Respondent’s Addendum to his Memorandum on Disposition,</w:t>
      </w:r>
      <w:r w:rsidR="00E47ECD">
        <w:rPr>
          <w:rFonts w:ascii="Times New Roman" w:hAnsi="Times New Roman" w:cs="Times New Roman"/>
          <w:sz w:val="24"/>
          <w:szCs w:val="24"/>
        </w:rPr>
        <w:t xml:space="preserve"> </w:t>
      </w:r>
      <w:r w:rsidR="00921D9F">
        <w:rPr>
          <w:rFonts w:ascii="Times New Roman" w:hAnsi="Times New Roman" w:cs="Times New Roman"/>
          <w:sz w:val="24"/>
          <w:szCs w:val="24"/>
        </w:rPr>
        <w:t xml:space="preserve">the Board </w:t>
      </w:r>
      <w:r w:rsidR="005445FA">
        <w:rPr>
          <w:rFonts w:ascii="Times New Roman" w:hAnsi="Times New Roman" w:cs="Times New Roman"/>
          <w:sz w:val="24"/>
          <w:szCs w:val="24"/>
        </w:rPr>
        <w:t>ADOPTS the Recom</w:t>
      </w:r>
      <w:r w:rsidR="004A1DF1">
        <w:rPr>
          <w:rFonts w:ascii="Times New Roman" w:hAnsi="Times New Roman" w:cs="Times New Roman"/>
          <w:sz w:val="24"/>
          <w:szCs w:val="24"/>
        </w:rPr>
        <w:t>mended Decision and Stipulation, amending it to add:</w:t>
      </w:r>
    </w:p>
    <w:p w:rsidR="00921D9F" w:rsidRPr="00921D9F" w:rsidRDefault="00921D9F" w:rsidP="00921D9F">
      <w:pPr>
        <w:pStyle w:val="le-brm-normal-32-level"/>
        <w:spacing w:line="480" w:lineRule="auto"/>
        <w:jc w:val="center"/>
        <w:rPr>
          <w:rFonts w:ascii="Times New Roman" w:hAnsi="Times New Roman" w:cs="Times New Roman"/>
          <w:sz w:val="24"/>
          <w:szCs w:val="24"/>
          <w:u w:val="single"/>
        </w:rPr>
      </w:pPr>
      <w:r w:rsidRPr="00921D9F">
        <w:rPr>
          <w:rFonts w:ascii="Times New Roman" w:hAnsi="Times New Roman" w:cs="Times New Roman"/>
          <w:sz w:val="24"/>
          <w:szCs w:val="24"/>
          <w:u w:val="single"/>
        </w:rPr>
        <w:t>Sanction</w:t>
      </w:r>
    </w:p>
    <w:p w:rsidR="00310C56" w:rsidRDefault="00921D9F" w:rsidP="00B0075B">
      <w:pPr>
        <w:pStyle w:val="le-brm-normal-32-level"/>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85A77" w:rsidRPr="00C72BBB">
        <w:rPr>
          <w:rFonts w:ascii="Times New Roman" w:hAnsi="Times New Roman" w:cs="Times New Roman"/>
          <w:sz w:val="24"/>
          <w:szCs w:val="24"/>
        </w:rPr>
        <w:t xml:space="preserve">  </w:t>
      </w:r>
      <w:r>
        <w:rPr>
          <w:rFonts w:ascii="Times New Roman" w:hAnsi="Times New Roman" w:cs="Times New Roman"/>
          <w:sz w:val="24"/>
          <w:szCs w:val="24"/>
        </w:rPr>
        <w:t>The record indicates that</w:t>
      </w:r>
      <w:r w:rsidR="007F3222">
        <w:rPr>
          <w:rFonts w:ascii="Times New Roman" w:hAnsi="Times New Roman" w:cs="Times New Roman"/>
          <w:sz w:val="24"/>
          <w:szCs w:val="24"/>
        </w:rPr>
        <w:t xml:space="preserve">, through his treatment of twelve (12) patients, </w:t>
      </w:r>
      <w:r w:rsidR="00AF3507">
        <w:rPr>
          <w:rFonts w:ascii="Times New Roman" w:hAnsi="Times New Roman" w:cs="Times New Roman"/>
          <w:sz w:val="24"/>
          <w:szCs w:val="24"/>
        </w:rPr>
        <w:t xml:space="preserve">the Respondent </w:t>
      </w:r>
      <w:r w:rsidR="007F3222">
        <w:rPr>
          <w:rFonts w:ascii="Times New Roman" w:hAnsi="Times New Roman" w:cs="Times New Roman"/>
          <w:sz w:val="24"/>
          <w:szCs w:val="24"/>
        </w:rPr>
        <w:t>violated M.G.L. c. 94C in his</w:t>
      </w:r>
      <w:r w:rsidR="005445FA">
        <w:rPr>
          <w:rFonts w:ascii="Times New Roman" w:hAnsi="Times New Roman" w:cs="Times New Roman"/>
          <w:sz w:val="24"/>
          <w:szCs w:val="24"/>
        </w:rPr>
        <w:t xml:space="preserve"> issuance of prescriptions outside of the usual course of his medical practice</w:t>
      </w:r>
      <w:r w:rsidR="0085088D">
        <w:rPr>
          <w:rFonts w:ascii="Times New Roman" w:hAnsi="Times New Roman" w:cs="Times New Roman"/>
          <w:sz w:val="24"/>
          <w:szCs w:val="24"/>
        </w:rPr>
        <w:t xml:space="preserve"> treatment</w:t>
      </w:r>
      <w:r w:rsidR="007F3222">
        <w:rPr>
          <w:rFonts w:ascii="Times New Roman" w:hAnsi="Times New Roman" w:cs="Times New Roman"/>
          <w:sz w:val="24"/>
          <w:szCs w:val="24"/>
        </w:rPr>
        <w:t xml:space="preserve"> and in his prescribing of Schedule II controlled substances in a manner that violates Board regulations; </w:t>
      </w:r>
      <w:r w:rsidR="005C7549">
        <w:rPr>
          <w:rFonts w:ascii="Times New Roman" w:hAnsi="Times New Roman" w:cs="Times New Roman"/>
          <w:sz w:val="24"/>
          <w:szCs w:val="24"/>
        </w:rPr>
        <w:t>failed to maintain an appropriate medical record for each patient; engaged in boundary violations with some patients, through his interactions with them socially</w:t>
      </w:r>
      <w:r w:rsidR="007F3222">
        <w:rPr>
          <w:rFonts w:ascii="Times New Roman" w:hAnsi="Times New Roman" w:cs="Times New Roman"/>
          <w:sz w:val="24"/>
          <w:szCs w:val="24"/>
        </w:rPr>
        <w:t xml:space="preserve">; </w:t>
      </w:r>
      <w:r w:rsidR="005C7549">
        <w:rPr>
          <w:rFonts w:ascii="Times New Roman" w:hAnsi="Times New Roman" w:cs="Times New Roman"/>
          <w:sz w:val="24"/>
          <w:szCs w:val="24"/>
        </w:rPr>
        <w:t xml:space="preserve">administered Sphenopalatine Ganglion Block (“SGB”) treatments and prescribed medications for </w:t>
      </w:r>
      <w:r w:rsidR="005C7549">
        <w:rPr>
          <w:rFonts w:ascii="Times New Roman" w:hAnsi="Times New Roman" w:cs="Times New Roman"/>
          <w:sz w:val="24"/>
          <w:szCs w:val="24"/>
        </w:rPr>
        <w:lastRenderedPageBreak/>
        <w:t xml:space="preserve">pain without documenting his rationale for such treatments in the medical records; and prescribed medication to his dog.                        </w:t>
      </w:r>
    </w:p>
    <w:p w:rsidR="000960B2" w:rsidRDefault="008C6E4A" w:rsidP="000960B2">
      <w:pPr>
        <w:pStyle w:val="le-brm-normal-32-level"/>
        <w:spacing w:line="480" w:lineRule="auto"/>
        <w:ind w:firstLine="720"/>
        <w:rPr>
          <w:rFonts w:ascii="Times New Roman" w:hAnsi="Times New Roman" w:cs="Times New Roman"/>
          <w:sz w:val="24"/>
          <w:szCs w:val="24"/>
        </w:rPr>
      </w:pPr>
      <w:r>
        <w:rPr>
          <w:rFonts w:ascii="Times New Roman" w:hAnsi="Times New Roman"/>
          <w:sz w:val="24"/>
          <w:szCs w:val="24"/>
        </w:rPr>
        <w:t>Through his actions, the</w:t>
      </w:r>
      <w:r w:rsidR="0085088D">
        <w:rPr>
          <w:rFonts w:ascii="Times New Roman" w:hAnsi="Times New Roman" w:cs="Times New Roman"/>
          <w:sz w:val="24"/>
          <w:szCs w:val="24"/>
        </w:rPr>
        <w:t xml:space="preserve"> Respondent: </w:t>
      </w:r>
    </w:p>
    <w:p w:rsidR="000960B2" w:rsidRDefault="0036428C" w:rsidP="000960B2">
      <w:pPr>
        <w:pStyle w:val="le-brm-normal-32-level"/>
        <w:numPr>
          <w:ilvl w:val="0"/>
          <w:numId w:val="8"/>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violated G.L. c. 112, § 5, eighth par. (b) and 243 CMR 1.03(5)(a)2, by committing an offense against a provision of the laws of the Commonwealth relating to the practice of medicine, or a rule or regulation adopted</w:t>
      </w:r>
      <w:r w:rsidR="000960B2">
        <w:rPr>
          <w:rFonts w:ascii="Times New Roman" w:hAnsi="Times New Roman" w:cs="Times New Roman"/>
          <w:sz w:val="24"/>
          <w:szCs w:val="24"/>
        </w:rPr>
        <w:t xml:space="preserve"> thereunder.  Specifically, he violated </w:t>
      </w:r>
      <w:r>
        <w:rPr>
          <w:rFonts w:ascii="Times New Roman" w:hAnsi="Times New Roman" w:cs="Times New Roman"/>
          <w:sz w:val="24"/>
          <w:szCs w:val="24"/>
        </w:rPr>
        <w:t>G.L. c. 94C, § 19(a), which requires that physicians issue prescriptions for controlled substances for legitimate purposes and in the usual course of the physician’s medical practice</w:t>
      </w:r>
      <w:r w:rsidR="000960B2">
        <w:rPr>
          <w:rFonts w:ascii="Times New Roman" w:hAnsi="Times New Roman" w:cs="Times New Roman"/>
          <w:sz w:val="24"/>
          <w:szCs w:val="24"/>
        </w:rPr>
        <w:t>;</w:t>
      </w:r>
    </w:p>
    <w:p w:rsidR="000960B2" w:rsidRDefault="000960B2" w:rsidP="000960B2">
      <w:pPr>
        <w:pStyle w:val="le-brm-normal-32-level"/>
        <w:numPr>
          <w:ilvl w:val="0"/>
          <w:numId w:val="8"/>
        </w:numPr>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 </w:t>
      </w:r>
      <w:r w:rsidR="0036428C">
        <w:rPr>
          <w:rFonts w:ascii="Times New Roman" w:hAnsi="Times New Roman" w:cs="Times New Roman"/>
          <w:sz w:val="24"/>
          <w:szCs w:val="24"/>
        </w:rPr>
        <w:t xml:space="preserve">violated G.L. c. 112, §5, eighth par. (c) and 243 CMR 1.03(5)(a)3, by engaging in conduct that places into question the Respondent’s </w:t>
      </w:r>
      <w:r>
        <w:rPr>
          <w:rFonts w:ascii="Times New Roman" w:hAnsi="Times New Roman" w:cs="Times New Roman"/>
          <w:sz w:val="24"/>
          <w:szCs w:val="24"/>
        </w:rPr>
        <w:t>competence to practice medicine;</w:t>
      </w:r>
    </w:p>
    <w:p w:rsidR="0036428C" w:rsidRDefault="0036428C" w:rsidP="000960B2">
      <w:pPr>
        <w:pStyle w:val="le-brm-normal-32-level"/>
        <w:numPr>
          <w:ilvl w:val="0"/>
          <w:numId w:val="8"/>
        </w:numPr>
        <w:spacing w:line="480" w:lineRule="auto"/>
        <w:ind w:left="0" w:firstLine="720"/>
        <w:rPr>
          <w:rFonts w:ascii="Times New Roman" w:hAnsi="Times New Roman" w:cs="Times New Roman"/>
          <w:sz w:val="24"/>
          <w:szCs w:val="24"/>
        </w:rPr>
      </w:pPr>
      <w:r w:rsidRPr="000960B2">
        <w:rPr>
          <w:rFonts w:ascii="Times New Roman" w:hAnsi="Times New Roman" w:cs="Times New Roman"/>
          <w:sz w:val="24"/>
          <w:szCs w:val="24"/>
        </w:rPr>
        <w:t>violated G. L. c. 112, §5, eighth par. (h) and 243 CMR 1.03(5)(a)11,  by violating a rule or regulat</w:t>
      </w:r>
      <w:r w:rsidR="000960B2" w:rsidRPr="000960B2">
        <w:rPr>
          <w:rFonts w:ascii="Times New Roman" w:hAnsi="Times New Roman" w:cs="Times New Roman"/>
          <w:sz w:val="24"/>
          <w:szCs w:val="24"/>
        </w:rPr>
        <w:t xml:space="preserve">ion of the Board.  Specifically, he violated </w:t>
      </w:r>
      <w:r w:rsidRPr="000960B2">
        <w:rPr>
          <w:rFonts w:ascii="Times New Roman" w:hAnsi="Times New Roman" w:cs="Times New Roman"/>
          <w:sz w:val="24"/>
          <w:szCs w:val="24"/>
        </w:rPr>
        <w:t>243 CMR 2.07(13)(a), which requires a physician to:</w:t>
      </w:r>
      <w:r w:rsidR="000960B2" w:rsidRPr="000960B2">
        <w:rPr>
          <w:rFonts w:ascii="Times New Roman" w:hAnsi="Times New Roman" w:cs="Times New Roman"/>
          <w:sz w:val="24"/>
          <w:szCs w:val="24"/>
        </w:rPr>
        <w:t xml:space="preserve"> (1) </w:t>
      </w:r>
      <w:r w:rsidRPr="000960B2">
        <w:rPr>
          <w:rFonts w:ascii="Times New Roman" w:hAnsi="Times New Roman" w:cs="Times New Roman"/>
          <w:sz w:val="24"/>
          <w:szCs w:val="24"/>
        </w:rPr>
        <w:t xml:space="preserve">maintain a medical record for each patient, which is adequate to enable the licensee to provide proper </w:t>
      </w:r>
      <w:r w:rsidR="000960B2" w:rsidRPr="000960B2">
        <w:rPr>
          <w:rFonts w:ascii="Times New Roman" w:hAnsi="Times New Roman" w:cs="Times New Roman"/>
          <w:sz w:val="24"/>
          <w:szCs w:val="24"/>
        </w:rPr>
        <w:t>diagnosis and treatment</w:t>
      </w:r>
      <w:r w:rsidR="000960B2">
        <w:rPr>
          <w:rFonts w:ascii="Times New Roman" w:hAnsi="Times New Roman" w:cs="Times New Roman"/>
          <w:sz w:val="24"/>
          <w:szCs w:val="24"/>
        </w:rPr>
        <w:t xml:space="preserve"> and </w:t>
      </w:r>
      <w:r w:rsidRPr="000960B2">
        <w:rPr>
          <w:rFonts w:ascii="Times New Roman" w:hAnsi="Times New Roman" w:cs="Times New Roman"/>
          <w:sz w:val="24"/>
          <w:szCs w:val="24"/>
        </w:rPr>
        <w:t>maintain a patient’s medical record in a manner which permits the former patient or a suc</w:t>
      </w:r>
      <w:r w:rsidR="000960B2">
        <w:rPr>
          <w:rFonts w:ascii="Times New Roman" w:hAnsi="Times New Roman" w:cs="Times New Roman"/>
          <w:sz w:val="24"/>
          <w:szCs w:val="24"/>
        </w:rPr>
        <w:t xml:space="preserve">cessor physician access to them.  He also violated  </w:t>
      </w:r>
      <w:r w:rsidRPr="000960B2">
        <w:rPr>
          <w:rFonts w:ascii="Times New Roman" w:hAnsi="Times New Roman" w:cs="Times New Roman"/>
          <w:sz w:val="24"/>
          <w:szCs w:val="24"/>
        </w:rPr>
        <w:t xml:space="preserve">243 CMR 2.07(5), which states that a licensee who violates G.L. c. 94C also violates a rule or regulation of </w:t>
      </w:r>
      <w:r w:rsidR="000960B2">
        <w:rPr>
          <w:rFonts w:ascii="Times New Roman" w:hAnsi="Times New Roman" w:cs="Times New Roman"/>
          <w:sz w:val="24"/>
          <w:szCs w:val="24"/>
        </w:rPr>
        <w:t xml:space="preserve">the Board, and he violated </w:t>
      </w:r>
      <w:r w:rsidRPr="000960B2">
        <w:rPr>
          <w:rFonts w:ascii="Times New Roman" w:hAnsi="Times New Roman" w:cs="Times New Roman"/>
          <w:sz w:val="24"/>
          <w:szCs w:val="24"/>
        </w:rPr>
        <w:t>243 CMR 2.07(19), w</w:t>
      </w:r>
      <w:r w:rsidR="000960B2">
        <w:rPr>
          <w:rFonts w:ascii="Times New Roman" w:hAnsi="Times New Roman" w:cs="Times New Roman"/>
          <w:sz w:val="24"/>
          <w:szCs w:val="24"/>
        </w:rPr>
        <w:t>hich prohibits a physician from p</w:t>
      </w:r>
      <w:r w:rsidRPr="000960B2">
        <w:rPr>
          <w:rFonts w:ascii="Times New Roman" w:hAnsi="Times New Roman" w:cs="Times New Roman"/>
          <w:sz w:val="24"/>
          <w:szCs w:val="24"/>
        </w:rPr>
        <w:t>rescribing Schedule II controlled substances to a member of his immediate family, including a spouse (or equivalent), parent, child, sibling, parent-in-law, son/daughter-in-law, brother/sister-in-law, step-parent, step-child, step-sibling, or other relative permanently residing in the same residence as the licensee, except in an emergency.</w:t>
      </w:r>
    </w:p>
    <w:p w:rsidR="0036428C" w:rsidRDefault="0036428C" w:rsidP="000960B2">
      <w:pPr>
        <w:pStyle w:val="le-brm-normal-32-level"/>
        <w:numPr>
          <w:ilvl w:val="0"/>
          <w:numId w:val="8"/>
        </w:numPr>
        <w:spacing w:line="480" w:lineRule="auto"/>
        <w:ind w:left="0" w:firstLine="720"/>
        <w:rPr>
          <w:rFonts w:ascii="Times New Roman" w:hAnsi="Times New Roman" w:cs="Times New Roman"/>
          <w:sz w:val="24"/>
          <w:szCs w:val="24"/>
        </w:rPr>
      </w:pPr>
      <w:r w:rsidRPr="000960B2">
        <w:rPr>
          <w:rFonts w:ascii="Times New Roman" w:hAnsi="Times New Roman" w:cs="Times New Roman"/>
          <w:sz w:val="24"/>
          <w:szCs w:val="24"/>
        </w:rPr>
        <w:t>violated 243 CMR 1.03(5)(a)18, by committing miscond</w:t>
      </w:r>
      <w:r w:rsidR="008933B6">
        <w:rPr>
          <w:rFonts w:ascii="Times New Roman" w:hAnsi="Times New Roman" w:cs="Times New Roman"/>
          <w:sz w:val="24"/>
          <w:szCs w:val="24"/>
        </w:rPr>
        <w:t xml:space="preserve">uct in the practice of medicine; and </w:t>
      </w:r>
    </w:p>
    <w:p w:rsidR="0036428C" w:rsidRPr="00E53BF5" w:rsidRDefault="0036428C" w:rsidP="008C6E4A">
      <w:pPr>
        <w:pStyle w:val="le-brm-normal-32-level"/>
        <w:numPr>
          <w:ilvl w:val="0"/>
          <w:numId w:val="8"/>
        </w:numPr>
        <w:spacing w:line="480" w:lineRule="auto"/>
        <w:ind w:left="0" w:firstLine="720"/>
        <w:rPr>
          <w:rFonts w:ascii="Times New Roman" w:hAnsi="Times New Roman" w:cs="Times New Roman"/>
          <w:sz w:val="24"/>
          <w:szCs w:val="24"/>
        </w:rPr>
      </w:pPr>
      <w:r w:rsidRPr="00E53BF5">
        <w:rPr>
          <w:rFonts w:ascii="Times New Roman" w:hAnsi="Times New Roman" w:cs="Times New Roman"/>
          <w:sz w:val="24"/>
          <w:szCs w:val="24"/>
        </w:rPr>
        <w:lastRenderedPageBreak/>
        <w:t xml:space="preserve">engaged in conduct that undermines the public confidence in the integrity of the medical profession.  </w:t>
      </w:r>
      <w:r w:rsidRPr="00E53BF5">
        <w:rPr>
          <w:rFonts w:ascii="Times New Roman" w:hAnsi="Times New Roman" w:cs="Times New Roman"/>
          <w:sz w:val="24"/>
          <w:szCs w:val="24"/>
          <w:u w:val="single"/>
        </w:rPr>
        <w:t>See</w:t>
      </w:r>
      <w:r w:rsidRPr="00E53BF5">
        <w:rPr>
          <w:rFonts w:ascii="Times New Roman" w:hAnsi="Times New Roman" w:cs="Times New Roman"/>
          <w:sz w:val="24"/>
          <w:szCs w:val="24"/>
        </w:rPr>
        <w:t xml:space="preserve"> </w:t>
      </w:r>
      <w:r w:rsidRPr="00E53BF5">
        <w:rPr>
          <w:rFonts w:ascii="Times New Roman" w:hAnsi="Times New Roman" w:cs="Times New Roman"/>
          <w:sz w:val="24"/>
          <w:szCs w:val="24"/>
          <w:u w:val="single"/>
        </w:rPr>
        <w:t>Levy v. Board of Registration in Medicine</w:t>
      </w:r>
      <w:r w:rsidRPr="00E53BF5">
        <w:rPr>
          <w:rFonts w:ascii="Times New Roman" w:hAnsi="Times New Roman" w:cs="Times New Roman"/>
          <w:sz w:val="24"/>
          <w:szCs w:val="24"/>
        </w:rPr>
        <w:t xml:space="preserve">, 378 Mass. 519 (1979); and </w:t>
      </w:r>
      <w:r w:rsidRPr="00E53BF5">
        <w:rPr>
          <w:rFonts w:ascii="Times New Roman" w:hAnsi="Times New Roman" w:cs="Times New Roman"/>
          <w:sz w:val="24"/>
          <w:szCs w:val="24"/>
          <w:u w:val="single"/>
        </w:rPr>
        <w:t>Raymond v. Board of Registration in Medicine</w:t>
      </w:r>
      <w:r w:rsidRPr="00E53BF5">
        <w:rPr>
          <w:rFonts w:ascii="Times New Roman" w:hAnsi="Times New Roman" w:cs="Times New Roman"/>
          <w:sz w:val="24"/>
          <w:szCs w:val="24"/>
        </w:rPr>
        <w:t>, 287 Mass. 708 (1982).</w:t>
      </w:r>
    </w:p>
    <w:p w:rsidR="000B23E6" w:rsidRPr="002610DD" w:rsidRDefault="000C4A23" w:rsidP="000C4A23">
      <w:pPr>
        <w:pStyle w:val="le-brm-normal-32-level"/>
        <w:spacing w:line="480" w:lineRule="auto"/>
        <w:ind w:firstLine="720"/>
        <w:rPr>
          <w:rFonts w:ascii="Times New Roman" w:hAnsi="Times New Roman"/>
          <w:sz w:val="24"/>
          <w:szCs w:val="24"/>
        </w:rPr>
      </w:pPr>
      <w:r w:rsidRPr="002610DD">
        <w:rPr>
          <w:rFonts w:ascii="Times New Roman" w:hAnsi="Times New Roman"/>
          <w:sz w:val="24"/>
          <w:szCs w:val="24"/>
        </w:rPr>
        <w:t>In this matter, the Board observes that the Respondent has</w:t>
      </w:r>
      <w:r w:rsidR="002610DD" w:rsidRPr="002610DD">
        <w:rPr>
          <w:rFonts w:ascii="Times New Roman" w:hAnsi="Times New Roman"/>
          <w:sz w:val="24"/>
          <w:szCs w:val="24"/>
        </w:rPr>
        <w:t xml:space="preserve"> violated the rules and regulations of the Board, and has</w:t>
      </w:r>
      <w:r w:rsidRPr="002610DD">
        <w:rPr>
          <w:rFonts w:ascii="Times New Roman" w:hAnsi="Times New Roman"/>
          <w:sz w:val="24"/>
          <w:szCs w:val="24"/>
        </w:rPr>
        <w:t xml:space="preserve"> engaged in a pattern of conduct that calls into question his competence to practice medicine and undermines public confidence in the integrity of the medical profession.  The Board’s paramount responsibility is the protection of the public health, safety, and welfare.  </w:t>
      </w:r>
      <w:r w:rsidRPr="002610DD">
        <w:rPr>
          <w:rFonts w:ascii="Times New Roman" w:hAnsi="Times New Roman"/>
          <w:sz w:val="24"/>
          <w:szCs w:val="24"/>
          <w:u w:val="single"/>
        </w:rPr>
        <w:t>See</w:t>
      </w:r>
      <w:r w:rsidRPr="002610DD">
        <w:rPr>
          <w:rFonts w:ascii="Times New Roman" w:hAnsi="Times New Roman"/>
          <w:sz w:val="24"/>
          <w:szCs w:val="24"/>
        </w:rPr>
        <w:t xml:space="preserve"> </w:t>
      </w:r>
      <w:r w:rsidRPr="00696F6F">
        <w:rPr>
          <w:rFonts w:ascii="Times New Roman" w:hAnsi="Times New Roman"/>
          <w:sz w:val="24"/>
          <w:szCs w:val="24"/>
          <w:u w:val="single"/>
        </w:rPr>
        <w:t>Levy v. Board of Registration in Medicine</w:t>
      </w:r>
      <w:r w:rsidRPr="002610DD">
        <w:rPr>
          <w:rFonts w:ascii="Times New Roman" w:hAnsi="Times New Roman"/>
          <w:sz w:val="24"/>
          <w:szCs w:val="24"/>
        </w:rPr>
        <w:t>, 378 Mass. 519 (1979).  In</w:t>
      </w:r>
      <w:r w:rsidR="002610DD" w:rsidRPr="002610DD">
        <w:rPr>
          <w:rFonts w:ascii="Times New Roman" w:hAnsi="Times New Roman"/>
          <w:sz w:val="24"/>
          <w:szCs w:val="24"/>
        </w:rPr>
        <w:t xml:space="preserve"> </w:t>
      </w:r>
      <w:r w:rsidRPr="002610DD">
        <w:rPr>
          <w:rFonts w:ascii="Times New Roman" w:hAnsi="Times New Roman"/>
          <w:sz w:val="24"/>
          <w:szCs w:val="24"/>
        </w:rPr>
        <w:t xml:space="preserve">cases involving substantial deviations in medical care and treatment, the Board has </w:t>
      </w:r>
      <w:r w:rsidR="008C6E4A" w:rsidRPr="002610DD">
        <w:rPr>
          <w:rFonts w:ascii="Times New Roman" w:hAnsi="Times New Roman"/>
          <w:sz w:val="24"/>
          <w:szCs w:val="24"/>
        </w:rPr>
        <w:t xml:space="preserve">imposed suspensions, with leave to petition for reinstatement after additional training or following a period of supervised practice.  </w:t>
      </w:r>
      <w:r w:rsidR="008C6E4A" w:rsidRPr="002610DD">
        <w:rPr>
          <w:rFonts w:ascii="Times New Roman" w:hAnsi="Times New Roman"/>
          <w:sz w:val="24"/>
          <w:szCs w:val="24"/>
          <w:u w:val="single"/>
        </w:rPr>
        <w:t>See</w:t>
      </w:r>
      <w:r w:rsidR="008C6E4A" w:rsidRPr="002610DD">
        <w:rPr>
          <w:rFonts w:ascii="Times New Roman" w:hAnsi="Times New Roman"/>
          <w:i/>
          <w:sz w:val="24"/>
          <w:szCs w:val="24"/>
        </w:rPr>
        <w:t xml:space="preserve"> </w:t>
      </w:r>
      <w:r w:rsidR="008C6E4A" w:rsidRPr="002610DD">
        <w:rPr>
          <w:rFonts w:ascii="Times New Roman" w:hAnsi="Times New Roman"/>
          <w:sz w:val="24"/>
          <w:szCs w:val="24"/>
          <w:u w:val="single"/>
        </w:rPr>
        <w:t>In the Matter of Barry J. Lobovits, M.D.</w:t>
      </w:r>
      <w:r w:rsidR="008C6E4A" w:rsidRPr="002610DD">
        <w:rPr>
          <w:rFonts w:ascii="Times New Roman" w:hAnsi="Times New Roman"/>
          <w:sz w:val="24"/>
          <w:szCs w:val="24"/>
        </w:rPr>
        <w:t xml:space="preserve">, Board of Registration in Medicine, Adjudicatory Case No. 2013-026 (Final Decision and Order, May 14, 2014) (indefinite suspension for negligence involving 24 patients); </w:t>
      </w:r>
      <w:r w:rsidR="008C6E4A" w:rsidRPr="002610DD">
        <w:rPr>
          <w:rFonts w:ascii="Times New Roman" w:hAnsi="Times New Roman"/>
          <w:sz w:val="24"/>
          <w:szCs w:val="24"/>
          <w:u w:val="single"/>
        </w:rPr>
        <w:t>In the Matter N. Raj Birudavol, M.D.</w:t>
      </w:r>
      <w:r w:rsidR="008C6E4A" w:rsidRPr="002610DD">
        <w:rPr>
          <w:rFonts w:ascii="Times New Roman" w:hAnsi="Times New Roman"/>
          <w:sz w:val="24"/>
          <w:szCs w:val="24"/>
        </w:rPr>
        <w:t>, Board of Registration in Medicine, Adjudicatory Case No. 02-16-DALA (Final Decision &amp; Order, January 18, 2006)(indefinite suspension for pattern of substantial deviations in medical care and treatment involving four patients).</w:t>
      </w:r>
    </w:p>
    <w:p w:rsidR="0018653D" w:rsidRDefault="000B23E6" w:rsidP="0018653D">
      <w:pPr>
        <w:pStyle w:val="BodyText"/>
        <w:tabs>
          <w:tab w:val="left" w:pos="1350"/>
          <w:tab w:val="left" w:pos="9360"/>
        </w:tabs>
        <w:spacing w:before="20" w:after="20" w:line="480" w:lineRule="auto"/>
        <w:ind w:firstLine="720"/>
      </w:pPr>
      <w:r w:rsidRPr="000B23E6">
        <w:rPr>
          <w:szCs w:val="24"/>
        </w:rPr>
        <w:t>Given the findings of fact and conclusions</w:t>
      </w:r>
      <w:r>
        <w:rPr>
          <w:szCs w:val="24"/>
        </w:rPr>
        <w:t xml:space="preserve"> of law set forth by the Recommended Decision</w:t>
      </w:r>
      <w:r w:rsidR="00E7011E">
        <w:rPr>
          <w:szCs w:val="24"/>
        </w:rPr>
        <w:t xml:space="preserve"> and the Parties’ Stipulation</w:t>
      </w:r>
      <w:r>
        <w:rPr>
          <w:szCs w:val="24"/>
        </w:rPr>
        <w:t xml:space="preserve">, the Board hereby </w:t>
      </w:r>
      <w:r w:rsidR="0085088D">
        <w:rPr>
          <w:szCs w:val="24"/>
        </w:rPr>
        <w:t>INDEFINITELY SUSPENDS</w:t>
      </w:r>
      <w:r>
        <w:rPr>
          <w:szCs w:val="24"/>
        </w:rPr>
        <w:t xml:space="preserve"> the </w:t>
      </w:r>
      <w:r w:rsidR="00E76464">
        <w:rPr>
          <w:szCs w:val="24"/>
        </w:rPr>
        <w:t xml:space="preserve">Respondent’s </w:t>
      </w:r>
      <w:r w:rsidR="002205E8" w:rsidRPr="00D2430B">
        <w:rPr>
          <w:szCs w:val="24"/>
        </w:rPr>
        <w:t xml:space="preserve">inchoate right to renew his </w:t>
      </w:r>
      <w:r w:rsidR="00E76464" w:rsidRPr="00D2430B">
        <w:rPr>
          <w:szCs w:val="24"/>
        </w:rPr>
        <w:t>license</w:t>
      </w:r>
      <w:r w:rsidRPr="00D2430B">
        <w:rPr>
          <w:szCs w:val="24"/>
        </w:rPr>
        <w:t xml:space="preserve"> to practice medicine</w:t>
      </w:r>
      <w:r w:rsidR="00C63054">
        <w:rPr>
          <w:szCs w:val="24"/>
        </w:rPr>
        <w:t xml:space="preserve">.  </w:t>
      </w:r>
      <w:r w:rsidR="00E7011E">
        <w:t>These</w:t>
      </w:r>
      <w:r w:rsidR="0085088D">
        <w:t xml:space="preserve"> sanctions are imposed fo</w:t>
      </w:r>
      <w:r w:rsidR="00E7011E">
        <w:t>r Conclusions of Law A through E</w:t>
      </w:r>
      <w:r w:rsidR="0085088D">
        <w:t>.</w:t>
      </w:r>
      <w:r w:rsidR="00C141C0">
        <w:t xml:space="preserve"> </w:t>
      </w:r>
      <w:r w:rsidR="0085088D">
        <w:t xml:space="preserve"> Any stay of the suspension will be at the Board’s discretion and will be contingent upon the Respondent</w:t>
      </w:r>
      <w:r w:rsidR="0018653D">
        <w:t>’s entry into a five-year Probation Agreement that requires:</w:t>
      </w:r>
    </w:p>
    <w:p w:rsidR="00E7011E" w:rsidRPr="009A4301" w:rsidRDefault="00E7011E" w:rsidP="009A4301">
      <w:pPr>
        <w:pStyle w:val="BodyText"/>
        <w:numPr>
          <w:ilvl w:val="0"/>
          <w:numId w:val="11"/>
        </w:numPr>
        <w:tabs>
          <w:tab w:val="left" w:pos="1080"/>
          <w:tab w:val="left" w:pos="9360"/>
        </w:tabs>
        <w:spacing w:before="20" w:after="20" w:line="480" w:lineRule="auto"/>
        <w:ind w:left="1080"/>
      </w:pPr>
      <w:r w:rsidRPr="00E7011E">
        <w:rPr>
          <w:snapToGrid w:val="0"/>
          <w:szCs w:val="24"/>
        </w:rPr>
        <w:lastRenderedPageBreak/>
        <w:t>Completion of a clinical skills assessment by a Board-approved entity, with the identity of a proposed clinical skills assessment entity submitted for consideration by the Board within 30 days of the Respondent’s entry into a Probation Agreement, and with the clinical skills assessment itself to be completed within 90 days from the date on which the Board grants its approval of the assessing entity</w:t>
      </w:r>
      <w:r w:rsidR="009A4301">
        <w:rPr>
          <w:snapToGrid w:val="0"/>
          <w:szCs w:val="24"/>
        </w:rPr>
        <w:t>;</w:t>
      </w:r>
    </w:p>
    <w:p w:rsidR="00AA31A3" w:rsidRPr="00AA31A3" w:rsidRDefault="00E7011E" w:rsidP="00AA31A3">
      <w:pPr>
        <w:pStyle w:val="BodyText"/>
        <w:numPr>
          <w:ilvl w:val="0"/>
          <w:numId w:val="11"/>
        </w:numPr>
        <w:tabs>
          <w:tab w:val="left" w:pos="1080"/>
          <w:tab w:val="left" w:pos="9360"/>
        </w:tabs>
        <w:spacing w:before="20" w:after="20" w:line="480" w:lineRule="auto"/>
        <w:ind w:left="1080"/>
      </w:pPr>
      <w:r w:rsidRPr="009A4301">
        <w:rPr>
          <w:snapToGrid w:val="0"/>
          <w:szCs w:val="24"/>
        </w:rPr>
        <w:t>Submission of the results of the clinical skills assessment to the Board, immediately upon receipt.  Upon the Board’s review of the clinical skills assessment results, entry into a revised Probation Agreement containing any and all recommendations made by the clinical skills assessment entity;</w:t>
      </w:r>
    </w:p>
    <w:p w:rsidR="00AA31A3" w:rsidRPr="00AA31A3" w:rsidRDefault="00E7011E" w:rsidP="00F4168D">
      <w:pPr>
        <w:pStyle w:val="BodyText"/>
        <w:numPr>
          <w:ilvl w:val="0"/>
          <w:numId w:val="11"/>
        </w:numPr>
        <w:tabs>
          <w:tab w:val="left" w:pos="1080"/>
          <w:tab w:val="left" w:pos="9360"/>
        </w:tabs>
        <w:spacing w:before="20" w:after="20" w:line="480" w:lineRule="auto"/>
        <w:ind w:left="1080"/>
      </w:pPr>
      <w:r w:rsidRPr="00AA31A3">
        <w:rPr>
          <w:snapToGrid w:val="0"/>
          <w:szCs w:val="24"/>
        </w:rPr>
        <w:t xml:space="preserve">Workplace monitoring by a Board-approved monitor, for the purposes of monitoring all patient medical records for proper record-keeping, as well as monitoring the medical care provided to all patients; </w:t>
      </w:r>
    </w:p>
    <w:p w:rsidR="00E7011E" w:rsidRPr="00AA31A3" w:rsidRDefault="00E7011E" w:rsidP="00AA31A3">
      <w:pPr>
        <w:pStyle w:val="BodyText"/>
        <w:numPr>
          <w:ilvl w:val="0"/>
          <w:numId w:val="11"/>
        </w:numPr>
        <w:tabs>
          <w:tab w:val="left" w:pos="1080"/>
          <w:tab w:val="left" w:pos="9360"/>
        </w:tabs>
        <w:spacing w:before="20" w:after="20" w:line="480" w:lineRule="auto"/>
        <w:ind w:left="1080"/>
      </w:pPr>
      <w:r w:rsidRPr="00AA31A3">
        <w:rPr>
          <w:snapToGrid w:val="0"/>
          <w:szCs w:val="24"/>
        </w:rPr>
        <w:t>Completion of additional CME, to be completed within 60 days of the date of the Final Decision and Order, specifically:</w:t>
      </w:r>
    </w:p>
    <w:p w:rsidR="00E7011E" w:rsidRPr="00E7011E" w:rsidRDefault="00E7011E" w:rsidP="00E7011E">
      <w:pPr>
        <w:pStyle w:val="ListParagraph"/>
        <w:widowControl w:val="0"/>
        <w:numPr>
          <w:ilvl w:val="1"/>
          <w:numId w:val="9"/>
        </w:numPr>
        <w:spacing w:after="0" w:line="240" w:lineRule="auto"/>
        <w:rPr>
          <w:rFonts w:ascii="Times New Roman" w:hAnsi="Times New Roman"/>
          <w:snapToGrid w:val="0"/>
          <w:sz w:val="24"/>
          <w:szCs w:val="24"/>
        </w:rPr>
      </w:pPr>
      <w:r w:rsidRPr="00E7011E">
        <w:rPr>
          <w:rFonts w:ascii="Times New Roman" w:hAnsi="Times New Roman"/>
          <w:snapToGrid w:val="0"/>
          <w:sz w:val="24"/>
          <w:szCs w:val="24"/>
        </w:rPr>
        <w:t>10 credit hours in pain management;</w:t>
      </w:r>
    </w:p>
    <w:p w:rsidR="00E7011E" w:rsidRPr="00E7011E" w:rsidRDefault="00E7011E" w:rsidP="00E7011E">
      <w:pPr>
        <w:pStyle w:val="ListParagraph"/>
        <w:widowControl w:val="0"/>
        <w:numPr>
          <w:ilvl w:val="1"/>
          <w:numId w:val="9"/>
        </w:numPr>
        <w:spacing w:after="0" w:line="240" w:lineRule="auto"/>
        <w:rPr>
          <w:rFonts w:ascii="Times New Roman" w:hAnsi="Times New Roman"/>
          <w:snapToGrid w:val="0"/>
          <w:sz w:val="24"/>
          <w:szCs w:val="24"/>
        </w:rPr>
      </w:pPr>
      <w:r w:rsidRPr="00E7011E">
        <w:rPr>
          <w:rFonts w:ascii="Times New Roman" w:hAnsi="Times New Roman"/>
          <w:snapToGrid w:val="0"/>
          <w:sz w:val="24"/>
          <w:szCs w:val="24"/>
        </w:rPr>
        <w:t xml:space="preserve">5 credit hours in record-keeping; and </w:t>
      </w:r>
    </w:p>
    <w:p w:rsidR="00AA31A3" w:rsidRDefault="00E7011E" w:rsidP="00AA31A3">
      <w:pPr>
        <w:pStyle w:val="ListParagraph"/>
        <w:widowControl w:val="0"/>
        <w:numPr>
          <w:ilvl w:val="1"/>
          <w:numId w:val="9"/>
        </w:numPr>
        <w:spacing w:after="0" w:line="240" w:lineRule="auto"/>
        <w:rPr>
          <w:rFonts w:ascii="Times New Roman" w:hAnsi="Times New Roman"/>
          <w:snapToGrid w:val="0"/>
          <w:sz w:val="24"/>
          <w:szCs w:val="24"/>
        </w:rPr>
      </w:pPr>
      <w:r w:rsidRPr="00E7011E">
        <w:rPr>
          <w:rFonts w:ascii="Times New Roman" w:hAnsi="Times New Roman"/>
          <w:snapToGrid w:val="0"/>
          <w:sz w:val="24"/>
          <w:szCs w:val="24"/>
        </w:rPr>
        <w:t>5 credit hours in boundary issues; and</w:t>
      </w:r>
    </w:p>
    <w:p w:rsidR="00AA31A3" w:rsidRDefault="00AA31A3" w:rsidP="00AA31A3">
      <w:pPr>
        <w:pStyle w:val="ListParagraph"/>
        <w:widowControl w:val="0"/>
        <w:spacing w:after="0" w:line="240" w:lineRule="auto"/>
        <w:rPr>
          <w:rFonts w:ascii="Times New Roman" w:hAnsi="Times New Roman"/>
          <w:snapToGrid w:val="0"/>
          <w:sz w:val="24"/>
          <w:szCs w:val="24"/>
        </w:rPr>
      </w:pPr>
    </w:p>
    <w:p w:rsidR="00E7011E" w:rsidRPr="00AA31A3" w:rsidRDefault="00AA31A3" w:rsidP="00F4168D">
      <w:pPr>
        <w:pStyle w:val="ListParagraph"/>
        <w:widowControl w:val="0"/>
        <w:numPr>
          <w:ilvl w:val="0"/>
          <w:numId w:val="11"/>
        </w:numPr>
        <w:spacing w:before="20" w:after="20" w:line="480" w:lineRule="auto"/>
        <w:ind w:left="0" w:firstLine="720"/>
        <w:rPr>
          <w:rFonts w:ascii="Times New Roman" w:hAnsi="Times New Roman"/>
          <w:snapToGrid w:val="0"/>
          <w:sz w:val="24"/>
          <w:szCs w:val="24"/>
        </w:rPr>
      </w:pPr>
      <w:r>
        <w:rPr>
          <w:rFonts w:ascii="Times New Roman" w:hAnsi="Times New Roman"/>
          <w:snapToGrid w:val="0"/>
          <w:sz w:val="24"/>
          <w:szCs w:val="24"/>
        </w:rPr>
        <w:t xml:space="preserve"> </w:t>
      </w:r>
      <w:r w:rsidR="00E7011E" w:rsidRPr="00AA31A3">
        <w:rPr>
          <w:rFonts w:ascii="Times New Roman" w:hAnsi="Times New Roman"/>
          <w:snapToGrid w:val="0"/>
          <w:sz w:val="24"/>
          <w:szCs w:val="24"/>
        </w:rPr>
        <w:t>Compliance with any other conditions that the Board may require.</w:t>
      </w:r>
    </w:p>
    <w:p w:rsidR="004A1DF1" w:rsidRDefault="004A1DF1" w:rsidP="004A1DF1">
      <w:pPr>
        <w:spacing w:before="20" w:after="20" w:line="480" w:lineRule="auto"/>
      </w:pPr>
      <w:r>
        <w:t>The Respondent was provided with an opportunity to reject the above-stated sanction, pursuant to the terms of the Parties’ Stipulation, which reads:</w:t>
      </w:r>
    </w:p>
    <w:p w:rsidR="004A1DF1" w:rsidRDefault="004A1DF1" w:rsidP="004A1DF1">
      <w:pPr>
        <w:ind w:left="720" w:right="720"/>
      </w:pPr>
      <w:r>
        <w:t>If the Board decides to impose sanctions that the Respondent is not willing to accept, the Respondent will be given the opportunity to proceed to a hearing on the merits in accordance with the adjudicatory process as provided in General Laws chapter 30A and 801 CMR 1.00 et seq.</w:t>
      </w:r>
    </w:p>
    <w:p w:rsidR="004A1DF1" w:rsidRDefault="004A1DF1" w:rsidP="004A1DF1">
      <w:pPr>
        <w:spacing w:before="20" w:after="100"/>
        <w:ind w:firstLine="720"/>
      </w:pPr>
    </w:p>
    <w:p w:rsidR="00171E91" w:rsidRDefault="00C82C81" w:rsidP="00E9653A">
      <w:pPr>
        <w:spacing w:before="20" w:after="100" w:line="480" w:lineRule="auto"/>
        <w:ind w:firstLine="720"/>
      </w:pPr>
      <w:r>
        <w:t>T</w:t>
      </w:r>
      <w:r w:rsidRPr="00DF68A7">
        <w:t xml:space="preserve">he Respondent shall provide a complete copy of this Final Decision and Order, with all exhibits and attachments, within ten (10) days by certified mail, return receipt requested, or by </w:t>
      </w:r>
      <w:r w:rsidRPr="00DF68A7">
        <w:lastRenderedPageBreak/>
        <w:t>hand delivery to the following designated entities: any in- or out-of-state hospital, nursing home, clinic, other licensed facility, or municipal, state, or federal facility a</w:t>
      </w:r>
      <w:r>
        <w:t xml:space="preserve">t which </w:t>
      </w:r>
      <w:r w:rsidRPr="00DF68A7">
        <w:t>he practices medicine; any in- or out-of-state health maint</w:t>
      </w:r>
      <w:r>
        <w:t xml:space="preserve">enance organization with which </w:t>
      </w:r>
      <w:r w:rsidRPr="00DF68A7">
        <w:t>he has privileges or any other kind of association; any state agency, i</w:t>
      </w:r>
      <w:r>
        <w:t xml:space="preserve">n- or out-of-state, with which </w:t>
      </w:r>
      <w:r w:rsidRPr="00DF68A7">
        <w:t>he has a provider contract; any in- or out-of-state medical employer, whether or not he practices medicine there; the state licensing b</w:t>
      </w:r>
      <w:r>
        <w:t xml:space="preserve">oards of all states with which </w:t>
      </w:r>
      <w:r w:rsidRPr="00DF68A7">
        <w:t xml:space="preserve">he has any kind of license to practice medicine; the Drug Enforcement Administration – Boston Diversion Group; and the Massachusetts Department of Public Health Drug Control Program.  The Respondent shall also provide this notification to any such </w:t>
      </w:r>
      <w:r>
        <w:t xml:space="preserve">designated entities with which </w:t>
      </w:r>
      <w:r w:rsidRPr="00DF68A7">
        <w:t>he becomes associated for the duration of this</w:t>
      </w:r>
      <w:r>
        <w:t xml:space="preserve"> suspension</w:t>
      </w:r>
      <w:r w:rsidRPr="00DF68A7">
        <w: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taken.</w:t>
      </w:r>
    </w:p>
    <w:p w:rsidR="00171E91" w:rsidRDefault="00171E91" w:rsidP="00BE6628">
      <w:pPr>
        <w:pStyle w:val="BodyText"/>
        <w:rPr>
          <w:color w:val="000000"/>
        </w:rPr>
      </w:pPr>
    </w:p>
    <w:p w:rsidR="005E18D0" w:rsidRDefault="005E18D0" w:rsidP="00BE6628">
      <w:pPr>
        <w:pStyle w:val="BodyText"/>
        <w:rPr>
          <w:color w:val="000000"/>
        </w:rPr>
      </w:pPr>
    </w:p>
    <w:p w:rsidR="005E18D0" w:rsidRDefault="005E18D0" w:rsidP="00BE6628">
      <w:pPr>
        <w:pStyle w:val="BodyText"/>
        <w:rPr>
          <w:color w:val="000000"/>
        </w:rPr>
      </w:pPr>
    </w:p>
    <w:p w:rsidR="00BE6628" w:rsidRPr="006F7846" w:rsidRDefault="00EA434E" w:rsidP="00BE6628">
      <w:pPr>
        <w:pStyle w:val="BodyText"/>
        <w:rPr>
          <w:color w:val="000000"/>
          <w:u w:val="single"/>
        </w:rPr>
      </w:pPr>
      <w:r>
        <w:rPr>
          <w:color w:val="000000"/>
        </w:rPr>
        <w:t>DATE:</w:t>
      </w:r>
      <w:r w:rsidR="00A02BEF">
        <w:rPr>
          <w:color w:val="000000"/>
        </w:rPr>
        <w:tab/>
      </w:r>
      <w:r w:rsidR="00A02BEF">
        <w:rPr>
          <w:color w:val="000000"/>
        </w:rPr>
        <w:tab/>
      </w:r>
      <w:r w:rsidR="00550208">
        <w:rPr>
          <w:color w:val="000000"/>
        </w:rPr>
        <w:t>June 14</w:t>
      </w:r>
      <w:r w:rsidR="0076795E">
        <w:rPr>
          <w:color w:val="000000"/>
        </w:rPr>
        <w:t>, 2018</w:t>
      </w:r>
      <w:r w:rsidR="00BE6628" w:rsidRPr="000A15F7">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sidR="00DF47D4">
        <w:rPr>
          <w:color w:val="000000"/>
        </w:rPr>
        <w:tab/>
      </w:r>
      <w:r>
        <w:rPr>
          <w:color w:val="000000"/>
        </w:rPr>
        <w:t xml:space="preserve">     </w:t>
      </w:r>
      <w:r w:rsidR="00A02BEF">
        <w:rPr>
          <w:color w:val="000000"/>
        </w:rPr>
        <w:tab/>
      </w:r>
      <w:r w:rsidR="006F7846">
        <w:rPr>
          <w:color w:val="000000"/>
          <w:u w:val="single"/>
        </w:rPr>
        <w:t>Signed by George Abraham, M.D.</w:t>
      </w:r>
      <w:r w:rsidR="006F7846">
        <w:rPr>
          <w:color w:val="000000"/>
          <w:u w:val="single"/>
        </w:rPr>
        <w:tab/>
      </w:r>
      <w:r w:rsidR="006F7846">
        <w:rPr>
          <w:color w:val="000000"/>
          <w:u w:val="single"/>
        </w:rPr>
        <w:tab/>
      </w:r>
    </w:p>
    <w:p w:rsidR="00807843" w:rsidRDefault="00DF47D4" w:rsidP="00807843">
      <w:pPr>
        <w:rPr>
          <w:color w:val="000000"/>
        </w:rPr>
      </w:pPr>
      <w:r>
        <w:rPr>
          <w:color w:val="000000"/>
        </w:rPr>
        <w:tab/>
      </w:r>
      <w:r>
        <w:rPr>
          <w:color w:val="000000"/>
        </w:rPr>
        <w:tab/>
      </w:r>
      <w:r>
        <w:rPr>
          <w:color w:val="000000"/>
        </w:rPr>
        <w:tab/>
      </w:r>
      <w:r>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EA434E">
        <w:rPr>
          <w:color w:val="000000"/>
        </w:rPr>
        <w:tab/>
      </w:r>
      <w:r w:rsidR="0076795E">
        <w:rPr>
          <w:color w:val="000000"/>
        </w:rPr>
        <w:t>George Abraham</w:t>
      </w:r>
      <w:r w:rsidR="00026318">
        <w:rPr>
          <w:color w:val="000000"/>
        </w:rPr>
        <w:t>, M.D.</w:t>
      </w:r>
    </w:p>
    <w:p w:rsidR="00026318" w:rsidRDefault="00026318" w:rsidP="00807843">
      <w:r>
        <w:rPr>
          <w:color w:val="000000"/>
        </w:rPr>
        <w:tab/>
      </w:r>
      <w:r>
        <w:rPr>
          <w:color w:val="000000"/>
        </w:rPr>
        <w:tab/>
      </w:r>
      <w:r>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C82C81">
        <w:rPr>
          <w:color w:val="000000"/>
        </w:rPr>
        <w:tab/>
      </w:r>
      <w:r w:rsidR="00564D9A">
        <w:rPr>
          <w:color w:val="000000"/>
        </w:rPr>
        <w:t>Acting</w:t>
      </w:r>
      <w:r w:rsidR="0076795E">
        <w:rPr>
          <w:color w:val="000000"/>
        </w:rPr>
        <w:t xml:space="preserve"> </w:t>
      </w:r>
      <w:r>
        <w:rPr>
          <w:color w:val="000000"/>
        </w:rPr>
        <w:t>Chair</w:t>
      </w:r>
      <w:r w:rsidR="00691949">
        <w:rPr>
          <w:color w:val="000000"/>
        </w:rPr>
        <w:t>/Vice Chair</w:t>
      </w:r>
    </w:p>
    <w:p w:rsidR="00807843" w:rsidRDefault="00807843" w:rsidP="00807843">
      <w:pPr>
        <w:rPr>
          <w:rFonts w:ascii="Arial" w:hAnsi="Arial" w:cs="Arial"/>
          <w:sz w:val="20"/>
          <w:szCs w:val="20"/>
        </w:rPr>
      </w:pPr>
    </w:p>
    <w:p w:rsidR="008B0E08" w:rsidRPr="00CF23F5" w:rsidRDefault="00DF47D4" w:rsidP="00CF23F5">
      <w:pPr>
        <w:pStyle w:val="BodyText"/>
        <w:rPr>
          <w:color w:val="000000"/>
        </w:rPr>
      </w:pPr>
      <w:r>
        <w:tab/>
      </w:r>
      <w:r>
        <w:tab/>
      </w:r>
      <w:r>
        <w:tab/>
      </w:r>
      <w:r>
        <w:tab/>
      </w:r>
      <w:r>
        <w:tab/>
      </w:r>
      <w:r>
        <w:tab/>
      </w:r>
      <w:r>
        <w:tab/>
      </w:r>
      <w:r>
        <w:tab/>
      </w:r>
      <w:r>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p>
    <w:sectPr w:rsidR="008B0E08" w:rsidRPr="00CF23F5" w:rsidSect="007B6A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460" w:rsidRDefault="00ED2460">
      <w:r>
        <w:separator/>
      </w:r>
    </w:p>
  </w:endnote>
  <w:endnote w:type="continuationSeparator" w:id="0">
    <w:p w:rsidR="00ED2460" w:rsidRDefault="00ED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18D0" w:rsidRDefault="005E18D0" w:rsidP="00A04E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4779">
      <w:rPr>
        <w:rStyle w:val="PageNumber"/>
        <w:noProof/>
      </w:rPr>
      <w:t>5</w:t>
    </w:r>
    <w:r>
      <w:rPr>
        <w:rStyle w:val="PageNumber"/>
      </w:rPr>
      <w:fldChar w:fldCharType="end"/>
    </w:r>
  </w:p>
  <w:p w:rsidR="005E18D0" w:rsidRDefault="005E18D0" w:rsidP="00A04EF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779" w:rsidRDefault="00214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460" w:rsidRDefault="00ED2460">
      <w:r>
        <w:separator/>
      </w:r>
    </w:p>
  </w:footnote>
  <w:footnote w:type="continuationSeparator" w:id="0">
    <w:p w:rsidR="00ED2460" w:rsidRDefault="00ED2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779" w:rsidRDefault="002147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779" w:rsidRDefault="002147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779" w:rsidRDefault="002147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24C9"/>
    <w:multiLevelType w:val="hybridMultilevel"/>
    <w:tmpl w:val="6706B926"/>
    <w:lvl w:ilvl="0" w:tplc="C6227F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F660DDE"/>
    <w:multiLevelType w:val="hybridMultilevel"/>
    <w:tmpl w:val="729ADACA"/>
    <w:lvl w:ilvl="0" w:tplc="29EEDEEA">
      <w:start w:val="1"/>
      <w:numFmt w:val="lowerLetter"/>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244F99"/>
    <w:multiLevelType w:val="hybridMultilevel"/>
    <w:tmpl w:val="6A1AE7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2D55AD"/>
    <w:multiLevelType w:val="hybridMultilevel"/>
    <w:tmpl w:val="8CC0253E"/>
    <w:lvl w:ilvl="0" w:tplc="58308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A4162F"/>
    <w:multiLevelType w:val="hybridMultilevel"/>
    <w:tmpl w:val="9E3A9B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B16452"/>
    <w:multiLevelType w:val="hybridMultilevel"/>
    <w:tmpl w:val="25D85C18"/>
    <w:lvl w:ilvl="0" w:tplc="E01C1E2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D76CB5"/>
    <w:multiLevelType w:val="hybridMultilevel"/>
    <w:tmpl w:val="723AB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BD63A1"/>
    <w:multiLevelType w:val="hybridMultilevel"/>
    <w:tmpl w:val="AF62D622"/>
    <w:lvl w:ilvl="0" w:tplc="B364ABA6">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5F365EB"/>
    <w:multiLevelType w:val="hybridMultilevel"/>
    <w:tmpl w:val="2CE239A2"/>
    <w:lvl w:ilvl="0" w:tplc="BF5EF172">
      <w:start w:val="1"/>
      <w:numFmt w:val="upp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90F0434"/>
    <w:multiLevelType w:val="hybridMultilevel"/>
    <w:tmpl w:val="9E583CC6"/>
    <w:lvl w:ilvl="0" w:tplc="DE726D7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A170E56"/>
    <w:multiLevelType w:val="hybridMultilevel"/>
    <w:tmpl w:val="97AC190C"/>
    <w:lvl w:ilvl="0" w:tplc="FB521BC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4"/>
  </w:num>
  <w:num w:numId="4">
    <w:abstractNumId w:val="2"/>
  </w:num>
  <w:num w:numId="5">
    <w:abstractNumId w:val="7"/>
  </w:num>
  <w:num w:numId="6">
    <w:abstractNumId w:val="8"/>
  </w:num>
  <w:num w:numId="7">
    <w:abstractNumId w:val="1"/>
  </w:num>
  <w:num w:numId="8">
    <w:abstractNumId w:val="9"/>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08"/>
    <w:rsid w:val="00000081"/>
    <w:rsid w:val="00001930"/>
    <w:rsid w:val="00010B56"/>
    <w:rsid w:val="00011FD9"/>
    <w:rsid w:val="000126F6"/>
    <w:rsid w:val="00013800"/>
    <w:rsid w:val="000178A2"/>
    <w:rsid w:val="00025641"/>
    <w:rsid w:val="00026318"/>
    <w:rsid w:val="00031648"/>
    <w:rsid w:val="00036FD8"/>
    <w:rsid w:val="00060B5F"/>
    <w:rsid w:val="00082159"/>
    <w:rsid w:val="00085A77"/>
    <w:rsid w:val="00090E26"/>
    <w:rsid w:val="000916E6"/>
    <w:rsid w:val="000946BB"/>
    <w:rsid w:val="000960B2"/>
    <w:rsid w:val="000A15F7"/>
    <w:rsid w:val="000A1B42"/>
    <w:rsid w:val="000A326B"/>
    <w:rsid w:val="000A5959"/>
    <w:rsid w:val="000B23E6"/>
    <w:rsid w:val="000B6209"/>
    <w:rsid w:val="000C4A23"/>
    <w:rsid w:val="000C5266"/>
    <w:rsid w:val="000C5CF2"/>
    <w:rsid w:val="000C6D38"/>
    <w:rsid w:val="000D07B5"/>
    <w:rsid w:val="000E3B77"/>
    <w:rsid w:val="000E5671"/>
    <w:rsid w:val="000E5BEC"/>
    <w:rsid w:val="000F4048"/>
    <w:rsid w:val="001130EA"/>
    <w:rsid w:val="00114914"/>
    <w:rsid w:val="001217ED"/>
    <w:rsid w:val="001340A9"/>
    <w:rsid w:val="001355A2"/>
    <w:rsid w:val="00140051"/>
    <w:rsid w:val="00142E0D"/>
    <w:rsid w:val="001636C2"/>
    <w:rsid w:val="00171E91"/>
    <w:rsid w:val="00176888"/>
    <w:rsid w:val="0018653D"/>
    <w:rsid w:val="001945A1"/>
    <w:rsid w:val="001970F9"/>
    <w:rsid w:val="001A27C5"/>
    <w:rsid w:val="001B0ADF"/>
    <w:rsid w:val="001C259C"/>
    <w:rsid w:val="001C5B2B"/>
    <w:rsid w:val="001C60B4"/>
    <w:rsid w:val="001E5E2E"/>
    <w:rsid w:val="001F4329"/>
    <w:rsid w:val="001F76F9"/>
    <w:rsid w:val="00210CBB"/>
    <w:rsid w:val="00214779"/>
    <w:rsid w:val="002205E8"/>
    <w:rsid w:val="002206F8"/>
    <w:rsid w:val="00225970"/>
    <w:rsid w:val="002313B6"/>
    <w:rsid w:val="0023558A"/>
    <w:rsid w:val="0025407E"/>
    <w:rsid w:val="00256FCE"/>
    <w:rsid w:val="002610DD"/>
    <w:rsid w:val="00262ADB"/>
    <w:rsid w:val="00263AD4"/>
    <w:rsid w:val="00263AFB"/>
    <w:rsid w:val="00263DE5"/>
    <w:rsid w:val="00266356"/>
    <w:rsid w:val="0027262A"/>
    <w:rsid w:val="0027319C"/>
    <w:rsid w:val="00277BED"/>
    <w:rsid w:val="00287B4E"/>
    <w:rsid w:val="00290A94"/>
    <w:rsid w:val="00293FD0"/>
    <w:rsid w:val="0029477C"/>
    <w:rsid w:val="00294D03"/>
    <w:rsid w:val="00296F40"/>
    <w:rsid w:val="002A5F1F"/>
    <w:rsid w:val="002A7E97"/>
    <w:rsid w:val="002B4728"/>
    <w:rsid w:val="002B4B04"/>
    <w:rsid w:val="002B6F16"/>
    <w:rsid w:val="002C5FE5"/>
    <w:rsid w:val="002C6AD7"/>
    <w:rsid w:val="002C77EF"/>
    <w:rsid w:val="002D2D1B"/>
    <w:rsid w:val="002E220B"/>
    <w:rsid w:val="002F3290"/>
    <w:rsid w:val="002F7BFD"/>
    <w:rsid w:val="00300059"/>
    <w:rsid w:val="00301EC5"/>
    <w:rsid w:val="00304076"/>
    <w:rsid w:val="00306B47"/>
    <w:rsid w:val="003071A6"/>
    <w:rsid w:val="0031065C"/>
    <w:rsid w:val="00310824"/>
    <w:rsid w:val="00310C56"/>
    <w:rsid w:val="003134C7"/>
    <w:rsid w:val="003148C7"/>
    <w:rsid w:val="003202B5"/>
    <w:rsid w:val="00322AD0"/>
    <w:rsid w:val="00327C3F"/>
    <w:rsid w:val="0033171C"/>
    <w:rsid w:val="0033690F"/>
    <w:rsid w:val="00337928"/>
    <w:rsid w:val="0034309E"/>
    <w:rsid w:val="00343FFB"/>
    <w:rsid w:val="00361C90"/>
    <w:rsid w:val="003622F8"/>
    <w:rsid w:val="00363E27"/>
    <w:rsid w:val="0036428C"/>
    <w:rsid w:val="00364B38"/>
    <w:rsid w:val="00381A7A"/>
    <w:rsid w:val="00384751"/>
    <w:rsid w:val="003901B8"/>
    <w:rsid w:val="003A0A69"/>
    <w:rsid w:val="003B00C1"/>
    <w:rsid w:val="003B0A2F"/>
    <w:rsid w:val="003B6CDE"/>
    <w:rsid w:val="003D10A0"/>
    <w:rsid w:val="003D1640"/>
    <w:rsid w:val="003D5BD8"/>
    <w:rsid w:val="003D738F"/>
    <w:rsid w:val="003E1F99"/>
    <w:rsid w:val="003E7695"/>
    <w:rsid w:val="003F29E6"/>
    <w:rsid w:val="003F34A6"/>
    <w:rsid w:val="00401239"/>
    <w:rsid w:val="00403B68"/>
    <w:rsid w:val="00422C5B"/>
    <w:rsid w:val="00423C61"/>
    <w:rsid w:val="004263C9"/>
    <w:rsid w:val="00444631"/>
    <w:rsid w:val="00450165"/>
    <w:rsid w:val="0045055D"/>
    <w:rsid w:val="004532A9"/>
    <w:rsid w:val="00455344"/>
    <w:rsid w:val="00456174"/>
    <w:rsid w:val="00465D1F"/>
    <w:rsid w:val="0046659C"/>
    <w:rsid w:val="00475C5A"/>
    <w:rsid w:val="00476DDF"/>
    <w:rsid w:val="00481134"/>
    <w:rsid w:val="004917B9"/>
    <w:rsid w:val="004963C8"/>
    <w:rsid w:val="0049661D"/>
    <w:rsid w:val="004A1DF1"/>
    <w:rsid w:val="004B202E"/>
    <w:rsid w:val="004C0D93"/>
    <w:rsid w:val="004C52A1"/>
    <w:rsid w:val="004D3CF1"/>
    <w:rsid w:val="004E3AC3"/>
    <w:rsid w:val="004F2EB4"/>
    <w:rsid w:val="004F7CA6"/>
    <w:rsid w:val="00503D81"/>
    <w:rsid w:val="005211FE"/>
    <w:rsid w:val="005445FA"/>
    <w:rsid w:val="0054681E"/>
    <w:rsid w:val="00547714"/>
    <w:rsid w:val="00550208"/>
    <w:rsid w:val="00560509"/>
    <w:rsid w:val="00561B97"/>
    <w:rsid w:val="00564D9A"/>
    <w:rsid w:val="00573314"/>
    <w:rsid w:val="0057665C"/>
    <w:rsid w:val="005834CD"/>
    <w:rsid w:val="005843DF"/>
    <w:rsid w:val="005851F5"/>
    <w:rsid w:val="00585B61"/>
    <w:rsid w:val="00587112"/>
    <w:rsid w:val="00590055"/>
    <w:rsid w:val="00595273"/>
    <w:rsid w:val="005A2575"/>
    <w:rsid w:val="005A7796"/>
    <w:rsid w:val="005B181A"/>
    <w:rsid w:val="005B202D"/>
    <w:rsid w:val="005B4A2F"/>
    <w:rsid w:val="005B7C02"/>
    <w:rsid w:val="005C3837"/>
    <w:rsid w:val="005C7549"/>
    <w:rsid w:val="005D23A3"/>
    <w:rsid w:val="005D3468"/>
    <w:rsid w:val="005E18D0"/>
    <w:rsid w:val="005E3462"/>
    <w:rsid w:val="005F155A"/>
    <w:rsid w:val="00612F59"/>
    <w:rsid w:val="0063196A"/>
    <w:rsid w:val="00635A37"/>
    <w:rsid w:val="006402DD"/>
    <w:rsid w:val="00646077"/>
    <w:rsid w:val="00650A53"/>
    <w:rsid w:val="006602F9"/>
    <w:rsid w:val="0066127A"/>
    <w:rsid w:val="006641F5"/>
    <w:rsid w:val="00665A48"/>
    <w:rsid w:val="00676CC3"/>
    <w:rsid w:val="0068035F"/>
    <w:rsid w:val="00684A34"/>
    <w:rsid w:val="00691949"/>
    <w:rsid w:val="00696F6F"/>
    <w:rsid w:val="006977EE"/>
    <w:rsid w:val="00697EF4"/>
    <w:rsid w:val="006A079E"/>
    <w:rsid w:val="006A0A1B"/>
    <w:rsid w:val="006A35FA"/>
    <w:rsid w:val="006A6E89"/>
    <w:rsid w:val="006B23E1"/>
    <w:rsid w:val="006D5E60"/>
    <w:rsid w:val="006E517D"/>
    <w:rsid w:val="006E71F8"/>
    <w:rsid w:val="006F2463"/>
    <w:rsid w:val="006F269F"/>
    <w:rsid w:val="006F7846"/>
    <w:rsid w:val="007104A1"/>
    <w:rsid w:val="007109DD"/>
    <w:rsid w:val="007138B4"/>
    <w:rsid w:val="00714999"/>
    <w:rsid w:val="007255F2"/>
    <w:rsid w:val="00727B1E"/>
    <w:rsid w:val="0074289E"/>
    <w:rsid w:val="00746112"/>
    <w:rsid w:val="00754890"/>
    <w:rsid w:val="00761EE5"/>
    <w:rsid w:val="00762130"/>
    <w:rsid w:val="00764A23"/>
    <w:rsid w:val="00765EFF"/>
    <w:rsid w:val="00767792"/>
    <w:rsid w:val="0076795E"/>
    <w:rsid w:val="00772706"/>
    <w:rsid w:val="0077673E"/>
    <w:rsid w:val="00785867"/>
    <w:rsid w:val="0078770E"/>
    <w:rsid w:val="007945E3"/>
    <w:rsid w:val="00795361"/>
    <w:rsid w:val="007B6AE8"/>
    <w:rsid w:val="007D07E7"/>
    <w:rsid w:val="007D1F05"/>
    <w:rsid w:val="007D2F88"/>
    <w:rsid w:val="007D764E"/>
    <w:rsid w:val="007E056D"/>
    <w:rsid w:val="007E15E8"/>
    <w:rsid w:val="007E29B1"/>
    <w:rsid w:val="007E367E"/>
    <w:rsid w:val="007E7CED"/>
    <w:rsid w:val="007F0927"/>
    <w:rsid w:val="007F3222"/>
    <w:rsid w:val="007F564E"/>
    <w:rsid w:val="00806750"/>
    <w:rsid w:val="00807843"/>
    <w:rsid w:val="008157C6"/>
    <w:rsid w:val="00815A81"/>
    <w:rsid w:val="00821AE8"/>
    <w:rsid w:val="008301C5"/>
    <w:rsid w:val="00831693"/>
    <w:rsid w:val="008321E6"/>
    <w:rsid w:val="008354B2"/>
    <w:rsid w:val="00835AFC"/>
    <w:rsid w:val="00836C60"/>
    <w:rsid w:val="00842AA5"/>
    <w:rsid w:val="00846AFA"/>
    <w:rsid w:val="0085088D"/>
    <w:rsid w:val="00874AC3"/>
    <w:rsid w:val="008863AB"/>
    <w:rsid w:val="0088738F"/>
    <w:rsid w:val="008933B6"/>
    <w:rsid w:val="00894925"/>
    <w:rsid w:val="00896F58"/>
    <w:rsid w:val="008A35F3"/>
    <w:rsid w:val="008A61BA"/>
    <w:rsid w:val="008B0E08"/>
    <w:rsid w:val="008C09F6"/>
    <w:rsid w:val="008C6E4A"/>
    <w:rsid w:val="008C7AC1"/>
    <w:rsid w:val="008D1E49"/>
    <w:rsid w:val="008D27D3"/>
    <w:rsid w:val="008D587C"/>
    <w:rsid w:val="008E006C"/>
    <w:rsid w:val="008F5AC7"/>
    <w:rsid w:val="00900375"/>
    <w:rsid w:val="00910394"/>
    <w:rsid w:val="009143CE"/>
    <w:rsid w:val="00920CD3"/>
    <w:rsid w:val="00921D9F"/>
    <w:rsid w:val="00921FE7"/>
    <w:rsid w:val="00923D6F"/>
    <w:rsid w:val="00935EA6"/>
    <w:rsid w:val="00940E21"/>
    <w:rsid w:val="009524DB"/>
    <w:rsid w:val="00953185"/>
    <w:rsid w:val="00963B4E"/>
    <w:rsid w:val="00966DCB"/>
    <w:rsid w:val="00966EEC"/>
    <w:rsid w:val="00973DE2"/>
    <w:rsid w:val="0097753C"/>
    <w:rsid w:val="009825CC"/>
    <w:rsid w:val="00994E18"/>
    <w:rsid w:val="009968CF"/>
    <w:rsid w:val="009A3D9F"/>
    <w:rsid w:val="009A4301"/>
    <w:rsid w:val="009A483D"/>
    <w:rsid w:val="009A5AE1"/>
    <w:rsid w:val="009A70FD"/>
    <w:rsid w:val="009B0711"/>
    <w:rsid w:val="009B71D2"/>
    <w:rsid w:val="009C4B74"/>
    <w:rsid w:val="009C5F81"/>
    <w:rsid w:val="009D2D0A"/>
    <w:rsid w:val="009D2E52"/>
    <w:rsid w:val="009D4984"/>
    <w:rsid w:val="009F1A80"/>
    <w:rsid w:val="00A02BEF"/>
    <w:rsid w:val="00A04EFA"/>
    <w:rsid w:val="00A210FD"/>
    <w:rsid w:val="00A23A8D"/>
    <w:rsid w:val="00A433F5"/>
    <w:rsid w:val="00A46451"/>
    <w:rsid w:val="00A47366"/>
    <w:rsid w:val="00A60101"/>
    <w:rsid w:val="00A65855"/>
    <w:rsid w:val="00A70F80"/>
    <w:rsid w:val="00A75575"/>
    <w:rsid w:val="00A80520"/>
    <w:rsid w:val="00A80A78"/>
    <w:rsid w:val="00A83388"/>
    <w:rsid w:val="00A8346C"/>
    <w:rsid w:val="00A85774"/>
    <w:rsid w:val="00AA31A3"/>
    <w:rsid w:val="00AB3C32"/>
    <w:rsid w:val="00AB704E"/>
    <w:rsid w:val="00AC00E7"/>
    <w:rsid w:val="00AC1942"/>
    <w:rsid w:val="00AD729A"/>
    <w:rsid w:val="00AF086E"/>
    <w:rsid w:val="00AF2C19"/>
    <w:rsid w:val="00AF3507"/>
    <w:rsid w:val="00AF4C79"/>
    <w:rsid w:val="00AF4E6E"/>
    <w:rsid w:val="00B0075B"/>
    <w:rsid w:val="00B13BEE"/>
    <w:rsid w:val="00B16576"/>
    <w:rsid w:val="00B22E86"/>
    <w:rsid w:val="00B26476"/>
    <w:rsid w:val="00B36576"/>
    <w:rsid w:val="00B43B44"/>
    <w:rsid w:val="00B44497"/>
    <w:rsid w:val="00B7027B"/>
    <w:rsid w:val="00B93E1C"/>
    <w:rsid w:val="00B952D2"/>
    <w:rsid w:val="00BA2A21"/>
    <w:rsid w:val="00BB1097"/>
    <w:rsid w:val="00BC04CC"/>
    <w:rsid w:val="00BC553A"/>
    <w:rsid w:val="00BD0AF8"/>
    <w:rsid w:val="00BD11FF"/>
    <w:rsid w:val="00BE10B6"/>
    <w:rsid w:val="00BE59CE"/>
    <w:rsid w:val="00BE6628"/>
    <w:rsid w:val="00BF2164"/>
    <w:rsid w:val="00BF5CC4"/>
    <w:rsid w:val="00C00DA1"/>
    <w:rsid w:val="00C020A0"/>
    <w:rsid w:val="00C141C0"/>
    <w:rsid w:val="00C333BB"/>
    <w:rsid w:val="00C43593"/>
    <w:rsid w:val="00C51833"/>
    <w:rsid w:val="00C57613"/>
    <w:rsid w:val="00C601A2"/>
    <w:rsid w:val="00C63054"/>
    <w:rsid w:val="00C72BBB"/>
    <w:rsid w:val="00C73B12"/>
    <w:rsid w:val="00C7582A"/>
    <w:rsid w:val="00C803BF"/>
    <w:rsid w:val="00C805AD"/>
    <w:rsid w:val="00C82C81"/>
    <w:rsid w:val="00C8798A"/>
    <w:rsid w:val="00C96CD5"/>
    <w:rsid w:val="00CA3318"/>
    <w:rsid w:val="00CC04F2"/>
    <w:rsid w:val="00CC08BA"/>
    <w:rsid w:val="00CC2CF0"/>
    <w:rsid w:val="00CC79E4"/>
    <w:rsid w:val="00CD2B28"/>
    <w:rsid w:val="00CD49AD"/>
    <w:rsid w:val="00CD6CDF"/>
    <w:rsid w:val="00CD7246"/>
    <w:rsid w:val="00CE0246"/>
    <w:rsid w:val="00CF23F5"/>
    <w:rsid w:val="00CF54CB"/>
    <w:rsid w:val="00D00554"/>
    <w:rsid w:val="00D00569"/>
    <w:rsid w:val="00D00AC5"/>
    <w:rsid w:val="00D01A9D"/>
    <w:rsid w:val="00D03148"/>
    <w:rsid w:val="00D07B5E"/>
    <w:rsid w:val="00D16E37"/>
    <w:rsid w:val="00D2071D"/>
    <w:rsid w:val="00D2430B"/>
    <w:rsid w:val="00D40832"/>
    <w:rsid w:val="00D4487C"/>
    <w:rsid w:val="00D61A9E"/>
    <w:rsid w:val="00D6657B"/>
    <w:rsid w:val="00D74890"/>
    <w:rsid w:val="00D826E9"/>
    <w:rsid w:val="00D86FF1"/>
    <w:rsid w:val="00D90CA8"/>
    <w:rsid w:val="00D94B37"/>
    <w:rsid w:val="00D96341"/>
    <w:rsid w:val="00DA1C8A"/>
    <w:rsid w:val="00DA77D5"/>
    <w:rsid w:val="00DC3444"/>
    <w:rsid w:val="00DD432C"/>
    <w:rsid w:val="00DD54AC"/>
    <w:rsid w:val="00DE0196"/>
    <w:rsid w:val="00DE33A1"/>
    <w:rsid w:val="00DE400C"/>
    <w:rsid w:val="00DE5055"/>
    <w:rsid w:val="00DF04A1"/>
    <w:rsid w:val="00DF0800"/>
    <w:rsid w:val="00DF47D4"/>
    <w:rsid w:val="00DF70E0"/>
    <w:rsid w:val="00DF748A"/>
    <w:rsid w:val="00E118A8"/>
    <w:rsid w:val="00E1266D"/>
    <w:rsid w:val="00E2500A"/>
    <w:rsid w:val="00E274FD"/>
    <w:rsid w:val="00E27BB5"/>
    <w:rsid w:val="00E3690B"/>
    <w:rsid w:val="00E379BA"/>
    <w:rsid w:val="00E46DA7"/>
    <w:rsid w:val="00E47ECD"/>
    <w:rsid w:val="00E53BF5"/>
    <w:rsid w:val="00E60248"/>
    <w:rsid w:val="00E60E9E"/>
    <w:rsid w:val="00E7011E"/>
    <w:rsid w:val="00E709D6"/>
    <w:rsid w:val="00E76464"/>
    <w:rsid w:val="00E80062"/>
    <w:rsid w:val="00E84408"/>
    <w:rsid w:val="00E924AE"/>
    <w:rsid w:val="00E9653A"/>
    <w:rsid w:val="00E972B6"/>
    <w:rsid w:val="00EA1257"/>
    <w:rsid w:val="00EA434E"/>
    <w:rsid w:val="00EB108F"/>
    <w:rsid w:val="00EB1725"/>
    <w:rsid w:val="00EB23C5"/>
    <w:rsid w:val="00EB61D6"/>
    <w:rsid w:val="00EC6610"/>
    <w:rsid w:val="00EC7619"/>
    <w:rsid w:val="00ED03F5"/>
    <w:rsid w:val="00ED2460"/>
    <w:rsid w:val="00ED46EC"/>
    <w:rsid w:val="00ED763A"/>
    <w:rsid w:val="00EE40A1"/>
    <w:rsid w:val="00EF5F02"/>
    <w:rsid w:val="00EF683E"/>
    <w:rsid w:val="00F01D62"/>
    <w:rsid w:val="00F02A5D"/>
    <w:rsid w:val="00F0669D"/>
    <w:rsid w:val="00F10910"/>
    <w:rsid w:val="00F11191"/>
    <w:rsid w:val="00F14418"/>
    <w:rsid w:val="00F17504"/>
    <w:rsid w:val="00F26DA0"/>
    <w:rsid w:val="00F4168D"/>
    <w:rsid w:val="00F417C2"/>
    <w:rsid w:val="00F543EF"/>
    <w:rsid w:val="00F6174C"/>
    <w:rsid w:val="00F62633"/>
    <w:rsid w:val="00F62645"/>
    <w:rsid w:val="00F654A6"/>
    <w:rsid w:val="00F72163"/>
    <w:rsid w:val="00F74EE1"/>
    <w:rsid w:val="00F77D65"/>
    <w:rsid w:val="00F81062"/>
    <w:rsid w:val="00F87BFA"/>
    <w:rsid w:val="00FA4434"/>
    <w:rsid w:val="00FA6D71"/>
    <w:rsid w:val="00FA7243"/>
    <w:rsid w:val="00FB1E76"/>
    <w:rsid w:val="00FB2449"/>
    <w:rsid w:val="00FB4CEA"/>
    <w:rsid w:val="00FC51B2"/>
    <w:rsid w:val="00FD42AA"/>
    <w:rsid w:val="00FD5350"/>
    <w:rsid w:val="00FE18A5"/>
    <w:rsid w:val="00F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61B97"/>
    <w:rPr>
      <w:szCs w:val="20"/>
    </w:rPr>
  </w:style>
  <w:style w:type="paragraph" w:styleId="Footer">
    <w:name w:val="footer"/>
    <w:basedOn w:val="Normal"/>
    <w:rsid w:val="00A04EFA"/>
    <w:pPr>
      <w:tabs>
        <w:tab w:val="center" w:pos="4320"/>
        <w:tab w:val="right" w:pos="8640"/>
      </w:tabs>
    </w:pPr>
  </w:style>
  <w:style w:type="character" w:styleId="PageNumber">
    <w:name w:val="page number"/>
    <w:basedOn w:val="DefaultParagraphFont"/>
    <w:rsid w:val="00A04EFA"/>
  </w:style>
  <w:style w:type="paragraph" w:styleId="FootnoteText">
    <w:name w:val="footnote text"/>
    <w:basedOn w:val="Normal"/>
    <w:link w:val="FootnoteTextChar"/>
    <w:semiHidden/>
    <w:rsid w:val="009B71D2"/>
    <w:rPr>
      <w:sz w:val="20"/>
      <w:szCs w:val="20"/>
    </w:rPr>
  </w:style>
  <w:style w:type="character" w:styleId="FootnoteReference">
    <w:name w:val="footnote reference"/>
    <w:semiHidden/>
    <w:rsid w:val="009B71D2"/>
    <w:rPr>
      <w:vertAlign w:val="superscript"/>
    </w:rPr>
  </w:style>
  <w:style w:type="character" w:customStyle="1" w:styleId="FootnoteTextChar">
    <w:name w:val="Footnote Text Char"/>
    <w:link w:val="FootnoteText"/>
    <w:rsid w:val="009B71D2"/>
    <w:rPr>
      <w:lang w:val="en-US" w:eastAsia="en-US" w:bidi="ar-SA"/>
    </w:rPr>
  </w:style>
  <w:style w:type="paragraph" w:customStyle="1" w:styleId="le-brm-normal-32-level">
    <w:name w:val="le-brm-normal-32-level"/>
    <w:basedOn w:val="Normal"/>
    <w:rsid w:val="009C4B74"/>
    <w:pPr>
      <w:spacing w:before="20" w:after="20"/>
    </w:pPr>
    <w:rPr>
      <w:rFonts w:ascii="Courier New" w:hAnsi="Courier New" w:cs="Courier New"/>
      <w:color w:val="000000"/>
      <w:sz w:val="20"/>
      <w:szCs w:val="20"/>
    </w:rPr>
  </w:style>
  <w:style w:type="paragraph" w:styleId="Header">
    <w:name w:val="header"/>
    <w:basedOn w:val="Normal"/>
    <w:rsid w:val="009D2D0A"/>
    <w:pPr>
      <w:tabs>
        <w:tab w:val="center" w:pos="4320"/>
        <w:tab w:val="right" w:pos="8640"/>
      </w:tabs>
    </w:pPr>
  </w:style>
  <w:style w:type="character" w:customStyle="1" w:styleId="UNDERLINE">
    <w:name w:val="UNDERLINE"/>
    <w:rsid w:val="00082159"/>
    <w:rPr>
      <w:u w:val="single"/>
    </w:rPr>
  </w:style>
  <w:style w:type="paragraph" w:styleId="BalloonText">
    <w:name w:val="Balloon Text"/>
    <w:basedOn w:val="Normal"/>
    <w:link w:val="BalloonTextChar"/>
    <w:rsid w:val="003E1F99"/>
    <w:rPr>
      <w:rFonts w:ascii="Tahoma" w:hAnsi="Tahoma" w:cs="Tahoma"/>
      <w:sz w:val="16"/>
      <w:szCs w:val="16"/>
    </w:rPr>
  </w:style>
  <w:style w:type="character" w:customStyle="1" w:styleId="BalloonTextChar">
    <w:name w:val="Balloon Text Char"/>
    <w:link w:val="BalloonText"/>
    <w:rsid w:val="003E1F99"/>
    <w:rPr>
      <w:rFonts w:ascii="Tahoma" w:hAnsi="Tahoma" w:cs="Tahoma"/>
      <w:sz w:val="16"/>
      <w:szCs w:val="16"/>
    </w:rPr>
  </w:style>
  <w:style w:type="paragraph" w:styleId="ListParagraph">
    <w:name w:val="List Paragraph"/>
    <w:basedOn w:val="Normal"/>
    <w:uiPriority w:val="34"/>
    <w:qFormat/>
    <w:rsid w:val="0036428C"/>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61B97"/>
    <w:rPr>
      <w:szCs w:val="20"/>
    </w:rPr>
  </w:style>
  <w:style w:type="paragraph" w:styleId="Footer">
    <w:name w:val="footer"/>
    <w:basedOn w:val="Normal"/>
    <w:rsid w:val="00A04EFA"/>
    <w:pPr>
      <w:tabs>
        <w:tab w:val="center" w:pos="4320"/>
        <w:tab w:val="right" w:pos="8640"/>
      </w:tabs>
    </w:pPr>
  </w:style>
  <w:style w:type="character" w:styleId="PageNumber">
    <w:name w:val="page number"/>
    <w:basedOn w:val="DefaultParagraphFont"/>
    <w:rsid w:val="00A04EFA"/>
  </w:style>
  <w:style w:type="paragraph" w:styleId="FootnoteText">
    <w:name w:val="footnote text"/>
    <w:basedOn w:val="Normal"/>
    <w:link w:val="FootnoteTextChar"/>
    <w:semiHidden/>
    <w:rsid w:val="009B71D2"/>
    <w:rPr>
      <w:sz w:val="20"/>
      <w:szCs w:val="20"/>
    </w:rPr>
  </w:style>
  <w:style w:type="character" w:styleId="FootnoteReference">
    <w:name w:val="footnote reference"/>
    <w:semiHidden/>
    <w:rsid w:val="009B71D2"/>
    <w:rPr>
      <w:vertAlign w:val="superscript"/>
    </w:rPr>
  </w:style>
  <w:style w:type="character" w:customStyle="1" w:styleId="FootnoteTextChar">
    <w:name w:val="Footnote Text Char"/>
    <w:link w:val="FootnoteText"/>
    <w:rsid w:val="009B71D2"/>
    <w:rPr>
      <w:lang w:val="en-US" w:eastAsia="en-US" w:bidi="ar-SA"/>
    </w:rPr>
  </w:style>
  <w:style w:type="paragraph" w:customStyle="1" w:styleId="le-brm-normal-32-level">
    <w:name w:val="le-brm-normal-32-level"/>
    <w:basedOn w:val="Normal"/>
    <w:rsid w:val="009C4B74"/>
    <w:pPr>
      <w:spacing w:before="20" w:after="20"/>
    </w:pPr>
    <w:rPr>
      <w:rFonts w:ascii="Courier New" w:hAnsi="Courier New" w:cs="Courier New"/>
      <w:color w:val="000000"/>
      <w:sz w:val="20"/>
      <w:szCs w:val="20"/>
    </w:rPr>
  </w:style>
  <w:style w:type="paragraph" w:styleId="Header">
    <w:name w:val="header"/>
    <w:basedOn w:val="Normal"/>
    <w:rsid w:val="009D2D0A"/>
    <w:pPr>
      <w:tabs>
        <w:tab w:val="center" w:pos="4320"/>
        <w:tab w:val="right" w:pos="8640"/>
      </w:tabs>
    </w:pPr>
  </w:style>
  <w:style w:type="character" w:customStyle="1" w:styleId="UNDERLINE">
    <w:name w:val="UNDERLINE"/>
    <w:rsid w:val="00082159"/>
    <w:rPr>
      <w:u w:val="single"/>
    </w:rPr>
  </w:style>
  <w:style w:type="paragraph" w:styleId="BalloonText">
    <w:name w:val="Balloon Text"/>
    <w:basedOn w:val="Normal"/>
    <w:link w:val="BalloonTextChar"/>
    <w:rsid w:val="003E1F99"/>
    <w:rPr>
      <w:rFonts w:ascii="Tahoma" w:hAnsi="Tahoma" w:cs="Tahoma"/>
      <w:sz w:val="16"/>
      <w:szCs w:val="16"/>
    </w:rPr>
  </w:style>
  <w:style w:type="character" w:customStyle="1" w:styleId="BalloonTextChar">
    <w:name w:val="Balloon Text Char"/>
    <w:link w:val="BalloonText"/>
    <w:rsid w:val="003E1F99"/>
    <w:rPr>
      <w:rFonts w:ascii="Tahoma" w:hAnsi="Tahoma" w:cs="Tahoma"/>
      <w:sz w:val="16"/>
      <w:szCs w:val="16"/>
    </w:rPr>
  </w:style>
  <w:style w:type="paragraph" w:styleId="ListParagraph">
    <w:name w:val="List Paragraph"/>
    <w:basedOn w:val="Normal"/>
    <w:uiPriority w:val="34"/>
    <w:qFormat/>
    <w:rsid w:val="0036428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8199">
      <w:bodyDiv w:val="1"/>
      <w:marLeft w:val="0"/>
      <w:marRight w:val="0"/>
      <w:marTop w:val="0"/>
      <w:marBottom w:val="0"/>
      <w:divBdr>
        <w:top w:val="none" w:sz="0" w:space="0" w:color="auto"/>
        <w:left w:val="none" w:sz="0" w:space="0" w:color="auto"/>
        <w:bottom w:val="none" w:sz="0" w:space="0" w:color="auto"/>
        <w:right w:val="none" w:sz="0" w:space="0" w:color="auto"/>
      </w:divBdr>
    </w:div>
    <w:div w:id="556740820">
      <w:bodyDiv w:val="1"/>
      <w:marLeft w:val="0"/>
      <w:marRight w:val="0"/>
      <w:marTop w:val="0"/>
      <w:marBottom w:val="0"/>
      <w:divBdr>
        <w:top w:val="none" w:sz="0" w:space="0" w:color="auto"/>
        <w:left w:val="none" w:sz="0" w:space="0" w:color="auto"/>
        <w:bottom w:val="none" w:sz="0" w:space="0" w:color="auto"/>
        <w:right w:val="none" w:sz="0" w:space="0" w:color="auto"/>
      </w:divBdr>
      <w:divsChild>
        <w:div w:id="8605611">
          <w:marLeft w:val="0"/>
          <w:marRight w:val="0"/>
          <w:marTop w:val="20"/>
          <w:marBottom w:val="20"/>
          <w:divBdr>
            <w:top w:val="none" w:sz="0" w:space="0" w:color="auto"/>
            <w:left w:val="none" w:sz="0" w:space="0" w:color="auto"/>
            <w:bottom w:val="none" w:sz="0" w:space="0" w:color="auto"/>
            <w:right w:val="none" w:sz="0" w:space="0" w:color="auto"/>
          </w:divBdr>
        </w:div>
        <w:div w:id="54932713">
          <w:marLeft w:val="0"/>
          <w:marRight w:val="0"/>
          <w:marTop w:val="20"/>
          <w:marBottom w:val="20"/>
          <w:divBdr>
            <w:top w:val="none" w:sz="0" w:space="0" w:color="auto"/>
            <w:left w:val="none" w:sz="0" w:space="0" w:color="auto"/>
            <w:bottom w:val="none" w:sz="0" w:space="0" w:color="auto"/>
            <w:right w:val="none" w:sz="0" w:space="0" w:color="auto"/>
          </w:divBdr>
        </w:div>
        <w:div w:id="93718604">
          <w:marLeft w:val="0"/>
          <w:marRight w:val="0"/>
          <w:marTop w:val="20"/>
          <w:marBottom w:val="20"/>
          <w:divBdr>
            <w:top w:val="none" w:sz="0" w:space="0" w:color="auto"/>
            <w:left w:val="none" w:sz="0" w:space="0" w:color="auto"/>
            <w:bottom w:val="none" w:sz="0" w:space="0" w:color="auto"/>
            <w:right w:val="none" w:sz="0" w:space="0" w:color="auto"/>
          </w:divBdr>
        </w:div>
        <w:div w:id="218830117">
          <w:marLeft w:val="0"/>
          <w:marRight w:val="0"/>
          <w:marTop w:val="20"/>
          <w:marBottom w:val="20"/>
          <w:divBdr>
            <w:top w:val="none" w:sz="0" w:space="0" w:color="auto"/>
            <w:left w:val="none" w:sz="0" w:space="0" w:color="auto"/>
            <w:bottom w:val="none" w:sz="0" w:space="0" w:color="auto"/>
            <w:right w:val="none" w:sz="0" w:space="0" w:color="auto"/>
          </w:divBdr>
        </w:div>
        <w:div w:id="459108039">
          <w:marLeft w:val="0"/>
          <w:marRight w:val="0"/>
          <w:marTop w:val="20"/>
          <w:marBottom w:val="20"/>
          <w:divBdr>
            <w:top w:val="none" w:sz="0" w:space="0" w:color="auto"/>
            <w:left w:val="none" w:sz="0" w:space="0" w:color="auto"/>
            <w:bottom w:val="none" w:sz="0" w:space="0" w:color="auto"/>
            <w:right w:val="none" w:sz="0" w:space="0" w:color="auto"/>
          </w:divBdr>
        </w:div>
        <w:div w:id="489948881">
          <w:marLeft w:val="0"/>
          <w:marRight w:val="0"/>
          <w:marTop w:val="20"/>
          <w:marBottom w:val="20"/>
          <w:divBdr>
            <w:top w:val="none" w:sz="0" w:space="0" w:color="auto"/>
            <w:left w:val="none" w:sz="0" w:space="0" w:color="auto"/>
            <w:bottom w:val="none" w:sz="0" w:space="0" w:color="auto"/>
            <w:right w:val="none" w:sz="0" w:space="0" w:color="auto"/>
          </w:divBdr>
        </w:div>
        <w:div w:id="540869669">
          <w:marLeft w:val="0"/>
          <w:marRight w:val="0"/>
          <w:marTop w:val="20"/>
          <w:marBottom w:val="20"/>
          <w:divBdr>
            <w:top w:val="none" w:sz="0" w:space="0" w:color="auto"/>
            <w:left w:val="none" w:sz="0" w:space="0" w:color="auto"/>
            <w:bottom w:val="none" w:sz="0" w:space="0" w:color="auto"/>
            <w:right w:val="none" w:sz="0" w:space="0" w:color="auto"/>
          </w:divBdr>
        </w:div>
        <w:div w:id="545221307">
          <w:marLeft w:val="0"/>
          <w:marRight w:val="0"/>
          <w:marTop w:val="20"/>
          <w:marBottom w:val="20"/>
          <w:divBdr>
            <w:top w:val="none" w:sz="0" w:space="0" w:color="auto"/>
            <w:left w:val="none" w:sz="0" w:space="0" w:color="auto"/>
            <w:bottom w:val="none" w:sz="0" w:space="0" w:color="auto"/>
            <w:right w:val="none" w:sz="0" w:space="0" w:color="auto"/>
          </w:divBdr>
        </w:div>
        <w:div w:id="552928002">
          <w:marLeft w:val="0"/>
          <w:marRight w:val="0"/>
          <w:marTop w:val="20"/>
          <w:marBottom w:val="20"/>
          <w:divBdr>
            <w:top w:val="none" w:sz="0" w:space="0" w:color="auto"/>
            <w:left w:val="none" w:sz="0" w:space="0" w:color="auto"/>
            <w:bottom w:val="none" w:sz="0" w:space="0" w:color="auto"/>
            <w:right w:val="none" w:sz="0" w:space="0" w:color="auto"/>
          </w:divBdr>
        </w:div>
        <w:div w:id="809443221">
          <w:marLeft w:val="0"/>
          <w:marRight w:val="0"/>
          <w:marTop w:val="20"/>
          <w:marBottom w:val="20"/>
          <w:divBdr>
            <w:top w:val="none" w:sz="0" w:space="0" w:color="auto"/>
            <w:left w:val="none" w:sz="0" w:space="0" w:color="auto"/>
            <w:bottom w:val="none" w:sz="0" w:space="0" w:color="auto"/>
            <w:right w:val="none" w:sz="0" w:space="0" w:color="auto"/>
          </w:divBdr>
        </w:div>
        <w:div w:id="977149231">
          <w:marLeft w:val="0"/>
          <w:marRight w:val="0"/>
          <w:marTop w:val="20"/>
          <w:marBottom w:val="20"/>
          <w:divBdr>
            <w:top w:val="none" w:sz="0" w:space="0" w:color="auto"/>
            <w:left w:val="none" w:sz="0" w:space="0" w:color="auto"/>
            <w:bottom w:val="none" w:sz="0" w:space="0" w:color="auto"/>
            <w:right w:val="none" w:sz="0" w:space="0" w:color="auto"/>
          </w:divBdr>
        </w:div>
        <w:div w:id="1029375700">
          <w:marLeft w:val="0"/>
          <w:marRight w:val="0"/>
          <w:marTop w:val="20"/>
          <w:marBottom w:val="20"/>
          <w:divBdr>
            <w:top w:val="none" w:sz="0" w:space="0" w:color="auto"/>
            <w:left w:val="none" w:sz="0" w:space="0" w:color="auto"/>
            <w:bottom w:val="none" w:sz="0" w:space="0" w:color="auto"/>
            <w:right w:val="none" w:sz="0" w:space="0" w:color="auto"/>
          </w:divBdr>
        </w:div>
        <w:div w:id="1400060992">
          <w:marLeft w:val="0"/>
          <w:marRight w:val="0"/>
          <w:marTop w:val="20"/>
          <w:marBottom w:val="20"/>
          <w:divBdr>
            <w:top w:val="none" w:sz="0" w:space="0" w:color="auto"/>
            <w:left w:val="none" w:sz="0" w:space="0" w:color="auto"/>
            <w:bottom w:val="none" w:sz="0" w:space="0" w:color="auto"/>
            <w:right w:val="none" w:sz="0" w:space="0" w:color="auto"/>
          </w:divBdr>
        </w:div>
        <w:div w:id="1479569483">
          <w:marLeft w:val="0"/>
          <w:marRight w:val="0"/>
          <w:marTop w:val="20"/>
          <w:marBottom w:val="20"/>
          <w:divBdr>
            <w:top w:val="none" w:sz="0" w:space="0" w:color="auto"/>
            <w:left w:val="none" w:sz="0" w:space="0" w:color="auto"/>
            <w:bottom w:val="none" w:sz="0" w:space="0" w:color="auto"/>
            <w:right w:val="none" w:sz="0" w:space="0" w:color="auto"/>
          </w:divBdr>
        </w:div>
        <w:div w:id="1553693312">
          <w:marLeft w:val="0"/>
          <w:marRight w:val="0"/>
          <w:marTop w:val="20"/>
          <w:marBottom w:val="20"/>
          <w:divBdr>
            <w:top w:val="none" w:sz="0" w:space="0" w:color="auto"/>
            <w:left w:val="none" w:sz="0" w:space="0" w:color="auto"/>
            <w:bottom w:val="none" w:sz="0" w:space="0" w:color="auto"/>
            <w:right w:val="none" w:sz="0" w:space="0" w:color="auto"/>
          </w:divBdr>
        </w:div>
        <w:div w:id="1712456712">
          <w:marLeft w:val="0"/>
          <w:marRight w:val="0"/>
          <w:marTop w:val="20"/>
          <w:marBottom w:val="20"/>
          <w:divBdr>
            <w:top w:val="none" w:sz="0" w:space="0" w:color="auto"/>
            <w:left w:val="none" w:sz="0" w:space="0" w:color="auto"/>
            <w:bottom w:val="none" w:sz="0" w:space="0" w:color="auto"/>
            <w:right w:val="none" w:sz="0" w:space="0" w:color="auto"/>
          </w:divBdr>
        </w:div>
        <w:div w:id="1815876422">
          <w:marLeft w:val="0"/>
          <w:marRight w:val="0"/>
          <w:marTop w:val="20"/>
          <w:marBottom w:val="20"/>
          <w:divBdr>
            <w:top w:val="none" w:sz="0" w:space="0" w:color="auto"/>
            <w:left w:val="none" w:sz="0" w:space="0" w:color="auto"/>
            <w:bottom w:val="none" w:sz="0" w:space="0" w:color="auto"/>
            <w:right w:val="none" w:sz="0" w:space="0" w:color="auto"/>
          </w:divBdr>
        </w:div>
        <w:div w:id="1833327337">
          <w:marLeft w:val="0"/>
          <w:marRight w:val="0"/>
          <w:marTop w:val="20"/>
          <w:marBottom w:val="20"/>
          <w:divBdr>
            <w:top w:val="none" w:sz="0" w:space="0" w:color="auto"/>
            <w:left w:val="none" w:sz="0" w:space="0" w:color="auto"/>
            <w:bottom w:val="none" w:sz="0" w:space="0" w:color="auto"/>
            <w:right w:val="none" w:sz="0" w:space="0" w:color="auto"/>
          </w:divBdr>
        </w:div>
        <w:div w:id="1899900525">
          <w:marLeft w:val="0"/>
          <w:marRight w:val="0"/>
          <w:marTop w:val="20"/>
          <w:marBottom w:val="20"/>
          <w:divBdr>
            <w:top w:val="none" w:sz="0" w:space="0" w:color="auto"/>
            <w:left w:val="none" w:sz="0" w:space="0" w:color="auto"/>
            <w:bottom w:val="none" w:sz="0" w:space="0" w:color="auto"/>
            <w:right w:val="none" w:sz="0" w:space="0" w:color="auto"/>
          </w:divBdr>
        </w:div>
        <w:div w:id="1964312146">
          <w:marLeft w:val="0"/>
          <w:marRight w:val="0"/>
          <w:marTop w:val="20"/>
          <w:marBottom w:val="20"/>
          <w:divBdr>
            <w:top w:val="none" w:sz="0" w:space="0" w:color="auto"/>
            <w:left w:val="none" w:sz="0" w:space="0" w:color="auto"/>
            <w:bottom w:val="none" w:sz="0" w:space="0" w:color="auto"/>
            <w:right w:val="none" w:sz="0" w:space="0" w:color="auto"/>
          </w:divBdr>
        </w:div>
      </w:divsChild>
    </w:div>
    <w:div w:id="1233152309">
      <w:bodyDiv w:val="1"/>
      <w:marLeft w:val="0"/>
      <w:marRight w:val="0"/>
      <w:marTop w:val="0"/>
      <w:marBottom w:val="0"/>
      <w:divBdr>
        <w:top w:val="none" w:sz="0" w:space="0" w:color="auto"/>
        <w:left w:val="none" w:sz="0" w:space="0" w:color="auto"/>
        <w:bottom w:val="none" w:sz="0" w:space="0" w:color="auto"/>
        <w:right w:val="none" w:sz="0" w:space="0" w:color="auto"/>
      </w:divBdr>
      <w:divsChild>
        <w:div w:id="668337">
          <w:marLeft w:val="0"/>
          <w:marRight w:val="0"/>
          <w:marTop w:val="20"/>
          <w:marBottom w:val="20"/>
          <w:divBdr>
            <w:top w:val="none" w:sz="0" w:space="0" w:color="auto"/>
            <w:left w:val="none" w:sz="0" w:space="0" w:color="auto"/>
            <w:bottom w:val="none" w:sz="0" w:space="0" w:color="auto"/>
            <w:right w:val="none" w:sz="0" w:space="0" w:color="auto"/>
          </w:divBdr>
        </w:div>
        <w:div w:id="353969248">
          <w:marLeft w:val="0"/>
          <w:marRight w:val="0"/>
          <w:marTop w:val="20"/>
          <w:marBottom w:val="20"/>
          <w:divBdr>
            <w:top w:val="none" w:sz="0" w:space="0" w:color="auto"/>
            <w:left w:val="none" w:sz="0" w:space="0" w:color="auto"/>
            <w:bottom w:val="none" w:sz="0" w:space="0" w:color="auto"/>
            <w:right w:val="none" w:sz="0" w:space="0" w:color="auto"/>
          </w:divBdr>
        </w:div>
        <w:div w:id="1352488179">
          <w:marLeft w:val="0"/>
          <w:marRight w:val="0"/>
          <w:marTop w:val="20"/>
          <w:marBottom w:val="20"/>
          <w:divBdr>
            <w:top w:val="none" w:sz="0" w:space="0" w:color="auto"/>
            <w:left w:val="none" w:sz="0" w:space="0" w:color="auto"/>
            <w:bottom w:val="none" w:sz="0" w:space="0" w:color="auto"/>
            <w:right w:val="none" w:sz="0" w:space="0" w:color="auto"/>
          </w:divBdr>
        </w:div>
        <w:div w:id="1579828516">
          <w:marLeft w:val="0"/>
          <w:marRight w:val="0"/>
          <w:marTop w:val="20"/>
          <w:marBottom w:val="20"/>
          <w:divBdr>
            <w:top w:val="none" w:sz="0" w:space="0" w:color="auto"/>
            <w:left w:val="none" w:sz="0" w:space="0" w:color="auto"/>
            <w:bottom w:val="none" w:sz="0" w:space="0" w:color="auto"/>
            <w:right w:val="none" w:sz="0" w:space="0" w:color="auto"/>
          </w:divBdr>
        </w:div>
        <w:div w:id="1754084692">
          <w:marLeft w:val="0"/>
          <w:marRight w:val="0"/>
          <w:marTop w:val="20"/>
          <w:marBottom w:val="20"/>
          <w:divBdr>
            <w:top w:val="none" w:sz="0" w:space="0" w:color="auto"/>
            <w:left w:val="none" w:sz="0" w:space="0" w:color="auto"/>
            <w:bottom w:val="none" w:sz="0" w:space="0" w:color="auto"/>
            <w:right w:val="none" w:sz="0" w:space="0" w:color="auto"/>
          </w:divBdr>
        </w:div>
        <w:div w:id="2099673232">
          <w:marLeft w:val="0"/>
          <w:marRight w:val="0"/>
          <w:marTop w:val="20"/>
          <w:marBottom w:val="20"/>
          <w:divBdr>
            <w:top w:val="none" w:sz="0" w:space="0" w:color="auto"/>
            <w:left w:val="none" w:sz="0" w:space="0" w:color="auto"/>
            <w:bottom w:val="none" w:sz="0" w:space="0" w:color="auto"/>
            <w:right w:val="none" w:sz="0" w:space="0" w:color="auto"/>
          </w:divBdr>
        </w:div>
      </w:divsChild>
    </w:div>
    <w:div w:id="1554191599">
      <w:bodyDiv w:val="1"/>
      <w:marLeft w:val="0"/>
      <w:marRight w:val="0"/>
      <w:marTop w:val="0"/>
      <w:marBottom w:val="0"/>
      <w:divBdr>
        <w:top w:val="none" w:sz="0" w:space="0" w:color="auto"/>
        <w:left w:val="none" w:sz="0" w:space="0" w:color="auto"/>
        <w:bottom w:val="none" w:sz="0" w:space="0" w:color="auto"/>
        <w:right w:val="none" w:sz="0" w:space="0" w:color="auto"/>
      </w:divBdr>
      <w:divsChild>
        <w:div w:id="9138813">
          <w:marLeft w:val="0"/>
          <w:marRight w:val="0"/>
          <w:marTop w:val="20"/>
          <w:marBottom w:val="20"/>
          <w:divBdr>
            <w:top w:val="none" w:sz="0" w:space="0" w:color="auto"/>
            <w:left w:val="none" w:sz="0" w:space="0" w:color="auto"/>
            <w:bottom w:val="none" w:sz="0" w:space="0" w:color="auto"/>
            <w:right w:val="none" w:sz="0" w:space="0" w:color="auto"/>
          </w:divBdr>
        </w:div>
        <w:div w:id="132599271">
          <w:marLeft w:val="0"/>
          <w:marRight w:val="0"/>
          <w:marTop w:val="20"/>
          <w:marBottom w:val="20"/>
          <w:divBdr>
            <w:top w:val="none" w:sz="0" w:space="0" w:color="auto"/>
            <w:left w:val="none" w:sz="0" w:space="0" w:color="auto"/>
            <w:bottom w:val="none" w:sz="0" w:space="0" w:color="auto"/>
            <w:right w:val="none" w:sz="0" w:space="0" w:color="auto"/>
          </w:divBdr>
        </w:div>
        <w:div w:id="173999894">
          <w:marLeft w:val="0"/>
          <w:marRight w:val="0"/>
          <w:marTop w:val="20"/>
          <w:marBottom w:val="20"/>
          <w:divBdr>
            <w:top w:val="none" w:sz="0" w:space="0" w:color="auto"/>
            <w:left w:val="none" w:sz="0" w:space="0" w:color="auto"/>
            <w:bottom w:val="none" w:sz="0" w:space="0" w:color="auto"/>
            <w:right w:val="none" w:sz="0" w:space="0" w:color="auto"/>
          </w:divBdr>
        </w:div>
        <w:div w:id="187454176">
          <w:marLeft w:val="0"/>
          <w:marRight w:val="0"/>
          <w:marTop w:val="20"/>
          <w:marBottom w:val="20"/>
          <w:divBdr>
            <w:top w:val="none" w:sz="0" w:space="0" w:color="auto"/>
            <w:left w:val="none" w:sz="0" w:space="0" w:color="auto"/>
            <w:bottom w:val="none" w:sz="0" w:space="0" w:color="auto"/>
            <w:right w:val="none" w:sz="0" w:space="0" w:color="auto"/>
          </w:divBdr>
        </w:div>
        <w:div w:id="519202716">
          <w:marLeft w:val="0"/>
          <w:marRight w:val="0"/>
          <w:marTop w:val="20"/>
          <w:marBottom w:val="20"/>
          <w:divBdr>
            <w:top w:val="none" w:sz="0" w:space="0" w:color="auto"/>
            <w:left w:val="none" w:sz="0" w:space="0" w:color="auto"/>
            <w:bottom w:val="none" w:sz="0" w:space="0" w:color="auto"/>
            <w:right w:val="none" w:sz="0" w:space="0" w:color="auto"/>
          </w:divBdr>
        </w:div>
        <w:div w:id="726803409">
          <w:marLeft w:val="0"/>
          <w:marRight w:val="0"/>
          <w:marTop w:val="20"/>
          <w:marBottom w:val="20"/>
          <w:divBdr>
            <w:top w:val="none" w:sz="0" w:space="0" w:color="auto"/>
            <w:left w:val="none" w:sz="0" w:space="0" w:color="auto"/>
            <w:bottom w:val="none" w:sz="0" w:space="0" w:color="auto"/>
            <w:right w:val="none" w:sz="0" w:space="0" w:color="auto"/>
          </w:divBdr>
        </w:div>
        <w:div w:id="848637350">
          <w:marLeft w:val="0"/>
          <w:marRight w:val="0"/>
          <w:marTop w:val="20"/>
          <w:marBottom w:val="20"/>
          <w:divBdr>
            <w:top w:val="none" w:sz="0" w:space="0" w:color="auto"/>
            <w:left w:val="none" w:sz="0" w:space="0" w:color="auto"/>
            <w:bottom w:val="none" w:sz="0" w:space="0" w:color="auto"/>
            <w:right w:val="none" w:sz="0" w:space="0" w:color="auto"/>
          </w:divBdr>
        </w:div>
        <w:div w:id="878783413">
          <w:marLeft w:val="0"/>
          <w:marRight w:val="0"/>
          <w:marTop w:val="20"/>
          <w:marBottom w:val="20"/>
          <w:divBdr>
            <w:top w:val="none" w:sz="0" w:space="0" w:color="auto"/>
            <w:left w:val="none" w:sz="0" w:space="0" w:color="auto"/>
            <w:bottom w:val="none" w:sz="0" w:space="0" w:color="auto"/>
            <w:right w:val="none" w:sz="0" w:space="0" w:color="auto"/>
          </w:divBdr>
        </w:div>
        <w:div w:id="1041397347">
          <w:marLeft w:val="0"/>
          <w:marRight w:val="0"/>
          <w:marTop w:val="20"/>
          <w:marBottom w:val="20"/>
          <w:divBdr>
            <w:top w:val="none" w:sz="0" w:space="0" w:color="auto"/>
            <w:left w:val="none" w:sz="0" w:space="0" w:color="auto"/>
            <w:bottom w:val="none" w:sz="0" w:space="0" w:color="auto"/>
            <w:right w:val="none" w:sz="0" w:space="0" w:color="auto"/>
          </w:divBdr>
        </w:div>
        <w:div w:id="1295941552">
          <w:marLeft w:val="0"/>
          <w:marRight w:val="0"/>
          <w:marTop w:val="20"/>
          <w:marBottom w:val="20"/>
          <w:divBdr>
            <w:top w:val="none" w:sz="0" w:space="0" w:color="auto"/>
            <w:left w:val="none" w:sz="0" w:space="0" w:color="auto"/>
            <w:bottom w:val="none" w:sz="0" w:space="0" w:color="auto"/>
            <w:right w:val="none" w:sz="0" w:space="0" w:color="auto"/>
          </w:divBdr>
        </w:div>
        <w:div w:id="1297957045">
          <w:marLeft w:val="0"/>
          <w:marRight w:val="0"/>
          <w:marTop w:val="20"/>
          <w:marBottom w:val="20"/>
          <w:divBdr>
            <w:top w:val="none" w:sz="0" w:space="0" w:color="auto"/>
            <w:left w:val="none" w:sz="0" w:space="0" w:color="auto"/>
            <w:bottom w:val="none" w:sz="0" w:space="0" w:color="auto"/>
            <w:right w:val="none" w:sz="0" w:space="0" w:color="auto"/>
          </w:divBdr>
        </w:div>
        <w:div w:id="1372875909">
          <w:marLeft w:val="0"/>
          <w:marRight w:val="0"/>
          <w:marTop w:val="20"/>
          <w:marBottom w:val="20"/>
          <w:divBdr>
            <w:top w:val="none" w:sz="0" w:space="0" w:color="auto"/>
            <w:left w:val="none" w:sz="0" w:space="0" w:color="auto"/>
            <w:bottom w:val="none" w:sz="0" w:space="0" w:color="auto"/>
            <w:right w:val="none" w:sz="0" w:space="0" w:color="auto"/>
          </w:divBdr>
        </w:div>
        <w:div w:id="1397430638">
          <w:marLeft w:val="0"/>
          <w:marRight w:val="0"/>
          <w:marTop w:val="20"/>
          <w:marBottom w:val="20"/>
          <w:divBdr>
            <w:top w:val="none" w:sz="0" w:space="0" w:color="auto"/>
            <w:left w:val="none" w:sz="0" w:space="0" w:color="auto"/>
            <w:bottom w:val="none" w:sz="0" w:space="0" w:color="auto"/>
            <w:right w:val="none" w:sz="0" w:space="0" w:color="auto"/>
          </w:divBdr>
        </w:div>
        <w:div w:id="1696495607">
          <w:marLeft w:val="0"/>
          <w:marRight w:val="0"/>
          <w:marTop w:val="20"/>
          <w:marBottom w:val="20"/>
          <w:divBdr>
            <w:top w:val="none" w:sz="0" w:space="0" w:color="auto"/>
            <w:left w:val="none" w:sz="0" w:space="0" w:color="auto"/>
            <w:bottom w:val="none" w:sz="0" w:space="0" w:color="auto"/>
            <w:right w:val="none" w:sz="0" w:space="0" w:color="auto"/>
          </w:divBdr>
        </w:div>
        <w:div w:id="1767537843">
          <w:marLeft w:val="0"/>
          <w:marRight w:val="0"/>
          <w:marTop w:val="20"/>
          <w:marBottom w:val="20"/>
          <w:divBdr>
            <w:top w:val="none" w:sz="0" w:space="0" w:color="auto"/>
            <w:left w:val="none" w:sz="0" w:space="0" w:color="auto"/>
            <w:bottom w:val="none" w:sz="0" w:space="0" w:color="auto"/>
            <w:right w:val="none" w:sz="0" w:space="0" w:color="auto"/>
          </w:divBdr>
        </w:div>
        <w:div w:id="2147040878">
          <w:marLeft w:val="0"/>
          <w:marRight w:val="0"/>
          <w:marTop w:val="20"/>
          <w:marBottom w:val="20"/>
          <w:divBdr>
            <w:top w:val="none" w:sz="0" w:space="0" w:color="auto"/>
            <w:left w:val="none" w:sz="0" w:space="0" w:color="auto"/>
            <w:bottom w:val="none" w:sz="0" w:space="0" w:color="auto"/>
            <w:right w:val="none" w:sz="0" w:space="0" w:color="auto"/>
          </w:divBdr>
        </w:div>
      </w:divsChild>
    </w:div>
    <w:div w:id="1947037972">
      <w:bodyDiv w:val="1"/>
      <w:marLeft w:val="0"/>
      <w:marRight w:val="0"/>
      <w:marTop w:val="0"/>
      <w:marBottom w:val="0"/>
      <w:divBdr>
        <w:top w:val="none" w:sz="0" w:space="0" w:color="auto"/>
        <w:left w:val="none" w:sz="0" w:space="0" w:color="auto"/>
        <w:bottom w:val="none" w:sz="0" w:space="0" w:color="auto"/>
        <w:right w:val="none" w:sz="0" w:space="0" w:color="auto"/>
      </w:divBdr>
    </w:div>
    <w:div w:id="2096129608">
      <w:bodyDiv w:val="1"/>
      <w:marLeft w:val="0"/>
      <w:marRight w:val="0"/>
      <w:marTop w:val="0"/>
      <w:marBottom w:val="0"/>
      <w:divBdr>
        <w:top w:val="none" w:sz="0" w:space="0" w:color="auto"/>
        <w:left w:val="none" w:sz="0" w:space="0" w:color="auto"/>
        <w:bottom w:val="none" w:sz="0" w:space="0" w:color="auto"/>
        <w:right w:val="none" w:sz="0" w:space="0" w:color="auto"/>
      </w:divBdr>
      <w:divsChild>
        <w:div w:id="757672819">
          <w:marLeft w:val="0"/>
          <w:marRight w:val="0"/>
          <w:marTop w:val="20"/>
          <w:marBottom w:val="20"/>
          <w:divBdr>
            <w:top w:val="none" w:sz="0" w:space="0" w:color="auto"/>
            <w:left w:val="none" w:sz="0" w:space="0" w:color="auto"/>
            <w:bottom w:val="none" w:sz="0" w:space="0" w:color="auto"/>
            <w:right w:val="none" w:sz="0" w:space="0" w:color="auto"/>
          </w:divBdr>
        </w:div>
        <w:div w:id="1045175548">
          <w:marLeft w:val="0"/>
          <w:marRight w:val="0"/>
          <w:marTop w:val="20"/>
          <w:marBottom w:val="20"/>
          <w:divBdr>
            <w:top w:val="none" w:sz="0" w:space="0" w:color="auto"/>
            <w:left w:val="none" w:sz="0" w:space="0" w:color="auto"/>
            <w:bottom w:val="none" w:sz="0" w:space="0" w:color="auto"/>
            <w:right w:val="none" w:sz="0" w:space="0" w:color="auto"/>
          </w:divBdr>
        </w:div>
        <w:div w:id="1950965331">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1270</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RRodman</dc:creator>
  <cp:lastModifiedBy> </cp:lastModifiedBy>
  <cp:revision>4</cp:revision>
  <cp:lastPrinted>2018-06-20T13:05:00Z</cp:lastPrinted>
  <dcterms:created xsi:type="dcterms:W3CDTF">2018-06-28T14:30:00Z</dcterms:created>
  <dcterms:modified xsi:type="dcterms:W3CDTF">2018-06-28T14:35:00Z</dcterms:modified>
</cp:coreProperties>
</file>