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0506" w14:textId="77777777" w:rsidR="009A1F44" w:rsidRDefault="009A1F44" w:rsidP="000213E8">
      <w:pPr>
        <w:ind w:left="270" w:hanging="270"/>
        <w:jc w:val="center"/>
      </w:pPr>
      <w:smartTag w:uri="urn:schemas-microsoft-com:office:smarttags" w:element="PlaceType">
        <w:r>
          <w:t>COMMONWEALTH</w:t>
        </w:r>
      </w:smartTag>
      <w:r>
        <w:t xml:space="preserve"> OF MASSACHUSETTS</w:t>
      </w:r>
    </w:p>
    <w:p w14:paraId="57BBA207" w14:textId="77777777" w:rsidR="009A1F44" w:rsidRDefault="009A1F44" w:rsidP="000213E8">
      <w:pPr>
        <w:jc w:val="center"/>
      </w:pPr>
      <w:r>
        <w:t>BOARD OF REGISTRATION IN MEDICINE</w:t>
      </w:r>
    </w:p>
    <w:p w14:paraId="5443C121" w14:textId="77777777" w:rsidR="009A1F44" w:rsidRDefault="009A1F44" w:rsidP="000213E8">
      <w:pPr>
        <w:jc w:val="both"/>
      </w:pPr>
    </w:p>
    <w:p w14:paraId="4654FFFB" w14:textId="5FF3B477" w:rsidR="00AC6B84" w:rsidRDefault="000213E8" w:rsidP="000213E8">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003F4B84">
        <w:t>2020-</w:t>
      </w:r>
      <w:r w:rsidR="00546629">
        <w:t>046</w:t>
      </w:r>
    </w:p>
    <w:p w14:paraId="45ED16BA" w14:textId="37FF6ADF" w:rsidR="009A1F44" w:rsidRDefault="00C65CDD" w:rsidP="000213E8">
      <w:pPr>
        <w:ind w:left="3600" w:hanging="3600"/>
      </w:pPr>
      <w:r>
        <w:tab/>
      </w:r>
      <w:r>
        <w:tab/>
      </w:r>
      <w:r>
        <w:tab/>
        <w:t>(RM-20-0</w:t>
      </w:r>
      <w:r w:rsidR="00546629">
        <w:t>451</w:t>
      </w:r>
      <w:r w:rsidR="000213E8">
        <w:t>)</w:t>
      </w:r>
      <w:r w:rsidR="00AC6B84">
        <w:tab/>
      </w:r>
      <w:r w:rsidR="00AC6B84">
        <w:tab/>
      </w:r>
      <w:r w:rsidR="00AC6B84">
        <w:tab/>
      </w:r>
      <w:r w:rsidR="00AC6B84">
        <w:tab/>
      </w:r>
      <w:r w:rsidR="00AC6B84">
        <w:tab/>
      </w:r>
    </w:p>
    <w:p w14:paraId="338DAF8B" w14:textId="77777777"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0213E8" w14:paraId="4AAC6C09" w14:textId="77777777" w:rsidTr="00546629">
        <w:trPr>
          <w:trHeight w:val="1433"/>
        </w:trPr>
        <w:tc>
          <w:tcPr>
            <w:tcW w:w="3420" w:type="dxa"/>
            <w:tcBorders>
              <w:left w:val="nil"/>
            </w:tcBorders>
          </w:tcPr>
          <w:p w14:paraId="5D943665" w14:textId="77777777" w:rsidR="000213E8" w:rsidRDefault="000213E8" w:rsidP="000213E8"/>
          <w:p w14:paraId="19F7A4CC" w14:textId="77777777" w:rsidR="000213E8" w:rsidRDefault="000213E8" w:rsidP="000213E8">
            <w:r>
              <w:t>In the Matter of</w:t>
            </w:r>
          </w:p>
          <w:p w14:paraId="4C79F35C" w14:textId="77777777" w:rsidR="000213E8" w:rsidRDefault="000213E8" w:rsidP="000213E8"/>
          <w:p w14:paraId="7D79F4AC" w14:textId="742DF926" w:rsidR="000213E8" w:rsidRDefault="00546629" w:rsidP="003F4B84">
            <w:r>
              <w:t xml:space="preserve">Emmanuel N. Rodriguez, M.D.  </w:t>
            </w:r>
          </w:p>
        </w:tc>
      </w:tr>
    </w:tbl>
    <w:p w14:paraId="53B9715B" w14:textId="77777777" w:rsidR="000213E8" w:rsidRDefault="000213E8" w:rsidP="000213E8">
      <w:pPr>
        <w:ind w:left="-720"/>
      </w:pPr>
    </w:p>
    <w:p w14:paraId="0C3E92F8" w14:textId="77777777" w:rsidR="000213E8" w:rsidRDefault="000213E8" w:rsidP="000213E8">
      <w:pPr>
        <w:ind w:left="-720"/>
      </w:pPr>
    </w:p>
    <w:p w14:paraId="5798DE94" w14:textId="77777777" w:rsidR="000213E8" w:rsidRDefault="000213E8" w:rsidP="000213E8">
      <w:pPr>
        <w:ind w:left="4320" w:firstLine="720"/>
      </w:pPr>
      <w:r>
        <w:rPr>
          <w:b/>
          <w:u w:val="single"/>
        </w:rPr>
        <w:t>FINAL DECISION AND ORDER</w:t>
      </w:r>
    </w:p>
    <w:p w14:paraId="1E9FAD3B" w14:textId="77777777" w:rsidR="000213E8" w:rsidRDefault="000213E8" w:rsidP="000213E8">
      <w:pPr>
        <w:ind w:left="-720"/>
      </w:pPr>
    </w:p>
    <w:p w14:paraId="6EC585A0" w14:textId="77777777" w:rsidR="00CC0E7A" w:rsidRPr="00CC0E7A" w:rsidRDefault="009A1F44" w:rsidP="000213E8">
      <w:r>
        <w:t xml:space="preserve">  </w:t>
      </w:r>
    </w:p>
    <w:p w14:paraId="2AA4391F" w14:textId="77777777" w:rsidR="00CC0E7A" w:rsidRDefault="00CC0E7A" w:rsidP="000213E8">
      <w:pPr>
        <w:ind w:left="-720"/>
      </w:pPr>
      <w:r>
        <w:tab/>
      </w:r>
    </w:p>
    <w:p w14:paraId="7930269C" w14:textId="77777777" w:rsidR="000213E8" w:rsidRPr="000213E8" w:rsidRDefault="000213E8" w:rsidP="000213E8"/>
    <w:p w14:paraId="4AC8693D" w14:textId="77777777" w:rsidR="00546629" w:rsidRDefault="00552DA9" w:rsidP="00546629">
      <w:pPr>
        <w:spacing w:line="480" w:lineRule="auto"/>
        <w:rPr>
          <w:szCs w:val="20"/>
        </w:rPr>
      </w:pPr>
      <w:r>
        <w:tab/>
      </w:r>
      <w:r w:rsidR="00087BD8" w:rsidRPr="00187B06">
        <w:t xml:space="preserve">This matter came before the Board for final disposition on the basis of the Administrative Magistrate’s </w:t>
      </w:r>
      <w:r w:rsidR="00C65CDD">
        <w:t xml:space="preserve">Order of Default </w:t>
      </w:r>
      <w:r w:rsidR="00087BD8" w:rsidRPr="00187B06">
        <w:t xml:space="preserve">Recommended Decision (hereinafter “Recommended Decision”) dated </w:t>
      </w:r>
      <w:r w:rsidR="00546629">
        <w:t xml:space="preserve">January 21, 2021, </w:t>
      </w:r>
      <w:r w:rsidR="004C7FAB">
        <w:t xml:space="preserve">which found </w:t>
      </w:r>
      <w:r w:rsidR="00546629">
        <w:t xml:space="preserve">Emmanuel N. Rodriguez, </w:t>
      </w:r>
      <w:r w:rsidR="003F4B84">
        <w:t xml:space="preserve">M.D. </w:t>
      </w:r>
      <w:r w:rsidR="004C7FAB">
        <w:t>(hereinafter “Respondent”) in default</w:t>
      </w:r>
      <w:r w:rsidR="00087BD8">
        <w:t xml:space="preserve">. </w:t>
      </w:r>
      <w:r w:rsidR="00087BD8" w:rsidRPr="00187B06">
        <w:rPr>
          <w:rFonts w:cs="Arial"/>
        </w:rPr>
        <w:t>After full consideration of the Recommended Decision, which is attached hereto and incorporated by r</w:t>
      </w:r>
      <w:r w:rsidR="00087BD8">
        <w:rPr>
          <w:rFonts w:cs="Arial"/>
        </w:rPr>
        <w:t>eference</w:t>
      </w:r>
      <w:r w:rsidR="003F4B84" w:rsidRPr="003F4B84">
        <w:rPr>
          <w:szCs w:val="20"/>
        </w:rPr>
        <w:t>, and Complaint Counsel’s Memorandum on Disposition, the Board adopts the Recommended Decision</w:t>
      </w:r>
      <w:r w:rsidR="00546629">
        <w:rPr>
          <w:szCs w:val="20"/>
        </w:rPr>
        <w:t xml:space="preserve">. </w:t>
      </w:r>
    </w:p>
    <w:p w14:paraId="349DEB5A" w14:textId="6E6E3D4A" w:rsidR="00087BD8" w:rsidRDefault="00CE3997" w:rsidP="00546629">
      <w:pPr>
        <w:spacing w:line="480" w:lineRule="auto"/>
        <w:ind w:firstLine="720"/>
        <w:rPr>
          <w:rFonts w:cs="Arial"/>
        </w:rPr>
      </w:pPr>
      <w:r>
        <w:rPr>
          <w:rFonts w:cs="Arial"/>
        </w:rPr>
        <w:t>T</w:t>
      </w:r>
      <w:r w:rsidR="00546629">
        <w:rPr>
          <w:rFonts w:cs="Arial"/>
        </w:rPr>
        <w:t>h</w:t>
      </w:r>
      <w:r w:rsidR="00087BD8">
        <w:rPr>
          <w:rFonts w:cs="Arial"/>
        </w:rPr>
        <w:t xml:space="preserve">e Board </w:t>
      </w:r>
      <w:r w:rsidR="00491012">
        <w:rPr>
          <w:rFonts w:cs="Arial"/>
        </w:rPr>
        <w:t xml:space="preserve">also </w:t>
      </w:r>
      <w:r w:rsidR="00087BD8">
        <w:rPr>
          <w:rFonts w:cs="Arial"/>
        </w:rPr>
        <w:t>add</w:t>
      </w:r>
      <w:r w:rsidR="004844D4">
        <w:rPr>
          <w:rFonts w:cs="Arial"/>
        </w:rPr>
        <w:t>s</w:t>
      </w:r>
      <w:r w:rsidR="00087BD8">
        <w:rPr>
          <w:rFonts w:cs="Arial"/>
        </w:rPr>
        <w:t xml:space="preserve"> the following:</w:t>
      </w:r>
    </w:p>
    <w:p w14:paraId="295AB370" w14:textId="77777777" w:rsidR="00087BD8" w:rsidRDefault="00087BD8" w:rsidP="0029674C">
      <w:pPr>
        <w:pStyle w:val="BodyText"/>
        <w:spacing w:line="480" w:lineRule="auto"/>
        <w:ind w:left="2160" w:firstLine="720"/>
        <w:rPr>
          <w:rFonts w:cs="Arial"/>
          <w:szCs w:val="24"/>
          <w:u w:val="single"/>
        </w:rPr>
      </w:pPr>
      <w:r>
        <w:rPr>
          <w:rFonts w:cs="Arial"/>
          <w:szCs w:val="24"/>
          <w:u w:val="single"/>
        </w:rPr>
        <w:t>F</w:t>
      </w:r>
      <w:r w:rsidRPr="00187B06">
        <w:rPr>
          <w:rFonts w:cs="Arial"/>
          <w:szCs w:val="24"/>
          <w:u w:val="single"/>
        </w:rPr>
        <w:t>indings of Fact</w:t>
      </w:r>
    </w:p>
    <w:p w14:paraId="3B4CB9F4" w14:textId="693B0816" w:rsidR="00B16252" w:rsidRDefault="004C7FAB" w:rsidP="0029674C">
      <w:pPr>
        <w:spacing w:line="480" w:lineRule="auto"/>
        <w:ind w:firstLine="720"/>
        <w:rPr>
          <w:rFonts w:cs="Arial"/>
        </w:rPr>
      </w:pPr>
      <w:r>
        <w:rPr>
          <w:rFonts w:cs="Arial"/>
        </w:rPr>
        <w:t>In light of the Respondent’s failure to respond to the Statement of Allegations (hereinafter “SOA”)</w:t>
      </w:r>
      <w:r w:rsidR="00491012">
        <w:rPr>
          <w:rFonts w:cs="Arial"/>
        </w:rPr>
        <w:t xml:space="preserve"> and</w:t>
      </w:r>
      <w:r>
        <w:rPr>
          <w:rFonts w:cs="Arial"/>
        </w:rPr>
        <w:t xml:space="preserve"> to appear </w:t>
      </w:r>
      <w:r w:rsidR="00546629">
        <w:rPr>
          <w:rFonts w:cs="Arial"/>
        </w:rPr>
        <w:t xml:space="preserve">by phone at </w:t>
      </w:r>
      <w:r>
        <w:rPr>
          <w:rFonts w:cs="Arial"/>
        </w:rPr>
        <w:t xml:space="preserve">a scheduled </w:t>
      </w:r>
      <w:r w:rsidR="005A2E9D">
        <w:rPr>
          <w:rFonts w:cs="Arial"/>
        </w:rPr>
        <w:t>pre</w:t>
      </w:r>
      <w:r>
        <w:rPr>
          <w:rFonts w:cs="Arial"/>
        </w:rPr>
        <w:t>hearing</w:t>
      </w:r>
      <w:r w:rsidR="005A2E9D">
        <w:rPr>
          <w:rFonts w:cs="Arial"/>
        </w:rPr>
        <w:t xml:space="preserve"> conference</w:t>
      </w:r>
      <w:r>
        <w:rPr>
          <w:rFonts w:cs="Arial"/>
        </w:rPr>
        <w:t xml:space="preserve"> at the Division of Administrative Law Ap</w:t>
      </w:r>
      <w:r w:rsidR="004844D4">
        <w:rPr>
          <w:rFonts w:cs="Arial"/>
        </w:rPr>
        <w:t>peals (hereinafter “DALA”),</w:t>
      </w:r>
      <w:r w:rsidR="00546629">
        <w:rPr>
          <w:rFonts w:cs="Arial"/>
        </w:rPr>
        <w:t xml:space="preserve"> and failure to respond to the Magistrate’s Order to Show Cause, </w:t>
      </w:r>
      <w:r w:rsidR="004844D4">
        <w:rPr>
          <w:rFonts w:cs="Arial"/>
        </w:rPr>
        <w:t xml:space="preserve"> DALA</w:t>
      </w:r>
      <w:r w:rsidR="006E50B4">
        <w:rPr>
          <w:rFonts w:cs="Arial"/>
        </w:rPr>
        <w:t xml:space="preserve"> </w:t>
      </w:r>
      <w:r>
        <w:rPr>
          <w:rFonts w:cs="Arial"/>
        </w:rPr>
        <w:t>f</w:t>
      </w:r>
      <w:r w:rsidR="00491012">
        <w:rPr>
          <w:rFonts w:cs="Arial"/>
        </w:rPr>
        <w:t>ound</w:t>
      </w:r>
      <w:r w:rsidR="001467FE">
        <w:rPr>
          <w:rFonts w:cs="Arial"/>
        </w:rPr>
        <w:t xml:space="preserve"> the Respondent in default. </w:t>
      </w:r>
      <w:r>
        <w:rPr>
          <w:rFonts w:cs="Arial"/>
        </w:rPr>
        <w:t xml:space="preserve">G.L. c. 30A, § 10(2), and 801 CMR 1.01(7)(a)(1). </w:t>
      </w:r>
      <w:r w:rsidR="00B16252" w:rsidRPr="00D20DEA">
        <w:rPr>
          <w:i/>
          <w:iCs/>
        </w:rPr>
        <w:t>See</w:t>
      </w:r>
      <w:r w:rsidR="00B16252">
        <w:t xml:space="preserve"> </w:t>
      </w:r>
      <w:r w:rsidR="00B16252" w:rsidRPr="00D20DEA">
        <w:rPr>
          <w:i/>
          <w:iCs/>
        </w:rPr>
        <w:t>Peters &amp; Russell, Inc. v. Dorfman</w:t>
      </w:r>
      <w:r w:rsidR="00B16252" w:rsidRPr="00AA4FF2">
        <w:t>, 188 F.2d 711 (7</w:t>
      </w:r>
      <w:r w:rsidR="00B16252" w:rsidRPr="00AA4FF2">
        <w:rPr>
          <w:vertAlign w:val="superscript"/>
        </w:rPr>
        <w:t>th</w:t>
      </w:r>
      <w:r w:rsidR="00B16252" w:rsidRPr="00AA4FF2">
        <w:t xml:space="preserve"> Cir. 1951); </w:t>
      </w:r>
      <w:r w:rsidR="00B16252" w:rsidRPr="00D20DEA">
        <w:rPr>
          <w:i/>
          <w:iCs/>
        </w:rPr>
        <w:t xml:space="preserve">Northwest Yeast Co. v. </w:t>
      </w:r>
      <w:proofErr w:type="spellStart"/>
      <w:r w:rsidR="00B16252" w:rsidRPr="00D20DEA">
        <w:rPr>
          <w:i/>
          <w:iCs/>
        </w:rPr>
        <w:t>Broutin</w:t>
      </w:r>
      <w:proofErr w:type="spellEnd"/>
      <w:r w:rsidR="00B16252" w:rsidRPr="00AA4FF2">
        <w:t>, 133 F.2d 628 (6</w:t>
      </w:r>
      <w:r w:rsidR="00B16252" w:rsidRPr="00AA4FF2">
        <w:rPr>
          <w:vertAlign w:val="superscript"/>
        </w:rPr>
        <w:t>th</w:t>
      </w:r>
      <w:r w:rsidR="00B16252" w:rsidRPr="00AA4FF2">
        <w:t xml:space="preserve"> Cir. 1943).</w:t>
      </w:r>
      <w:r w:rsidR="00B16252">
        <w:t xml:space="preserve"> </w:t>
      </w:r>
      <w:r>
        <w:rPr>
          <w:rFonts w:cs="Arial"/>
        </w:rPr>
        <w:t xml:space="preserve">Therefore, the allegations contained in the SOA are deemed admitted. </w:t>
      </w:r>
    </w:p>
    <w:p w14:paraId="6B0982F8" w14:textId="43D9E699" w:rsidR="0029674C" w:rsidRDefault="004C7FAB" w:rsidP="0029674C">
      <w:pPr>
        <w:spacing w:line="480" w:lineRule="auto"/>
        <w:ind w:firstLine="720"/>
        <w:rPr>
          <w:u w:val="single"/>
        </w:rPr>
      </w:pPr>
      <w:r>
        <w:t xml:space="preserve">The Board </w:t>
      </w:r>
      <w:r w:rsidR="008A07EA">
        <w:t xml:space="preserve">therefore </w:t>
      </w:r>
      <w:r>
        <w:t>makes the following findings:</w:t>
      </w:r>
      <w:r w:rsidR="0029674C" w:rsidRPr="0029674C">
        <w:rPr>
          <w:u w:val="single"/>
        </w:rPr>
        <w:t xml:space="preserve"> </w:t>
      </w:r>
    </w:p>
    <w:p w14:paraId="02C66AAD" w14:textId="77777777" w:rsidR="00B16252" w:rsidRDefault="00B16252" w:rsidP="0029674C">
      <w:pPr>
        <w:spacing w:line="480" w:lineRule="auto"/>
        <w:ind w:left="1440" w:firstLine="720"/>
        <w:rPr>
          <w:u w:val="single"/>
        </w:rPr>
      </w:pPr>
    </w:p>
    <w:p w14:paraId="7820D084" w14:textId="18B2146D" w:rsidR="0029674C" w:rsidRDefault="0029674C" w:rsidP="0029674C">
      <w:pPr>
        <w:spacing w:line="480" w:lineRule="auto"/>
        <w:ind w:left="1440" w:firstLine="720"/>
        <w:rPr>
          <w:u w:val="single"/>
        </w:rPr>
      </w:pPr>
      <w:r>
        <w:rPr>
          <w:u w:val="single"/>
        </w:rPr>
        <w:lastRenderedPageBreak/>
        <w:t>Biographical Information</w:t>
      </w:r>
    </w:p>
    <w:p w14:paraId="1DEC4919" w14:textId="77777777" w:rsidR="0029674C" w:rsidRDefault="0029674C" w:rsidP="0029674C">
      <w:pPr>
        <w:jc w:val="both"/>
      </w:pPr>
    </w:p>
    <w:p w14:paraId="0CBD025A" w14:textId="3A2F539B"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 xml:space="preserve">The Respondent was born on December 22, 1973.  He graduated from the Faculty of Medicine at the University of Sydney in 1998. He has been licensed to practice medicine in Massachusetts under certificate number 238423 since 2008, but his license was revoked by operation of law when he failed to renew it on December 21, 2019. </w:t>
      </w:r>
    </w:p>
    <w:p w14:paraId="44A73A8C" w14:textId="75A1C0C9" w:rsidR="0029674C" w:rsidRPr="0029674C" w:rsidRDefault="0029674C" w:rsidP="0029674C">
      <w:pPr>
        <w:pStyle w:val="ListParagraph"/>
        <w:spacing w:after="0" w:line="480" w:lineRule="auto"/>
        <w:ind w:left="2430"/>
        <w:jc w:val="both"/>
        <w:rPr>
          <w:rFonts w:ascii="Times New Roman" w:hAnsi="Times New Roman"/>
          <w:sz w:val="24"/>
          <w:szCs w:val="24"/>
          <w:u w:val="single"/>
        </w:rPr>
      </w:pPr>
      <w:r w:rsidRPr="0029674C">
        <w:rPr>
          <w:rFonts w:ascii="Times New Roman" w:hAnsi="Times New Roman"/>
          <w:sz w:val="24"/>
          <w:szCs w:val="24"/>
          <w:u w:val="single"/>
        </w:rPr>
        <w:t>Factual Allegations</w:t>
      </w:r>
    </w:p>
    <w:p w14:paraId="6A0E1894"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 xml:space="preserve">On March 13, 2017, the Board opened an investigation based on an allegation that the Respondent was an impaired physician. </w:t>
      </w:r>
    </w:p>
    <w:p w14:paraId="39D1CAEB"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On May 7, 2018, Board  Investigator John Landers mailed a notification letter to the Respondent, via United States Postal Service (USPS) first-class mail with delivery confirmation, at the address that the Respondent self-reported to the Board that the Board had docketed a complaint against him for inappropriate behavior at Marlborough Hospital, and requested that he file a response to the complaint within 30 days.</w:t>
      </w:r>
    </w:p>
    <w:p w14:paraId="40627B74"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Investigator Landers was unable to obtain confirmation that the USPS delivered the letter and sent the letter again by first class mail with delivery confirmation to the same address on May 22, 2018.</w:t>
      </w:r>
    </w:p>
    <w:p w14:paraId="1D26E211"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On May 24, 2018, the USPS confirmed delivery to the Respondent.</w:t>
      </w:r>
    </w:p>
    <w:p w14:paraId="77BB603E"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On June 5, 2018, Investigator Landers sent electronic email message (e-mail) to the Respondent notifying him of the complaint and requesting a response; the Respondent did not file a response.</w:t>
      </w:r>
    </w:p>
    <w:p w14:paraId="6A6821F5"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On October 26, 2018, Investigator Landers called the Respondent by telephone, but the Respondent’s voice mailbox was full, and he could not leave a message.</w:t>
      </w:r>
    </w:p>
    <w:p w14:paraId="37EBA286"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lastRenderedPageBreak/>
        <w:t>Also, on that date, Investigator Landers mailed the notification letter to the Respondent at a new address via USPS first-class mail with delivery confirmation.</w:t>
      </w:r>
    </w:p>
    <w:p w14:paraId="65C6C572" w14:textId="77777777" w:rsidR="0029674C" w:rsidRDefault="0029674C" w:rsidP="0029674C">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The USPS confirmed delivery to the Respondent’s new address on October 31, 2018.</w:t>
      </w:r>
    </w:p>
    <w:p w14:paraId="15918D4B" w14:textId="77777777" w:rsidR="0029674C" w:rsidRDefault="0029674C" w:rsidP="0029674C">
      <w:pPr>
        <w:pStyle w:val="ListParagraph"/>
        <w:numPr>
          <w:ilvl w:val="0"/>
          <w:numId w:val="24"/>
        </w:numPr>
        <w:spacing w:after="0" w:line="480" w:lineRule="auto"/>
        <w:rPr>
          <w:rFonts w:ascii="Times New Roman" w:hAnsi="Times New Roman"/>
          <w:sz w:val="24"/>
          <w:szCs w:val="24"/>
        </w:rPr>
      </w:pPr>
      <w:r>
        <w:rPr>
          <w:rFonts w:ascii="Times New Roman" w:hAnsi="Times New Roman"/>
          <w:sz w:val="24"/>
          <w:szCs w:val="24"/>
        </w:rPr>
        <w:t>On November 1, 2018, Investigator Landers sent another e-mail message to the Respondent at a new e-mail address notifying him of the complaint and requesting a response and received none.</w:t>
      </w:r>
    </w:p>
    <w:p w14:paraId="0BE638C9" w14:textId="77777777" w:rsidR="0029674C" w:rsidRDefault="0029674C" w:rsidP="0029674C">
      <w:pPr>
        <w:numPr>
          <w:ilvl w:val="0"/>
          <w:numId w:val="24"/>
        </w:numPr>
        <w:spacing w:line="480" w:lineRule="auto"/>
      </w:pPr>
      <w:r>
        <w:t>On December 20, 2018, the Complaint Committee issued a Ten-Day Order to Respond.</w:t>
      </w:r>
    </w:p>
    <w:p w14:paraId="1A1D35E3" w14:textId="77777777" w:rsidR="0029674C" w:rsidRDefault="0029674C" w:rsidP="0029674C">
      <w:pPr>
        <w:numPr>
          <w:ilvl w:val="0"/>
          <w:numId w:val="24"/>
        </w:numPr>
        <w:spacing w:line="480" w:lineRule="auto"/>
      </w:pPr>
      <w:r>
        <w:t>On May 13, 2020, Board staff mailed the Ten Day Order to the Respondent via certified mail to the most recent address the Board had for the Respondent.</w:t>
      </w:r>
    </w:p>
    <w:p w14:paraId="6DA90826" w14:textId="77777777" w:rsidR="0029674C" w:rsidRDefault="0029674C" w:rsidP="0029674C">
      <w:pPr>
        <w:numPr>
          <w:ilvl w:val="0"/>
          <w:numId w:val="24"/>
        </w:numPr>
        <w:spacing w:line="480" w:lineRule="auto"/>
      </w:pPr>
      <w:r>
        <w:t>The USPS delivered the Order to the Respondent’s new address on May 18, 2020; the Respondent has not filed a response.</w:t>
      </w:r>
    </w:p>
    <w:p w14:paraId="11EEE6FB" w14:textId="2E83BB7B" w:rsidR="0029674C" w:rsidRDefault="0029674C" w:rsidP="0029674C">
      <w:pPr>
        <w:spacing w:line="480" w:lineRule="auto"/>
        <w:jc w:val="both"/>
        <w:rPr>
          <w:u w:val="single"/>
        </w:rPr>
      </w:pPr>
      <w:r>
        <w:tab/>
      </w:r>
      <w:r>
        <w:tab/>
      </w:r>
      <w:r>
        <w:tab/>
      </w:r>
      <w:r>
        <w:tab/>
      </w:r>
      <w:r>
        <w:rPr>
          <w:u w:val="single"/>
        </w:rPr>
        <w:t>Conclusions of Law</w:t>
      </w:r>
    </w:p>
    <w:p w14:paraId="01E1B441" w14:textId="77777777" w:rsidR="0029674C" w:rsidRDefault="0029674C" w:rsidP="0029674C">
      <w:pPr>
        <w:spacing w:line="480" w:lineRule="auto"/>
        <w:jc w:val="both"/>
      </w:pPr>
      <w:r>
        <w:tab/>
        <w:t>Since the matter was decided on the basis of a default at DALA, the Magistrate made no determinations as to Conclusions of Law. Based upon the facts set out in the SOA, and now admitted, the Board can make the following Conclusions of Law:</w:t>
      </w:r>
    </w:p>
    <w:p w14:paraId="2CE15E82" w14:textId="77777777" w:rsidR="0029674C" w:rsidRDefault="0029674C" w:rsidP="0029674C">
      <w:pPr>
        <w:pStyle w:val="ListParagraph"/>
        <w:numPr>
          <w:ilvl w:val="0"/>
          <w:numId w:val="25"/>
        </w:numPr>
        <w:spacing w:after="0" w:line="480" w:lineRule="auto"/>
        <w:jc w:val="both"/>
        <w:rPr>
          <w:rFonts w:ascii="Times New Roman" w:hAnsi="Times New Roman"/>
          <w:sz w:val="24"/>
          <w:szCs w:val="24"/>
        </w:rPr>
      </w:pPr>
      <w:r>
        <w:rPr>
          <w:rFonts w:ascii="Times New Roman" w:hAnsi="Times New Roman"/>
          <w:sz w:val="24"/>
          <w:szCs w:val="24"/>
        </w:rPr>
        <w:t xml:space="preserve"> The Respondent has violated 243 CMR 2.07(12)(a), which requires a physician to respond to a written communication from the Board within thirty days; </w:t>
      </w:r>
    </w:p>
    <w:p w14:paraId="5CF37179" w14:textId="77777777" w:rsidR="0029674C" w:rsidRDefault="0029674C" w:rsidP="0029674C">
      <w:pPr>
        <w:pStyle w:val="ListParagraph"/>
        <w:numPr>
          <w:ilvl w:val="0"/>
          <w:numId w:val="25"/>
        </w:numPr>
        <w:spacing w:after="0" w:line="480" w:lineRule="auto"/>
        <w:jc w:val="both"/>
        <w:rPr>
          <w:rFonts w:ascii="Times New Roman" w:hAnsi="Times New Roman"/>
          <w:sz w:val="24"/>
          <w:szCs w:val="24"/>
        </w:rPr>
      </w:pPr>
      <w:r>
        <w:rPr>
          <w:rFonts w:ascii="Times New Roman" w:hAnsi="Times New Roman"/>
          <w:sz w:val="24"/>
          <w:szCs w:val="24"/>
        </w:rPr>
        <w:t>The Respondent had violated 243 CMR 1.03(7) and 243 CMR 2.07(12)(b), which require a physician to respond within ten days to an Order for Answering issued by the Complaint Committee;</w:t>
      </w:r>
    </w:p>
    <w:p w14:paraId="1655C838" w14:textId="77777777" w:rsidR="0029674C" w:rsidRDefault="0029674C" w:rsidP="0029674C">
      <w:pPr>
        <w:pStyle w:val="ListParagraph"/>
        <w:numPr>
          <w:ilvl w:val="0"/>
          <w:numId w:val="25"/>
        </w:numPr>
        <w:spacing w:after="0" w:line="480" w:lineRule="auto"/>
        <w:jc w:val="both"/>
        <w:rPr>
          <w:rFonts w:ascii="Times New Roman" w:hAnsi="Times New Roman"/>
          <w:sz w:val="24"/>
          <w:szCs w:val="24"/>
        </w:rPr>
      </w:pPr>
      <w:r>
        <w:rPr>
          <w:rFonts w:ascii="Times New Roman" w:hAnsi="Times New Roman"/>
          <w:sz w:val="24"/>
          <w:szCs w:val="24"/>
        </w:rPr>
        <w:lastRenderedPageBreak/>
        <w:t>The Respondent has violated 243 CMR 1.03(5)(a)(16) by failing to respond to a subpoena or to furnish the Board, its investigators or representatives, documents, information or testimony to which the Board is legally entitled; and</w:t>
      </w:r>
    </w:p>
    <w:p w14:paraId="2BD4065A" w14:textId="77777777" w:rsidR="0029674C" w:rsidRDefault="0029674C" w:rsidP="0029674C">
      <w:pPr>
        <w:pStyle w:val="ListParagraph"/>
        <w:numPr>
          <w:ilvl w:val="0"/>
          <w:numId w:val="25"/>
        </w:numPr>
        <w:spacing w:line="480" w:lineRule="auto"/>
        <w:rPr>
          <w:rFonts w:ascii="Times New Roman" w:hAnsi="Times New Roman"/>
          <w:sz w:val="24"/>
          <w:szCs w:val="24"/>
        </w:rPr>
      </w:pPr>
      <w:r>
        <w:rPr>
          <w:rFonts w:ascii="Times New Roman" w:hAnsi="Times New Roman"/>
          <w:sz w:val="24"/>
          <w:szCs w:val="24"/>
        </w:rPr>
        <w:t xml:space="preserve">The Respondent has engaged in conduct that undermines the public confidence in the integrity of the medical profession, a basis for discipline pursuant to </w:t>
      </w:r>
      <w:r>
        <w:rPr>
          <w:rFonts w:ascii="Times New Roman" w:hAnsi="Times New Roman"/>
          <w:i/>
          <w:iCs/>
          <w:sz w:val="24"/>
          <w:szCs w:val="24"/>
        </w:rPr>
        <w:t>Levy v. Board of Registration in Medicine,</w:t>
      </w:r>
      <w:r>
        <w:rPr>
          <w:rFonts w:ascii="Times New Roman" w:hAnsi="Times New Roman"/>
          <w:sz w:val="24"/>
          <w:szCs w:val="24"/>
        </w:rPr>
        <w:t xml:space="preserve"> 378 Mass. 519 (1979); </w:t>
      </w:r>
      <w:r>
        <w:rPr>
          <w:rFonts w:ascii="Times New Roman" w:hAnsi="Times New Roman"/>
          <w:i/>
          <w:iCs/>
          <w:sz w:val="24"/>
          <w:szCs w:val="24"/>
        </w:rPr>
        <w:t>Raymond v. Board of Registration in Medicine,</w:t>
      </w:r>
      <w:r>
        <w:rPr>
          <w:rFonts w:ascii="Times New Roman" w:hAnsi="Times New Roman"/>
          <w:sz w:val="24"/>
          <w:szCs w:val="24"/>
        </w:rPr>
        <w:t xml:space="preserve"> 387 Mass. 708 (1982), and </w:t>
      </w:r>
      <w:r>
        <w:rPr>
          <w:rFonts w:ascii="Times New Roman" w:hAnsi="Times New Roman"/>
          <w:i/>
          <w:iCs/>
          <w:sz w:val="24"/>
          <w:szCs w:val="24"/>
        </w:rPr>
        <w:t>Sugarman v. Board of Registration in Medicine</w:t>
      </w:r>
      <w:r>
        <w:rPr>
          <w:rFonts w:ascii="Times New Roman" w:hAnsi="Times New Roman"/>
          <w:sz w:val="24"/>
          <w:szCs w:val="24"/>
        </w:rPr>
        <w:t xml:space="preserve">, 422 Mass. 338 (1996).  </w:t>
      </w:r>
    </w:p>
    <w:p w14:paraId="40829E7F" w14:textId="7E518AE5" w:rsidR="00B83098" w:rsidRDefault="00552DA9" w:rsidP="00376686">
      <w:pPr>
        <w:spacing w:line="480" w:lineRule="auto"/>
        <w:ind w:firstLine="720"/>
        <w:rPr>
          <w:rFonts w:cs="Arial"/>
          <w:u w:val="single"/>
        </w:rPr>
      </w:pPr>
      <w:r>
        <w:rPr>
          <w:rFonts w:cs="Arial"/>
        </w:rPr>
        <w:t xml:space="preserve">    </w:t>
      </w:r>
      <w:r w:rsidR="001C0A37">
        <w:rPr>
          <w:rFonts w:cs="Arial"/>
        </w:rPr>
        <w:tab/>
      </w:r>
      <w:r w:rsidR="007E5DCD">
        <w:rPr>
          <w:rFonts w:cs="Arial"/>
        </w:rPr>
        <w:tab/>
      </w:r>
      <w:r w:rsidR="00376686">
        <w:rPr>
          <w:rFonts w:cs="Arial"/>
        </w:rPr>
        <w:tab/>
      </w:r>
      <w:r w:rsidR="00636064">
        <w:rPr>
          <w:rFonts w:cs="Arial"/>
        </w:rPr>
        <w:t xml:space="preserve"> </w:t>
      </w:r>
      <w:r w:rsidRPr="00552DA9">
        <w:rPr>
          <w:rFonts w:cs="Arial"/>
          <w:u w:val="single"/>
        </w:rPr>
        <w:t>S</w:t>
      </w:r>
      <w:r w:rsidR="00B83098" w:rsidRPr="00552DA9">
        <w:rPr>
          <w:rFonts w:cs="Arial"/>
          <w:u w:val="single"/>
        </w:rPr>
        <w:t>anction</w:t>
      </w:r>
    </w:p>
    <w:p w14:paraId="739E88B8" w14:textId="43541184" w:rsidR="00376686" w:rsidRDefault="00067FF7" w:rsidP="00376686">
      <w:pPr>
        <w:spacing w:line="480" w:lineRule="auto"/>
        <w:ind w:firstLine="720"/>
        <w:jc w:val="both"/>
      </w:pPr>
      <w:r>
        <w:rPr>
          <w:rFonts w:cs="Arial"/>
        </w:rPr>
        <w:t xml:space="preserve"> </w:t>
      </w:r>
      <w:r w:rsidR="00376686">
        <w:t>The Respondent’s failure to respond to the SOA,</w:t>
      </w:r>
      <w:r>
        <w:t xml:space="preserve"> to appear f</w:t>
      </w:r>
      <w:r w:rsidR="00376686">
        <w:t xml:space="preserve">or a scheduled pre-hearing at DALA, and his default in connection with this action demonstrate his utter disregard for the Board’s statutory mandate.  By failing to respond to the Board, the Respondent prevented the Board from investigating a serious allegation of practicing while impaired at Marlborough Hospital. In order for the Board to fulfill its mission to protect the public, a physician’s cooperation is essential.  By failing to respond to the serious allegations against him, the Respondent hindered the Board’s efforts to fulfill its mission.  </w:t>
      </w:r>
      <w:r w:rsidR="00376686">
        <w:rPr>
          <w:u w:val="single"/>
        </w:rPr>
        <w:t>See</w:t>
      </w:r>
      <w:r w:rsidR="00376686">
        <w:t xml:space="preserve"> </w:t>
      </w:r>
      <w:r w:rsidR="00376686">
        <w:rPr>
          <w:i/>
        </w:rPr>
        <w:t>In the Matter of Mark M. Kowalski, M.D.</w:t>
      </w:r>
      <w:r w:rsidR="00376686">
        <w:t xml:space="preserve">,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14:paraId="6286156A" w14:textId="77777777" w:rsidR="00376686" w:rsidRDefault="00376686" w:rsidP="00376686">
      <w:pPr>
        <w:spacing w:line="480" w:lineRule="auto"/>
        <w:ind w:firstLine="720"/>
        <w:jc w:val="both"/>
      </w:pPr>
      <w:r>
        <w:t xml:space="preserve">Revocation has been imposed by the Board “where physicians have repeatedly disregarded the Board’s administrative directives.”  </w:t>
      </w:r>
      <w:r>
        <w:rPr>
          <w:u w:val="single"/>
        </w:rPr>
        <w:t>See</w:t>
      </w:r>
      <w:r>
        <w:t xml:space="preserve"> </w:t>
      </w:r>
      <w:r>
        <w:rPr>
          <w:i/>
        </w:rPr>
        <w:t>In the Matter of Anastasia Kucharski, M.D.</w:t>
      </w:r>
      <w:r>
        <w:t xml:space="preserve">, Board of </w:t>
      </w:r>
      <w:r>
        <w:lastRenderedPageBreak/>
        <w:t xml:space="preserve">Registration in Medicine, Adjudicatory Case No. 2008-048 (Final Decision and Order, April 14, 2010).  Revocation has also been the ordered sanction where the physician displays a “disregard for both the integrity of his profession and the authority of the Commonwealth.” </w:t>
      </w:r>
      <w:r>
        <w:rPr>
          <w:u w:val="single"/>
        </w:rPr>
        <w:t>See</w:t>
      </w:r>
      <w:r>
        <w:t xml:space="preserve"> </w:t>
      </w:r>
      <w:r>
        <w:rPr>
          <w:i/>
        </w:rPr>
        <w:t>In the Matter of R. T. Moody, M.D.</w:t>
      </w:r>
      <w:r>
        <w:t xml:space="preserve">, Board of Registration in Medicine, Adjudicatory Case No. 2008-49 (Final Decision and Order, February 24, 2010).  </w:t>
      </w:r>
    </w:p>
    <w:p w14:paraId="59FA28EE" w14:textId="01A02579" w:rsidR="00DE4633" w:rsidRDefault="004A164E" w:rsidP="00376686">
      <w:pPr>
        <w:spacing w:line="480" w:lineRule="auto"/>
        <w:ind w:firstLine="720"/>
        <w:jc w:val="both"/>
        <w:rPr>
          <w:rFonts w:cs="Arial"/>
        </w:rPr>
      </w:pPr>
      <w:r w:rsidRPr="00355FE3">
        <w:rPr>
          <w:rFonts w:eastAsiaTheme="minorHAnsi" w:cstheme="minorBidi"/>
        </w:rPr>
        <w:t xml:space="preserve"> </w:t>
      </w:r>
      <w:r w:rsidR="001E1FB2">
        <w:rPr>
          <w:rFonts w:cs="Arial"/>
        </w:rPr>
        <w:t>The Board’s paramount responsibility is</w:t>
      </w:r>
      <w:r w:rsidR="00376686">
        <w:rPr>
          <w:rFonts w:cs="Arial"/>
        </w:rPr>
        <w:t xml:space="preserve"> </w:t>
      </w:r>
      <w:r w:rsidR="001E1FB2">
        <w:rPr>
          <w:rFonts w:cs="Arial"/>
        </w:rPr>
        <w:t xml:space="preserve">the protection of the public health, safety, and welfare. </w:t>
      </w:r>
      <w:r w:rsidR="001E1FB2">
        <w:rPr>
          <w:rFonts w:cs="Arial"/>
          <w:i/>
        </w:rPr>
        <w:t>See</w:t>
      </w:r>
      <w:r w:rsidR="001E1FB2">
        <w:rPr>
          <w:rFonts w:cs="Arial"/>
        </w:rPr>
        <w:t xml:space="preserve"> </w:t>
      </w:r>
      <w:r w:rsidR="001E1FB2">
        <w:rPr>
          <w:rFonts w:cs="Arial"/>
          <w:i/>
        </w:rPr>
        <w:t>Levy v. Board of Registration in Medicine</w:t>
      </w:r>
      <w:r w:rsidR="001E1FB2">
        <w:rPr>
          <w:rFonts w:cs="Arial"/>
        </w:rPr>
        <w:t xml:space="preserve">, 378 Mass 519 (1979). </w:t>
      </w:r>
      <w:r w:rsidR="00376686">
        <w:rPr>
          <w:rFonts w:eastAsiaTheme="minorHAnsi" w:cstheme="minorBidi"/>
        </w:rPr>
        <w:t xml:space="preserve">The </w:t>
      </w:r>
      <w:r w:rsidR="00376686" w:rsidRPr="00355FE3">
        <w:rPr>
          <w:rFonts w:eastAsiaTheme="minorHAnsi" w:cstheme="minorBidi"/>
        </w:rPr>
        <w:t xml:space="preserve">Respondent’s conduct </w:t>
      </w:r>
      <w:r w:rsidR="00067FF7">
        <w:rPr>
          <w:rFonts w:eastAsiaTheme="minorHAnsi" w:cstheme="minorBidi"/>
        </w:rPr>
        <w:t xml:space="preserve">of practicing while impaired also demonstrates </w:t>
      </w:r>
      <w:r w:rsidR="00376686" w:rsidRPr="00355FE3">
        <w:rPr>
          <w:rFonts w:eastAsiaTheme="minorHAnsi" w:cstheme="minorBidi"/>
        </w:rPr>
        <w:t>a lack of good moral character and undermines the public confidence in the medical profession for which the Board may i</w:t>
      </w:r>
      <w:r w:rsidR="00376686">
        <w:rPr>
          <w:rFonts w:eastAsiaTheme="minorHAnsi" w:cstheme="minorBidi"/>
        </w:rPr>
        <w:t>m</w:t>
      </w:r>
      <w:r w:rsidR="00376686" w:rsidRPr="00355FE3">
        <w:rPr>
          <w:rFonts w:eastAsiaTheme="minorHAnsi" w:cstheme="minorBidi"/>
        </w:rPr>
        <w:t>pose discipline</w:t>
      </w:r>
      <w:r w:rsidR="00376686">
        <w:rPr>
          <w:rFonts w:eastAsiaTheme="minorHAnsi" w:cstheme="minorBidi"/>
        </w:rPr>
        <w:t xml:space="preserve">. </w:t>
      </w:r>
      <w:r w:rsidR="001E1FB2">
        <w:rPr>
          <w:rFonts w:cs="Arial"/>
        </w:rPr>
        <w:t xml:space="preserve">In light of the Respondent’s default, which hindered the Board’s efforts in its fulfillment of this responsibility, it is appropriate to impose a sanction in this matter. The Board hereby </w:t>
      </w:r>
      <w:r w:rsidR="001E1FB2">
        <w:rPr>
          <w:rFonts w:cs="Arial"/>
          <w:b/>
        </w:rPr>
        <w:t>REVOKES</w:t>
      </w:r>
      <w:r w:rsidR="001E1FB2">
        <w:rPr>
          <w:rFonts w:cs="Arial"/>
        </w:rPr>
        <w:t xml:space="preserve"> the Respondent’s inch</w:t>
      </w:r>
      <w:r w:rsidR="00865E64">
        <w:rPr>
          <w:rFonts w:cs="Arial"/>
        </w:rPr>
        <w:t>oate right to renew his</w:t>
      </w:r>
      <w:r w:rsidR="001E1FB2">
        <w:rPr>
          <w:rFonts w:cs="Arial"/>
        </w:rPr>
        <w:t xml:space="preserve"> license to practice medicine. This sanction is imposed for </w:t>
      </w:r>
      <w:r w:rsidR="005F008C">
        <w:rPr>
          <w:rFonts w:cs="Arial"/>
        </w:rPr>
        <w:t xml:space="preserve">each </w:t>
      </w:r>
      <w:r w:rsidR="001E1FB2">
        <w:rPr>
          <w:rFonts w:cs="Arial"/>
        </w:rPr>
        <w:t>violation of law listed in the Conclusion</w:t>
      </w:r>
      <w:r w:rsidR="005F008C">
        <w:rPr>
          <w:rFonts w:cs="Arial"/>
        </w:rPr>
        <w:t>s</w:t>
      </w:r>
      <w:r w:rsidR="001E1FB2">
        <w:rPr>
          <w:rFonts w:cs="Arial"/>
        </w:rPr>
        <w:t xml:space="preserve"> of Law section</w:t>
      </w:r>
      <w:r w:rsidR="005F008C">
        <w:rPr>
          <w:rFonts w:cs="Arial"/>
        </w:rPr>
        <w:t xml:space="preserve"> and not a combination of any or all of them.</w:t>
      </w:r>
    </w:p>
    <w:p w14:paraId="6D0112F7" w14:textId="77777777" w:rsidR="001E1FB2" w:rsidRDefault="001E1FB2" w:rsidP="00B83098">
      <w:pPr>
        <w:spacing w:line="480" w:lineRule="auto"/>
        <w:rPr>
          <w:rFonts w:cs="Arial"/>
        </w:rPr>
      </w:pPr>
      <w:r>
        <w:rPr>
          <w:rFonts w:cs="Arial"/>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w:t>
      </w:r>
      <w:r w:rsidR="00865E64">
        <w:rPr>
          <w:rFonts w:cs="Arial"/>
        </w:rPr>
        <w:t xml:space="preserve">, or federal facility at which </w:t>
      </w:r>
      <w:r>
        <w:rPr>
          <w:rFonts w:cs="Arial"/>
        </w:rPr>
        <w:t>he practices medicine; any in- or out-of-state health main</w:t>
      </w:r>
      <w:r w:rsidR="00865E64">
        <w:rPr>
          <w:rFonts w:cs="Arial"/>
        </w:rPr>
        <w:t xml:space="preserve">tenance organization with whom </w:t>
      </w:r>
      <w:r>
        <w:rPr>
          <w:rFonts w:cs="Arial"/>
        </w:rPr>
        <w:t>he has privileges or any other kind of association; any state agency, i</w:t>
      </w:r>
      <w:r w:rsidR="00865E64">
        <w:rPr>
          <w:rFonts w:cs="Arial"/>
        </w:rPr>
        <w:t xml:space="preserve">n- or out-of-state, with which </w:t>
      </w:r>
      <w:r>
        <w:rPr>
          <w:rFonts w:cs="Arial"/>
        </w:rPr>
        <w:t>he has a provider contract; any in- or out-of-state me</w:t>
      </w:r>
      <w:r w:rsidR="00865E64">
        <w:rPr>
          <w:rFonts w:cs="Arial"/>
        </w:rPr>
        <w:t xml:space="preserve">dical employer, whether or not </w:t>
      </w:r>
      <w:r>
        <w:rPr>
          <w:rFonts w:cs="Arial"/>
        </w:rPr>
        <w:t xml:space="preserve">he practices medicine there; the state licensing </w:t>
      </w:r>
      <w:r w:rsidR="00865E64">
        <w:rPr>
          <w:rFonts w:cs="Arial"/>
        </w:rPr>
        <w:t xml:space="preserve">board of all states in which </w:t>
      </w:r>
      <w:r w:rsidR="001467FE">
        <w:rPr>
          <w:rFonts w:cs="Arial"/>
        </w:rPr>
        <w:t xml:space="preserve">he has any kind of license to practice medicine; the Drug Enforcement Administration – Boston Diversion Group; and the </w:t>
      </w:r>
      <w:r w:rsidR="001467FE">
        <w:rPr>
          <w:rFonts w:cs="Arial"/>
        </w:rPr>
        <w:lastRenderedPageBreak/>
        <w:t xml:space="preserve">Massachusetts Department of Public Health Drug Control Program. The Respondent shall also provide this notification to any such </w:t>
      </w:r>
      <w:r w:rsidR="00865E64">
        <w:rPr>
          <w:rFonts w:cs="Arial"/>
        </w:rPr>
        <w:t xml:space="preserve">designated entities with which </w:t>
      </w:r>
      <w:r w:rsidR="001467FE">
        <w:rPr>
          <w:rFonts w:cs="Arial"/>
        </w:rPr>
        <w:t>he becomes associated for the duration of this revocation. The Respondent is further directed to certify to the B</w:t>
      </w:r>
      <w:r w:rsidR="00865E64">
        <w:rPr>
          <w:rFonts w:cs="Arial"/>
        </w:rPr>
        <w:t xml:space="preserve">oard within ten (10) days that </w:t>
      </w:r>
      <w:r w:rsidR="001467FE">
        <w:rPr>
          <w:rFonts w:cs="Arial"/>
        </w:rPr>
        <w:t>he has complied with this directive.</w:t>
      </w:r>
    </w:p>
    <w:p w14:paraId="5D418C22" w14:textId="77777777" w:rsidR="001467FE" w:rsidRPr="001E1FB2" w:rsidRDefault="001467FE" w:rsidP="00B83098">
      <w:pPr>
        <w:spacing w:line="480" w:lineRule="auto"/>
        <w:rPr>
          <w:rFonts w:cs="Arial"/>
        </w:rPr>
      </w:pPr>
      <w:r>
        <w:rPr>
          <w:rFonts w:cs="Arial"/>
        </w:rPr>
        <w:tab/>
        <w:t>The Respondent has the right to appeal this Final Decision and Order within thirty (30) days, pursuant to G.L. c. 30A, §§ 14 and 15, and G.L. c. 112, § 64.</w:t>
      </w:r>
    </w:p>
    <w:p w14:paraId="36A9DEAD" w14:textId="77777777" w:rsidR="000213E8" w:rsidRDefault="000213E8" w:rsidP="000213E8"/>
    <w:p w14:paraId="2DD06306" w14:textId="77777777" w:rsidR="000213E8" w:rsidRDefault="000213E8" w:rsidP="000213E8"/>
    <w:p w14:paraId="2E739E4B" w14:textId="45990176" w:rsidR="0085440C" w:rsidRPr="00B601C5" w:rsidRDefault="007868DF" w:rsidP="000213E8">
      <w:pPr>
        <w:rPr>
          <w:u w:val="single"/>
        </w:rPr>
      </w:pPr>
      <w:r>
        <w:t xml:space="preserve">Date: </w:t>
      </w:r>
      <w:r w:rsidR="00376686">
        <w:t xml:space="preserve">April 22, 2021 </w:t>
      </w:r>
      <w:r w:rsidR="00376686">
        <w:tab/>
      </w:r>
      <w:r w:rsidR="00376686">
        <w:tab/>
      </w:r>
      <w:r>
        <w:tab/>
      </w:r>
      <w:r>
        <w:tab/>
      </w:r>
      <w:r w:rsidR="005D62BD">
        <w:tab/>
      </w:r>
      <w:r w:rsidR="00B601C5">
        <w:rPr>
          <w:u w:val="single"/>
        </w:rPr>
        <w:t>Signed by George M. Abraham, M.D.</w:t>
      </w:r>
      <w:r w:rsidR="00B601C5">
        <w:rPr>
          <w:u w:val="single"/>
        </w:rPr>
        <w:tab/>
      </w:r>
      <w:bookmarkStart w:id="0" w:name="_GoBack"/>
      <w:bookmarkEnd w:id="0"/>
    </w:p>
    <w:p w14:paraId="248C772B" w14:textId="77777777" w:rsidR="00351723" w:rsidRDefault="00432FEA" w:rsidP="000213E8">
      <w:pPr>
        <w:ind w:left="5040"/>
      </w:pPr>
      <w:r>
        <w:t>George M. Abraham</w:t>
      </w:r>
      <w:r w:rsidR="007868DF">
        <w:t>, M.D.</w:t>
      </w:r>
    </w:p>
    <w:p w14:paraId="3BC470E2" w14:textId="77777777" w:rsidR="002150BD" w:rsidRDefault="000213E8" w:rsidP="000213E8">
      <w:pPr>
        <w:ind w:left="5040"/>
      </w:pPr>
      <w:r>
        <w:t>Chair</w:t>
      </w:r>
    </w:p>
    <w:p w14:paraId="7A2B53C8" w14:textId="77777777" w:rsidR="000213E8" w:rsidRDefault="000213E8" w:rsidP="000213E8">
      <w:pPr>
        <w:ind w:left="5040"/>
      </w:pPr>
      <w:r>
        <w:t>Board of Registration in Medicine</w:t>
      </w:r>
    </w:p>
    <w:sectPr w:rsidR="000213E8" w:rsidSect="000213E8">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3CCE" w14:textId="77777777" w:rsidR="00347F2D" w:rsidRDefault="00347F2D">
      <w:r>
        <w:separator/>
      </w:r>
    </w:p>
  </w:endnote>
  <w:endnote w:type="continuationSeparator" w:id="0">
    <w:p w14:paraId="5EB1066F" w14:textId="77777777"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BBC0"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1AC1D" w14:textId="77777777" w:rsidR="002150BD" w:rsidRDefault="0021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F55A"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20C">
      <w:rPr>
        <w:rStyle w:val="PageNumber"/>
        <w:noProof/>
      </w:rPr>
      <w:t>4</w:t>
    </w:r>
    <w:r>
      <w:rPr>
        <w:rStyle w:val="PageNumber"/>
      </w:rPr>
      <w:fldChar w:fldCharType="end"/>
    </w:r>
  </w:p>
  <w:p w14:paraId="4C336C84" w14:textId="77777777" w:rsidR="002150BD" w:rsidRDefault="0021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D196" w14:textId="77777777" w:rsidR="00347F2D" w:rsidRDefault="00347F2D">
      <w:r>
        <w:separator/>
      </w:r>
    </w:p>
  </w:footnote>
  <w:footnote w:type="continuationSeparator" w:id="0">
    <w:p w14:paraId="5A7D1CF4" w14:textId="77777777" w:rsidR="00347F2D" w:rsidRDefault="0034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377E1"/>
    <w:multiLevelType w:val="hybridMultilevel"/>
    <w:tmpl w:val="EADA7078"/>
    <w:lvl w:ilvl="0" w:tplc="0F12810E">
      <w:start w:val="1"/>
      <w:numFmt w:val="decimal"/>
      <w:lvlText w:val="%1."/>
      <w:lvlJc w:val="left"/>
      <w:pPr>
        <w:ind w:left="99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9022144"/>
    <w:multiLevelType w:val="hybridMultilevel"/>
    <w:tmpl w:val="E0560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A04DE"/>
    <w:multiLevelType w:val="hybridMultilevel"/>
    <w:tmpl w:val="88408088"/>
    <w:lvl w:ilvl="0" w:tplc="94D41F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97438"/>
    <w:multiLevelType w:val="hybridMultilevel"/>
    <w:tmpl w:val="0C44F63E"/>
    <w:lvl w:ilvl="0" w:tplc="CFFCA0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3559D"/>
    <w:multiLevelType w:val="hybridMultilevel"/>
    <w:tmpl w:val="7ADA7D7C"/>
    <w:lvl w:ilvl="0" w:tplc="7A5CAD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A02968"/>
    <w:multiLevelType w:val="hybridMultilevel"/>
    <w:tmpl w:val="8744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FCB581E"/>
    <w:multiLevelType w:val="hybridMultilevel"/>
    <w:tmpl w:val="855E0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66D6217"/>
    <w:multiLevelType w:val="hybridMultilevel"/>
    <w:tmpl w:val="0C1E427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23795C"/>
    <w:multiLevelType w:val="hybridMultilevel"/>
    <w:tmpl w:val="0BA06D1A"/>
    <w:lvl w:ilvl="0" w:tplc="2D6CE8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D6700"/>
    <w:multiLevelType w:val="hybridMultilevel"/>
    <w:tmpl w:val="7A128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D586707"/>
    <w:multiLevelType w:val="hybridMultilevel"/>
    <w:tmpl w:val="D1D0C392"/>
    <w:lvl w:ilvl="0" w:tplc="CE702D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FF539BE"/>
    <w:multiLevelType w:val="hybridMultilevel"/>
    <w:tmpl w:val="764814FE"/>
    <w:lvl w:ilvl="0" w:tplc="63C84F9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5"/>
  </w:num>
  <w:num w:numId="4">
    <w:abstractNumId w:val="8"/>
  </w:num>
  <w:num w:numId="5">
    <w:abstractNumId w:val="23"/>
  </w:num>
  <w:num w:numId="6">
    <w:abstractNumId w:val="21"/>
  </w:num>
  <w:num w:numId="7">
    <w:abstractNumId w:val="20"/>
  </w:num>
  <w:num w:numId="8">
    <w:abstractNumId w:val="17"/>
  </w:num>
  <w:num w:numId="9">
    <w:abstractNumId w:val="0"/>
  </w:num>
  <w:num w:numId="10">
    <w:abstractNumId w:val="4"/>
  </w:num>
  <w:num w:numId="11">
    <w:abstractNumId w:val="11"/>
  </w:num>
  <w:num w:numId="12">
    <w:abstractNumId w:val="6"/>
  </w:num>
  <w:num w:numId="13">
    <w:abstractNumId w:val="3"/>
  </w:num>
  <w:num w:numId="14">
    <w:abstractNumId w:val="24"/>
  </w:num>
  <w:num w:numId="15">
    <w:abstractNumId w:val="18"/>
  </w:num>
  <w:num w:numId="16">
    <w:abstractNumId w:val="22"/>
  </w:num>
  <w:num w:numId="17">
    <w:abstractNumId w:val="14"/>
  </w:num>
  <w:num w:numId="18">
    <w:abstractNumId w:val="10"/>
  </w:num>
  <w:num w:numId="19">
    <w:abstractNumId w:val="12"/>
  </w:num>
  <w:num w:numId="20">
    <w:abstractNumId w:val="9"/>
  </w:num>
  <w:num w:numId="21">
    <w:abstractNumId w:val="15"/>
  </w:num>
  <w:num w:numId="22">
    <w:abstractNumId w:val="19"/>
  </w:num>
  <w:num w:numId="23">
    <w:abstractNumId w:val="1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44"/>
    <w:rsid w:val="000213E8"/>
    <w:rsid w:val="00056449"/>
    <w:rsid w:val="000672B9"/>
    <w:rsid w:val="00067FF7"/>
    <w:rsid w:val="00071A01"/>
    <w:rsid w:val="00074D7A"/>
    <w:rsid w:val="00087BD8"/>
    <w:rsid w:val="000A19B5"/>
    <w:rsid w:val="000E65A9"/>
    <w:rsid w:val="001360F6"/>
    <w:rsid w:val="001467FE"/>
    <w:rsid w:val="00155EC0"/>
    <w:rsid w:val="001661D1"/>
    <w:rsid w:val="00192A02"/>
    <w:rsid w:val="001C0A37"/>
    <w:rsid w:val="001E0133"/>
    <w:rsid w:val="001E1FB2"/>
    <w:rsid w:val="00201024"/>
    <w:rsid w:val="00212F7D"/>
    <w:rsid w:val="002150BD"/>
    <w:rsid w:val="002179E7"/>
    <w:rsid w:val="0029674C"/>
    <w:rsid w:val="002C7C23"/>
    <w:rsid w:val="002E697B"/>
    <w:rsid w:val="00347F2D"/>
    <w:rsid w:val="00351723"/>
    <w:rsid w:val="00355FE3"/>
    <w:rsid w:val="00373A2F"/>
    <w:rsid w:val="00376686"/>
    <w:rsid w:val="00395795"/>
    <w:rsid w:val="003A13E5"/>
    <w:rsid w:val="003D4002"/>
    <w:rsid w:val="003F36DA"/>
    <w:rsid w:val="003F4B84"/>
    <w:rsid w:val="00423D12"/>
    <w:rsid w:val="00432FEA"/>
    <w:rsid w:val="004362A0"/>
    <w:rsid w:val="00454056"/>
    <w:rsid w:val="00461321"/>
    <w:rsid w:val="00476CAD"/>
    <w:rsid w:val="004844D4"/>
    <w:rsid w:val="00491012"/>
    <w:rsid w:val="00493902"/>
    <w:rsid w:val="004A164E"/>
    <w:rsid w:val="004C7FAB"/>
    <w:rsid w:val="004E4F08"/>
    <w:rsid w:val="004F2850"/>
    <w:rsid w:val="005418CA"/>
    <w:rsid w:val="00546629"/>
    <w:rsid w:val="00552DA9"/>
    <w:rsid w:val="005557DF"/>
    <w:rsid w:val="0056428E"/>
    <w:rsid w:val="005A2E9D"/>
    <w:rsid w:val="005A321D"/>
    <w:rsid w:val="005A42CA"/>
    <w:rsid w:val="005C20E3"/>
    <w:rsid w:val="005C2503"/>
    <w:rsid w:val="005D62BD"/>
    <w:rsid w:val="005F008C"/>
    <w:rsid w:val="005F2A83"/>
    <w:rsid w:val="00636064"/>
    <w:rsid w:val="00695A7F"/>
    <w:rsid w:val="006976E5"/>
    <w:rsid w:val="006B2131"/>
    <w:rsid w:val="006C7397"/>
    <w:rsid w:val="006E4319"/>
    <w:rsid w:val="006E50B4"/>
    <w:rsid w:val="00725424"/>
    <w:rsid w:val="00747CA8"/>
    <w:rsid w:val="00763C40"/>
    <w:rsid w:val="00780898"/>
    <w:rsid w:val="007868DF"/>
    <w:rsid w:val="007E24E1"/>
    <w:rsid w:val="007E5DCD"/>
    <w:rsid w:val="00810B8C"/>
    <w:rsid w:val="00816F63"/>
    <w:rsid w:val="00852600"/>
    <w:rsid w:val="0085440C"/>
    <w:rsid w:val="00860653"/>
    <w:rsid w:val="00865E64"/>
    <w:rsid w:val="008A07EA"/>
    <w:rsid w:val="008A535C"/>
    <w:rsid w:val="008A7645"/>
    <w:rsid w:val="008B2DE3"/>
    <w:rsid w:val="008C120C"/>
    <w:rsid w:val="008D1CEA"/>
    <w:rsid w:val="008D2309"/>
    <w:rsid w:val="009260C7"/>
    <w:rsid w:val="009432D4"/>
    <w:rsid w:val="00943884"/>
    <w:rsid w:val="00943BF2"/>
    <w:rsid w:val="009624E5"/>
    <w:rsid w:val="00962EB7"/>
    <w:rsid w:val="009A1F44"/>
    <w:rsid w:val="009B2B74"/>
    <w:rsid w:val="009C39EA"/>
    <w:rsid w:val="009F2B39"/>
    <w:rsid w:val="009F36CF"/>
    <w:rsid w:val="00A1040F"/>
    <w:rsid w:val="00A64EB2"/>
    <w:rsid w:val="00A866D8"/>
    <w:rsid w:val="00A969F9"/>
    <w:rsid w:val="00AB6D73"/>
    <w:rsid w:val="00AC6B84"/>
    <w:rsid w:val="00AE42C6"/>
    <w:rsid w:val="00AF04F3"/>
    <w:rsid w:val="00AF6A4E"/>
    <w:rsid w:val="00B16252"/>
    <w:rsid w:val="00B174B4"/>
    <w:rsid w:val="00B37BCA"/>
    <w:rsid w:val="00B528F0"/>
    <w:rsid w:val="00B601C5"/>
    <w:rsid w:val="00B83098"/>
    <w:rsid w:val="00B96EAA"/>
    <w:rsid w:val="00BA0751"/>
    <w:rsid w:val="00BB5DE1"/>
    <w:rsid w:val="00BD2D38"/>
    <w:rsid w:val="00BE4B8E"/>
    <w:rsid w:val="00C3351B"/>
    <w:rsid w:val="00C33C8F"/>
    <w:rsid w:val="00C414E8"/>
    <w:rsid w:val="00C605DF"/>
    <w:rsid w:val="00C65CDD"/>
    <w:rsid w:val="00C855B9"/>
    <w:rsid w:val="00C86780"/>
    <w:rsid w:val="00C96F64"/>
    <w:rsid w:val="00CC0DE1"/>
    <w:rsid w:val="00CC0E7A"/>
    <w:rsid w:val="00CE3997"/>
    <w:rsid w:val="00D37D45"/>
    <w:rsid w:val="00D719D7"/>
    <w:rsid w:val="00D71AE3"/>
    <w:rsid w:val="00DB4475"/>
    <w:rsid w:val="00DB4605"/>
    <w:rsid w:val="00DE4633"/>
    <w:rsid w:val="00E42667"/>
    <w:rsid w:val="00E43C64"/>
    <w:rsid w:val="00E44C85"/>
    <w:rsid w:val="00E51A4B"/>
    <w:rsid w:val="00E638AC"/>
    <w:rsid w:val="00EC4B54"/>
    <w:rsid w:val="00F0063E"/>
    <w:rsid w:val="00F02F37"/>
    <w:rsid w:val="00F07A68"/>
    <w:rsid w:val="00F661EE"/>
    <w:rsid w:val="00F668F5"/>
    <w:rsid w:val="00FA3784"/>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7D3F32F"/>
  <w15:docId w15:val="{14BEC680-D7F8-4FE5-8EEA-D3F2033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 w:type="paragraph" w:customStyle="1" w:styleId="le-brm-normal-32-level">
    <w:name w:val="le-brm-normal-32-level"/>
    <w:basedOn w:val="Normal"/>
    <w:rsid w:val="00552DA9"/>
    <w:pPr>
      <w:spacing w:before="15" w:after="15"/>
    </w:pPr>
    <w:rPr>
      <w:rFonts w:ascii="Courier New" w:hAnsi="Courier New"/>
      <w:color w:val="000000"/>
      <w:sz w:val="20"/>
      <w:szCs w:val="20"/>
    </w:rPr>
  </w:style>
  <w:style w:type="paragraph" w:styleId="NormalWeb">
    <w:name w:val="Normal (Web)"/>
    <w:basedOn w:val="Normal"/>
    <w:uiPriority w:val="99"/>
    <w:semiHidden/>
    <w:unhideWhenUsed/>
    <w:rsid w:val="005F008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384">
      <w:bodyDiv w:val="1"/>
      <w:marLeft w:val="0"/>
      <w:marRight w:val="0"/>
      <w:marTop w:val="0"/>
      <w:marBottom w:val="0"/>
      <w:divBdr>
        <w:top w:val="none" w:sz="0" w:space="0" w:color="auto"/>
        <w:left w:val="none" w:sz="0" w:space="0" w:color="auto"/>
        <w:bottom w:val="none" w:sz="0" w:space="0" w:color="auto"/>
        <w:right w:val="none" w:sz="0" w:space="0" w:color="auto"/>
      </w:divBdr>
    </w:div>
    <w:div w:id="1030453987">
      <w:bodyDiv w:val="1"/>
      <w:marLeft w:val="0"/>
      <w:marRight w:val="0"/>
      <w:marTop w:val="0"/>
      <w:marBottom w:val="0"/>
      <w:divBdr>
        <w:top w:val="none" w:sz="0" w:space="0" w:color="auto"/>
        <w:left w:val="none" w:sz="0" w:space="0" w:color="auto"/>
        <w:bottom w:val="none" w:sz="0" w:space="0" w:color="auto"/>
        <w:right w:val="none" w:sz="0" w:space="0" w:color="auto"/>
      </w:divBdr>
    </w:div>
    <w:div w:id="1167750202">
      <w:bodyDiv w:val="1"/>
      <w:marLeft w:val="0"/>
      <w:marRight w:val="0"/>
      <w:marTop w:val="0"/>
      <w:marBottom w:val="0"/>
      <w:divBdr>
        <w:top w:val="none" w:sz="0" w:space="0" w:color="auto"/>
        <w:left w:val="none" w:sz="0" w:space="0" w:color="auto"/>
        <w:bottom w:val="none" w:sz="0" w:space="0" w:color="auto"/>
        <w:right w:val="none" w:sz="0" w:space="0" w:color="auto"/>
      </w:divBdr>
    </w:div>
    <w:div w:id="1180780544">
      <w:bodyDiv w:val="1"/>
      <w:marLeft w:val="0"/>
      <w:marRight w:val="0"/>
      <w:marTop w:val="0"/>
      <w:marBottom w:val="0"/>
      <w:divBdr>
        <w:top w:val="none" w:sz="0" w:space="0" w:color="auto"/>
        <w:left w:val="none" w:sz="0" w:space="0" w:color="auto"/>
        <w:bottom w:val="none" w:sz="0" w:space="0" w:color="auto"/>
        <w:right w:val="none" w:sz="0" w:space="0" w:color="auto"/>
      </w:divBdr>
    </w:div>
    <w:div w:id="1717848292">
      <w:bodyDiv w:val="1"/>
      <w:marLeft w:val="0"/>
      <w:marRight w:val="0"/>
      <w:marTop w:val="0"/>
      <w:marBottom w:val="0"/>
      <w:divBdr>
        <w:top w:val="none" w:sz="0" w:space="0" w:color="auto"/>
        <w:left w:val="none" w:sz="0" w:space="0" w:color="auto"/>
        <w:bottom w:val="none" w:sz="0" w:space="0" w:color="auto"/>
        <w:right w:val="none" w:sz="0" w:space="0" w:color="auto"/>
      </w:divBdr>
    </w:div>
    <w:div w:id="1803381099">
      <w:bodyDiv w:val="1"/>
      <w:marLeft w:val="0"/>
      <w:marRight w:val="0"/>
      <w:marTop w:val="0"/>
      <w:marBottom w:val="0"/>
      <w:divBdr>
        <w:top w:val="none" w:sz="0" w:space="0" w:color="auto"/>
        <w:left w:val="none" w:sz="0" w:space="0" w:color="auto"/>
        <w:bottom w:val="none" w:sz="0" w:space="0" w:color="auto"/>
        <w:right w:val="none" w:sz="0" w:space="0" w:color="auto"/>
      </w:divBdr>
    </w:div>
    <w:div w:id="18130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0E376-43FE-4C04-A16A-886E170A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1397</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LaPointe, Donald (MED)</cp:lastModifiedBy>
  <cp:revision>8</cp:revision>
  <cp:lastPrinted>2021-03-12T21:50:00Z</cp:lastPrinted>
  <dcterms:created xsi:type="dcterms:W3CDTF">2021-03-12T21:51:00Z</dcterms:created>
  <dcterms:modified xsi:type="dcterms:W3CDTF">2021-04-29T13:30:00Z</dcterms:modified>
</cp:coreProperties>
</file>