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664" w:rsidRDefault="00CC3664" w:rsidP="00CC3664">
      <w:pPr>
        <w:jc w:val="center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CC3664" w:rsidRDefault="00CC3664" w:rsidP="00CC3664">
      <w:pPr>
        <w:jc w:val="center"/>
      </w:pPr>
      <w:r>
        <w:t>BOARD OF REGISTRATION IN MEDICINE</w:t>
      </w:r>
    </w:p>
    <w:p w:rsidR="00CC3664" w:rsidRDefault="00CC3664" w:rsidP="00CC3664">
      <w:pPr>
        <w:jc w:val="center"/>
      </w:pPr>
    </w:p>
    <w:p w:rsidR="00CC3664" w:rsidRDefault="00CC3664" w:rsidP="00CC3664">
      <w:r>
        <w:t>MIDDLESEX, SS.</w:t>
      </w:r>
      <w:r>
        <w:tab/>
      </w:r>
      <w:r>
        <w:tab/>
      </w:r>
      <w:r>
        <w:tab/>
      </w:r>
      <w:r>
        <w:tab/>
        <w:t xml:space="preserve">Adjudicatory Case No. </w:t>
      </w:r>
      <w:r w:rsidR="00AE1062">
        <w:t>2018-008</w:t>
      </w:r>
      <w:bookmarkStart w:id="0" w:name="_GoBack"/>
      <w:bookmarkEnd w:id="0"/>
      <w:r>
        <w:t xml:space="preserve">   </w:t>
      </w:r>
    </w:p>
    <w:p w:rsidR="00CC3664" w:rsidRDefault="00CC3664" w:rsidP="00CC3664">
      <w:r>
        <w:tab/>
      </w:r>
      <w:r>
        <w:tab/>
      </w:r>
      <w:r>
        <w:tab/>
      </w:r>
      <w:r>
        <w:tab/>
      </w:r>
      <w:r>
        <w:tab/>
      </w:r>
      <w:r w:rsidR="009F1F2C">
        <w:tab/>
      </w:r>
    </w:p>
    <w:p w:rsidR="00CC3664" w:rsidRDefault="00CC3664" w:rsidP="00CC3664">
      <w:r>
        <w:t xml:space="preserve">________________________   </w:t>
      </w:r>
    </w:p>
    <w:p w:rsidR="00CC3664" w:rsidRDefault="00CC3664" w:rsidP="00CC3664">
      <w:r>
        <w:tab/>
      </w:r>
      <w:r>
        <w:tab/>
      </w:r>
      <w:r>
        <w:tab/>
      </w:r>
      <w:r>
        <w:tab/>
        <w:t>)</w:t>
      </w:r>
    </w:p>
    <w:p w:rsidR="00CC3664" w:rsidRDefault="00CC3664" w:rsidP="00CC3664">
      <w:r>
        <w:t xml:space="preserve">In the Matter of </w:t>
      </w:r>
      <w:r>
        <w:tab/>
      </w:r>
      <w:r>
        <w:tab/>
        <w:t>)</w:t>
      </w:r>
      <w:r>
        <w:tab/>
      </w:r>
      <w:r>
        <w:tab/>
        <w:t>FINAL DECISION AND ORDER</w:t>
      </w:r>
      <w:r>
        <w:tab/>
      </w:r>
      <w:r>
        <w:tab/>
      </w:r>
      <w:r>
        <w:tab/>
      </w:r>
      <w:r>
        <w:tab/>
      </w:r>
      <w:r>
        <w:tab/>
      </w:r>
      <w:r>
        <w:tab/>
        <w:t>)</w:t>
      </w:r>
      <w:r>
        <w:tab/>
      </w:r>
      <w:r>
        <w:tab/>
      </w:r>
      <w:r>
        <w:tab/>
      </w:r>
    </w:p>
    <w:p w:rsidR="00CC3664" w:rsidRDefault="00CA39C0" w:rsidP="00CC3664">
      <w:r>
        <w:t>Sanjeev Sharma</w:t>
      </w:r>
      <w:r w:rsidR="00ED653A">
        <w:t>, M.D.</w:t>
      </w:r>
      <w:r w:rsidR="00CC3664">
        <w:tab/>
        <w:t>)</w:t>
      </w:r>
    </w:p>
    <w:p w:rsidR="00CC3664" w:rsidRDefault="00CC3664" w:rsidP="00CC3664">
      <w:r>
        <w:t>________________________)</w:t>
      </w:r>
    </w:p>
    <w:p w:rsidR="00CC3664" w:rsidRDefault="00CC3664" w:rsidP="00234819">
      <w:pPr>
        <w:jc w:val="both"/>
      </w:pPr>
    </w:p>
    <w:p w:rsidR="00CC3664" w:rsidRDefault="00CC3664" w:rsidP="00234819">
      <w:pPr>
        <w:spacing w:line="360" w:lineRule="auto"/>
        <w:jc w:val="both"/>
      </w:pPr>
      <w:r>
        <w:tab/>
      </w:r>
    </w:p>
    <w:p w:rsidR="00CC3664" w:rsidRDefault="00CC3664" w:rsidP="00DF2DAB">
      <w:pPr>
        <w:spacing w:line="360" w:lineRule="auto"/>
        <w:jc w:val="both"/>
      </w:pPr>
      <w:r>
        <w:tab/>
        <w:t xml:space="preserve">This matter came before the Board for final disposition on the basis of the  </w:t>
      </w:r>
      <w:r w:rsidR="00B82C88">
        <w:t xml:space="preserve">Division of Administrative Law Appeal’s </w:t>
      </w:r>
      <w:r w:rsidR="00D37D51">
        <w:t>November 9</w:t>
      </w:r>
      <w:r w:rsidR="00904243">
        <w:t xml:space="preserve">, 2018 </w:t>
      </w:r>
      <w:r w:rsidR="00B82C88">
        <w:t xml:space="preserve">Recommended Decision (“Recommended Decision”), which is attached hereto and incorporated by reference. </w:t>
      </w:r>
      <w:r w:rsidR="0015502F">
        <w:t>The Board has</w:t>
      </w:r>
      <w:r>
        <w:t xml:space="preserve"> full</w:t>
      </w:r>
      <w:r w:rsidR="0015502F">
        <w:t>y</w:t>
      </w:r>
      <w:r>
        <w:t xml:space="preserve"> consider</w:t>
      </w:r>
      <w:r w:rsidR="0015502F">
        <w:t>ed</w:t>
      </w:r>
      <w:r>
        <w:t xml:space="preserve"> the </w:t>
      </w:r>
      <w:r w:rsidR="00B82C88">
        <w:t>Recommended Decision,</w:t>
      </w:r>
      <w:r w:rsidR="00D37D51">
        <w:t xml:space="preserve"> the Stipulation signed by the Parties and</w:t>
      </w:r>
      <w:r w:rsidR="00B82C88">
        <w:t xml:space="preserve"> the Parties</w:t>
      </w:r>
      <w:r w:rsidR="00D37D51">
        <w:t>’</w:t>
      </w:r>
      <w:r>
        <w:t xml:space="preserve"> Memoranda on Disposition</w:t>
      </w:r>
      <w:r w:rsidR="00960ECC">
        <w:t xml:space="preserve">. </w:t>
      </w:r>
      <w:r w:rsidR="00235EB9">
        <w:t>T</w:t>
      </w:r>
      <w:r>
        <w:t>he Board</w:t>
      </w:r>
      <w:r w:rsidR="00B82C88">
        <w:t xml:space="preserve"> adopts the Recommended Decision</w:t>
      </w:r>
      <w:r w:rsidR="00D37D51">
        <w:t xml:space="preserve"> and imposes the following sanction</w:t>
      </w:r>
      <w:r w:rsidR="00235EB9">
        <w:t>.</w:t>
      </w:r>
      <w:r>
        <w:t xml:space="preserve"> </w:t>
      </w:r>
    </w:p>
    <w:p w:rsidR="00624901" w:rsidRDefault="00A33405" w:rsidP="00DF2DAB">
      <w:pPr>
        <w:spacing w:line="360" w:lineRule="auto"/>
        <w:jc w:val="center"/>
        <w:rPr>
          <w:u w:val="single"/>
        </w:rPr>
      </w:pPr>
      <w:r>
        <w:rPr>
          <w:u w:val="single"/>
        </w:rPr>
        <w:t>Sanction</w:t>
      </w:r>
    </w:p>
    <w:p w:rsidR="00D37D51" w:rsidRDefault="007F739D" w:rsidP="00DF2DAB">
      <w:pPr>
        <w:spacing w:line="360" w:lineRule="auto"/>
        <w:jc w:val="both"/>
      </w:pPr>
      <w:r>
        <w:tab/>
      </w:r>
      <w:r w:rsidR="00CC3664">
        <w:t>The record demonstrates that</w:t>
      </w:r>
      <w:r w:rsidR="00D269EF">
        <w:t xml:space="preserve"> </w:t>
      </w:r>
      <w:r w:rsidR="00CC3664">
        <w:t xml:space="preserve">the Respondent </w:t>
      </w:r>
      <w:r w:rsidR="00D37D51">
        <w:t>performed a Level II procedure on Patient A, while his office was only accredited as a Level I facility. The Respondent’s actions were in violation of the Massachusetts Medical Society’s Office Based Surgery Guidelines, which were adopted by the Board on July 20, 2011. By performing a Level II procedure when his office was only accredited as a Level I facility the Respondent has committed an offense against of the Commonwealth relating to the practice of medicine in violation of G.L. c. 112, § 5, eight par. (</w:t>
      </w:r>
      <w:proofErr w:type="gramStart"/>
      <w:r w:rsidR="00D37D51">
        <w:t>b</w:t>
      </w:r>
      <w:proofErr w:type="gramEnd"/>
      <w:r w:rsidR="00D37D51">
        <w:t>) and 243 CMR 1.03(5)(a)2. In addition, the Respondent engaged in conduct which placed his competence to practice medicine into question, in violation of G.L. c. 112, § 5, eight par. (</w:t>
      </w:r>
      <w:proofErr w:type="gramStart"/>
      <w:r w:rsidR="00D37D51">
        <w:t>c</w:t>
      </w:r>
      <w:proofErr w:type="gramEnd"/>
      <w:r w:rsidR="00D37D51">
        <w:t>) and 243 CMR 1.03(5)(a)3.</w:t>
      </w:r>
    </w:p>
    <w:p w:rsidR="00D37D51" w:rsidRDefault="00D37D51" w:rsidP="00DF2DAB">
      <w:pPr>
        <w:spacing w:line="360" w:lineRule="auto"/>
        <w:jc w:val="both"/>
      </w:pPr>
    </w:p>
    <w:p w:rsidR="00D37D51" w:rsidRDefault="00D37D51" w:rsidP="00FA2044">
      <w:pPr>
        <w:spacing w:line="360" w:lineRule="auto"/>
        <w:ind w:firstLine="720"/>
      </w:pPr>
      <w:r>
        <w:t xml:space="preserve">The Board has imposed the sanction of indefinite suspension to be stayed upon entry into a standard Probation Agreement, requiring a Practice Audit and/or skills assessment in cases where a physician’s competence to practice medicine has come into question. </w:t>
      </w:r>
      <w:r w:rsidR="00FA2044" w:rsidRPr="00FA22C5">
        <w:rPr>
          <w:i/>
        </w:rPr>
        <w:t xml:space="preserve">See In the Matter of Lissette M. </w:t>
      </w:r>
      <w:proofErr w:type="spellStart"/>
      <w:r w:rsidR="00FA2044" w:rsidRPr="00FA22C5">
        <w:rPr>
          <w:i/>
        </w:rPr>
        <w:t>Bouret-Echevarria</w:t>
      </w:r>
      <w:proofErr w:type="spellEnd"/>
      <w:r w:rsidR="00FA2044" w:rsidRPr="00FA22C5">
        <w:rPr>
          <w:i/>
        </w:rPr>
        <w:t>, M.D.</w:t>
      </w:r>
      <w:r w:rsidR="00FA2044">
        <w:t xml:space="preserve">, Board of Registration in Medicine, Adjudicatory Case No. 2019-001 (Consent Order, January 10, </w:t>
      </w:r>
      <w:r w:rsidR="00FA2044">
        <w:lastRenderedPageBreak/>
        <w:t xml:space="preserve">2019)(concerns about physician’s prescribing practices led to suspension and Probation Agreement requiring a skills assessment); </w:t>
      </w:r>
      <w:r w:rsidR="00FA2044" w:rsidRPr="0049677C">
        <w:rPr>
          <w:i/>
        </w:rPr>
        <w:t xml:space="preserve"> In the Matter of </w:t>
      </w:r>
      <w:proofErr w:type="spellStart"/>
      <w:r w:rsidR="00FA2044" w:rsidRPr="0049677C">
        <w:rPr>
          <w:i/>
        </w:rPr>
        <w:t>Hooshang</w:t>
      </w:r>
      <w:proofErr w:type="spellEnd"/>
      <w:r w:rsidR="00FA2044" w:rsidRPr="0049677C">
        <w:rPr>
          <w:i/>
        </w:rPr>
        <w:t xml:space="preserve"> Poor, M.D.</w:t>
      </w:r>
      <w:r w:rsidR="00FA2044">
        <w:t xml:space="preserve">, Board of Registration in Medicine, Adjudicatory Case No. 2018-063 (Consent Order, December 20, 2018)(concerns about the physician’s record-keeping and overall care of patients led to suspension and Probation Agreement requiring an audit/skills assessment); and </w:t>
      </w:r>
      <w:r w:rsidR="00FA2044" w:rsidRPr="00FA22C5">
        <w:rPr>
          <w:i/>
        </w:rPr>
        <w:t>In the Matter of Kim E. Bowman, M.D.</w:t>
      </w:r>
      <w:r w:rsidR="00FA2044">
        <w:t xml:space="preserve">, Board of Registration in Medicine, Adjudicatory Case No. 2018-051 (Consent Order, November 8, 2018)(concerns about physician’s prescribing, documenting and overall care led to suspension and Probation Agreement, requiring a practice audit.) </w:t>
      </w:r>
    </w:p>
    <w:p w:rsidR="00FA2044" w:rsidRDefault="00FA2044" w:rsidP="00FA2044">
      <w:pPr>
        <w:spacing w:line="360" w:lineRule="auto"/>
        <w:ind w:firstLine="720"/>
      </w:pPr>
    </w:p>
    <w:p w:rsidR="00FA2044" w:rsidRDefault="00FA2044" w:rsidP="00FA2044">
      <w:pPr>
        <w:spacing w:line="360" w:lineRule="auto"/>
        <w:ind w:firstLine="720"/>
      </w:pPr>
      <w:r>
        <w:t>In light of this precedent, the Board adopts the sanction, agreed to by the Parties, and hereby indefinitely suspends the Respondent’s medical license; said suspension is to be immediately stayed upon his entrance into a standard Probation Agreement which shall require a Practice Audit by a Board-approved Auditor. The Practice Audit shall include randomly-selected chart reviews, as follows: ten (10) randomly-selected charts involving liposuction cases, ten (10) randomly-selected charts involving breast augmentation cases and ten (10) randomly-selected charts involving the Respondent’s overall practice of medicine. The Probation Agreement shall also require that the Respondent comply with all recommendations made by the Board-approved Auditor.</w:t>
      </w:r>
    </w:p>
    <w:p w:rsidR="00FA2044" w:rsidRDefault="00FA2044" w:rsidP="00FA2044">
      <w:pPr>
        <w:spacing w:line="360" w:lineRule="auto"/>
        <w:jc w:val="both"/>
      </w:pPr>
    </w:p>
    <w:p w:rsidR="00B67C3E" w:rsidRDefault="00B67C3E" w:rsidP="00FA2044">
      <w:pPr>
        <w:spacing w:line="360" w:lineRule="auto"/>
        <w:ind w:firstLine="720"/>
        <w:jc w:val="both"/>
      </w:pPr>
      <w:r w:rsidRPr="00783325">
        <w:t>The sanction is imposed for each violation of the law, and not a combination of any or all of them.</w:t>
      </w:r>
    </w:p>
    <w:p w:rsidR="004C6DA1" w:rsidRPr="00C819BB" w:rsidRDefault="004C6DA1" w:rsidP="004C6DA1">
      <w:pPr>
        <w:spacing w:line="360" w:lineRule="auto"/>
        <w:jc w:val="both"/>
      </w:pPr>
      <w:r w:rsidRPr="004B25FD">
        <w:rPr>
          <w:b/>
        </w:rPr>
        <w:tab/>
      </w:r>
      <w:r w:rsidRPr="00C819BB">
        <w:t xml:space="preserve"> </w:t>
      </w:r>
    </w:p>
    <w:p w:rsidR="008A2085" w:rsidRDefault="00234819" w:rsidP="008A2085">
      <w:pPr>
        <w:spacing w:line="360" w:lineRule="auto"/>
        <w:rPr>
          <w:color w:val="000000"/>
          <w:szCs w:val="20"/>
        </w:rPr>
      </w:pPr>
      <w:r>
        <w:tab/>
      </w:r>
      <w:r w:rsidR="008A2085" w:rsidRPr="008A2085">
        <w:rPr>
          <w:color w:val="000000"/>
          <w:szCs w:val="20"/>
        </w:rPr>
        <w:t xml:space="preserve">The Respondent shall provide a complete copy of this </w:t>
      </w:r>
      <w:r w:rsidR="008A2085">
        <w:rPr>
          <w:color w:val="000000"/>
          <w:szCs w:val="20"/>
        </w:rPr>
        <w:t>Final Decision and</w:t>
      </w:r>
      <w:r w:rsidR="008A2085" w:rsidRPr="008A2085">
        <w:rPr>
          <w:color w:val="000000"/>
          <w:szCs w:val="20"/>
        </w:rPr>
        <w:t xml:space="preserve"> Order</w:t>
      </w:r>
      <w:r w:rsidR="008A2085" w:rsidRPr="008A2085">
        <w:rPr>
          <w:b/>
          <w:color w:val="000000"/>
          <w:szCs w:val="20"/>
        </w:rPr>
        <w:t xml:space="preserve"> </w:t>
      </w:r>
      <w:r w:rsidR="008A2085" w:rsidRPr="008A2085">
        <w:rPr>
          <w:color w:val="000000"/>
          <w:szCs w:val="20"/>
        </w:rPr>
        <w:t xml:space="preserve">with all exhibits and attachments within ten (10) days by certified mail, return receipt requested, or by hand delivery to the following designated entities:  any in- or out-of-state hospital, nursing home, clinic, other licensed facility, or municipal, state, or federal facility at which the Respondent practices medicine; any in- or out-of-state health maintenance organization with whom the Respondent has privileges or any other kind of association; any state agency, in- or out-of-state, with which the Respondent has a provider contract; any in- or out-of-state medical employer, whether or not the </w:t>
      </w:r>
      <w:r w:rsidR="008A2085" w:rsidRPr="008A2085">
        <w:rPr>
          <w:color w:val="000000"/>
          <w:szCs w:val="20"/>
        </w:rPr>
        <w:lastRenderedPageBreak/>
        <w:t xml:space="preserve">Respondent practices medicine there; the state licensing boards of all states in which the Respondent has any kind of license to practice medicine; and </w:t>
      </w:r>
      <w:r w:rsidR="008A2085" w:rsidRPr="008A2085">
        <w:rPr>
          <w:szCs w:val="20"/>
        </w:rPr>
        <w:t xml:space="preserve">the Drug Enforcement Administration. </w:t>
      </w:r>
      <w:r w:rsidR="008A2085" w:rsidRPr="008A2085">
        <w:rPr>
          <w:color w:val="000000"/>
          <w:szCs w:val="20"/>
        </w:rPr>
        <w:t xml:space="preserve"> </w:t>
      </w:r>
      <w:r w:rsidR="008A2085" w:rsidRPr="008A2085">
        <w:rPr>
          <w:szCs w:val="20"/>
        </w:rPr>
        <w:t>The Respondent shall also provide this notification to any such designated entities with which the Respondent becomes associated for the duration of this this stayed suspension and probation agreement</w:t>
      </w:r>
      <w:r w:rsidR="008A2085" w:rsidRPr="008A2085">
        <w:rPr>
          <w:b/>
          <w:szCs w:val="20"/>
        </w:rPr>
        <w:t>.</w:t>
      </w:r>
      <w:r w:rsidR="008A2085" w:rsidRPr="008A2085">
        <w:rPr>
          <w:szCs w:val="20"/>
        </w:rPr>
        <w:t xml:space="preserve">  </w:t>
      </w:r>
      <w:r w:rsidR="008A2085" w:rsidRPr="008A2085">
        <w:rPr>
          <w:color w:val="000000"/>
          <w:szCs w:val="20"/>
        </w:rPr>
        <w:t>The Respondent is further directed to certify to the Board within ten (10) days that the Respondent has complied with this directive.</w:t>
      </w:r>
    </w:p>
    <w:p w:rsidR="008A2085" w:rsidRPr="008A2085" w:rsidRDefault="008A2085" w:rsidP="008A2085">
      <w:pPr>
        <w:spacing w:line="360" w:lineRule="auto"/>
        <w:rPr>
          <w:color w:val="000000"/>
          <w:szCs w:val="20"/>
        </w:rPr>
      </w:pPr>
    </w:p>
    <w:p w:rsidR="00E9484D" w:rsidRDefault="00B67C3E" w:rsidP="00234819">
      <w:pPr>
        <w:spacing w:line="360" w:lineRule="auto"/>
        <w:ind w:firstLine="720"/>
        <w:jc w:val="both"/>
      </w:pPr>
      <w:r>
        <w:t xml:space="preserve">The Board expressly reserves the authority to independently notify, at any time, any of the entities designated above, or any other affected entity, of any action it has taken. </w:t>
      </w:r>
    </w:p>
    <w:p w:rsidR="008A2085" w:rsidRDefault="008A2085" w:rsidP="00234819">
      <w:pPr>
        <w:spacing w:line="360" w:lineRule="auto"/>
        <w:ind w:firstLine="720"/>
        <w:jc w:val="both"/>
      </w:pPr>
    </w:p>
    <w:p w:rsidR="00B67C3E" w:rsidRPr="000A15F7" w:rsidRDefault="00B67C3E" w:rsidP="00234819">
      <w:pPr>
        <w:spacing w:line="360" w:lineRule="auto"/>
        <w:ind w:firstLine="720"/>
        <w:jc w:val="both"/>
      </w:pPr>
      <w:r>
        <w:t>T</w:t>
      </w:r>
      <w:r w:rsidRPr="000A15F7">
        <w:t xml:space="preserve">he Respondent has the right to appeal this Final Decision and Order within thirty (30) days, pursuant to G.L. c. 30A, §§14 and 15, and G.L. c. 112, § 64.      </w:t>
      </w:r>
    </w:p>
    <w:p w:rsidR="00B67C3E" w:rsidRDefault="00B67C3E" w:rsidP="00B67C3E">
      <w:pPr>
        <w:pStyle w:val="BodyText"/>
        <w:rPr>
          <w:color w:val="000000"/>
        </w:rPr>
      </w:pPr>
    </w:p>
    <w:p w:rsidR="00B67C3E" w:rsidRDefault="00B67C3E" w:rsidP="00B67C3E">
      <w:pPr>
        <w:pStyle w:val="BodyText"/>
        <w:rPr>
          <w:color w:val="000000"/>
        </w:rPr>
      </w:pPr>
    </w:p>
    <w:p w:rsidR="00B67C3E" w:rsidRDefault="00B67C3E" w:rsidP="00B67C3E">
      <w:pPr>
        <w:pStyle w:val="BodyText"/>
        <w:rPr>
          <w:color w:val="000000"/>
        </w:rPr>
      </w:pPr>
      <w:r w:rsidRPr="000A15F7">
        <w:rPr>
          <w:color w:val="000000"/>
        </w:rPr>
        <w:t>DATE:</w:t>
      </w:r>
      <w:r w:rsidR="00FA2044">
        <w:rPr>
          <w:color w:val="000000"/>
        </w:rPr>
        <w:t xml:space="preserve"> March 13,</w:t>
      </w:r>
      <w:r w:rsidR="00ED653A">
        <w:rPr>
          <w:color w:val="000000"/>
        </w:rPr>
        <w:t xml:space="preserve"> </w:t>
      </w:r>
      <w:r w:rsidR="006758E0">
        <w:rPr>
          <w:color w:val="000000"/>
        </w:rPr>
        <w:t>201</w:t>
      </w:r>
      <w:r w:rsidR="00FA2044">
        <w:rPr>
          <w:color w:val="000000"/>
        </w:rPr>
        <w:t>9</w:t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ab/>
        <w:t xml:space="preserve"> </w:t>
      </w:r>
      <w:r w:rsidR="005A6F28">
        <w:rPr>
          <w:color w:val="000000"/>
          <w:u w:val="single"/>
        </w:rPr>
        <w:t xml:space="preserve">Signed by Candace </w:t>
      </w:r>
      <w:proofErr w:type="spellStart"/>
      <w:r w:rsidR="005A6F28">
        <w:rPr>
          <w:color w:val="000000"/>
          <w:u w:val="single"/>
        </w:rPr>
        <w:t>Lapidus</w:t>
      </w:r>
      <w:proofErr w:type="spellEnd"/>
      <w:r w:rsidR="005A6F28">
        <w:rPr>
          <w:color w:val="000000"/>
          <w:u w:val="single"/>
        </w:rPr>
        <w:t xml:space="preserve"> Sloane, M.D.</w:t>
      </w:r>
    </w:p>
    <w:p w:rsidR="00B67C3E" w:rsidRDefault="00B67C3E" w:rsidP="00B67C3E">
      <w:pPr>
        <w:pStyle w:val="BodyText"/>
        <w:ind w:left="2880" w:firstLine="720"/>
      </w:pPr>
      <w:r>
        <w:t xml:space="preserve"> Candace Lapidus Sloane, M.D., </w:t>
      </w:r>
    </w:p>
    <w:p w:rsidR="00B67C3E" w:rsidRPr="00887088" w:rsidRDefault="00B67C3E" w:rsidP="00B67C3E">
      <w:pPr>
        <w:ind w:left="2880" w:firstLine="720"/>
        <w:rPr>
          <w:u w:val="single"/>
        </w:rPr>
      </w:pPr>
      <w:r>
        <w:t xml:space="preserve"> Board Chair</w:t>
      </w:r>
    </w:p>
    <w:p w:rsidR="00B67C3E" w:rsidRDefault="00B67C3E" w:rsidP="00B67C3E"/>
    <w:p w:rsidR="00D269EF" w:rsidRDefault="00D24EBD" w:rsidP="00D269EF">
      <w:pPr>
        <w:spacing w:line="360" w:lineRule="auto"/>
        <w:ind w:firstLine="720"/>
        <w:jc w:val="both"/>
      </w:pPr>
      <w:r>
        <w:t xml:space="preserve">    </w:t>
      </w:r>
      <w:r w:rsidR="00D269EF">
        <w:t xml:space="preserve"> </w:t>
      </w:r>
    </w:p>
    <w:p w:rsidR="00E84127" w:rsidRDefault="00E84127" w:rsidP="00D269EF">
      <w:pPr>
        <w:spacing w:line="360" w:lineRule="auto"/>
        <w:ind w:firstLine="720"/>
        <w:jc w:val="both"/>
      </w:pPr>
    </w:p>
    <w:p w:rsidR="00E84127" w:rsidRDefault="00E84127" w:rsidP="00E84127">
      <w:pPr>
        <w:spacing w:line="360" w:lineRule="auto"/>
        <w:ind w:firstLine="720"/>
        <w:jc w:val="both"/>
      </w:pPr>
    </w:p>
    <w:p w:rsidR="00E84127" w:rsidRDefault="00E84127" w:rsidP="00E84127">
      <w:pPr>
        <w:spacing w:line="360" w:lineRule="auto"/>
        <w:jc w:val="both"/>
      </w:pPr>
    </w:p>
    <w:p w:rsidR="00E71AEB" w:rsidRDefault="00E84127" w:rsidP="00E71AEB">
      <w:pPr>
        <w:spacing w:line="360" w:lineRule="auto"/>
        <w:ind w:left="720" w:right="720"/>
        <w:jc w:val="both"/>
      </w:pPr>
      <w:r>
        <w:t xml:space="preserve"> </w:t>
      </w:r>
    </w:p>
    <w:p w:rsidR="00E71AEB" w:rsidRDefault="00E71AEB" w:rsidP="00CC3664">
      <w:pPr>
        <w:spacing w:line="360" w:lineRule="auto"/>
        <w:ind w:firstLine="720"/>
        <w:jc w:val="both"/>
      </w:pPr>
    </w:p>
    <w:sectPr w:rsidR="00E71AEB" w:rsidSect="00B67C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BAC" w:rsidRDefault="00BD4BAC">
      <w:r>
        <w:separator/>
      </w:r>
    </w:p>
  </w:endnote>
  <w:endnote w:type="continuationSeparator" w:id="0">
    <w:p w:rsidR="00BD4BAC" w:rsidRDefault="00BD4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298" w:rsidRDefault="003D4298" w:rsidP="00EC40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D4298" w:rsidRDefault="003D42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298" w:rsidRDefault="003D4298" w:rsidP="00EC40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6F28">
      <w:rPr>
        <w:rStyle w:val="PageNumber"/>
        <w:noProof/>
      </w:rPr>
      <w:t>3</w:t>
    </w:r>
    <w:r>
      <w:rPr>
        <w:rStyle w:val="PageNumber"/>
      </w:rPr>
      <w:fldChar w:fldCharType="end"/>
    </w:r>
  </w:p>
  <w:p w:rsidR="003D4298" w:rsidRDefault="003D429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DAB" w:rsidRDefault="00DF2DA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E1062">
      <w:rPr>
        <w:noProof/>
      </w:rPr>
      <w:t>1</w:t>
    </w:r>
    <w:r>
      <w:rPr>
        <w:noProof/>
      </w:rPr>
      <w:fldChar w:fldCharType="end"/>
    </w:r>
  </w:p>
  <w:p w:rsidR="00DF2DAB" w:rsidRDefault="00DF2D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BAC" w:rsidRDefault="00BD4BAC">
      <w:r>
        <w:separator/>
      </w:r>
    </w:p>
  </w:footnote>
  <w:footnote w:type="continuationSeparator" w:id="0">
    <w:p w:rsidR="00BD4BAC" w:rsidRDefault="00BD4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8B4" w:rsidRDefault="007728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8B4" w:rsidRDefault="007728B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8B4" w:rsidRDefault="007728B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E1BFD"/>
    <w:multiLevelType w:val="hybridMultilevel"/>
    <w:tmpl w:val="64EAE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6171D"/>
    <w:multiLevelType w:val="hybridMultilevel"/>
    <w:tmpl w:val="DDD48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664"/>
    <w:rsid w:val="000334AD"/>
    <w:rsid w:val="0003656E"/>
    <w:rsid w:val="00045935"/>
    <w:rsid w:val="000632AC"/>
    <w:rsid w:val="000B48B7"/>
    <w:rsid w:val="000B730A"/>
    <w:rsid w:val="000C666D"/>
    <w:rsid w:val="000D3009"/>
    <w:rsid w:val="0015502F"/>
    <w:rsid w:val="00180E34"/>
    <w:rsid w:val="001B79DC"/>
    <w:rsid w:val="001C2281"/>
    <w:rsid w:val="001E4A94"/>
    <w:rsid w:val="001F3987"/>
    <w:rsid w:val="00234819"/>
    <w:rsid w:val="00235EB9"/>
    <w:rsid w:val="002E04DC"/>
    <w:rsid w:val="00304C86"/>
    <w:rsid w:val="003058F9"/>
    <w:rsid w:val="00320216"/>
    <w:rsid w:val="00345371"/>
    <w:rsid w:val="003577C1"/>
    <w:rsid w:val="003772FE"/>
    <w:rsid w:val="003B3666"/>
    <w:rsid w:val="003D4298"/>
    <w:rsid w:val="004153DC"/>
    <w:rsid w:val="0042458B"/>
    <w:rsid w:val="004456CF"/>
    <w:rsid w:val="004615E7"/>
    <w:rsid w:val="00471E46"/>
    <w:rsid w:val="0049305B"/>
    <w:rsid w:val="004B25FD"/>
    <w:rsid w:val="004C6DA1"/>
    <w:rsid w:val="004F163C"/>
    <w:rsid w:val="00504D69"/>
    <w:rsid w:val="00543F69"/>
    <w:rsid w:val="005A6F28"/>
    <w:rsid w:val="005B61AA"/>
    <w:rsid w:val="00601336"/>
    <w:rsid w:val="00624901"/>
    <w:rsid w:val="006758E0"/>
    <w:rsid w:val="006C5254"/>
    <w:rsid w:val="006E4C51"/>
    <w:rsid w:val="006F4881"/>
    <w:rsid w:val="00733F35"/>
    <w:rsid w:val="00744526"/>
    <w:rsid w:val="007728B4"/>
    <w:rsid w:val="00783325"/>
    <w:rsid w:val="00797FF5"/>
    <w:rsid w:val="007D5E3D"/>
    <w:rsid w:val="007F739D"/>
    <w:rsid w:val="00821B34"/>
    <w:rsid w:val="008610F0"/>
    <w:rsid w:val="00875A69"/>
    <w:rsid w:val="008A2085"/>
    <w:rsid w:val="008C4CC2"/>
    <w:rsid w:val="008D5E6A"/>
    <w:rsid w:val="00900B92"/>
    <w:rsid w:val="00904243"/>
    <w:rsid w:val="00912AD3"/>
    <w:rsid w:val="009557A2"/>
    <w:rsid w:val="009571A3"/>
    <w:rsid w:val="00960ECC"/>
    <w:rsid w:val="009A62AD"/>
    <w:rsid w:val="009F1F2C"/>
    <w:rsid w:val="009F5C79"/>
    <w:rsid w:val="00A1419B"/>
    <w:rsid w:val="00A33405"/>
    <w:rsid w:val="00A5365A"/>
    <w:rsid w:val="00A64C4D"/>
    <w:rsid w:val="00AE0411"/>
    <w:rsid w:val="00AE1062"/>
    <w:rsid w:val="00AE7D0D"/>
    <w:rsid w:val="00B0184D"/>
    <w:rsid w:val="00B4108E"/>
    <w:rsid w:val="00B5527E"/>
    <w:rsid w:val="00B67C3E"/>
    <w:rsid w:val="00B82C88"/>
    <w:rsid w:val="00B92562"/>
    <w:rsid w:val="00BD4BAC"/>
    <w:rsid w:val="00C26685"/>
    <w:rsid w:val="00C71DF8"/>
    <w:rsid w:val="00C819BB"/>
    <w:rsid w:val="00C84294"/>
    <w:rsid w:val="00CA39C0"/>
    <w:rsid w:val="00CC3664"/>
    <w:rsid w:val="00D24EBD"/>
    <w:rsid w:val="00D269EF"/>
    <w:rsid w:val="00D37D51"/>
    <w:rsid w:val="00D93728"/>
    <w:rsid w:val="00DB58CD"/>
    <w:rsid w:val="00DB5DE2"/>
    <w:rsid w:val="00DF20FB"/>
    <w:rsid w:val="00DF2DAB"/>
    <w:rsid w:val="00E13435"/>
    <w:rsid w:val="00E153BF"/>
    <w:rsid w:val="00E210AC"/>
    <w:rsid w:val="00E43CDB"/>
    <w:rsid w:val="00E71AEB"/>
    <w:rsid w:val="00E84127"/>
    <w:rsid w:val="00E9484D"/>
    <w:rsid w:val="00EC40C6"/>
    <w:rsid w:val="00ED653A"/>
    <w:rsid w:val="00FA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366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67C3E"/>
    <w:rPr>
      <w:szCs w:val="20"/>
    </w:rPr>
  </w:style>
  <w:style w:type="paragraph" w:styleId="Footer">
    <w:name w:val="footer"/>
    <w:basedOn w:val="Normal"/>
    <w:link w:val="FooterChar"/>
    <w:uiPriority w:val="99"/>
    <w:rsid w:val="00B67C3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67C3E"/>
  </w:style>
  <w:style w:type="paragraph" w:styleId="BalloonText">
    <w:name w:val="Balloon Text"/>
    <w:basedOn w:val="Normal"/>
    <w:link w:val="BalloonTextChar"/>
    <w:rsid w:val="002E04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E04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F2DA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F2DAB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DF2DAB"/>
    <w:rPr>
      <w:sz w:val="24"/>
      <w:szCs w:val="24"/>
    </w:rPr>
  </w:style>
  <w:style w:type="paragraph" w:styleId="FootnoteText">
    <w:name w:val="footnote text"/>
    <w:basedOn w:val="Normal"/>
    <w:link w:val="FootnoteTextChar"/>
    <w:rsid w:val="004615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615E7"/>
  </w:style>
  <w:style w:type="character" w:styleId="FootnoteReference">
    <w:name w:val="footnote reference"/>
    <w:rsid w:val="004615E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366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67C3E"/>
    <w:rPr>
      <w:szCs w:val="20"/>
    </w:rPr>
  </w:style>
  <w:style w:type="paragraph" w:styleId="Footer">
    <w:name w:val="footer"/>
    <w:basedOn w:val="Normal"/>
    <w:link w:val="FooterChar"/>
    <w:uiPriority w:val="99"/>
    <w:rsid w:val="00B67C3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67C3E"/>
  </w:style>
  <w:style w:type="paragraph" w:styleId="BalloonText">
    <w:name w:val="Balloon Text"/>
    <w:basedOn w:val="Normal"/>
    <w:link w:val="BalloonTextChar"/>
    <w:rsid w:val="002E04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E04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F2DA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F2DAB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DF2DAB"/>
    <w:rPr>
      <w:sz w:val="24"/>
      <w:szCs w:val="24"/>
    </w:rPr>
  </w:style>
  <w:style w:type="paragraph" w:styleId="FootnoteText">
    <w:name w:val="footnote text"/>
    <w:basedOn w:val="Normal"/>
    <w:link w:val="FootnoteTextChar"/>
    <w:rsid w:val="004615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615E7"/>
  </w:style>
  <w:style w:type="character" w:styleId="FootnoteReference">
    <w:name w:val="footnote reference"/>
    <w:rsid w:val="004615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1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5E921-DDAD-4C48-9F59-67626F947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762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DPH</Company>
  <LinksUpToDate>false</LinksUpToDate>
  <CharactersWithSpaces>5148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DPH</dc:creator>
  <cp:lastModifiedBy> </cp:lastModifiedBy>
  <cp:revision>5</cp:revision>
  <cp:lastPrinted>2018-11-09T15:16:00Z</cp:lastPrinted>
  <dcterms:created xsi:type="dcterms:W3CDTF">2019-03-22T17:33:00Z</dcterms:created>
  <dcterms:modified xsi:type="dcterms:W3CDTF">2019-03-22T17:35:00Z</dcterms:modified>
</cp:coreProperties>
</file>