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EBB73" w14:textId="77777777" w:rsidR="00EA2650" w:rsidRDefault="007A677D" w:rsidP="00B6220A">
      <w:pPr>
        <w:pStyle w:val="BodyText"/>
        <w:spacing w:before="160" w:line="249" w:lineRule="auto"/>
        <w:ind w:left="2194" w:right="1479" w:hanging="12"/>
      </w:pPr>
      <w:r>
        <w:t xml:space="preserve">     </w:t>
      </w:r>
      <w:r w:rsidR="00E3380B">
        <w:t>COMMONWEALTH OF MASSACHUSETTS</w:t>
      </w:r>
    </w:p>
    <w:p w14:paraId="131E51A0" w14:textId="7EB6A2ED" w:rsidR="00E3380B" w:rsidRDefault="00E3380B" w:rsidP="00F949F7">
      <w:pPr>
        <w:pStyle w:val="BodyText"/>
        <w:spacing w:before="160" w:line="249" w:lineRule="auto"/>
        <w:ind w:left="2194" w:right="1479" w:hanging="12"/>
      </w:pPr>
      <w:bookmarkStart w:id="0" w:name="Draft_Final_Decision_and_Order"/>
      <w:bookmarkEnd w:id="0"/>
      <w:r>
        <w:rPr>
          <w:w w:val="105"/>
        </w:rPr>
        <w:t>BOARD</w:t>
      </w:r>
      <w:r>
        <w:rPr>
          <w:spacing w:val="-13"/>
          <w:w w:val="105"/>
        </w:rPr>
        <w:t xml:space="preserve"> </w:t>
      </w:r>
      <w:r>
        <w:rPr>
          <w:w w:val="105"/>
        </w:rPr>
        <w:t>OF</w:t>
      </w:r>
      <w:r>
        <w:rPr>
          <w:spacing w:val="-15"/>
          <w:w w:val="105"/>
        </w:rPr>
        <w:t xml:space="preserve"> </w:t>
      </w:r>
      <w:r>
        <w:rPr>
          <w:w w:val="105"/>
        </w:rPr>
        <w:t>REGISTRATION</w:t>
      </w:r>
      <w:r>
        <w:rPr>
          <w:spacing w:val="5"/>
          <w:w w:val="105"/>
        </w:rPr>
        <w:t xml:space="preserve"> </w:t>
      </w:r>
      <w:r>
        <w:rPr>
          <w:w w:val="105"/>
        </w:rPr>
        <w:t>IN</w:t>
      </w:r>
      <w:r>
        <w:rPr>
          <w:spacing w:val="-12"/>
          <w:w w:val="105"/>
        </w:rPr>
        <w:t xml:space="preserve"> </w:t>
      </w:r>
      <w:r>
        <w:rPr>
          <w:spacing w:val="-2"/>
          <w:w w:val="105"/>
        </w:rPr>
        <w:t>MEDICINE</w:t>
      </w:r>
    </w:p>
    <w:p w14:paraId="0D2E1E93" w14:textId="77777777" w:rsidR="00E3380B" w:rsidRDefault="00E3380B" w:rsidP="00B6220A">
      <w:pPr>
        <w:pStyle w:val="BodyText"/>
        <w:spacing w:before="9"/>
        <w:jc w:val="both"/>
        <w:rPr>
          <w:sz w:val="15"/>
        </w:rPr>
      </w:pPr>
    </w:p>
    <w:p w14:paraId="3D57B0C3" w14:textId="18B40C01" w:rsidR="00E3380B" w:rsidRDefault="00E3380B" w:rsidP="00F466BC">
      <w:pPr>
        <w:pStyle w:val="BodyText"/>
        <w:spacing w:before="95" w:line="242" w:lineRule="auto"/>
        <w:ind w:left="4477" w:right="1271" w:hanging="4325"/>
        <w:rPr>
          <w:w w:val="105"/>
        </w:rPr>
      </w:pPr>
      <w:r>
        <w:rPr>
          <w:w w:val="105"/>
        </w:rPr>
        <w:t>MIDDLESEX, ss</w:t>
      </w:r>
      <w:r>
        <w:tab/>
      </w:r>
      <w:r>
        <w:rPr>
          <w:w w:val="105"/>
          <w:position w:val="1"/>
        </w:rPr>
        <w:t>Adjudicatory</w:t>
      </w:r>
      <w:r>
        <w:rPr>
          <w:spacing w:val="-4"/>
          <w:w w:val="105"/>
          <w:position w:val="1"/>
        </w:rPr>
        <w:t xml:space="preserve"> </w:t>
      </w:r>
      <w:r>
        <w:rPr>
          <w:w w:val="105"/>
          <w:position w:val="1"/>
        </w:rPr>
        <w:t>Case</w:t>
      </w:r>
      <w:r>
        <w:rPr>
          <w:spacing w:val="-15"/>
          <w:w w:val="105"/>
          <w:position w:val="1"/>
        </w:rPr>
        <w:t xml:space="preserve"> </w:t>
      </w:r>
      <w:r>
        <w:rPr>
          <w:w w:val="105"/>
          <w:position w:val="1"/>
        </w:rPr>
        <w:t>No.</w:t>
      </w:r>
      <w:r>
        <w:rPr>
          <w:spacing w:val="-15"/>
          <w:w w:val="105"/>
          <w:position w:val="1"/>
        </w:rPr>
        <w:t xml:space="preserve"> </w:t>
      </w:r>
      <w:r>
        <w:rPr>
          <w:w w:val="105"/>
          <w:position w:val="1"/>
        </w:rPr>
        <w:t xml:space="preserve">2022-012 </w:t>
      </w:r>
      <w:r>
        <w:rPr>
          <w:w w:val="105"/>
        </w:rPr>
        <w:t>(DALA No. RM-22-141)</w:t>
      </w:r>
    </w:p>
    <w:p w14:paraId="186B879E" w14:textId="566D3F4E" w:rsidR="00E3380B" w:rsidRPr="007A7BB8" w:rsidRDefault="00E3380B" w:rsidP="00F466BC">
      <w:pPr>
        <w:pStyle w:val="BodyText"/>
        <w:spacing w:line="20" w:lineRule="exact"/>
        <w:rPr>
          <w:sz w:val="2"/>
        </w:rPr>
      </w:pPr>
      <w:r>
        <w:rPr>
          <w:noProof/>
          <w:sz w:val="2"/>
        </w:rPr>
        <mc:AlternateContent>
          <mc:Choice Requires="wpg">
            <w:drawing>
              <wp:inline distT="0" distB="0" distL="0" distR="0" wp14:anchorId="717FE40B" wp14:editId="592816D1">
                <wp:extent cx="1851660" cy="9525"/>
                <wp:effectExtent l="10795" t="7620" r="1397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1660" cy="9525"/>
                          <a:chOff x="0" y="0"/>
                          <a:chExt cx="2916" cy="15"/>
                        </a:xfrm>
                      </wpg:grpSpPr>
                      <wps:wsp>
                        <wps:cNvPr id="4" name="Line 5"/>
                        <wps:cNvCnPr>
                          <a:cxnSpLocks noChangeShapeType="1"/>
                        </wps:cNvCnPr>
                        <wps:spPr bwMode="auto">
                          <a:xfrm>
                            <a:off x="0" y="7"/>
                            <a:ext cx="2916" cy="0"/>
                          </a:xfrm>
                          <a:prstGeom prst="line">
                            <a:avLst/>
                          </a:prstGeom>
                          <a:noFill/>
                          <a:ln w="916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C9FDB1" id="Group 3" o:spid="_x0000_s1026" style="width:145.8pt;height:.75pt;mso-position-horizontal-relative:char;mso-position-vertical-relative:line" coordsize="29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">
                <v:line id="Line 5" o:spid="_x0000_s1027" style="position:absolute;visibility:visible;mso-wrap-style:square" from="0,7" to="29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" strokeweight=".25447mm"/>
                <w10:anchorlock/>
              </v:group>
            </w:pict>
          </mc:Fallback>
        </mc:AlternateContent>
      </w:r>
    </w:p>
    <w:p w14:paraId="703E8978" w14:textId="77777777" w:rsidR="00E3380B" w:rsidRDefault="00E3380B" w:rsidP="00CC65DD">
      <w:pPr>
        <w:pStyle w:val="BodyText"/>
        <w:tabs>
          <w:tab w:val="left" w:pos="2887"/>
        </w:tabs>
        <w:spacing w:before="19"/>
        <w:ind w:right="38"/>
        <w:rPr>
          <w:sz w:val="22"/>
        </w:rPr>
      </w:pPr>
      <w:r>
        <w:rPr>
          <w:w w:val="105"/>
        </w:rPr>
        <w:t>In</w:t>
      </w:r>
      <w:r>
        <w:rPr>
          <w:spacing w:val="-9"/>
          <w:w w:val="105"/>
        </w:rPr>
        <w:t xml:space="preserve"> </w:t>
      </w:r>
      <w:r>
        <w:rPr>
          <w:w w:val="105"/>
        </w:rPr>
        <w:t>the</w:t>
      </w:r>
      <w:r>
        <w:rPr>
          <w:spacing w:val="-7"/>
          <w:w w:val="105"/>
        </w:rPr>
        <w:t xml:space="preserve"> </w:t>
      </w:r>
      <w:r>
        <w:rPr>
          <w:w w:val="105"/>
        </w:rPr>
        <w:t>Matter</w:t>
      </w:r>
      <w:r>
        <w:rPr>
          <w:spacing w:val="-4"/>
          <w:w w:val="105"/>
        </w:rPr>
        <w:t xml:space="preserve"> </w:t>
      </w:r>
      <w:r>
        <w:rPr>
          <w:spacing w:val="-5"/>
          <w:w w:val="105"/>
        </w:rPr>
        <w:t>of</w:t>
      </w:r>
      <w:r>
        <w:tab/>
      </w:r>
      <w:r>
        <w:rPr>
          <w:spacing w:val="-10"/>
          <w:w w:val="105"/>
          <w:sz w:val="22"/>
        </w:rPr>
        <w:t>)</w:t>
      </w:r>
    </w:p>
    <w:p w14:paraId="2A2CAEF7" w14:textId="77777777" w:rsidR="00E3380B" w:rsidRDefault="00E3380B" w:rsidP="007A7BB8">
      <w:pPr>
        <w:spacing w:before="19"/>
        <w:ind w:left="2160" w:right="38" w:firstLine="720"/>
      </w:pPr>
      <w:r>
        <w:rPr>
          <w:w w:val="103"/>
        </w:rPr>
        <w:t>)</w:t>
      </w:r>
    </w:p>
    <w:p w14:paraId="37ABC312" w14:textId="25A86B3B" w:rsidR="00F466BC" w:rsidRPr="00F466BC" w:rsidRDefault="00E3380B" w:rsidP="00CC65DD">
      <w:pPr>
        <w:pStyle w:val="BodyText"/>
        <w:tabs>
          <w:tab w:val="left" w:pos="2882"/>
        </w:tabs>
        <w:spacing w:before="19"/>
        <w:ind w:right="38"/>
      </w:pPr>
      <w:r w:rsidRPr="00F466BC">
        <w:rPr>
          <w:spacing w:val="-2"/>
          <w:w w:val="105"/>
        </w:rPr>
        <w:t>Walter M</w:t>
      </w:r>
      <w:r w:rsidRPr="00F466BC">
        <w:t>. Simmons, M.D.</w:t>
      </w:r>
      <w:r w:rsidR="00F466BC">
        <w:t xml:space="preserve">       )</w:t>
      </w:r>
    </w:p>
    <w:p w14:paraId="176E2860" w14:textId="6131342E" w:rsidR="00654D84" w:rsidRPr="007A7BB8" w:rsidRDefault="00E3380B" w:rsidP="00CC65DD">
      <w:pPr>
        <w:pStyle w:val="BodyText"/>
        <w:tabs>
          <w:tab w:val="left" w:pos="2882"/>
        </w:tabs>
        <w:spacing w:before="19"/>
        <w:ind w:right="38"/>
        <w:rPr>
          <w:u w:val="single"/>
        </w:rPr>
      </w:pPr>
      <w:r w:rsidRPr="00654D84">
        <w:rPr>
          <w:u w:val="single"/>
        </w:rPr>
        <w:tab/>
      </w:r>
      <w:r w:rsidRPr="00654D84">
        <w:t>)</w:t>
      </w:r>
      <w:r w:rsidR="007A7BB8">
        <w:tab/>
      </w:r>
      <w:r w:rsidR="007A7BB8">
        <w:tab/>
      </w:r>
      <w:r w:rsidR="007A7BB8">
        <w:tab/>
      </w:r>
      <w:r w:rsidR="007A7BB8" w:rsidRPr="007A7BB8">
        <w:rPr>
          <w:u w:val="single"/>
        </w:rPr>
        <w:t xml:space="preserve">FINAL DECISION AND ORDER </w:t>
      </w:r>
    </w:p>
    <w:p w14:paraId="09B70866" w14:textId="77777777" w:rsidR="00654D84" w:rsidRDefault="00654D84" w:rsidP="00654D84">
      <w:pPr>
        <w:pStyle w:val="BodyText"/>
        <w:tabs>
          <w:tab w:val="left" w:pos="0"/>
        </w:tabs>
        <w:spacing w:before="19"/>
        <w:ind w:right="38"/>
        <w:jc w:val="right"/>
      </w:pPr>
    </w:p>
    <w:p w14:paraId="0DFD2EA7" w14:textId="0EC47C70" w:rsidR="0091307C" w:rsidRDefault="00EF0EBD" w:rsidP="00E3380B">
      <w:pPr>
        <w:pStyle w:val="BodyText"/>
        <w:ind w:left="150"/>
        <w:rPr>
          <w:spacing w:val="-2"/>
          <w:w w:val="105"/>
          <w:u w:val="thick"/>
        </w:rPr>
      </w:pPr>
      <w:r>
        <w:rPr>
          <w:spacing w:val="-2"/>
          <w:w w:val="105"/>
          <w:u w:val="thick"/>
        </w:rPr>
        <w:t xml:space="preserve"> </w:t>
      </w:r>
    </w:p>
    <w:p w14:paraId="02F0EEB1" w14:textId="058EC2CB" w:rsidR="00EF0EBD" w:rsidRDefault="00EF0EBD" w:rsidP="00EF0EBD">
      <w:pPr>
        <w:pStyle w:val="BodyText"/>
        <w:ind w:left="150"/>
        <w:jc w:val="center"/>
        <w:rPr>
          <w:spacing w:val="-2"/>
          <w:w w:val="105"/>
          <w:u w:val="thick"/>
        </w:rPr>
      </w:pPr>
      <w:r>
        <w:rPr>
          <w:spacing w:val="-2"/>
          <w:w w:val="105"/>
          <w:u w:val="thick"/>
        </w:rPr>
        <w:t>Procedural History</w:t>
      </w:r>
    </w:p>
    <w:p w14:paraId="0160D770" w14:textId="2A74F625" w:rsidR="001A526F" w:rsidRDefault="00E3380B" w:rsidP="00D7112B">
      <w:pPr>
        <w:pStyle w:val="BodyText"/>
        <w:spacing w:before="154" w:line="360" w:lineRule="auto"/>
        <w:ind w:right="186" w:firstLine="730"/>
        <w:jc w:val="both"/>
        <w:rPr>
          <w:w w:val="105"/>
        </w:rPr>
      </w:pPr>
      <w:r>
        <w:rPr>
          <w:w w:val="105"/>
        </w:rPr>
        <w:t>On</w:t>
      </w:r>
      <w:r>
        <w:rPr>
          <w:spacing w:val="-1"/>
          <w:w w:val="105"/>
        </w:rPr>
        <w:t xml:space="preserve"> March 31, 2022</w:t>
      </w:r>
      <w:r>
        <w:rPr>
          <w:w w:val="105"/>
        </w:rPr>
        <w:t>, the Board issued Statement of Allegations (SOA) charging Walter M. Simmons, M.D. (the Respondent) with</w:t>
      </w:r>
      <w:r w:rsidR="00F466BC">
        <w:rPr>
          <w:w w:val="105"/>
        </w:rPr>
        <w:t xml:space="preserve"> having</w:t>
      </w:r>
      <w:r>
        <w:rPr>
          <w:w w:val="105"/>
        </w:rPr>
        <w:t xml:space="preserve"> </w:t>
      </w:r>
      <w:r w:rsidR="00CF4370">
        <w:rPr>
          <w:w w:val="105"/>
        </w:rPr>
        <w:t>ple</w:t>
      </w:r>
      <w:r w:rsidR="001360FF">
        <w:rPr>
          <w:w w:val="105"/>
        </w:rPr>
        <w:t>a</w:t>
      </w:r>
      <w:r w:rsidR="00CF4370">
        <w:rPr>
          <w:w w:val="105"/>
        </w:rPr>
        <w:t>d</w:t>
      </w:r>
      <w:r w:rsidR="001360FF">
        <w:rPr>
          <w:w w:val="105"/>
        </w:rPr>
        <w:t>ed</w:t>
      </w:r>
      <w:r w:rsidR="00CF4370">
        <w:rPr>
          <w:w w:val="105"/>
        </w:rPr>
        <w:t xml:space="preserve"> guilty to</w:t>
      </w:r>
      <w:r>
        <w:rPr>
          <w:w w:val="105"/>
        </w:rPr>
        <w:t xml:space="preserve"> three counts of Wrongful Use of a Unique Health Identifier</w:t>
      </w:r>
      <w:r w:rsidR="009F1A2B">
        <w:rPr>
          <w:w w:val="105"/>
        </w:rPr>
        <w:t>,</w:t>
      </w:r>
      <w:r>
        <w:rPr>
          <w:w w:val="105"/>
        </w:rPr>
        <w:t xml:space="preserve"> in </w:t>
      </w:r>
      <w:bookmarkStart w:id="1" w:name="_Hlk124166864"/>
      <w:r>
        <w:rPr>
          <w:w w:val="105"/>
        </w:rPr>
        <w:t>violation of 42</w:t>
      </w:r>
      <w:r>
        <w:rPr>
          <w:spacing w:val="-3"/>
          <w:w w:val="105"/>
        </w:rPr>
        <w:t xml:space="preserve"> </w:t>
      </w:r>
      <w:r>
        <w:rPr>
          <w:w w:val="105"/>
        </w:rPr>
        <w:t>U.S.C. § 1320d-6(a)(1),(b)(1)</w:t>
      </w:r>
      <w:r w:rsidR="009F1A2B">
        <w:rPr>
          <w:w w:val="105"/>
        </w:rPr>
        <w:t>,</w:t>
      </w:r>
      <w:r>
        <w:rPr>
          <w:w w:val="105"/>
        </w:rPr>
        <w:t xml:space="preserve"> and having been disciplined by the Tennessee Board of Medical Examiners </w:t>
      </w:r>
      <w:r w:rsidR="003834A2">
        <w:rPr>
          <w:w w:val="105"/>
        </w:rPr>
        <w:t>based on the criminal conviction</w:t>
      </w:r>
      <w:bookmarkEnd w:id="1"/>
      <w:r w:rsidR="003834A2">
        <w:rPr>
          <w:w w:val="105"/>
        </w:rPr>
        <w:t>. T</w:t>
      </w:r>
      <w:r w:rsidR="00C74A3B">
        <w:rPr>
          <w:w w:val="105"/>
        </w:rPr>
        <w:t xml:space="preserve">his </w:t>
      </w:r>
      <w:r w:rsidR="003834A2">
        <w:rPr>
          <w:w w:val="105"/>
        </w:rPr>
        <w:t xml:space="preserve">Board alleged that, </w:t>
      </w:r>
      <w:r w:rsidR="007E0F62">
        <w:rPr>
          <w:w w:val="105"/>
        </w:rPr>
        <w:t>based on the criminal conviction and out-of-state discipline</w:t>
      </w:r>
      <w:r w:rsidR="003834A2">
        <w:rPr>
          <w:w w:val="105"/>
        </w:rPr>
        <w:t>, the Respondent could be disciplined</w:t>
      </w:r>
      <w:r w:rsidR="00194E8E">
        <w:rPr>
          <w:w w:val="105"/>
        </w:rPr>
        <w:t>.</w:t>
      </w:r>
      <w:r w:rsidR="007520A8">
        <w:rPr>
          <w:w w:val="105"/>
        </w:rPr>
        <w:t xml:space="preserve"> The Board referred the SOA to the Division of Administrative Law Appeals (DALA) for further proceedings.</w:t>
      </w:r>
      <w:r w:rsidR="003834A2">
        <w:rPr>
          <w:w w:val="105"/>
        </w:rPr>
        <w:t xml:space="preserve"> </w:t>
      </w:r>
    </w:p>
    <w:p w14:paraId="38E53602" w14:textId="612121E7" w:rsidR="00F466BC" w:rsidRDefault="00C516A5" w:rsidP="00D7112B">
      <w:pPr>
        <w:pStyle w:val="BodyText"/>
        <w:spacing w:before="154" w:line="360" w:lineRule="auto"/>
        <w:ind w:right="186" w:firstLine="730"/>
        <w:jc w:val="both"/>
        <w:rPr>
          <w:w w:val="105"/>
        </w:rPr>
      </w:pPr>
      <w:r>
        <w:rPr>
          <w:w w:val="105"/>
        </w:rPr>
        <w:t>On June 29, 2022, Complaint Counsel</w:t>
      </w:r>
      <w:r>
        <w:rPr>
          <w:rStyle w:val="FootnoteReference"/>
          <w:w w:val="105"/>
        </w:rPr>
        <w:footnoteReference w:id="1"/>
      </w:r>
      <w:r>
        <w:rPr>
          <w:w w:val="105"/>
        </w:rPr>
        <w:t xml:space="preserve"> </w:t>
      </w:r>
      <w:r w:rsidR="009B5B7C">
        <w:rPr>
          <w:w w:val="105"/>
        </w:rPr>
        <w:t>file</w:t>
      </w:r>
      <w:r w:rsidR="007520A8">
        <w:rPr>
          <w:w w:val="105"/>
        </w:rPr>
        <w:t>d</w:t>
      </w:r>
      <w:r w:rsidR="009B5B7C">
        <w:rPr>
          <w:w w:val="105"/>
        </w:rPr>
        <w:t xml:space="preserve"> a Motion for Summary </w:t>
      </w:r>
      <w:r w:rsidR="00A01BE4">
        <w:rPr>
          <w:w w:val="105"/>
        </w:rPr>
        <w:t>D</w:t>
      </w:r>
      <w:r w:rsidR="009B5B7C">
        <w:rPr>
          <w:w w:val="105"/>
        </w:rPr>
        <w:t>ecision</w:t>
      </w:r>
      <w:r w:rsidR="007E169A">
        <w:rPr>
          <w:rStyle w:val="FootnoteReference"/>
          <w:w w:val="105"/>
        </w:rPr>
        <w:footnoteReference w:id="2"/>
      </w:r>
      <w:r w:rsidR="009B5B7C">
        <w:rPr>
          <w:w w:val="105"/>
        </w:rPr>
        <w:t xml:space="preserve"> pursuant to 801 CMR </w:t>
      </w:r>
      <w:r w:rsidR="00174342">
        <w:rPr>
          <w:w w:val="105"/>
        </w:rPr>
        <w:t>1.01(7)(h). On August 15, 2022 DAL</w:t>
      </w:r>
      <w:r w:rsidR="00F466BC">
        <w:rPr>
          <w:w w:val="105"/>
        </w:rPr>
        <w:t xml:space="preserve">A </w:t>
      </w:r>
      <w:r w:rsidR="00174342">
        <w:rPr>
          <w:w w:val="105"/>
        </w:rPr>
        <w:t xml:space="preserve">Magistrate </w:t>
      </w:r>
      <w:r w:rsidR="001D35E4">
        <w:rPr>
          <w:w w:val="105"/>
        </w:rPr>
        <w:t>Yako</w:t>
      </w:r>
      <w:r w:rsidR="00510343">
        <w:rPr>
          <w:w w:val="105"/>
        </w:rPr>
        <w:t>v</w:t>
      </w:r>
      <w:r w:rsidR="001D35E4">
        <w:rPr>
          <w:w w:val="105"/>
        </w:rPr>
        <w:t xml:space="preserve"> Malkiel issued an Order on Motion for Summary Decision and ruled that “there </w:t>
      </w:r>
      <w:r w:rsidR="007520A8">
        <w:rPr>
          <w:w w:val="105"/>
        </w:rPr>
        <w:t>[was]</w:t>
      </w:r>
      <w:r w:rsidR="001D35E4">
        <w:rPr>
          <w:w w:val="105"/>
        </w:rPr>
        <w:t xml:space="preserve"> no genuine issue of fact” with respect to the</w:t>
      </w:r>
      <w:r w:rsidR="00F466BC">
        <w:rPr>
          <w:w w:val="105"/>
        </w:rPr>
        <w:t xml:space="preserve"> Board’s</w:t>
      </w:r>
      <w:r w:rsidR="001D35E4">
        <w:rPr>
          <w:w w:val="105"/>
        </w:rPr>
        <w:t xml:space="preserve"> charges </w:t>
      </w:r>
      <w:r w:rsidR="007520A8">
        <w:rPr>
          <w:w w:val="105"/>
        </w:rPr>
        <w:t xml:space="preserve">that </w:t>
      </w:r>
      <w:r w:rsidR="001D35E4">
        <w:rPr>
          <w:w w:val="105"/>
        </w:rPr>
        <w:t xml:space="preserve">the </w:t>
      </w:r>
      <w:r w:rsidR="008347A6">
        <w:rPr>
          <w:w w:val="105"/>
        </w:rPr>
        <w:t>Respondent</w:t>
      </w:r>
      <w:r w:rsidR="001D35E4">
        <w:rPr>
          <w:w w:val="105"/>
        </w:rPr>
        <w:t xml:space="preserve"> </w:t>
      </w:r>
      <w:r w:rsidR="006D20FF">
        <w:rPr>
          <w:w w:val="105"/>
        </w:rPr>
        <w:t>could be disciplined for</w:t>
      </w:r>
      <w:r w:rsidR="00F466BC">
        <w:rPr>
          <w:w w:val="105"/>
        </w:rPr>
        <w:t>:</w:t>
      </w:r>
      <w:r w:rsidR="006D20FF">
        <w:rPr>
          <w:w w:val="105"/>
        </w:rPr>
        <w:t xml:space="preserve"> having been criminally convicted</w:t>
      </w:r>
      <w:r w:rsidR="00AE4A4A">
        <w:rPr>
          <w:rStyle w:val="FootnoteReference"/>
          <w:w w:val="105"/>
        </w:rPr>
        <w:footnoteReference w:id="3"/>
      </w:r>
      <w:r w:rsidR="00F466BC">
        <w:rPr>
          <w:w w:val="105"/>
        </w:rPr>
        <w:t>;</w:t>
      </w:r>
      <w:r w:rsidR="006D20FF">
        <w:rPr>
          <w:w w:val="105"/>
        </w:rPr>
        <w:t xml:space="preserve"> having been disciplined in another jurisdiction for reasons substantially similar </w:t>
      </w:r>
      <w:r w:rsidR="00F466BC">
        <w:rPr>
          <w:w w:val="105"/>
        </w:rPr>
        <w:t xml:space="preserve">to bases for discipline </w:t>
      </w:r>
      <w:r w:rsidR="006D20FF">
        <w:rPr>
          <w:w w:val="105"/>
        </w:rPr>
        <w:t>set forth in this Board’s statute and regulations</w:t>
      </w:r>
      <w:r w:rsidR="00E6354D">
        <w:rPr>
          <w:rStyle w:val="FootnoteReference"/>
          <w:w w:val="105"/>
        </w:rPr>
        <w:footnoteReference w:id="4"/>
      </w:r>
      <w:r w:rsidR="00513039">
        <w:rPr>
          <w:w w:val="105"/>
        </w:rPr>
        <w:t xml:space="preserve">; and </w:t>
      </w:r>
      <w:r w:rsidR="00A13394">
        <w:rPr>
          <w:w w:val="105"/>
        </w:rPr>
        <w:t>having engaged in conduct that demonstrates a lack of good moral character and undermines public confidence in the integrity of the medical profession</w:t>
      </w:r>
      <w:r w:rsidR="005C2E62">
        <w:rPr>
          <w:w w:val="105"/>
        </w:rPr>
        <w:t>.</w:t>
      </w:r>
      <w:r w:rsidR="004D6CC0">
        <w:rPr>
          <w:rStyle w:val="FootnoteReference"/>
          <w:w w:val="105"/>
        </w:rPr>
        <w:footnoteReference w:id="5"/>
      </w:r>
      <w:r w:rsidR="006D20FF">
        <w:rPr>
          <w:w w:val="105"/>
        </w:rPr>
        <w:t xml:space="preserve"> </w:t>
      </w:r>
    </w:p>
    <w:p w14:paraId="630AE660" w14:textId="08EE80EB" w:rsidR="004B541F" w:rsidRDefault="009E2C7D" w:rsidP="00D7112B">
      <w:pPr>
        <w:pStyle w:val="BodyText"/>
        <w:spacing w:before="154" w:line="360" w:lineRule="auto"/>
        <w:ind w:right="186" w:firstLine="730"/>
        <w:jc w:val="both"/>
        <w:rPr>
          <w:w w:val="105"/>
        </w:rPr>
      </w:pPr>
      <w:r>
        <w:rPr>
          <w:w w:val="105"/>
        </w:rPr>
        <w:lastRenderedPageBreak/>
        <w:t xml:space="preserve">Shortly thereafter, </w:t>
      </w:r>
      <w:r w:rsidR="006D20FF">
        <w:rPr>
          <w:w w:val="105"/>
        </w:rPr>
        <w:t xml:space="preserve">Complaint Counsel withdrew the remaining </w:t>
      </w:r>
      <w:r w:rsidR="004B541F">
        <w:rPr>
          <w:w w:val="105"/>
        </w:rPr>
        <w:t>alleged bases for discipline</w:t>
      </w:r>
      <w:r w:rsidR="001E768D">
        <w:rPr>
          <w:rStyle w:val="FootnoteReference"/>
          <w:w w:val="105"/>
        </w:rPr>
        <w:footnoteReference w:id="6"/>
      </w:r>
      <w:r w:rsidR="004B541F">
        <w:rPr>
          <w:w w:val="105"/>
        </w:rPr>
        <w:t xml:space="preserve"> and moved for the issuance of a </w:t>
      </w:r>
      <w:r>
        <w:rPr>
          <w:w w:val="105"/>
        </w:rPr>
        <w:t>R</w:t>
      </w:r>
      <w:r w:rsidR="004B541F">
        <w:rPr>
          <w:w w:val="105"/>
        </w:rPr>
        <w:t xml:space="preserve">ecommended </w:t>
      </w:r>
      <w:r>
        <w:rPr>
          <w:w w:val="105"/>
        </w:rPr>
        <w:t>D</w:t>
      </w:r>
      <w:r w:rsidR="004B541F">
        <w:rPr>
          <w:w w:val="105"/>
        </w:rPr>
        <w:t>ecision authorizing the Board to impose discipline on the Respondent’s license.</w:t>
      </w:r>
    </w:p>
    <w:p w14:paraId="7B2620DD" w14:textId="4F1E7834" w:rsidR="00E3380B" w:rsidRDefault="00E3380B" w:rsidP="007D70ED">
      <w:pPr>
        <w:pStyle w:val="BodyText"/>
        <w:spacing w:line="360" w:lineRule="auto"/>
        <w:ind w:right="123" w:firstLine="724"/>
        <w:jc w:val="both"/>
      </w:pPr>
      <w:r w:rsidRPr="00442656">
        <w:rPr>
          <w:w w:val="105"/>
          <w:sz w:val="24"/>
          <w:szCs w:val="24"/>
        </w:rPr>
        <w:t xml:space="preserve">On </w:t>
      </w:r>
      <w:r w:rsidR="008F61E1" w:rsidRPr="00442656">
        <w:rPr>
          <w:w w:val="105"/>
          <w:sz w:val="24"/>
          <w:szCs w:val="24"/>
        </w:rPr>
        <w:t>September 22, 2022</w:t>
      </w:r>
      <w:r w:rsidRPr="00442656">
        <w:rPr>
          <w:w w:val="105"/>
          <w:sz w:val="24"/>
          <w:szCs w:val="24"/>
        </w:rPr>
        <w:t xml:space="preserve">, the </w:t>
      </w:r>
      <w:r w:rsidR="008F61E1" w:rsidRPr="00442656">
        <w:rPr>
          <w:w w:val="105"/>
          <w:sz w:val="24"/>
          <w:szCs w:val="24"/>
        </w:rPr>
        <w:t>M</w:t>
      </w:r>
      <w:r w:rsidRPr="00442656">
        <w:rPr>
          <w:w w:val="105"/>
          <w:sz w:val="24"/>
          <w:szCs w:val="24"/>
        </w:rPr>
        <w:t>agistrate issued a Recommended Decision,</w:t>
      </w:r>
      <w:r w:rsidRPr="00442656">
        <w:rPr>
          <w:spacing w:val="-1"/>
          <w:w w:val="105"/>
          <w:sz w:val="24"/>
          <w:szCs w:val="24"/>
        </w:rPr>
        <w:t xml:space="preserve"> </w:t>
      </w:r>
      <w:r w:rsidRPr="00442656">
        <w:rPr>
          <w:w w:val="105"/>
          <w:sz w:val="24"/>
          <w:szCs w:val="24"/>
        </w:rPr>
        <w:t>which is attached hereto and incorporated by reference.</w:t>
      </w:r>
      <w:r w:rsidR="00C43720">
        <w:rPr>
          <w:w w:val="105"/>
          <w:sz w:val="24"/>
          <w:szCs w:val="24"/>
        </w:rPr>
        <w:t xml:space="preserve"> </w:t>
      </w:r>
      <w:r w:rsidR="00996DCD">
        <w:rPr>
          <w:w w:val="105"/>
          <w:sz w:val="24"/>
          <w:szCs w:val="24"/>
        </w:rPr>
        <w:t xml:space="preserve">Neither Party filed </w:t>
      </w:r>
      <w:r>
        <w:rPr>
          <w:w w:val="105"/>
        </w:rPr>
        <w:t>Objections to the Recommended Decision</w:t>
      </w:r>
      <w:r w:rsidR="0046234C">
        <w:rPr>
          <w:w w:val="105"/>
        </w:rPr>
        <w:t>.</w:t>
      </w:r>
      <w:r w:rsidR="00996DCD">
        <w:rPr>
          <w:w w:val="105"/>
        </w:rPr>
        <w:t xml:space="preserve"> </w:t>
      </w:r>
    </w:p>
    <w:p w14:paraId="13412674" w14:textId="2793FBFE" w:rsidR="00DB6AE2" w:rsidRDefault="00324045" w:rsidP="003B7D65">
      <w:pPr>
        <w:spacing w:after="160" w:line="360" w:lineRule="auto"/>
        <w:ind w:firstLine="720"/>
        <w:jc w:val="both"/>
        <w:rPr>
          <w:rFonts w:eastAsiaTheme="minorHAnsi"/>
          <w:sz w:val="24"/>
          <w:szCs w:val="24"/>
        </w:rPr>
      </w:pPr>
      <w:r>
        <w:rPr>
          <w:rFonts w:eastAsiaTheme="minorHAnsi"/>
          <w:sz w:val="24"/>
          <w:szCs w:val="24"/>
        </w:rPr>
        <w:t xml:space="preserve">After full consideration of the Recommended Decision, the Parties’ Memoranda on Disposition, and the Respondent’s Defense </w:t>
      </w:r>
      <w:r w:rsidR="0036444A">
        <w:rPr>
          <w:rFonts w:eastAsiaTheme="minorHAnsi"/>
          <w:sz w:val="24"/>
          <w:szCs w:val="24"/>
        </w:rPr>
        <w:t>together</w:t>
      </w:r>
      <w:r>
        <w:rPr>
          <w:rFonts w:eastAsiaTheme="minorHAnsi"/>
          <w:sz w:val="24"/>
          <w:szCs w:val="24"/>
        </w:rPr>
        <w:t xml:space="preserve"> the exhibits submitted therewith, the Board </w:t>
      </w:r>
      <w:r w:rsidR="003A4829">
        <w:rPr>
          <w:rFonts w:eastAsiaTheme="minorHAnsi"/>
          <w:sz w:val="24"/>
          <w:szCs w:val="24"/>
        </w:rPr>
        <w:t xml:space="preserve"> </w:t>
      </w:r>
      <w:r w:rsidR="007F58E3">
        <w:rPr>
          <w:rFonts w:eastAsiaTheme="minorHAnsi"/>
          <w:sz w:val="24"/>
          <w:szCs w:val="24"/>
        </w:rPr>
        <w:t>adopts</w:t>
      </w:r>
      <w:r>
        <w:rPr>
          <w:rFonts w:eastAsiaTheme="minorHAnsi"/>
          <w:sz w:val="24"/>
          <w:szCs w:val="24"/>
        </w:rPr>
        <w:t xml:space="preserve"> the September 22, 2022 Recommended Decision and incorporates it into this Final Decision and Order.</w:t>
      </w:r>
    </w:p>
    <w:p w14:paraId="496BED53" w14:textId="06C7C00A" w:rsidR="00DB6AE2" w:rsidRPr="0036444A" w:rsidRDefault="00DB6AE2" w:rsidP="00DB6AE2">
      <w:pPr>
        <w:spacing w:after="160" w:line="360" w:lineRule="auto"/>
        <w:ind w:firstLine="720"/>
        <w:jc w:val="center"/>
        <w:rPr>
          <w:rFonts w:eastAsiaTheme="minorHAnsi"/>
          <w:sz w:val="24"/>
          <w:szCs w:val="24"/>
          <w:u w:val="single"/>
        </w:rPr>
      </w:pPr>
      <w:r w:rsidRPr="0036444A">
        <w:rPr>
          <w:rFonts w:eastAsiaTheme="minorHAnsi"/>
          <w:sz w:val="24"/>
          <w:szCs w:val="24"/>
          <w:u w:val="single"/>
        </w:rPr>
        <w:t>Discussion</w:t>
      </w:r>
      <w:r w:rsidR="00EE3D9D">
        <w:rPr>
          <w:rFonts w:eastAsiaTheme="minorHAnsi"/>
          <w:sz w:val="24"/>
          <w:szCs w:val="24"/>
          <w:u w:val="single"/>
        </w:rPr>
        <w:t xml:space="preserve"> and Sanction</w:t>
      </w:r>
    </w:p>
    <w:p w14:paraId="440319E4" w14:textId="1FA0CF30" w:rsidR="003A4829" w:rsidRDefault="007143F7" w:rsidP="003B7D65">
      <w:pPr>
        <w:spacing w:after="160" w:line="360" w:lineRule="auto"/>
        <w:ind w:firstLine="720"/>
        <w:jc w:val="both"/>
        <w:rPr>
          <w:rFonts w:eastAsiaTheme="minorHAnsi"/>
          <w:sz w:val="24"/>
          <w:szCs w:val="24"/>
        </w:rPr>
      </w:pPr>
      <w:r>
        <w:rPr>
          <w:rFonts w:eastAsiaTheme="minorHAnsi"/>
          <w:sz w:val="24"/>
          <w:szCs w:val="24"/>
        </w:rPr>
        <w:t>The record indicates that</w:t>
      </w:r>
      <w:r w:rsidR="00B61AA5">
        <w:rPr>
          <w:rFonts w:eastAsiaTheme="minorHAnsi"/>
          <w:sz w:val="24"/>
          <w:szCs w:val="24"/>
        </w:rPr>
        <w:t>, in July 2021,</w:t>
      </w:r>
      <w:r>
        <w:rPr>
          <w:rFonts w:eastAsiaTheme="minorHAnsi"/>
          <w:sz w:val="24"/>
          <w:szCs w:val="24"/>
        </w:rPr>
        <w:t xml:space="preserve"> the Respondent </w:t>
      </w:r>
      <w:r w:rsidR="00002AA1">
        <w:rPr>
          <w:rFonts w:eastAsiaTheme="minorHAnsi"/>
          <w:sz w:val="24"/>
          <w:szCs w:val="24"/>
        </w:rPr>
        <w:t xml:space="preserve">pleaded guilty in the U.S. District Court for the Northern District of Texas to three counts of Wrongful Use of a Unique Health Identifier. </w:t>
      </w:r>
      <w:r w:rsidR="00B61AA5">
        <w:rPr>
          <w:rFonts w:eastAsiaTheme="minorHAnsi"/>
          <w:sz w:val="24"/>
          <w:szCs w:val="24"/>
        </w:rPr>
        <w:t>42 U.S.C. § 1320d-6(a)(1), (b)(1), an offense that is committed when a person knowingly uses personal health information in violation of HIPPA. The Respondent admitted specifically to obtaining three patients’ personal information and writing prescriptions</w:t>
      </w:r>
      <w:r w:rsidR="005D0243">
        <w:rPr>
          <w:rFonts w:eastAsiaTheme="minorHAnsi"/>
          <w:sz w:val="24"/>
          <w:szCs w:val="24"/>
        </w:rPr>
        <w:t xml:space="preserve">, in 2014, </w:t>
      </w:r>
      <w:r w:rsidR="00B61AA5">
        <w:rPr>
          <w:rFonts w:eastAsiaTheme="minorHAnsi"/>
          <w:sz w:val="24"/>
          <w:szCs w:val="24"/>
        </w:rPr>
        <w:t xml:space="preserve">in those patients’ names. </w:t>
      </w:r>
      <w:r w:rsidR="003A4829">
        <w:rPr>
          <w:rFonts w:eastAsiaTheme="minorHAnsi"/>
          <w:sz w:val="24"/>
          <w:szCs w:val="24"/>
        </w:rPr>
        <w:t>Based on his guilty plea, the federal court sentenced the Respondent to nine months in federal prison.</w:t>
      </w:r>
    </w:p>
    <w:p w14:paraId="212E8232" w14:textId="77777777" w:rsidR="006A1F11" w:rsidRDefault="006A1F11" w:rsidP="006A1F11">
      <w:pPr>
        <w:spacing w:after="160" w:line="360" w:lineRule="auto"/>
        <w:ind w:firstLine="720"/>
        <w:jc w:val="both"/>
        <w:rPr>
          <w:rFonts w:eastAsiaTheme="minorHAnsi"/>
          <w:sz w:val="24"/>
          <w:szCs w:val="24"/>
        </w:rPr>
      </w:pPr>
      <w:r>
        <w:rPr>
          <w:sz w:val="24"/>
          <w:szCs w:val="24"/>
        </w:rPr>
        <w:t xml:space="preserve">The Board has stated, “[A]ny criminal behavior is ‘antithetical to a commitment to preserve life, alleviate suffering, and restore health.” </w:t>
      </w:r>
      <w:r w:rsidRPr="002D4174">
        <w:rPr>
          <w:sz w:val="24"/>
          <w:szCs w:val="24"/>
          <w:u w:val="single"/>
        </w:rPr>
        <w:t>See</w:t>
      </w:r>
      <w:r>
        <w:rPr>
          <w:sz w:val="24"/>
          <w:szCs w:val="24"/>
        </w:rPr>
        <w:t xml:space="preserve"> </w:t>
      </w:r>
      <w:r w:rsidRPr="008D1954">
        <w:rPr>
          <w:i/>
          <w:iCs/>
          <w:sz w:val="24"/>
          <w:szCs w:val="24"/>
        </w:rPr>
        <w:t>In the Matter of John J. Diggins, M.D.</w:t>
      </w:r>
      <w:r>
        <w:rPr>
          <w:sz w:val="24"/>
          <w:szCs w:val="24"/>
        </w:rPr>
        <w:t>, Board of Registration in Medicine, Adjudicatory Case No. 2021-021 (RM-21-175) (DALA Recommended Decision at p. 10, January 21, 2022).</w:t>
      </w:r>
    </w:p>
    <w:p w14:paraId="5F442841" w14:textId="0BA04C84" w:rsidR="00DD59F2" w:rsidRDefault="003A4829" w:rsidP="003B7D65">
      <w:pPr>
        <w:spacing w:after="160" w:line="360" w:lineRule="auto"/>
        <w:ind w:firstLine="720"/>
        <w:jc w:val="both"/>
        <w:rPr>
          <w:rFonts w:eastAsiaTheme="minorHAnsi"/>
          <w:sz w:val="24"/>
          <w:szCs w:val="24"/>
        </w:rPr>
      </w:pPr>
      <w:r>
        <w:rPr>
          <w:rFonts w:eastAsiaTheme="minorHAnsi"/>
          <w:sz w:val="24"/>
          <w:szCs w:val="24"/>
        </w:rPr>
        <w:t xml:space="preserve">The record further indicates that the Respondent entered into a Consent Order with the Tennessee Board of Medical Examiners, based on: i) the criminal conviction; ii) a finding that the Respondent engaged in “unprofessional, dishonorable or unethical conduct,” pursuant to Tenn. Code Ann. §63-6-214(b)(1); and iii) a criminal conviction of “a felony,…any offense…relative to </w:t>
      </w:r>
      <w:r>
        <w:rPr>
          <w:rFonts w:eastAsiaTheme="minorHAnsi"/>
          <w:sz w:val="24"/>
          <w:szCs w:val="24"/>
        </w:rPr>
        <w:lastRenderedPageBreak/>
        <w:t>drugs or the practice of medicine,…[or] any offense involving moral turpitude.” Id. §63-6-214(b)(10).</w:t>
      </w:r>
      <w:r w:rsidR="00E54FD4" w:rsidRPr="00E54FD4">
        <w:rPr>
          <w:rFonts w:eastAsiaTheme="minorHAnsi"/>
          <w:sz w:val="24"/>
          <w:szCs w:val="24"/>
        </w:rPr>
        <w:t xml:space="preserve"> </w:t>
      </w:r>
    </w:p>
    <w:p w14:paraId="2F80FF1C" w14:textId="76FA3997" w:rsidR="00D03F18" w:rsidRDefault="00D03F18" w:rsidP="003B7D65">
      <w:pPr>
        <w:spacing w:after="160" w:line="360" w:lineRule="auto"/>
        <w:ind w:firstLine="720"/>
        <w:jc w:val="both"/>
        <w:rPr>
          <w:rFonts w:eastAsiaTheme="minorHAnsi"/>
          <w:sz w:val="24"/>
          <w:szCs w:val="24"/>
        </w:rPr>
      </w:pPr>
      <w:r w:rsidRPr="00FD2016">
        <w:rPr>
          <w:rFonts w:eastAsiaTheme="minorHAnsi"/>
          <w:sz w:val="24"/>
          <w:szCs w:val="24"/>
        </w:rPr>
        <w:t xml:space="preserve">In cases of HIPAA violations, the Board considers a physician’s intent in viewing a record without authorization and the use of the information that is obtained. Where, for instance, a physician gained unauthorized access to the medical records of two peers, neither of whom was a patient, and without a legitimate purpose, the Board imposed a reprimand. </w:t>
      </w:r>
      <w:r w:rsidRPr="00FD2016">
        <w:rPr>
          <w:rFonts w:eastAsiaTheme="minorHAnsi"/>
          <w:sz w:val="24"/>
          <w:szCs w:val="24"/>
          <w:u w:val="single"/>
        </w:rPr>
        <w:t>See</w:t>
      </w:r>
      <w:r w:rsidRPr="00FD2016">
        <w:rPr>
          <w:rFonts w:eastAsiaTheme="minorHAnsi"/>
          <w:sz w:val="24"/>
          <w:szCs w:val="24"/>
        </w:rPr>
        <w:t xml:space="preserve"> </w:t>
      </w:r>
      <w:r w:rsidRPr="00FD2016">
        <w:rPr>
          <w:rFonts w:eastAsiaTheme="minorHAnsi"/>
          <w:i/>
          <w:iCs/>
          <w:sz w:val="24"/>
          <w:szCs w:val="24"/>
        </w:rPr>
        <w:t>In the Matter of Allison August, M.D.</w:t>
      </w:r>
      <w:r w:rsidRPr="00FD2016">
        <w:rPr>
          <w:rFonts w:eastAsiaTheme="minorHAnsi"/>
          <w:sz w:val="24"/>
          <w:szCs w:val="24"/>
        </w:rPr>
        <w:t xml:space="preserve">, Board of Registration in Medicine, Adjudicatory Case No. 2009-015 (Consent Order, May 20, 2009). In contrast, where a physician’s wife (also a physician) illegally gained unauthorized access to patients’ medical records to obtain information to assist her physician spouse in his defense of charges of wrong-doing, the Board imposed an indefinite suspension and fine. </w:t>
      </w:r>
      <w:r w:rsidRPr="00FD2016">
        <w:rPr>
          <w:rFonts w:eastAsiaTheme="minorHAnsi"/>
          <w:sz w:val="24"/>
          <w:szCs w:val="24"/>
          <w:u w:val="single"/>
        </w:rPr>
        <w:t>See</w:t>
      </w:r>
      <w:r w:rsidRPr="00FD2016">
        <w:rPr>
          <w:rFonts w:eastAsiaTheme="minorHAnsi"/>
          <w:sz w:val="24"/>
          <w:szCs w:val="24"/>
        </w:rPr>
        <w:t xml:space="preserve"> </w:t>
      </w:r>
      <w:r w:rsidRPr="00FD2016">
        <w:rPr>
          <w:rFonts w:eastAsiaTheme="minorHAnsi"/>
          <w:i/>
          <w:iCs/>
          <w:sz w:val="24"/>
          <w:szCs w:val="24"/>
        </w:rPr>
        <w:t>In the Matter of Deborah Sichel, M.D.</w:t>
      </w:r>
      <w:r w:rsidRPr="00FD2016">
        <w:rPr>
          <w:rFonts w:eastAsiaTheme="minorHAnsi"/>
          <w:sz w:val="24"/>
          <w:szCs w:val="24"/>
        </w:rPr>
        <w:t xml:space="preserve">, Board of Registration in Medicine, Adjudicatory Case No. 02-58-DALA, Final Decision and Order, September 1, 2004). Notably, neither </w:t>
      </w:r>
      <w:r w:rsidRPr="00FD2016">
        <w:rPr>
          <w:rFonts w:eastAsiaTheme="minorHAnsi"/>
          <w:i/>
          <w:iCs/>
          <w:sz w:val="24"/>
          <w:szCs w:val="24"/>
        </w:rPr>
        <w:t>August</w:t>
      </w:r>
      <w:r w:rsidRPr="00FD2016">
        <w:rPr>
          <w:rFonts w:eastAsiaTheme="minorHAnsi"/>
          <w:sz w:val="24"/>
          <w:szCs w:val="24"/>
        </w:rPr>
        <w:t xml:space="preserve"> nor </w:t>
      </w:r>
      <w:r w:rsidRPr="00FD2016">
        <w:rPr>
          <w:rFonts w:eastAsiaTheme="minorHAnsi"/>
          <w:i/>
          <w:iCs/>
          <w:sz w:val="24"/>
          <w:szCs w:val="24"/>
        </w:rPr>
        <w:t xml:space="preserve">Sichel </w:t>
      </w:r>
      <w:r w:rsidRPr="00FD2016">
        <w:rPr>
          <w:rFonts w:eastAsiaTheme="minorHAnsi"/>
          <w:sz w:val="24"/>
          <w:szCs w:val="24"/>
        </w:rPr>
        <w:t>involved a physician’s gaining unauthorized access through criminal conduct.</w:t>
      </w:r>
    </w:p>
    <w:p w14:paraId="0B177F4C" w14:textId="77777777" w:rsidR="00B96890" w:rsidRDefault="007D7CFB" w:rsidP="003B7D65">
      <w:pPr>
        <w:spacing w:after="160" w:line="360" w:lineRule="auto"/>
        <w:ind w:firstLine="720"/>
        <w:jc w:val="both"/>
        <w:rPr>
          <w:rFonts w:eastAsiaTheme="minorHAnsi"/>
          <w:sz w:val="24"/>
          <w:szCs w:val="24"/>
        </w:rPr>
      </w:pPr>
      <w:r>
        <w:rPr>
          <w:rFonts w:eastAsiaTheme="minorHAnsi"/>
          <w:sz w:val="24"/>
          <w:szCs w:val="24"/>
        </w:rPr>
        <w:t xml:space="preserve">The Respondent requested that the Board consider information concerning his background and the events surrounding his wrong-doing. </w:t>
      </w:r>
      <w:r w:rsidR="00306F7F">
        <w:rPr>
          <w:rFonts w:eastAsiaTheme="minorHAnsi"/>
          <w:sz w:val="24"/>
          <w:szCs w:val="24"/>
        </w:rPr>
        <w:t>The Board gives preclusive effect to decisions of other state medical boards with respect to the conduct found</w:t>
      </w:r>
      <w:r w:rsidR="00A83DC5">
        <w:rPr>
          <w:rFonts w:eastAsiaTheme="minorHAnsi"/>
          <w:sz w:val="24"/>
          <w:szCs w:val="24"/>
        </w:rPr>
        <w:t xml:space="preserve"> or determined to have occurred and will not amend the Recommende</w:t>
      </w:r>
      <w:r w:rsidR="00087F24">
        <w:rPr>
          <w:rFonts w:eastAsiaTheme="minorHAnsi"/>
          <w:sz w:val="24"/>
          <w:szCs w:val="24"/>
        </w:rPr>
        <w:t xml:space="preserve">d Decision to alter the factual determinations made in those decisions. </w:t>
      </w:r>
      <w:r w:rsidR="00087F24" w:rsidRPr="00B6220A">
        <w:rPr>
          <w:rFonts w:eastAsiaTheme="minorHAnsi"/>
          <w:sz w:val="24"/>
          <w:szCs w:val="24"/>
          <w:u w:val="single"/>
        </w:rPr>
        <w:t>See</w:t>
      </w:r>
      <w:r w:rsidR="00087F24">
        <w:rPr>
          <w:rFonts w:eastAsiaTheme="minorHAnsi"/>
          <w:sz w:val="24"/>
          <w:szCs w:val="24"/>
        </w:rPr>
        <w:t xml:space="preserve"> </w:t>
      </w:r>
      <w:r w:rsidR="00087F24" w:rsidRPr="00B6220A">
        <w:rPr>
          <w:rFonts w:eastAsiaTheme="minorHAnsi"/>
          <w:i/>
          <w:iCs/>
          <w:sz w:val="24"/>
          <w:szCs w:val="24"/>
        </w:rPr>
        <w:t>Ramirez v. Board of Registration in Medici</w:t>
      </w:r>
      <w:r w:rsidR="00A54FF2" w:rsidRPr="00B6220A">
        <w:rPr>
          <w:rFonts w:eastAsiaTheme="minorHAnsi"/>
          <w:i/>
          <w:iCs/>
          <w:sz w:val="24"/>
          <w:szCs w:val="24"/>
        </w:rPr>
        <w:t>ne</w:t>
      </w:r>
      <w:r w:rsidR="00A54FF2">
        <w:rPr>
          <w:rFonts w:eastAsiaTheme="minorHAnsi"/>
          <w:sz w:val="24"/>
          <w:szCs w:val="24"/>
        </w:rPr>
        <w:t xml:space="preserve">, 441 Mass. 479, 482-483 (2004) (where a physician entered into consensual discipline in a foreign jurisdiction, the board need not be burdened with trying the case); </w:t>
      </w:r>
      <w:r w:rsidR="00A54FF2" w:rsidRPr="00B6220A">
        <w:rPr>
          <w:rFonts w:eastAsiaTheme="minorHAnsi"/>
          <w:i/>
          <w:iCs/>
          <w:sz w:val="24"/>
          <w:szCs w:val="24"/>
        </w:rPr>
        <w:t>Haran v. Board of Registration in Medi</w:t>
      </w:r>
      <w:r w:rsidR="00EF195D" w:rsidRPr="00B6220A">
        <w:rPr>
          <w:rFonts w:eastAsiaTheme="minorHAnsi"/>
          <w:i/>
          <w:iCs/>
          <w:sz w:val="24"/>
          <w:szCs w:val="24"/>
        </w:rPr>
        <w:t>cine</w:t>
      </w:r>
      <w:r w:rsidR="00EF195D">
        <w:rPr>
          <w:rFonts w:eastAsiaTheme="minorHAnsi"/>
          <w:sz w:val="24"/>
          <w:szCs w:val="24"/>
        </w:rPr>
        <w:t>, 398 Mass. 571, 575 (1986) (where a phys</w:t>
      </w:r>
      <w:r w:rsidR="00B96890">
        <w:rPr>
          <w:rFonts w:eastAsiaTheme="minorHAnsi"/>
          <w:sz w:val="24"/>
          <w:szCs w:val="24"/>
        </w:rPr>
        <w:t>ician’s license was revoked by a foreign jurisdiction, the physician had no right to ‘disprove’ findings of negligence and professional incompetence before the board).</w:t>
      </w:r>
    </w:p>
    <w:p w14:paraId="554AD158" w14:textId="2F6196F7" w:rsidR="00B96890" w:rsidRDefault="00B96890" w:rsidP="003B7D65">
      <w:pPr>
        <w:spacing w:after="160" w:line="360" w:lineRule="auto"/>
        <w:ind w:firstLine="720"/>
        <w:jc w:val="both"/>
        <w:rPr>
          <w:rFonts w:eastAsiaTheme="minorHAnsi"/>
          <w:sz w:val="24"/>
          <w:szCs w:val="24"/>
        </w:rPr>
      </w:pPr>
      <w:r>
        <w:rPr>
          <w:rFonts w:eastAsiaTheme="minorHAnsi"/>
          <w:sz w:val="24"/>
          <w:szCs w:val="24"/>
        </w:rPr>
        <w:t xml:space="preserve">However, the Board does consider mitigating and aggravating information in Memoranda on Disposition and accompanying documents to determine an appropriate sanction to impose. </w:t>
      </w:r>
      <w:r w:rsidRPr="00B6220A">
        <w:rPr>
          <w:rFonts w:eastAsiaTheme="minorHAnsi"/>
          <w:sz w:val="24"/>
          <w:szCs w:val="24"/>
          <w:u w:val="single"/>
        </w:rPr>
        <w:t>See</w:t>
      </w:r>
      <w:r>
        <w:rPr>
          <w:rFonts w:eastAsiaTheme="minorHAnsi"/>
          <w:sz w:val="24"/>
          <w:szCs w:val="24"/>
        </w:rPr>
        <w:t xml:space="preserve"> </w:t>
      </w:r>
      <w:r w:rsidRPr="00B6220A">
        <w:rPr>
          <w:rFonts w:eastAsiaTheme="minorHAnsi"/>
          <w:i/>
          <w:iCs/>
          <w:sz w:val="24"/>
          <w:szCs w:val="24"/>
        </w:rPr>
        <w:t>Lawless v. Bd. Of Registration in Pharmacy</w:t>
      </w:r>
      <w:r>
        <w:rPr>
          <w:rFonts w:eastAsiaTheme="minorHAnsi"/>
          <w:sz w:val="24"/>
          <w:szCs w:val="24"/>
        </w:rPr>
        <w:t>, 466 Mass. 1010, 1011, 996 N.E.2d 878, 880 (</w:t>
      </w:r>
      <w:r w:rsidR="00EA2650">
        <w:rPr>
          <w:rFonts w:eastAsiaTheme="minorHAnsi"/>
          <w:sz w:val="24"/>
          <w:szCs w:val="24"/>
        </w:rPr>
        <w:t>2013) (</w:t>
      </w:r>
      <w:r>
        <w:rPr>
          <w:rFonts w:eastAsiaTheme="minorHAnsi"/>
          <w:sz w:val="24"/>
          <w:szCs w:val="24"/>
        </w:rPr>
        <w:t xml:space="preserve">final decision and sanction </w:t>
      </w:r>
      <w:r w:rsidR="001966CD">
        <w:rPr>
          <w:rFonts w:eastAsiaTheme="minorHAnsi"/>
          <w:sz w:val="24"/>
          <w:szCs w:val="24"/>
        </w:rPr>
        <w:t>may be based on information in the administrative record).</w:t>
      </w:r>
    </w:p>
    <w:p w14:paraId="542B0AC7" w14:textId="3A41F3BF" w:rsidR="007C60AE" w:rsidRDefault="007C60AE" w:rsidP="003B7D65">
      <w:pPr>
        <w:spacing w:after="160" w:line="360" w:lineRule="auto"/>
        <w:ind w:firstLine="720"/>
        <w:jc w:val="both"/>
        <w:rPr>
          <w:rFonts w:eastAsiaTheme="minorHAnsi"/>
          <w:sz w:val="24"/>
          <w:szCs w:val="24"/>
        </w:rPr>
      </w:pPr>
      <w:r>
        <w:rPr>
          <w:rFonts w:eastAsiaTheme="minorHAnsi"/>
          <w:sz w:val="24"/>
          <w:szCs w:val="24"/>
        </w:rPr>
        <w:t xml:space="preserve">In his Defense, the Respondent reports that, as a favor to marketing company executives, who served as investors in his business, he received unique health identifiers for veterans, who were not his patients, formed physician-patient relationships with the veterans, prescribed </w:t>
      </w:r>
      <w:r>
        <w:rPr>
          <w:rFonts w:eastAsiaTheme="minorHAnsi"/>
          <w:sz w:val="24"/>
          <w:szCs w:val="24"/>
        </w:rPr>
        <w:lastRenderedPageBreak/>
        <w:t xml:space="preserve">medications for the veterans, and furnished the prescriptions to the marketing company’s staff, who were not authorized to receive them. These prescriptions were then </w:t>
      </w:r>
      <w:r w:rsidR="00EA2650">
        <w:rPr>
          <w:rFonts w:eastAsiaTheme="minorHAnsi"/>
          <w:sz w:val="24"/>
          <w:szCs w:val="24"/>
        </w:rPr>
        <w:t>filled,</w:t>
      </w:r>
      <w:r>
        <w:rPr>
          <w:rFonts w:eastAsiaTheme="minorHAnsi"/>
          <w:sz w:val="24"/>
          <w:szCs w:val="24"/>
        </w:rPr>
        <w:t xml:space="preserve"> and the marketing company billed the government payor TRICARE. He seeks credit for later assisting the government in its proceeding against the investors. What he does not do is demonstrate remorse or any insight about the wrongful nature of his conduct: reaching </w:t>
      </w:r>
      <w:r w:rsidR="00EA2650">
        <w:rPr>
          <w:rFonts w:eastAsiaTheme="minorHAnsi"/>
          <w:sz w:val="24"/>
          <w:szCs w:val="24"/>
        </w:rPr>
        <w:t>out</w:t>
      </w:r>
      <w:r>
        <w:rPr>
          <w:rFonts w:eastAsiaTheme="minorHAnsi"/>
          <w:sz w:val="24"/>
          <w:szCs w:val="24"/>
        </w:rPr>
        <w:t xml:space="preserve"> to veterans to gain their medical information in order to generate prescriptions so that his investors might bill the government. Rather, he describes his participation as a “personal favor” to his investors. </w:t>
      </w:r>
    </w:p>
    <w:p w14:paraId="3D98B237" w14:textId="69EA9376" w:rsidR="00FD2016" w:rsidRPr="00FD2016" w:rsidRDefault="00FD2016" w:rsidP="004007D2">
      <w:pPr>
        <w:spacing w:after="160" w:line="360" w:lineRule="auto"/>
        <w:ind w:firstLine="720"/>
        <w:jc w:val="both"/>
        <w:rPr>
          <w:rFonts w:eastAsiaTheme="minorHAnsi"/>
          <w:sz w:val="24"/>
          <w:szCs w:val="24"/>
        </w:rPr>
      </w:pPr>
      <w:r w:rsidRPr="00FD2016">
        <w:rPr>
          <w:rFonts w:eastAsiaTheme="minorHAnsi"/>
          <w:sz w:val="24"/>
          <w:szCs w:val="24"/>
        </w:rPr>
        <w:t xml:space="preserve">The Respondent </w:t>
      </w:r>
      <w:r w:rsidR="007C60AE">
        <w:rPr>
          <w:rFonts w:eastAsiaTheme="minorHAnsi"/>
          <w:sz w:val="24"/>
          <w:szCs w:val="24"/>
        </w:rPr>
        <w:t xml:space="preserve">also </w:t>
      </w:r>
      <w:r w:rsidR="00A23594">
        <w:rPr>
          <w:rFonts w:eastAsiaTheme="minorHAnsi"/>
          <w:sz w:val="24"/>
          <w:szCs w:val="24"/>
        </w:rPr>
        <w:t xml:space="preserve">suggests that that Board consider </w:t>
      </w:r>
      <w:r w:rsidRPr="00FD2016">
        <w:rPr>
          <w:rFonts w:eastAsiaTheme="minorHAnsi"/>
          <w:sz w:val="24"/>
          <w:szCs w:val="24"/>
        </w:rPr>
        <w:t>his past military service</w:t>
      </w:r>
      <w:r w:rsidR="00A23594">
        <w:rPr>
          <w:rFonts w:eastAsiaTheme="minorHAnsi"/>
          <w:sz w:val="24"/>
          <w:szCs w:val="24"/>
        </w:rPr>
        <w:t>,</w:t>
      </w:r>
      <w:r w:rsidRPr="00FD2016">
        <w:rPr>
          <w:rFonts w:eastAsiaTheme="minorHAnsi"/>
          <w:sz w:val="24"/>
          <w:szCs w:val="24"/>
        </w:rPr>
        <w:t xml:space="preserve"> subsequent service to veterans with addiction</w:t>
      </w:r>
      <w:r w:rsidR="00A23594">
        <w:rPr>
          <w:rFonts w:eastAsiaTheme="minorHAnsi"/>
          <w:sz w:val="24"/>
          <w:szCs w:val="24"/>
        </w:rPr>
        <w:t>, and assistance to the government in uncovering a</w:t>
      </w:r>
      <w:r w:rsidRPr="00FD2016">
        <w:rPr>
          <w:rFonts w:eastAsiaTheme="minorHAnsi"/>
          <w:sz w:val="24"/>
          <w:szCs w:val="24"/>
        </w:rPr>
        <w:t xml:space="preserve"> conspiracy to defraud </w:t>
      </w:r>
      <w:r w:rsidR="003313AA">
        <w:rPr>
          <w:rFonts w:eastAsiaTheme="minorHAnsi"/>
          <w:sz w:val="24"/>
          <w:szCs w:val="24"/>
        </w:rPr>
        <w:t>a</w:t>
      </w:r>
      <w:r w:rsidRPr="00FD2016">
        <w:rPr>
          <w:rFonts w:eastAsiaTheme="minorHAnsi"/>
          <w:sz w:val="24"/>
          <w:szCs w:val="24"/>
        </w:rPr>
        <w:t xml:space="preserve"> government payor in violation of the Anti-Kickback Statute, 42 USC §1320a. The Board determine</w:t>
      </w:r>
      <w:r w:rsidR="003313AA">
        <w:rPr>
          <w:rFonts w:eastAsiaTheme="minorHAnsi"/>
          <w:sz w:val="24"/>
          <w:szCs w:val="24"/>
        </w:rPr>
        <w:t>s</w:t>
      </w:r>
      <w:r w:rsidRPr="00FD2016">
        <w:rPr>
          <w:rFonts w:eastAsiaTheme="minorHAnsi"/>
          <w:sz w:val="24"/>
          <w:szCs w:val="24"/>
        </w:rPr>
        <w:t xml:space="preserve"> that that the Respondent’s past military service and subsequent service to veterans is undermined, as a mitigating factor, by the Respondent </w:t>
      </w:r>
      <w:r w:rsidR="003D12DF">
        <w:rPr>
          <w:rFonts w:eastAsiaTheme="minorHAnsi"/>
          <w:sz w:val="24"/>
          <w:szCs w:val="24"/>
        </w:rPr>
        <w:t>having effectively exploited members of the p</w:t>
      </w:r>
      <w:r w:rsidR="00EA2650">
        <w:rPr>
          <w:rFonts w:eastAsiaTheme="minorHAnsi"/>
          <w:sz w:val="24"/>
          <w:szCs w:val="24"/>
        </w:rPr>
        <w:t>o</w:t>
      </w:r>
      <w:r w:rsidR="003D12DF">
        <w:rPr>
          <w:rFonts w:eastAsiaTheme="minorHAnsi"/>
          <w:sz w:val="24"/>
          <w:szCs w:val="24"/>
        </w:rPr>
        <w:t>pulation that he requests credit for serving.</w:t>
      </w:r>
      <w:r w:rsidRPr="00FD2016">
        <w:rPr>
          <w:rFonts w:eastAsiaTheme="minorHAnsi"/>
          <w:sz w:val="24"/>
          <w:szCs w:val="24"/>
        </w:rPr>
        <w:t xml:space="preserve">  </w:t>
      </w:r>
    </w:p>
    <w:p w14:paraId="5E9E9DAA" w14:textId="5E3E05A5" w:rsidR="00E54FD4" w:rsidRPr="00E54FD4" w:rsidRDefault="00FD2016" w:rsidP="004007D2">
      <w:pPr>
        <w:spacing w:after="160" w:line="360" w:lineRule="auto"/>
        <w:ind w:firstLine="720"/>
        <w:jc w:val="both"/>
        <w:rPr>
          <w:rFonts w:eastAsiaTheme="minorHAnsi"/>
          <w:sz w:val="24"/>
          <w:szCs w:val="24"/>
        </w:rPr>
      </w:pPr>
      <w:r w:rsidRPr="00FD2016">
        <w:rPr>
          <w:rFonts w:eastAsiaTheme="minorHAnsi"/>
          <w:sz w:val="24"/>
          <w:szCs w:val="24"/>
        </w:rPr>
        <w:t xml:space="preserve">The Board </w:t>
      </w:r>
      <w:r w:rsidR="00B51F74">
        <w:rPr>
          <w:rFonts w:eastAsiaTheme="minorHAnsi"/>
          <w:sz w:val="24"/>
          <w:szCs w:val="24"/>
        </w:rPr>
        <w:t xml:space="preserve">considers the Respondent’s </w:t>
      </w:r>
      <w:r w:rsidR="00F930AC">
        <w:rPr>
          <w:rFonts w:eastAsiaTheme="minorHAnsi"/>
          <w:sz w:val="24"/>
          <w:szCs w:val="24"/>
        </w:rPr>
        <w:t>engaging in wrong-doing under the guise of practicing medicine an aggravating factor</w:t>
      </w:r>
      <w:r w:rsidR="00B51F74">
        <w:rPr>
          <w:rFonts w:eastAsiaTheme="minorHAnsi"/>
          <w:sz w:val="24"/>
          <w:szCs w:val="24"/>
        </w:rPr>
        <w:t xml:space="preserve">. </w:t>
      </w:r>
      <w:r w:rsidR="00F930AC">
        <w:rPr>
          <w:rFonts w:eastAsiaTheme="minorHAnsi"/>
          <w:sz w:val="24"/>
          <w:szCs w:val="24"/>
        </w:rPr>
        <w:t xml:space="preserve">On the basis of the Respondent’s criminal conviction, the presence of an aggravating factor, and the Respondent’s absence of insight and </w:t>
      </w:r>
      <w:r w:rsidR="007B4775">
        <w:rPr>
          <w:rFonts w:eastAsiaTheme="minorHAnsi"/>
          <w:sz w:val="24"/>
          <w:szCs w:val="24"/>
        </w:rPr>
        <w:t xml:space="preserve">expression of </w:t>
      </w:r>
      <w:r w:rsidR="00F930AC">
        <w:rPr>
          <w:rFonts w:eastAsiaTheme="minorHAnsi"/>
          <w:sz w:val="24"/>
          <w:szCs w:val="24"/>
        </w:rPr>
        <w:t xml:space="preserve">remorse, the Board hereby REVOKES the Respondent’s license to practice medicine in Massachusetts. </w:t>
      </w:r>
    </w:p>
    <w:p w14:paraId="48892E9A" w14:textId="30E34177" w:rsidR="00E3380B" w:rsidRDefault="00E3380B" w:rsidP="004007D2">
      <w:pPr>
        <w:pStyle w:val="BodyText"/>
        <w:spacing w:line="360" w:lineRule="auto"/>
        <w:ind w:left="154" w:right="106" w:firstLine="716"/>
        <w:jc w:val="both"/>
        <w:rPr>
          <w:sz w:val="24"/>
        </w:rPr>
      </w:pPr>
      <w:r>
        <w:rPr>
          <w:w w:val="105"/>
        </w:rPr>
        <w:t>The Respondent shall provide a complete copy of</w:t>
      </w:r>
      <w:r>
        <w:rPr>
          <w:spacing w:val="-1"/>
          <w:w w:val="105"/>
        </w:rPr>
        <w:t xml:space="preserve"> </w:t>
      </w:r>
      <w:r>
        <w:rPr>
          <w:w w:val="105"/>
        </w:rPr>
        <w:t>this Final Decision and Order, with all exhibits and attachments within ten (10) days by certified mail, return receipt requested,</w:t>
      </w:r>
      <w:r>
        <w:rPr>
          <w:spacing w:val="-7"/>
          <w:w w:val="105"/>
        </w:rPr>
        <w:t xml:space="preserve"> </w:t>
      </w:r>
      <w:r>
        <w:rPr>
          <w:w w:val="105"/>
        </w:rPr>
        <w:t>or by</w:t>
      </w:r>
      <w:r>
        <w:rPr>
          <w:spacing w:val="-3"/>
          <w:w w:val="105"/>
        </w:rPr>
        <w:t xml:space="preserve"> </w:t>
      </w:r>
      <w:r>
        <w:rPr>
          <w:w w:val="105"/>
        </w:rPr>
        <w:t>hand</w:t>
      </w:r>
      <w:r>
        <w:rPr>
          <w:spacing w:val="-2"/>
          <w:w w:val="105"/>
        </w:rPr>
        <w:t xml:space="preserve"> </w:t>
      </w:r>
      <w:r>
        <w:rPr>
          <w:w w:val="105"/>
        </w:rPr>
        <w:t>delivery to</w:t>
      </w:r>
      <w:r>
        <w:rPr>
          <w:spacing w:val="-16"/>
          <w:w w:val="105"/>
        </w:rPr>
        <w:t xml:space="preserve"> </w:t>
      </w:r>
      <w:r>
        <w:rPr>
          <w:w w:val="105"/>
        </w:rPr>
        <w:t>the</w:t>
      </w:r>
      <w:r>
        <w:rPr>
          <w:spacing w:val="-14"/>
          <w:w w:val="105"/>
        </w:rPr>
        <w:t xml:space="preserve"> </w:t>
      </w:r>
      <w:r>
        <w:rPr>
          <w:w w:val="105"/>
        </w:rPr>
        <w:t>following designated entities:</w:t>
      </w:r>
      <w:r>
        <w:rPr>
          <w:spacing w:val="40"/>
          <w:w w:val="105"/>
        </w:rPr>
        <w:t xml:space="preserve"> </w:t>
      </w:r>
      <w:r>
        <w:rPr>
          <w:w w:val="105"/>
        </w:rPr>
        <w:t>any</w:t>
      </w:r>
      <w:r>
        <w:rPr>
          <w:spacing w:val="-6"/>
          <w:w w:val="105"/>
        </w:rPr>
        <w:t xml:space="preserve"> </w:t>
      </w:r>
      <w:r>
        <w:rPr>
          <w:w w:val="105"/>
        </w:rPr>
        <w:t>in-</w:t>
      </w:r>
      <w:r>
        <w:rPr>
          <w:spacing w:val="-9"/>
          <w:w w:val="105"/>
        </w:rPr>
        <w:t xml:space="preserve"> </w:t>
      </w:r>
      <w:r>
        <w:rPr>
          <w:w w:val="105"/>
        </w:rPr>
        <w:t>or</w:t>
      </w:r>
      <w:r>
        <w:rPr>
          <w:spacing w:val="-14"/>
          <w:w w:val="105"/>
        </w:rPr>
        <w:t xml:space="preserve"> </w:t>
      </w:r>
      <w:r>
        <w:rPr>
          <w:w w:val="105"/>
        </w:rPr>
        <w:t>out-of-state hospital, nursing home, clinic, other licensed facility, or municipal, state, or federal facility</w:t>
      </w:r>
      <w:r>
        <w:rPr>
          <w:spacing w:val="65"/>
          <w:w w:val="105"/>
        </w:rPr>
        <w:t xml:space="preserve"> </w:t>
      </w:r>
      <w:r>
        <w:rPr>
          <w:w w:val="105"/>
        </w:rPr>
        <w:t>at</w:t>
      </w:r>
      <w:r>
        <w:rPr>
          <w:spacing w:val="60"/>
          <w:w w:val="105"/>
        </w:rPr>
        <w:t xml:space="preserve"> </w:t>
      </w:r>
      <w:r>
        <w:rPr>
          <w:w w:val="105"/>
        </w:rPr>
        <w:t>which</w:t>
      </w:r>
      <w:r>
        <w:rPr>
          <w:spacing w:val="64"/>
          <w:w w:val="105"/>
        </w:rPr>
        <w:t xml:space="preserve"> </w:t>
      </w:r>
      <w:r>
        <w:rPr>
          <w:w w:val="105"/>
        </w:rPr>
        <w:t>he</w:t>
      </w:r>
      <w:r>
        <w:rPr>
          <w:spacing w:val="63"/>
          <w:w w:val="105"/>
        </w:rPr>
        <w:t xml:space="preserve"> </w:t>
      </w:r>
      <w:r>
        <w:rPr>
          <w:w w:val="105"/>
        </w:rPr>
        <w:t>practices</w:t>
      </w:r>
      <w:r>
        <w:rPr>
          <w:spacing w:val="70"/>
          <w:w w:val="105"/>
        </w:rPr>
        <w:t xml:space="preserve"> </w:t>
      </w:r>
      <w:r>
        <w:rPr>
          <w:w w:val="105"/>
        </w:rPr>
        <w:t>medicine;</w:t>
      </w:r>
      <w:r>
        <w:rPr>
          <w:spacing w:val="69"/>
          <w:w w:val="105"/>
        </w:rPr>
        <w:t xml:space="preserve"> </w:t>
      </w:r>
      <w:r>
        <w:rPr>
          <w:w w:val="105"/>
        </w:rPr>
        <w:t>any</w:t>
      </w:r>
      <w:r>
        <w:rPr>
          <w:spacing w:val="70"/>
          <w:w w:val="105"/>
        </w:rPr>
        <w:t xml:space="preserve"> </w:t>
      </w:r>
      <w:r>
        <w:rPr>
          <w:w w:val="105"/>
        </w:rPr>
        <w:t>in-</w:t>
      </w:r>
      <w:r>
        <w:rPr>
          <w:spacing w:val="61"/>
          <w:w w:val="105"/>
        </w:rPr>
        <w:t xml:space="preserve"> </w:t>
      </w:r>
      <w:r>
        <w:rPr>
          <w:w w:val="105"/>
        </w:rPr>
        <w:t>or</w:t>
      </w:r>
      <w:r>
        <w:rPr>
          <w:spacing w:val="40"/>
          <w:w w:val="105"/>
        </w:rPr>
        <w:t xml:space="preserve"> </w:t>
      </w:r>
      <w:r>
        <w:rPr>
          <w:w w:val="105"/>
        </w:rPr>
        <w:t>out-of-state</w:t>
      </w:r>
      <w:r>
        <w:rPr>
          <w:spacing w:val="80"/>
          <w:w w:val="105"/>
        </w:rPr>
        <w:t xml:space="preserve"> </w:t>
      </w:r>
      <w:r>
        <w:rPr>
          <w:w w:val="105"/>
        </w:rPr>
        <w:t>health</w:t>
      </w:r>
      <w:r>
        <w:rPr>
          <w:spacing w:val="65"/>
          <w:w w:val="105"/>
        </w:rPr>
        <w:t xml:space="preserve"> </w:t>
      </w:r>
      <w:r>
        <w:rPr>
          <w:w w:val="105"/>
        </w:rPr>
        <w:t>maintenance</w:t>
      </w:r>
      <w:r w:rsidR="00D7112B">
        <w:rPr>
          <w:w w:val="105"/>
        </w:rPr>
        <w:t xml:space="preserve"> o</w:t>
      </w:r>
      <w:r>
        <w:rPr>
          <w:sz w:val="24"/>
        </w:rPr>
        <w:t>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w:t>
      </w:r>
      <w:r>
        <w:rPr>
          <w:spacing w:val="40"/>
          <w:sz w:val="24"/>
        </w:rPr>
        <w:t xml:space="preserve"> </w:t>
      </w:r>
      <w:r>
        <w:rPr>
          <w:sz w:val="24"/>
        </w:rPr>
        <w:t>The Respondent shall also provide this</w:t>
      </w:r>
      <w:r>
        <w:rPr>
          <w:spacing w:val="-1"/>
          <w:sz w:val="24"/>
        </w:rPr>
        <w:t xml:space="preserve"> </w:t>
      </w:r>
      <w:r>
        <w:rPr>
          <w:sz w:val="24"/>
        </w:rPr>
        <w:t>notification to</w:t>
      </w:r>
      <w:r>
        <w:rPr>
          <w:spacing w:val="-3"/>
          <w:sz w:val="24"/>
        </w:rPr>
        <w:t xml:space="preserve"> </w:t>
      </w:r>
      <w:r>
        <w:rPr>
          <w:sz w:val="24"/>
        </w:rPr>
        <w:t>any such designated entities with which he becomes associated for the duration of this revocation.</w:t>
      </w:r>
      <w:r>
        <w:rPr>
          <w:spacing w:val="40"/>
          <w:sz w:val="24"/>
        </w:rPr>
        <w:t xml:space="preserve"> </w:t>
      </w:r>
      <w:r>
        <w:rPr>
          <w:sz w:val="24"/>
        </w:rPr>
        <w:t xml:space="preserve">The Respondent is further directed to certify to the Board within </w:t>
      </w:r>
      <w:r>
        <w:rPr>
          <w:sz w:val="24"/>
        </w:rPr>
        <w:lastRenderedPageBreak/>
        <w:t>ten (10) days that he has complied with this directive.</w:t>
      </w:r>
      <w:r>
        <w:rPr>
          <w:spacing w:val="80"/>
          <w:sz w:val="24"/>
        </w:rPr>
        <w:t xml:space="preserve"> </w:t>
      </w:r>
      <w:r>
        <w:rPr>
          <w:sz w:val="24"/>
        </w:rPr>
        <w:t>The Board expressly reserves the authority to independently notify, at any time, any of the entities designated above, or any other affected entity, of any action it has taken. The Respondent</w:t>
      </w:r>
      <w:r>
        <w:rPr>
          <w:spacing w:val="40"/>
          <w:sz w:val="24"/>
        </w:rPr>
        <w:t xml:space="preserve"> </w:t>
      </w:r>
      <w:r>
        <w:rPr>
          <w:sz w:val="24"/>
        </w:rPr>
        <w:t>has the right to appeal this Final Decision and Order within thirty (30) days, pursuant to G.L. c. 30A, §§14 and 15, and G.L. c. 112, § 64.</w:t>
      </w:r>
    </w:p>
    <w:p w14:paraId="51CD9B2B" w14:textId="77777777" w:rsidR="00E3380B" w:rsidRDefault="00E3380B" w:rsidP="003B7D65">
      <w:pPr>
        <w:pStyle w:val="BodyText"/>
        <w:spacing w:line="360" w:lineRule="auto"/>
        <w:jc w:val="both"/>
        <w:rPr>
          <w:sz w:val="26"/>
        </w:rPr>
      </w:pPr>
    </w:p>
    <w:p w14:paraId="57C69690" w14:textId="77777777" w:rsidR="00E3380B" w:rsidRDefault="00E3380B" w:rsidP="003B7D65">
      <w:pPr>
        <w:pStyle w:val="BodyText"/>
        <w:spacing w:line="360" w:lineRule="auto"/>
        <w:rPr>
          <w:sz w:val="26"/>
        </w:rPr>
      </w:pPr>
    </w:p>
    <w:p w14:paraId="788AF943" w14:textId="659F9AF1" w:rsidR="00E3380B" w:rsidRDefault="00E3380B" w:rsidP="00E3380B">
      <w:pPr>
        <w:tabs>
          <w:tab w:val="left" w:pos="865"/>
          <w:tab w:val="left" w:pos="3735"/>
          <w:tab w:val="left" w:pos="7305"/>
        </w:tabs>
        <w:spacing w:before="217" w:line="271" w:lineRule="exact"/>
        <w:ind w:left="145"/>
        <w:rPr>
          <w:sz w:val="24"/>
        </w:rPr>
      </w:pPr>
      <w:r>
        <w:rPr>
          <w:spacing w:val="-2"/>
          <w:sz w:val="24"/>
        </w:rPr>
        <w:t>Date:</w:t>
      </w:r>
      <w:r>
        <w:rPr>
          <w:sz w:val="24"/>
        </w:rPr>
        <w:tab/>
      </w:r>
      <w:r w:rsidR="003444EE">
        <w:rPr>
          <w:sz w:val="24"/>
        </w:rPr>
        <w:t>February 2,</w:t>
      </w:r>
      <w:r>
        <w:rPr>
          <w:spacing w:val="-15"/>
          <w:sz w:val="24"/>
        </w:rPr>
        <w:t xml:space="preserve"> </w:t>
      </w:r>
      <w:r>
        <w:rPr>
          <w:spacing w:val="-4"/>
          <w:sz w:val="24"/>
        </w:rPr>
        <w:t>2023</w:t>
      </w:r>
      <w:r>
        <w:rPr>
          <w:sz w:val="24"/>
        </w:rPr>
        <w:tab/>
      </w:r>
      <w:r w:rsidR="00CC6E03">
        <w:rPr>
          <w:sz w:val="24"/>
          <w:u w:val="single"/>
        </w:rPr>
        <w:t>Signed by Julian Robinson, M.D.</w:t>
      </w:r>
      <w:r w:rsidR="00CC6E03">
        <w:rPr>
          <w:sz w:val="24"/>
          <w:u w:val="single"/>
        </w:rPr>
        <w:tab/>
      </w:r>
    </w:p>
    <w:p w14:paraId="06896F36" w14:textId="77777777" w:rsidR="00E3380B" w:rsidRDefault="00E3380B" w:rsidP="00E3380B">
      <w:pPr>
        <w:spacing w:line="244" w:lineRule="auto"/>
        <w:ind w:left="3756" w:right="2517" w:hanging="4"/>
        <w:rPr>
          <w:sz w:val="24"/>
        </w:rPr>
      </w:pPr>
      <w:r>
        <w:rPr>
          <w:sz w:val="24"/>
        </w:rPr>
        <w:t>Julian</w:t>
      </w:r>
      <w:r>
        <w:rPr>
          <w:spacing w:val="-15"/>
          <w:sz w:val="24"/>
        </w:rPr>
        <w:t xml:space="preserve"> </w:t>
      </w:r>
      <w:r>
        <w:rPr>
          <w:sz w:val="24"/>
        </w:rPr>
        <w:t>Robinson,</w:t>
      </w:r>
      <w:r>
        <w:rPr>
          <w:spacing w:val="-8"/>
          <w:sz w:val="24"/>
        </w:rPr>
        <w:t xml:space="preserve"> </w:t>
      </w:r>
      <w:r>
        <w:rPr>
          <w:sz w:val="24"/>
        </w:rPr>
        <w:t xml:space="preserve">M.D. </w:t>
      </w:r>
      <w:r>
        <w:rPr>
          <w:spacing w:val="-4"/>
          <w:sz w:val="24"/>
        </w:rPr>
        <w:t>Chair</w:t>
      </w:r>
    </w:p>
    <w:p w14:paraId="617C256F" w14:textId="38BE38C8" w:rsidR="00E3380B" w:rsidRDefault="00E3380B" w:rsidP="00E3380B">
      <w:pPr>
        <w:spacing w:line="268" w:lineRule="exact"/>
        <w:ind w:left="3753"/>
        <w:rPr>
          <w:spacing w:val="-2"/>
          <w:sz w:val="24"/>
        </w:rPr>
      </w:pPr>
      <w:r>
        <w:rPr>
          <w:sz w:val="24"/>
        </w:rPr>
        <w:t>Board of</w:t>
      </w:r>
      <w:r>
        <w:rPr>
          <w:spacing w:val="-6"/>
          <w:sz w:val="24"/>
        </w:rPr>
        <w:t xml:space="preserve"> </w:t>
      </w:r>
      <w:r>
        <w:rPr>
          <w:sz w:val="24"/>
        </w:rPr>
        <w:t>Registration</w:t>
      </w:r>
      <w:r>
        <w:rPr>
          <w:spacing w:val="10"/>
          <w:sz w:val="24"/>
        </w:rPr>
        <w:t xml:space="preserve"> </w:t>
      </w:r>
      <w:r>
        <w:rPr>
          <w:sz w:val="24"/>
        </w:rPr>
        <w:t>in</w:t>
      </w:r>
      <w:r>
        <w:rPr>
          <w:spacing w:val="-11"/>
          <w:sz w:val="24"/>
        </w:rPr>
        <w:t xml:space="preserve"> </w:t>
      </w:r>
      <w:r>
        <w:rPr>
          <w:spacing w:val="-2"/>
          <w:sz w:val="24"/>
        </w:rPr>
        <w:t>Medicine</w:t>
      </w:r>
    </w:p>
    <w:p w14:paraId="749529D1" w14:textId="77777777" w:rsidR="00622C11" w:rsidRDefault="00622C11" w:rsidP="00E3380B">
      <w:pPr>
        <w:spacing w:line="268" w:lineRule="exact"/>
        <w:ind w:left="3753"/>
        <w:rPr>
          <w:sz w:val="24"/>
        </w:rPr>
      </w:pPr>
    </w:p>
    <w:p w14:paraId="25633A3B" w14:textId="77777777" w:rsidR="00D447AD" w:rsidRDefault="00D447AD"/>
    <w:sectPr w:rsidR="00D447A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18944" w14:textId="77777777" w:rsidR="00B34014" w:rsidRDefault="00B34014" w:rsidP="003834A2">
      <w:r>
        <w:separator/>
      </w:r>
    </w:p>
  </w:endnote>
  <w:endnote w:type="continuationSeparator" w:id="0">
    <w:p w14:paraId="13FE63FA" w14:textId="77777777" w:rsidR="00B34014" w:rsidRDefault="00B34014" w:rsidP="0038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264806"/>
      <w:docPartObj>
        <w:docPartGallery w:val="Page Numbers (Bottom of Page)"/>
        <w:docPartUnique/>
      </w:docPartObj>
    </w:sdtPr>
    <w:sdtEndPr>
      <w:rPr>
        <w:noProof/>
      </w:rPr>
    </w:sdtEndPr>
    <w:sdtContent>
      <w:p w14:paraId="77B5BC56" w14:textId="38F33751" w:rsidR="006C6747" w:rsidRDefault="006C67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1B57ED" w14:textId="0358C3F8" w:rsidR="00FB3E9D" w:rsidRDefault="000000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542BB" w14:textId="77777777" w:rsidR="00B34014" w:rsidRDefault="00B34014" w:rsidP="003834A2">
      <w:r>
        <w:separator/>
      </w:r>
    </w:p>
  </w:footnote>
  <w:footnote w:type="continuationSeparator" w:id="0">
    <w:p w14:paraId="230639FB" w14:textId="77777777" w:rsidR="00B34014" w:rsidRDefault="00B34014" w:rsidP="003834A2">
      <w:r>
        <w:continuationSeparator/>
      </w:r>
    </w:p>
  </w:footnote>
  <w:footnote w:id="1">
    <w:p w14:paraId="3079770F" w14:textId="43BF6F55" w:rsidR="00C516A5" w:rsidRDefault="00C516A5" w:rsidP="00510343">
      <w:pPr>
        <w:pStyle w:val="FootnoteText"/>
        <w:jc w:val="both"/>
      </w:pPr>
      <w:r>
        <w:rPr>
          <w:rStyle w:val="FootnoteReference"/>
        </w:rPr>
        <w:footnoteRef/>
      </w:r>
      <w:r>
        <w:t xml:space="preserve"> Complaint Counsel Stephen C. Hoctor represents the Board. The Respondent is </w:t>
      </w:r>
      <w:r w:rsidRPr="00C516A5">
        <w:rPr>
          <w:u w:val="single"/>
        </w:rPr>
        <w:t>pro</w:t>
      </w:r>
      <w:r>
        <w:t xml:space="preserve"> </w:t>
      </w:r>
      <w:r w:rsidRPr="00C516A5">
        <w:rPr>
          <w:u w:val="single"/>
        </w:rPr>
        <w:t>se</w:t>
      </w:r>
      <w:r>
        <w:t>.</w:t>
      </w:r>
    </w:p>
  </w:footnote>
  <w:footnote w:id="2">
    <w:p w14:paraId="3D3A90F0" w14:textId="77777777" w:rsidR="007E169A" w:rsidRDefault="007E169A" w:rsidP="007E169A">
      <w:pPr>
        <w:pStyle w:val="FootnoteText"/>
      </w:pPr>
      <w:r>
        <w:rPr>
          <w:rStyle w:val="FootnoteReference"/>
        </w:rPr>
        <w:footnoteRef/>
      </w:r>
      <w:r>
        <w:t xml:space="preserve"> When a Party is of the opinion that there is no genuine issue of fact relating to one or more of the claims, he may move for summary decision as to the claim(s). 801 CMR 1.01(7)(h).</w:t>
      </w:r>
    </w:p>
  </w:footnote>
  <w:footnote w:id="3">
    <w:p w14:paraId="7FFD59CA" w14:textId="44186ACD" w:rsidR="00AE4A4A" w:rsidRDefault="00AE4A4A">
      <w:pPr>
        <w:pStyle w:val="FootnoteText"/>
      </w:pPr>
      <w:r>
        <w:rPr>
          <w:rStyle w:val="FootnoteReference"/>
        </w:rPr>
        <w:footnoteRef/>
      </w:r>
      <w:r>
        <w:t xml:space="preserve"> </w:t>
      </w:r>
      <w:r w:rsidR="00C81EB4" w:rsidRPr="000D6838">
        <w:t>Conviction for a criminal offense is a basis for discipline pursuant to</w:t>
      </w:r>
      <w:r w:rsidR="00C81EB4" w:rsidRPr="000D6838">
        <w:rPr>
          <w:sz w:val="24"/>
          <w:szCs w:val="24"/>
        </w:rPr>
        <w:t xml:space="preserve"> </w:t>
      </w:r>
      <w:r w:rsidR="00C81EB4" w:rsidRPr="000D6838">
        <w:t>G.L. c. 112, §5, ninth par. (g) and 243 CMR 103(5)(</w:t>
      </w:r>
      <w:r w:rsidR="00C81EB4">
        <w:t>a</w:t>
      </w:r>
      <w:r w:rsidR="00C81EB4" w:rsidRPr="000D6838">
        <w:t>)3</w:t>
      </w:r>
      <w:r w:rsidR="00C81EB4">
        <w:t>.</w:t>
      </w:r>
    </w:p>
  </w:footnote>
  <w:footnote w:id="4">
    <w:p w14:paraId="0B862CFA" w14:textId="7F178A2C" w:rsidR="00E6354D" w:rsidRDefault="00E6354D" w:rsidP="00683B0A">
      <w:pPr>
        <w:pStyle w:val="FootnoteText"/>
        <w:jc w:val="both"/>
      </w:pPr>
      <w:r>
        <w:rPr>
          <w:rStyle w:val="FootnoteReference"/>
        </w:rPr>
        <w:footnoteRef/>
      </w:r>
      <w:r>
        <w:t xml:space="preserve"> </w:t>
      </w:r>
      <w:r w:rsidR="00683B0A" w:rsidRPr="00802477">
        <w:t>Having been disciplined by a licensing authority in another jurisdiction for reasons substantially the same as grounds for discipline in this Board’s statute or regulations is a basis for discipline pursuant to G.L. §5 or 243 CMR 1.03(5) to</w:t>
      </w:r>
      <w:r w:rsidR="00EA56CA" w:rsidRPr="00EA56CA">
        <w:t xml:space="preserve"> </w:t>
      </w:r>
      <w:r w:rsidR="00EA56CA" w:rsidRPr="00802477">
        <w:t>wit: G.L. c. 112, §5(g) and 243 CMR 1.03(5)(a)(7).</w:t>
      </w:r>
    </w:p>
  </w:footnote>
  <w:footnote w:id="5">
    <w:p w14:paraId="723402E8" w14:textId="63689A29" w:rsidR="004D6CC0" w:rsidRDefault="004D6CC0" w:rsidP="008553F8">
      <w:pPr>
        <w:pStyle w:val="FootnoteText"/>
        <w:jc w:val="both"/>
      </w:pPr>
      <w:r>
        <w:rPr>
          <w:rStyle w:val="FootnoteReference"/>
        </w:rPr>
        <w:footnoteRef/>
      </w:r>
      <w:r>
        <w:t xml:space="preserve"> </w:t>
      </w:r>
      <w:r w:rsidR="005E22D7" w:rsidRPr="004D6CC0">
        <w:rPr>
          <w:rFonts w:eastAsiaTheme="minorHAnsi"/>
        </w:rPr>
        <w:t xml:space="preserve">Engaging in conduct that demonstrates a lack of good moral character and undermines the public’s confidence in the integrity of the medical profession is a basis for discipline pursuant to </w:t>
      </w:r>
      <w:r w:rsidR="005E22D7" w:rsidRPr="004D6CC0">
        <w:rPr>
          <w:rFonts w:eastAsiaTheme="minorHAnsi"/>
          <w:i/>
          <w:iCs/>
        </w:rPr>
        <w:t>Levy v. Board of Registration in Medicine</w:t>
      </w:r>
      <w:r w:rsidR="005E22D7" w:rsidRPr="004D6CC0">
        <w:rPr>
          <w:rFonts w:eastAsiaTheme="minorHAnsi"/>
        </w:rPr>
        <w:t xml:space="preserve">, 378 Mass. 519 (1979); </w:t>
      </w:r>
      <w:r w:rsidR="005E22D7" w:rsidRPr="004D6CC0">
        <w:rPr>
          <w:rFonts w:eastAsiaTheme="minorHAnsi"/>
          <w:i/>
          <w:iCs/>
        </w:rPr>
        <w:t>Raymond v. Board of Registration in Medicine</w:t>
      </w:r>
      <w:r w:rsidR="005E22D7" w:rsidRPr="004D6CC0">
        <w:rPr>
          <w:rFonts w:eastAsiaTheme="minorHAnsi"/>
        </w:rPr>
        <w:t xml:space="preserve">, 387 Mass. 708 (1982) and </w:t>
      </w:r>
      <w:r w:rsidR="005E22D7" w:rsidRPr="004D6CC0">
        <w:rPr>
          <w:rFonts w:eastAsiaTheme="minorHAnsi"/>
          <w:i/>
          <w:iCs/>
        </w:rPr>
        <w:t xml:space="preserve">Sugarman v. Board of Registration in Medicine, </w:t>
      </w:r>
      <w:r w:rsidR="005E22D7" w:rsidRPr="004D6CC0">
        <w:rPr>
          <w:rFonts w:eastAsiaTheme="minorHAnsi"/>
        </w:rPr>
        <w:t>422 Mass. 338 (1996).</w:t>
      </w:r>
    </w:p>
  </w:footnote>
  <w:footnote w:id="6">
    <w:p w14:paraId="40D47064" w14:textId="67280D00" w:rsidR="001E768D" w:rsidRDefault="001E768D">
      <w:pPr>
        <w:pStyle w:val="FootnoteText"/>
      </w:pPr>
      <w:r>
        <w:rPr>
          <w:rStyle w:val="FootnoteReference"/>
        </w:rPr>
        <w:footnoteRef/>
      </w:r>
      <w:r>
        <w:t xml:space="preserve"> </w:t>
      </w:r>
      <w:r w:rsidR="00D91861">
        <w:t xml:space="preserve">The SOA also included charges </w:t>
      </w:r>
      <w:r w:rsidR="0046234C">
        <w:t>of</w:t>
      </w:r>
      <w:r w:rsidR="00D91861">
        <w:t xml:space="preserve">: </w:t>
      </w:r>
      <w:proofErr w:type="spellStart"/>
      <w:r w:rsidR="00C9580A">
        <w:t>i</w:t>
      </w:r>
      <w:proofErr w:type="spellEnd"/>
      <w:r w:rsidR="00C9580A">
        <w:t xml:space="preserve">) </w:t>
      </w:r>
      <w:r w:rsidR="00D91861">
        <w:t xml:space="preserve">engaging in conduct that places into question a physician’s competence to practice medicine, pursuant to </w:t>
      </w:r>
      <w:r w:rsidR="007720D2">
        <w:t>G.L. c.</w:t>
      </w:r>
      <w:r w:rsidR="00FB24CA">
        <w:t xml:space="preserve"> 112 §5 eighth par. (c) </w:t>
      </w:r>
      <w:r w:rsidR="00D91861">
        <w:t>243 CMR 1.03(5)(a)(</w:t>
      </w:r>
      <w:r w:rsidR="00FA54D3">
        <w:t>3</w:t>
      </w:r>
      <w:r w:rsidR="00065158">
        <w:t>)</w:t>
      </w:r>
      <w:r w:rsidR="00D91861">
        <w:t xml:space="preserve">; </w:t>
      </w:r>
      <w:r w:rsidR="0046234C">
        <w:t xml:space="preserve">ii) </w:t>
      </w:r>
      <w:r w:rsidR="00D91861">
        <w:t>committing misconduct in the practice of medicine, pursuant to 243 1.03(5)(a</w:t>
      </w:r>
      <w:r w:rsidR="00FA54D3">
        <w:t xml:space="preserve">)(18); and </w:t>
      </w:r>
      <w:r w:rsidR="00C9580A">
        <w:t>iii) conviction of a criminal offense that calls into question the ability to practice medicine, pursuant to G.L. c. 112 §5, ninth par. (g).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0B"/>
    <w:rsid w:val="00001303"/>
    <w:rsid w:val="00002AA1"/>
    <w:rsid w:val="00004AC9"/>
    <w:rsid w:val="00010E19"/>
    <w:rsid w:val="0003299B"/>
    <w:rsid w:val="00065158"/>
    <w:rsid w:val="0007370B"/>
    <w:rsid w:val="0008325F"/>
    <w:rsid w:val="00085264"/>
    <w:rsid w:val="00087F24"/>
    <w:rsid w:val="000A6C26"/>
    <w:rsid w:val="000C5D11"/>
    <w:rsid w:val="000E0821"/>
    <w:rsid w:val="000E0BDA"/>
    <w:rsid w:val="000E2459"/>
    <w:rsid w:val="000E7201"/>
    <w:rsid w:val="001048B2"/>
    <w:rsid w:val="001360FF"/>
    <w:rsid w:val="00141798"/>
    <w:rsid w:val="001548F0"/>
    <w:rsid w:val="00157C89"/>
    <w:rsid w:val="00174342"/>
    <w:rsid w:val="0017447E"/>
    <w:rsid w:val="0017787B"/>
    <w:rsid w:val="00183CB1"/>
    <w:rsid w:val="00194E35"/>
    <w:rsid w:val="00194E8E"/>
    <w:rsid w:val="0019618B"/>
    <w:rsid w:val="001966CD"/>
    <w:rsid w:val="001A526F"/>
    <w:rsid w:val="001C4B8F"/>
    <w:rsid w:val="001D35E4"/>
    <w:rsid w:val="001E768D"/>
    <w:rsid w:val="001F1595"/>
    <w:rsid w:val="00202D31"/>
    <w:rsid w:val="002900C6"/>
    <w:rsid w:val="002C2BD4"/>
    <w:rsid w:val="00306F7F"/>
    <w:rsid w:val="00324045"/>
    <w:rsid w:val="003313AA"/>
    <w:rsid w:val="003444EE"/>
    <w:rsid w:val="003469A6"/>
    <w:rsid w:val="0036444A"/>
    <w:rsid w:val="003834A2"/>
    <w:rsid w:val="003878B4"/>
    <w:rsid w:val="00394FA4"/>
    <w:rsid w:val="003A4829"/>
    <w:rsid w:val="003B0DF5"/>
    <w:rsid w:val="003B6413"/>
    <w:rsid w:val="003B7C8E"/>
    <w:rsid w:val="003B7D65"/>
    <w:rsid w:val="003B7EBE"/>
    <w:rsid w:val="003C636C"/>
    <w:rsid w:val="003D12DF"/>
    <w:rsid w:val="003E0DF7"/>
    <w:rsid w:val="004007D2"/>
    <w:rsid w:val="00413154"/>
    <w:rsid w:val="00426678"/>
    <w:rsid w:val="00430EAB"/>
    <w:rsid w:val="00433560"/>
    <w:rsid w:val="00442656"/>
    <w:rsid w:val="00454A7D"/>
    <w:rsid w:val="0046234C"/>
    <w:rsid w:val="00466A9A"/>
    <w:rsid w:val="00472F59"/>
    <w:rsid w:val="00485119"/>
    <w:rsid w:val="004902FE"/>
    <w:rsid w:val="004B541F"/>
    <w:rsid w:val="004D6CC0"/>
    <w:rsid w:val="00503D6F"/>
    <w:rsid w:val="00506C03"/>
    <w:rsid w:val="00510343"/>
    <w:rsid w:val="00513039"/>
    <w:rsid w:val="0055369D"/>
    <w:rsid w:val="0055602A"/>
    <w:rsid w:val="00561EB8"/>
    <w:rsid w:val="005B4993"/>
    <w:rsid w:val="005C2E62"/>
    <w:rsid w:val="005C4145"/>
    <w:rsid w:val="005C724E"/>
    <w:rsid w:val="005D0243"/>
    <w:rsid w:val="005D1222"/>
    <w:rsid w:val="005E021C"/>
    <w:rsid w:val="005E22D7"/>
    <w:rsid w:val="005E325E"/>
    <w:rsid w:val="005E6ECB"/>
    <w:rsid w:val="005F36F2"/>
    <w:rsid w:val="00621201"/>
    <w:rsid w:val="00622C11"/>
    <w:rsid w:val="006458B2"/>
    <w:rsid w:val="00654D84"/>
    <w:rsid w:val="006837B2"/>
    <w:rsid w:val="00683B0A"/>
    <w:rsid w:val="00683E19"/>
    <w:rsid w:val="006A1F11"/>
    <w:rsid w:val="006A33D2"/>
    <w:rsid w:val="006C6747"/>
    <w:rsid w:val="006D20FF"/>
    <w:rsid w:val="007143F7"/>
    <w:rsid w:val="00723342"/>
    <w:rsid w:val="007505AE"/>
    <w:rsid w:val="007520A8"/>
    <w:rsid w:val="00761692"/>
    <w:rsid w:val="00770DFA"/>
    <w:rsid w:val="007720D2"/>
    <w:rsid w:val="007A677D"/>
    <w:rsid w:val="007A7BB8"/>
    <w:rsid w:val="007B4775"/>
    <w:rsid w:val="007C60AE"/>
    <w:rsid w:val="007D70ED"/>
    <w:rsid w:val="007D7969"/>
    <w:rsid w:val="007D7CFB"/>
    <w:rsid w:val="007E0F62"/>
    <w:rsid w:val="007E169A"/>
    <w:rsid w:val="007E4EDD"/>
    <w:rsid w:val="007F58E3"/>
    <w:rsid w:val="008128E1"/>
    <w:rsid w:val="008347A6"/>
    <w:rsid w:val="00835B6F"/>
    <w:rsid w:val="00841C3A"/>
    <w:rsid w:val="008553F8"/>
    <w:rsid w:val="00867EEE"/>
    <w:rsid w:val="008707A6"/>
    <w:rsid w:val="00874BB9"/>
    <w:rsid w:val="00893377"/>
    <w:rsid w:val="008A5428"/>
    <w:rsid w:val="008C3B65"/>
    <w:rsid w:val="008D04C3"/>
    <w:rsid w:val="008E56F6"/>
    <w:rsid w:val="008F61E1"/>
    <w:rsid w:val="0091307C"/>
    <w:rsid w:val="00914FAF"/>
    <w:rsid w:val="00972C77"/>
    <w:rsid w:val="00980105"/>
    <w:rsid w:val="00996DCD"/>
    <w:rsid w:val="009B5B7C"/>
    <w:rsid w:val="009E2C7D"/>
    <w:rsid w:val="009F1A2B"/>
    <w:rsid w:val="00A01BE4"/>
    <w:rsid w:val="00A0648B"/>
    <w:rsid w:val="00A10225"/>
    <w:rsid w:val="00A13394"/>
    <w:rsid w:val="00A23594"/>
    <w:rsid w:val="00A43EED"/>
    <w:rsid w:val="00A54FF2"/>
    <w:rsid w:val="00A60BD0"/>
    <w:rsid w:val="00A64BB2"/>
    <w:rsid w:val="00A66A5B"/>
    <w:rsid w:val="00A83DC5"/>
    <w:rsid w:val="00A91562"/>
    <w:rsid w:val="00AA1C58"/>
    <w:rsid w:val="00AC68D9"/>
    <w:rsid w:val="00AE4A4A"/>
    <w:rsid w:val="00B01149"/>
    <w:rsid w:val="00B13072"/>
    <w:rsid w:val="00B23B66"/>
    <w:rsid w:val="00B34014"/>
    <w:rsid w:val="00B51F74"/>
    <w:rsid w:val="00B61AA5"/>
    <w:rsid w:val="00B6220A"/>
    <w:rsid w:val="00B66AF5"/>
    <w:rsid w:val="00B85BA7"/>
    <w:rsid w:val="00B919B9"/>
    <w:rsid w:val="00B96890"/>
    <w:rsid w:val="00BB604F"/>
    <w:rsid w:val="00BF4A68"/>
    <w:rsid w:val="00C0686A"/>
    <w:rsid w:val="00C06962"/>
    <w:rsid w:val="00C1458B"/>
    <w:rsid w:val="00C15F7D"/>
    <w:rsid w:val="00C4070F"/>
    <w:rsid w:val="00C43720"/>
    <w:rsid w:val="00C516A5"/>
    <w:rsid w:val="00C61930"/>
    <w:rsid w:val="00C74A3B"/>
    <w:rsid w:val="00C74F5A"/>
    <w:rsid w:val="00C81EB4"/>
    <w:rsid w:val="00C912D9"/>
    <w:rsid w:val="00C9580A"/>
    <w:rsid w:val="00CB59B5"/>
    <w:rsid w:val="00CC65DD"/>
    <w:rsid w:val="00CC6773"/>
    <w:rsid w:val="00CC6E03"/>
    <w:rsid w:val="00CE6FEE"/>
    <w:rsid w:val="00CF4370"/>
    <w:rsid w:val="00D03F18"/>
    <w:rsid w:val="00D14C3F"/>
    <w:rsid w:val="00D27074"/>
    <w:rsid w:val="00D447AD"/>
    <w:rsid w:val="00D53876"/>
    <w:rsid w:val="00D62E11"/>
    <w:rsid w:val="00D63C81"/>
    <w:rsid w:val="00D7112B"/>
    <w:rsid w:val="00D75F8B"/>
    <w:rsid w:val="00D77E21"/>
    <w:rsid w:val="00D91861"/>
    <w:rsid w:val="00DB6AE2"/>
    <w:rsid w:val="00DC1AE2"/>
    <w:rsid w:val="00DD421D"/>
    <w:rsid w:val="00DD59F2"/>
    <w:rsid w:val="00DD65C3"/>
    <w:rsid w:val="00DF6EC2"/>
    <w:rsid w:val="00E05767"/>
    <w:rsid w:val="00E23375"/>
    <w:rsid w:val="00E24194"/>
    <w:rsid w:val="00E3380B"/>
    <w:rsid w:val="00E54FD4"/>
    <w:rsid w:val="00E61D3A"/>
    <w:rsid w:val="00E62723"/>
    <w:rsid w:val="00E6332C"/>
    <w:rsid w:val="00E6354D"/>
    <w:rsid w:val="00E84C53"/>
    <w:rsid w:val="00E95168"/>
    <w:rsid w:val="00EA2650"/>
    <w:rsid w:val="00EA2C33"/>
    <w:rsid w:val="00EA56CA"/>
    <w:rsid w:val="00EB4685"/>
    <w:rsid w:val="00EB6BCF"/>
    <w:rsid w:val="00EE3D9D"/>
    <w:rsid w:val="00EF0EBD"/>
    <w:rsid w:val="00EF195D"/>
    <w:rsid w:val="00EF50CF"/>
    <w:rsid w:val="00F11C29"/>
    <w:rsid w:val="00F131D0"/>
    <w:rsid w:val="00F264B6"/>
    <w:rsid w:val="00F466BC"/>
    <w:rsid w:val="00F56B7A"/>
    <w:rsid w:val="00F61348"/>
    <w:rsid w:val="00F733C5"/>
    <w:rsid w:val="00F930AC"/>
    <w:rsid w:val="00F949F7"/>
    <w:rsid w:val="00FA54D3"/>
    <w:rsid w:val="00FB24CA"/>
    <w:rsid w:val="00FB5AA9"/>
    <w:rsid w:val="00FD08FE"/>
    <w:rsid w:val="00FD2016"/>
    <w:rsid w:val="00FD38EC"/>
    <w:rsid w:val="00FF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9E8F3"/>
  <w15:chartTrackingRefBased/>
  <w15:docId w15:val="{5C5093F0-35F2-4C6A-BA99-82DF8139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3380B"/>
    <w:rPr>
      <w:sz w:val="23"/>
      <w:szCs w:val="23"/>
    </w:rPr>
  </w:style>
  <w:style w:type="character" w:customStyle="1" w:styleId="BodyTextChar">
    <w:name w:val="Body Text Char"/>
    <w:basedOn w:val="DefaultParagraphFont"/>
    <w:link w:val="BodyText"/>
    <w:uiPriority w:val="1"/>
    <w:rsid w:val="00E3380B"/>
    <w:rPr>
      <w:rFonts w:ascii="Times New Roman" w:eastAsia="Times New Roman" w:hAnsi="Times New Roman" w:cs="Times New Roman"/>
      <w:sz w:val="23"/>
      <w:szCs w:val="23"/>
    </w:rPr>
  </w:style>
  <w:style w:type="paragraph" w:styleId="FootnoteText">
    <w:name w:val="footnote text"/>
    <w:basedOn w:val="Normal"/>
    <w:link w:val="FootnoteTextChar"/>
    <w:uiPriority w:val="99"/>
    <w:semiHidden/>
    <w:unhideWhenUsed/>
    <w:rsid w:val="003834A2"/>
    <w:rPr>
      <w:sz w:val="20"/>
      <w:szCs w:val="20"/>
    </w:rPr>
  </w:style>
  <w:style w:type="character" w:customStyle="1" w:styleId="FootnoteTextChar">
    <w:name w:val="Footnote Text Char"/>
    <w:basedOn w:val="DefaultParagraphFont"/>
    <w:link w:val="FootnoteText"/>
    <w:uiPriority w:val="99"/>
    <w:semiHidden/>
    <w:rsid w:val="003834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834A2"/>
    <w:rPr>
      <w:vertAlign w:val="superscript"/>
    </w:rPr>
  </w:style>
  <w:style w:type="paragraph" w:styleId="Header">
    <w:name w:val="header"/>
    <w:basedOn w:val="Normal"/>
    <w:link w:val="HeaderChar"/>
    <w:uiPriority w:val="99"/>
    <w:unhideWhenUsed/>
    <w:rsid w:val="00157C89"/>
    <w:pPr>
      <w:tabs>
        <w:tab w:val="center" w:pos="4680"/>
        <w:tab w:val="right" w:pos="9360"/>
      </w:tabs>
    </w:pPr>
  </w:style>
  <w:style w:type="character" w:customStyle="1" w:styleId="HeaderChar">
    <w:name w:val="Header Char"/>
    <w:basedOn w:val="DefaultParagraphFont"/>
    <w:link w:val="Header"/>
    <w:uiPriority w:val="99"/>
    <w:rsid w:val="00157C89"/>
    <w:rPr>
      <w:rFonts w:ascii="Times New Roman" w:eastAsia="Times New Roman" w:hAnsi="Times New Roman" w:cs="Times New Roman"/>
    </w:rPr>
  </w:style>
  <w:style w:type="paragraph" w:styleId="Footer">
    <w:name w:val="footer"/>
    <w:basedOn w:val="Normal"/>
    <w:link w:val="FooterChar"/>
    <w:uiPriority w:val="99"/>
    <w:unhideWhenUsed/>
    <w:rsid w:val="00157C89"/>
    <w:pPr>
      <w:tabs>
        <w:tab w:val="center" w:pos="4680"/>
        <w:tab w:val="right" w:pos="9360"/>
      </w:tabs>
    </w:pPr>
  </w:style>
  <w:style w:type="character" w:customStyle="1" w:styleId="FooterChar">
    <w:name w:val="Footer Char"/>
    <w:basedOn w:val="DefaultParagraphFont"/>
    <w:link w:val="Footer"/>
    <w:uiPriority w:val="99"/>
    <w:rsid w:val="00157C89"/>
    <w:rPr>
      <w:rFonts w:ascii="Times New Roman" w:eastAsia="Times New Roman" w:hAnsi="Times New Roman" w:cs="Times New Roman"/>
    </w:rPr>
  </w:style>
  <w:style w:type="paragraph" w:styleId="Revision">
    <w:name w:val="Revision"/>
    <w:hidden/>
    <w:uiPriority w:val="99"/>
    <w:semiHidden/>
    <w:rsid w:val="00B622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7B961-89E0-4F62-A3AE-CC523DAF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Rebecca (DPH)</dc:creator>
  <cp:keywords/>
  <dc:description/>
  <cp:lastModifiedBy>LaPointe, Donald (DPH)</cp:lastModifiedBy>
  <cp:revision>5</cp:revision>
  <cp:lastPrinted>2023-01-25T20:41:00Z</cp:lastPrinted>
  <dcterms:created xsi:type="dcterms:W3CDTF">2023-01-26T15:30:00Z</dcterms:created>
  <dcterms:modified xsi:type="dcterms:W3CDTF">2023-03-01T15:56:00Z</dcterms:modified>
</cp:coreProperties>
</file>