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644A2BDF" w:rsidR="00202590" w:rsidRDefault="00202590">
      <w:pPr>
        <w:ind w:left="3600" w:firstLine="720"/>
      </w:pPr>
      <w:r>
        <w:tab/>
        <w:t>Adj</w:t>
      </w:r>
      <w:r w:rsidR="00C00F70">
        <w:t>udicatory</w:t>
      </w:r>
      <w:r w:rsidR="00B6433B">
        <w:t xml:space="preserve"> </w:t>
      </w:r>
      <w:r>
        <w:t xml:space="preserve">Case No: </w:t>
      </w:r>
      <w:r w:rsidR="004A56C7">
        <w:t>20</w:t>
      </w:r>
      <w:r w:rsidR="00CB13B6">
        <w:t>22-024</w:t>
      </w:r>
    </w:p>
    <w:p w14:paraId="731011DE" w14:textId="77777777" w:rsidR="00202590" w:rsidRDefault="00202590">
      <w:r>
        <w:t>________________________</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77777777"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14:paraId="725F0FE3" w14:textId="2F4020DD" w:rsidR="00202590" w:rsidRDefault="00CB13B6">
      <w:r>
        <w:t>Thomas W. Stinson</w:t>
      </w:r>
      <w:r w:rsidR="005E667B">
        <w:t xml:space="preserve">, </w:t>
      </w:r>
      <w:r w:rsidR="00202590">
        <w:t xml:space="preserve">M.D. </w:t>
      </w:r>
      <w:r w:rsidR="00202590">
        <w:tab/>
        <w:t>)</w:t>
      </w:r>
    </w:p>
    <w:p w14:paraId="43F17B7D" w14:textId="77777777" w:rsidR="00202590" w:rsidRDefault="00202590">
      <w:r>
        <w:t>________________________)</w:t>
      </w:r>
    </w:p>
    <w:p w14:paraId="221B4659" w14:textId="77777777" w:rsidR="00866515" w:rsidRDefault="00866515"/>
    <w:p w14:paraId="60ECA850" w14:textId="77777777" w:rsidR="00D56F12" w:rsidRDefault="00D56F12" w:rsidP="00C41A84">
      <w:pPr>
        <w:pStyle w:val="le-brm-normal-32-level"/>
        <w:spacing w:line="480" w:lineRule="auto"/>
        <w:rPr>
          <w:rFonts w:ascii="Times New Roman" w:hAnsi="Times New Roman"/>
          <w:sz w:val="24"/>
          <w:szCs w:val="24"/>
        </w:rPr>
      </w:pPr>
    </w:p>
    <w:p w14:paraId="318A0945" w14:textId="77777777" w:rsidR="00D56F12" w:rsidRDefault="00D56F12" w:rsidP="00D50062">
      <w:pPr>
        <w:spacing w:line="480" w:lineRule="auto"/>
        <w:jc w:val="center"/>
        <w:rPr>
          <w:u w:val="single"/>
        </w:rPr>
      </w:pPr>
      <w:r>
        <w:rPr>
          <w:u w:val="single"/>
        </w:rPr>
        <w:t>Procedural History</w:t>
      </w:r>
    </w:p>
    <w:p w14:paraId="65C142FF" w14:textId="77777777" w:rsidR="00573515" w:rsidRDefault="00D56F12" w:rsidP="00D50062">
      <w:pPr>
        <w:spacing w:line="480" w:lineRule="auto"/>
        <w:ind w:firstLine="720"/>
      </w:pPr>
      <w:r>
        <w:t xml:space="preserve">The Board initiated this matter by issuing a </w:t>
      </w:r>
      <w:r w:rsidR="005E4A09">
        <w:t xml:space="preserve">Temporary Order of Summary Suspension, and a </w:t>
      </w:r>
      <w:r>
        <w:t xml:space="preserve">Statement of Allegations </w:t>
      </w:r>
      <w:r w:rsidR="005427C4">
        <w:t>(</w:t>
      </w:r>
      <w:r w:rsidR="00D50062">
        <w:t>“</w:t>
      </w:r>
      <w:r w:rsidR="005427C4">
        <w:t>SOA</w:t>
      </w:r>
      <w:r w:rsidR="00D50062">
        <w:t>”</w:t>
      </w:r>
      <w:r w:rsidR="005427C4">
        <w:t xml:space="preserve">) </w:t>
      </w:r>
      <w:r>
        <w:t xml:space="preserve">against </w:t>
      </w:r>
      <w:r w:rsidR="005E4A09">
        <w:t xml:space="preserve">Thomas W. Stinson, M.D. (“Respondent”) </w:t>
      </w:r>
      <w:r>
        <w:t>on August 4, 2022 and referring the matter to the Division of Administrative Law Appeals (</w:t>
      </w:r>
      <w:r w:rsidR="00D50062">
        <w:t>“</w:t>
      </w:r>
      <w:r>
        <w:t>DALA</w:t>
      </w:r>
      <w:r w:rsidR="00D50062">
        <w:t>”</w:t>
      </w:r>
      <w:r>
        <w:t xml:space="preserve">).  </w:t>
      </w:r>
      <w:r w:rsidR="005E4A09">
        <w:t xml:space="preserve">A copy of the </w:t>
      </w:r>
      <w:r w:rsidR="005427C4">
        <w:t>SOA</w:t>
      </w:r>
      <w:r w:rsidR="005E4A09">
        <w:t xml:space="preserve"> is attached hereto and incorporated by reference.  After issuing </w:t>
      </w:r>
      <w:r w:rsidR="004341F6">
        <w:t>three separate notices of hearing on the summary suspension, t</w:t>
      </w:r>
      <w:r>
        <w:t xml:space="preserve">he DALA Administrative Magistrate </w:t>
      </w:r>
      <w:r w:rsidR="005E4A09">
        <w:t xml:space="preserve">issued, on October 11, 2022, an Order to Show Cause why the appeal of the Summary Suspension should not be dismissed due to Respondent’s lack of participation in the proceeding.  On November 1, 2022, </w:t>
      </w:r>
      <w:r w:rsidR="004341F6">
        <w:t xml:space="preserve">having received no response from Respondent </w:t>
      </w:r>
      <w:r w:rsidR="005E4A09">
        <w:t xml:space="preserve">the DALA </w:t>
      </w:r>
      <w:r w:rsidR="008C33DF" w:rsidRPr="001217ED">
        <w:t xml:space="preserve">Administrative Magistrate </w:t>
      </w:r>
      <w:r w:rsidR="005E4A09">
        <w:t xml:space="preserve">issued an Order of Default and </w:t>
      </w:r>
      <w:r w:rsidR="008C33DF" w:rsidRPr="001217ED">
        <w:t xml:space="preserve">Recommended Decision, </w:t>
      </w:r>
      <w:r w:rsidR="008C33DF">
        <w:t xml:space="preserve">which found </w:t>
      </w:r>
      <w:r w:rsidR="005E4A09">
        <w:t xml:space="preserve">the </w:t>
      </w:r>
      <w:r w:rsidR="008C33DF">
        <w:t>Respondent</w:t>
      </w:r>
      <w:r w:rsidR="005E4A09">
        <w:t xml:space="preserve"> to be</w:t>
      </w:r>
      <w:r w:rsidR="008C33DF">
        <w:t xml:space="preserve"> in default</w:t>
      </w:r>
      <w:r w:rsidR="005E4A09">
        <w:t xml:space="preserve"> and recommend</w:t>
      </w:r>
      <w:r w:rsidR="00D50062">
        <w:t>ed</w:t>
      </w:r>
      <w:r w:rsidR="005E4A09">
        <w:t xml:space="preserve"> that the Board enter judgment</w:t>
      </w:r>
      <w:r w:rsidR="004341F6">
        <w:t xml:space="preserve"> pursuant to</w:t>
      </w:r>
      <w:r w:rsidR="008C33DF">
        <w:t xml:space="preserve"> </w:t>
      </w:r>
      <w:r w:rsidR="00C41A84">
        <w:t>M.G.L. c. 30A, § 10(2)</w:t>
      </w:r>
      <w:r w:rsidR="004341F6">
        <w:t>.</w:t>
      </w:r>
      <w:r w:rsidR="00C41A84">
        <w:t xml:space="preserve"> </w:t>
      </w:r>
      <w:r w:rsidR="00D50062">
        <w:t xml:space="preserve"> </w:t>
      </w:r>
    </w:p>
    <w:p w14:paraId="6ED9BC67" w14:textId="37A5913B" w:rsidR="00D50062" w:rsidRDefault="008C33DF" w:rsidP="00D50062">
      <w:pPr>
        <w:spacing w:line="480" w:lineRule="auto"/>
        <w:ind w:firstLine="720"/>
      </w:pPr>
      <w:r w:rsidRPr="001217ED">
        <w:t xml:space="preserve">After full consideration </w:t>
      </w:r>
      <w:r>
        <w:t>of th</w:t>
      </w:r>
      <w:r w:rsidR="00C41A84">
        <w:t>e</w:t>
      </w:r>
      <w:r w:rsidRPr="001217ED">
        <w:t xml:space="preserve"> Recommended Decision, which is attached hereto and incorporated by </w:t>
      </w:r>
      <w:r>
        <w:t>reference</w:t>
      </w:r>
      <w:r w:rsidR="00456B65">
        <w:t xml:space="preserve">, </w:t>
      </w:r>
      <w:r>
        <w:t>the Board adopts the R</w:t>
      </w:r>
      <w:r w:rsidRPr="001217ED">
        <w:t>ecommended Decision, amending it</w:t>
      </w:r>
      <w:r w:rsidR="004341F6">
        <w:t xml:space="preserve"> to incorporate as findings of fact the allegations in the </w:t>
      </w:r>
      <w:r w:rsidR="005427C4">
        <w:t>SOA</w:t>
      </w:r>
      <w:r w:rsidR="00606C36">
        <w:t xml:space="preserve"> which have been deemed to be proven </w:t>
      </w:r>
      <w:r w:rsidR="00606C36">
        <w:lastRenderedPageBreak/>
        <w:t>on the basis of the default</w:t>
      </w:r>
      <w:r w:rsidR="004341F6" w:rsidRPr="00D50062">
        <w:rPr>
          <w:i/>
          <w:iCs/>
        </w:rPr>
        <w:t xml:space="preserve">.  </w:t>
      </w:r>
      <w:r w:rsidR="00606C36" w:rsidRPr="00CA0F2E">
        <w:rPr>
          <w:u w:val="single"/>
        </w:rPr>
        <w:t>See</w:t>
      </w:r>
      <w:r w:rsidR="00606C36" w:rsidRPr="00D50062">
        <w:rPr>
          <w:i/>
          <w:iCs/>
        </w:rPr>
        <w:t xml:space="preserve"> </w:t>
      </w:r>
      <w:proofErr w:type="spellStart"/>
      <w:r w:rsidR="005427C4" w:rsidRPr="00D50062">
        <w:rPr>
          <w:u w:val="single"/>
        </w:rPr>
        <w:t>Danca</w:t>
      </w:r>
      <w:proofErr w:type="spellEnd"/>
      <w:r w:rsidR="005427C4" w:rsidRPr="00D50062">
        <w:rPr>
          <w:u w:val="single"/>
        </w:rPr>
        <w:t xml:space="preserve"> Corp. v. Raytheon Co.</w:t>
      </w:r>
      <w:r w:rsidR="005427C4">
        <w:t>, 28 Mass. App. Ct. 942, 943, 550 N.E.2d 402, 403 (1990).</w:t>
      </w:r>
      <w:r w:rsidRPr="001217ED">
        <w:t> </w:t>
      </w:r>
    </w:p>
    <w:p w14:paraId="7904A014" w14:textId="3199A849" w:rsidR="008727AC" w:rsidRPr="008727AC" w:rsidRDefault="008727AC" w:rsidP="00D50062">
      <w:pPr>
        <w:spacing w:line="480" w:lineRule="auto"/>
        <w:jc w:val="center"/>
        <w:rPr>
          <w:rFonts w:eastAsiaTheme="minorHAnsi"/>
          <w:u w:val="single"/>
        </w:rPr>
      </w:pPr>
      <w:r w:rsidRPr="008727AC">
        <w:rPr>
          <w:rFonts w:eastAsiaTheme="minorHAnsi"/>
          <w:u w:val="single"/>
        </w:rPr>
        <w:t>Conclusions of Law</w:t>
      </w:r>
    </w:p>
    <w:p w14:paraId="417E07CA" w14:textId="77777777" w:rsidR="008727AC" w:rsidRPr="008727AC" w:rsidRDefault="008727AC" w:rsidP="00D50062">
      <w:pPr>
        <w:ind w:firstLine="720"/>
        <w:rPr>
          <w:rFonts w:eastAsiaTheme="minorHAnsi"/>
        </w:rPr>
      </w:pPr>
    </w:p>
    <w:p w14:paraId="1AFDB936" w14:textId="36FF7788" w:rsidR="008727AC" w:rsidRPr="008727AC" w:rsidRDefault="005427C4" w:rsidP="00D50062">
      <w:pPr>
        <w:spacing w:line="480" w:lineRule="auto"/>
        <w:ind w:firstLine="720"/>
        <w:rPr>
          <w:rFonts w:eastAsiaTheme="minorHAnsi"/>
        </w:rPr>
      </w:pPr>
      <w:r>
        <w:rPr>
          <w:rFonts w:eastAsiaTheme="minorHAnsi"/>
        </w:rPr>
        <w:t>In the Order of Default and Recommended Decision</w:t>
      </w:r>
      <w:r w:rsidR="008727AC" w:rsidRPr="008727AC">
        <w:rPr>
          <w:rFonts w:eastAsiaTheme="minorHAnsi"/>
        </w:rPr>
        <w:t xml:space="preserve">, the Magistrate made no determinations as to Conclusions of Law. </w:t>
      </w:r>
      <w:r>
        <w:rPr>
          <w:rFonts w:eastAsiaTheme="minorHAnsi"/>
        </w:rPr>
        <w:t xml:space="preserve"> </w:t>
      </w:r>
      <w:r w:rsidR="008727AC" w:rsidRPr="008727AC">
        <w:rPr>
          <w:rFonts w:eastAsiaTheme="minorHAnsi"/>
        </w:rPr>
        <w:t>Based upon the facts set out in the SOA</w:t>
      </w:r>
      <w:r>
        <w:rPr>
          <w:rFonts w:eastAsiaTheme="minorHAnsi"/>
        </w:rPr>
        <w:t xml:space="preserve">, </w:t>
      </w:r>
      <w:r w:rsidRPr="00D50062">
        <w:rPr>
          <w:rFonts w:eastAsiaTheme="minorHAnsi"/>
          <w:i/>
          <w:iCs/>
        </w:rPr>
        <w:t>see</w:t>
      </w:r>
      <w:r w:rsidRPr="00D50062">
        <w:rPr>
          <w:i/>
          <w:iCs/>
        </w:rPr>
        <w:t xml:space="preserve"> </w:t>
      </w:r>
      <w:r w:rsidRPr="00D50062">
        <w:rPr>
          <w:u w:val="single"/>
        </w:rPr>
        <w:t>Lawless v. Bd. of Registration in Pharmacy</w:t>
      </w:r>
      <w:r>
        <w:t>, 466 Mass. 1010, 1011–12, 996 N.E.2d 878, 880 (2013),</w:t>
      </w:r>
      <w:r w:rsidR="00D50062">
        <w:t xml:space="preserve"> </w:t>
      </w:r>
      <w:r w:rsidR="008727AC" w:rsidRPr="008727AC">
        <w:rPr>
          <w:rFonts w:eastAsiaTheme="minorHAnsi"/>
        </w:rPr>
        <w:t>the Board make</w:t>
      </w:r>
      <w:r>
        <w:rPr>
          <w:rFonts w:eastAsiaTheme="minorHAnsi"/>
        </w:rPr>
        <w:t>s</w:t>
      </w:r>
      <w:r w:rsidR="008727AC" w:rsidRPr="008727AC">
        <w:rPr>
          <w:rFonts w:eastAsiaTheme="minorHAnsi"/>
        </w:rPr>
        <w:t xml:space="preserve"> </w:t>
      </w:r>
      <w:r w:rsidR="00B349DC">
        <w:rPr>
          <w:rFonts w:eastAsiaTheme="minorHAnsi"/>
        </w:rPr>
        <w:t xml:space="preserve">the following </w:t>
      </w:r>
      <w:r w:rsidR="008727AC" w:rsidRPr="008727AC">
        <w:rPr>
          <w:rFonts w:eastAsiaTheme="minorHAnsi"/>
        </w:rPr>
        <w:t>Conclusions of Law</w:t>
      </w:r>
      <w:r w:rsidR="00B349DC">
        <w:rPr>
          <w:rFonts w:eastAsiaTheme="minorHAnsi"/>
        </w:rPr>
        <w:t>:</w:t>
      </w:r>
      <w:r w:rsidR="008727AC" w:rsidRPr="008727AC">
        <w:rPr>
          <w:rFonts w:eastAsiaTheme="minorHAnsi"/>
        </w:rPr>
        <w:t xml:space="preserve"> </w:t>
      </w:r>
    </w:p>
    <w:p w14:paraId="54EA0A49" w14:textId="77777777" w:rsidR="00E230A4" w:rsidRDefault="00E230A4" w:rsidP="00E230A4">
      <w:pPr>
        <w:pStyle w:val="le-brm-normal-32-level"/>
        <w:numPr>
          <w:ilvl w:val="0"/>
          <w:numId w:val="21"/>
        </w:numPr>
        <w:spacing w:before="0" w:after="0" w:line="480" w:lineRule="auto"/>
        <w:rPr>
          <w:rFonts w:ascii="Times New Roman" w:hAnsi="Times New Roman"/>
          <w:sz w:val="24"/>
          <w:szCs w:val="24"/>
        </w:rPr>
      </w:pPr>
      <w:r>
        <w:rPr>
          <w:rFonts w:ascii="Times New Roman" w:hAnsi="Times New Roman"/>
          <w:sz w:val="24"/>
          <w:szCs w:val="24"/>
        </w:rPr>
        <w:t xml:space="preserve">The Respondent has violated G.L. c. 112, § 5, eighth par. (c) and 243 CMR 1.03(5)(a)3 by engaging in conduct that places into question the Respondent’s competence to practice medicine, including but not limited to gross misconduct in the practice of medicine or practicing medicine fraudulently, or beyond its scope or with gross incompetence, or with gross negligence or with negligence on repeated occasions; </w:t>
      </w:r>
    </w:p>
    <w:p w14:paraId="31996E02" w14:textId="16EF1B27" w:rsidR="00E230A4" w:rsidRDefault="00E230A4" w:rsidP="00E230A4">
      <w:pPr>
        <w:pStyle w:val="le-brm-normal-32-level"/>
        <w:numPr>
          <w:ilvl w:val="0"/>
          <w:numId w:val="21"/>
        </w:numPr>
        <w:spacing w:before="0" w:after="0" w:line="480" w:lineRule="auto"/>
        <w:rPr>
          <w:rFonts w:ascii="Times New Roman" w:hAnsi="Times New Roman"/>
          <w:sz w:val="24"/>
          <w:szCs w:val="24"/>
        </w:rPr>
      </w:pPr>
      <w:r w:rsidRPr="00AA1F6F">
        <w:rPr>
          <w:rFonts w:ascii="Times New Roman" w:hAnsi="Times New Roman"/>
          <w:sz w:val="24"/>
          <w:szCs w:val="24"/>
        </w:rPr>
        <w:t>The Respondent has violated G.L. c. 112, § 5, eighth par. (b) and 243 CMR 1.03(5)(a)11 by committing an offense against any provision of the laws of the Commonwealth relating to the practice of medicine, or any rule or regulation adopted thereunder, to wit:</w:t>
      </w:r>
    </w:p>
    <w:p w14:paraId="661E143F" w14:textId="5EBFA601" w:rsidR="00E230A4" w:rsidRDefault="003C412B" w:rsidP="00E230A4">
      <w:pPr>
        <w:pStyle w:val="le-brm-normal-32-level"/>
        <w:numPr>
          <w:ilvl w:val="1"/>
          <w:numId w:val="21"/>
        </w:numPr>
        <w:spacing w:before="0" w:after="0" w:line="480" w:lineRule="auto"/>
        <w:rPr>
          <w:rFonts w:ascii="Times New Roman" w:hAnsi="Times New Roman"/>
          <w:sz w:val="24"/>
          <w:szCs w:val="24"/>
        </w:rPr>
      </w:pPr>
      <w:r>
        <w:rPr>
          <w:rFonts w:ascii="Times New Roman" w:hAnsi="Times New Roman"/>
          <w:sz w:val="24"/>
          <w:szCs w:val="24"/>
        </w:rPr>
        <w:t>105 CMR 700.012 (G)</w:t>
      </w:r>
      <w:r w:rsidR="004D7683">
        <w:rPr>
          <w:rStyle w:val="FootnoteReference"/>
          <w:rFonts w:ascii="Times New Roman" w:hAnsi="Times New Roman"/>
          <w:sz w:val="24"/>
          <w:szCs w:val="24"/>
        </w:rPr>
        <w:footnoteReference w:id="1"/>
      </w:r>
      <w:r w:rsidR="00E230A4">
        <w:rPr>
          <w:rFonts w:ascii="Times New Roman" w:hAnsi="Times New Roman"/>
          <w:sz w:val="24"/>
          <w:szCs w:val="24"/>
        </w:rPr>
        <w:t xml:space="preserve"> as </w:t>
      </w:r>
      <w:r w:rsidR="004D7683">
        <w:rPr>
          <w:rFonts w:ascii="Times New Roman" w:hAnsi="Times New Roman"/>
          <w:sz w:val="24"/>
          <w:szCs w:val="24"/>
        </w:rPr>
        <w:t xml:space="preserve">it </w:t>
      </w:r>
      <w:r w:rsidR="00E230A4">
        <w:rPr>
          <w:rFonts w:ascii="Times New Roman" w:hAnsi="Times New Roman"/>
          <w:sz w:val="24"/>
          <w:szCs w:val="24"/>
        </w:rPr>
        <w:t>pertain</w:t>
      </w:r>
      <w:r w:rsidR="004D7683">
        <w:rPr>
          <w:rFonts w:ascii="Times New Roman" w:hAnsi="Times New Roman"/>
          <w:sz w:val="24"/>
          <w:szCs w:val="24"/>
        </w:rPr>
        <w:t>s</w:t>
      </w:r>
      <w:r w:rsidR="00E230A4">
        <w:rPr>
          <w:rFonts w:ascii="Times New Roman" w:hAnsi="Times New Roman"/>
          <w:sz w:val="24"/>
          <w:szCs w:val="24"/>
        </w:rPr>
        <w:t xml:space="preserve"> to mandatory review of the </w:t>
      </w:r>
      <w:proofErr w:type="spellStart"/>
      <w:r w:rsidR="00E230A4">
        <w:rPr>
          <w:rFonts w:ascii="Times New Roman" w:hAnsi="Times New Roman"/>
          <w:sz w:val="24"/>
          <w:szCs w:val="24"/>
        </w:rPr>
        <w:t>MassPAT</w:t>
      </w:r>
      <w:proofErr w:type="spellEnd"/>
      <w:r w:rsidR="00E230A4">
        <w:rPr>
          <w:rFonts w:ascii="Times New Roman" w:hAnsi="Times New Roman"/>
          <w:sz w:val="24"/>
          <w:szCs w:val="24"/>
        </w:rPr>
        <w:t xml:space="preserve"> system for issuance of certain prescriptions.</w:t>
      </w:r>
    </w:p>
    <w:p w14:paraId="2AFBA6B4" w14:textId="77777777" w:rsidR="00E230A4" w:rsidRPr="00AA1F6F" w:rsidRDefault="00E230A4" w:rsidP="00E230A4">
      <w:pPr>
        <w:pStyle w:val="le-brm-normal-32-level"/>
        <w:numPr>
          <w:ilvl w:val="1"/>
          <w:numId w:val="21"/>
        </w:numPr>
        <w:spacing w:before="0" w:after="0" w:line="480" w:lineRule="auto"/>
        <w:rPr>
          <w:rFonts w:ascii="Times New Roman" w:hAnsi="Times New Roman"/>
          <w:sz w:val="24"/>
          <w:szCs w:val="24"/>
        </w:rPr>
      </w:pPr>
      <w:r>
        <w:rPr>
          <w:rFonts w:ascii="Times New Roman" w:hAnsi="Times New Roman"/>
          <w:sz w:val="24"/>
          <w:szCs w:val="24"/>
        </w:rPr>
        <w:t>Board Policy Number 01-01 on “Disruptive Physician Behavior.”</w:t>
      </w:r>
    </w:p>
    <w:p w14:paraId="13371DDC" w14:textId="77777777" w:rsidR="00E230A4" w:rsidRPr="00AA1F6F" w:rsidRDefault="00E230A4" w:rsidP="00E230A4">
      <w:pPr>
        <w:pStyle w:val="le-brm-normal-32-level"/>
        <w:numPr>
          <w:ilvl w:val="0"/>
          <w:numId w:val="21"/>
        </w:numPr>
        <w:spacing w:before="0" w:after="0" w:line="480" w:lineRule="auto"/>
        <w:rPr>
          <w:rFonts w:ascii="Times New Roman" w:hAnsi="Times New Roman"/>
          <w:sz w:val="24"/>
          <w:szCs w:val="24"/>
        </w:rPr>
      </w:pPr>
      <w:r w:rsidRPr="00AA1F6F">
        <w:rPr>
          <w:rFonts w:ascii="Times New Roman" w:hAnsi="Times New Roman"/>
          <w:sz w:val="24"/>
          <w:szCs w:val="24"/>
        </w:rPr>
        <w:lastRenderedPageBreak/>
        <w:t>The Respondent has violated 243 CMR 1.03(5)(a)16 by failing to respond to a subpoena or to furnish the Board, its investigators or representatives, documents, information or testimony to which the Board is legally entitled.</w:t>
      </w:r>
    </w:p>
    <w:p w14:paraId="44814BED" w14:textId="77777777" w:rsidR="00E230A4" w:rsidRDefault="00E230A4" w:rsidP="00E230A4">
      <w:pPr>
        <w:pStyle w:val="le-brm-normal-32-level"/>
        <w:numPr>
          <w:ilvl w:val="0"/>
          <w:numId w:val="21"/>
        </w:numPr>
        <w:spacing w:before="0" w:after="0" w:line="480" w:lineRule="auto"/>
        <w:rPr>
          <w:rFonts w:ascii="Times New Roman" w:hAnsi="Times New Roman"/>
          <w:sz w:val="24"/>
          <w:szCs w:val="24"/>
        </w:rPr>
      </w:pPr>
      <w:r>
        <w:rPr>
          <w:rFonts w:ascii="Times New Roman" w:hAnsi="Times New Roman"/>
          <w:sz w:val="24"/>
          <w:szCs w:val="24"/>
        </w:rPr>
        <w:t xml:space="preserve">The Respondent has violated 243 CMR 1.03(5)(a)18 by committing misconduct in the practice of medicine; and </w:t>
      </w:r>
    </w:p>
    <w:p w14:paraId="2F4A961F" w14:textId="77777777" w:rsidR="00E230A4" w:rsidRDefault="00E230A4" w:rsidP="00E230A4">
      <w:pPr>
        <w:pStyle w:val="le-brm-normal-32-level"/>
        <w:numPr>
          <w:ilvl w:val="0"/>
          <w:numId w:val="21"/>
        </w:numPr>
        <w:spacing w:before="0" w:after="0" w:line="480" w:lineRule="auto"/>
        <w:rPr>
          <w:rFonts w:ascii="Times New Roman" w:hAnsi="Times New Roman"/>
          <w:sz w:val="24"/>
          <w:szCs w:val="24"/>
        </w:rPr>
      </w:pPr>
      <w:r>
        <w:rPr>
          <w:rFonts w:ascii="Times New Roman" w:hAnsi="Times New Roman"/>
          <w:sz w:val="24"/>
          <w:szCs w:val="24"/>
        </w:rPr>
        <w:t xml:space="preserve">The Respondent has engaged in conduct that undermines the public confidence in the integrity of the medical profession, pursuant to </w:t>
      </w:r>
      <w:r w:rsidRPr="00A9241A">
        <w:rPr>
          <w:rFonts w:ascii="Times New Roman" w:hAnsi="Times New Roman"/>
          <w:sz w:val="24"/>
          <w:szCs w:val="24"/>
          <w:u w:val="single"/>
        </w:rPr>
        <w:t>Levy v. Board of Registration in Medicine</w:t>
      </w:r>
      <w:r>
        <w:rPr>
          <w:rFonts w:ascii="Times New Roman" w:hAnsi="Times New Roman"/>
          <w:sz w:val="24"/>
          <w:szCs w:val="24"/>
        </w:rPr>
        <w:t xml:space="preserve">, 378 Mass. 519 (1979) and </w:t>
      </w:r>
      <w:r w:rsidRPr="00A9241A">
        <w:rPr>
          <w:rFonts w:ascii="Times New Roman" w:hAnsi="Times New Roman"/>
          <w:sz w:val="24"/>
          <w:szCs w:val="24"/>
          <w:u w:val="single"/>
        </w:rPr>
        <w:t>Raymond v. Board of Registration in Medicine</w:t>
      </w:r>
      <w:r>
        <w:rPr>
          <w:rFonts w:ascii="Times New Roman" w:hAnsi="Times New Roman"/>
          <w:sz w:val="24"/>
          <w:szCs w:val="24"/>
        </w:rPr>
        <w:t>, 387 Mass. 708 (1982).</w:t>
      </w:r>
    </w:p>
    <w:p w14:paraId="0C9771D7" w14:textId="3C9C7775" w:rsidR="008C33DF" w:rsidRDefault="00C128B4" w:rsidP="003A01E2">
      <w:pPr>
        <w:tabs>
          <w:tab w:val="left" w:pos="0"/>
        </w:tabs>
        <w:spacing w:after="200" w:line="480" w:lineRule="auto"/>
        <w:contextualSpacing/>
        <w:jc w:val="center"/>
      </w:pPr>
      <w:r>
        <w:rPr>
          <w:u w:val="single"/>
        </w:rPr>
        <w:t xml:space="preserve">Discussion and </w:t>
      </w:r>
      <w:r w:rsidR="008C33DF" w:rsidRPr="00456B65">
        <w:rPr>
          <w:u w:val="single"/>
        </w:rPr>
        <w:t>Sanction</w:t>
      </w:r>
    </w:p>
    <w:p w14:paraId="28F70997" w14:textId="5664C9ED" w:rsidR="00DC573C" w:rsidRDefault="008C33DF" w:rsidP="00C70482">
      <w:pPr>
        <w:spacing w:line="480" w:lineRule="auto"/>
      </w:pPr>
      <w:r>
        <w:tab/>
      </w:r>
      <w:r w:rsidR="00DC573C">
        <w:t xml:space="preserve">The Respondent’s failure to respond to </w:t>
      </w:r>
      <w:r w:rsidR="00C00F70">
        <w:t>the S</w:t>
      </w:r>
      <w:r w:rsidR="0091226F">
        <w:t>OA</w:t>
      </w:r>
      <w:r w:rsidR="00C00F70">
        <w:t xml:space="preserve">, to </w:t>
      </w:r>
      <w:r w:rsidR="00C00F70" w:rsidRPr="008C33DF">
        <w:t xml:space="preserve">appear for </w:t>
      </w:r>
      <w:r w:rsidR="00C00F70">
        <w:t>a</w:t>
      </w:r>
      <w:r w:rsidR="00C00F70" w:rsidRPr="008C33DF">
        <w:t xml:space="preserve"> scheduled </w:t>
      </w:r>
      <w:r w:rsidR="003A01E2">
        <w:t>pre</w:t>
      </w:r>
      <w:r w:rsidR="00C00F70" w:rsidRPr="008C33DF">
        <w:t>hearing</w:t>
      </w:r>
      <w:r w:rsidR="00C00F70">
        <w:t xml:space="preserve"> at DALA</w:t>
      </w:r>
      <w:r w:rsidR="00C00F70" w:rsidRPr="008C33DF">
        <w:t xml:space="preserve">, </w:t>
      </w:r>
      <w:r w:rsidR="00C70482">
        <w:t xml:space="preserve">and </w:t>
      </w:r>
      <w:r w:rsidR="00C00F70">
        <w:t xml:space="preserve">to </w:t>
      </w:r>
      <w:r w:rsidR="00972698">
        <w:t>respond to the Order to Show Cause</w:t>
      </w:r>
      <w:r w:rsidR="00C00F70">
        <w:t xml:space="preserve"> </w:t>
      </w:r>
      <w:r w:rsidR="00DC573C">
        <w:t>in connection with this action demonstrate h</w:t>
      </w:r>
      <w:r w:rsidR="001A5C95">
        <w:t>is</w:t>
      </w:r>
      <w:r w:rsidR="00DC573C">
        <w:t xml:space="preserve"> utter disregard for the Board’s statutory mandate. </w:t>
      </w:r>
      <w:r w:rsidR="00C70482">
        <w:t xml:space="preserve"> </w:t>
      </w:r>
      <w:r w:rsidR="00DC573C">
        <w:t xml:space="preserve">In order for the Board to fulfill its mission to protect the public, a physician’s cooperation is essential.  By failing to respond to the serious allegations against </w:t>
      </w:r>
      <w:r w:rsidR="00C00F70">
        <w:t>h</w:t>
      </w:r>
      <w:r w:rsidR="00972698">
        <w:t>im</w:t>
      </w:r>
      <w:r w:rsidR="00DC573C">
        <w:t xml:space="preserve">, the Respondent hindered the Board’s efforts to fulfill its mission.  </w:t>
      </w:r>
      <w:r w:rsidR="00DC573C" w:rsidRPr="00504015">
        <w:rPr>
          <w:u w:val="single"/>
        </w:rPr>
        <w:t>See</w:t>
      </w:r>
      <w:r w:rsidR="00DC573C">
        <w:t xml:space="preserve"> </w:t>
      </w:r>
      <w:r w:rsidR="00DC573C" w:rsidRPr="00C70482">
        <w:rPr>
          <w:iCs/>
          <w:u w:val="single"/>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14:paraId="118FC6B6" w14:textId="78902FDC" w:rsidR="00717C7C" w:rsidRDefault="00717C7C" w:rsidP="00717C7C">
      <w:pPr>
        <w:tabs>
          <w:tab w:val="left" w:pos="0"/>
        </w:tabs>
        <w:spacing w:line="480" w:lineRule="auto"/>
      </w:pPr>
      <w:bookmarkStart w:id="0" w:name="_Hlk125544561"/>
      <w:r>
        <w:tab/>
      </w:r>
      <w:bookmarkStart w:id="1" w:name="_Hlk125544679"/>
      <w:r>
        <w:t xml:space="preserve">The Board has historically imposed license revocation when there is a determination of default.  </w:t>
      </w:r>
      <w:r w:rsidRPr="00F7794D">
        <w:rPr>
          <w:u w:val="single"/>
        </w:rPr>
        <w:t>See</w:t>
      </w:r>
      <w:r>
        <w:t xml:space="preserve"> </w:t>
      </w:r>
      <w:r w:rsidRPr="00F7794D">
        <w:rPr>
          <w:u w:val="single"/>
        </w:rPr>
        <w:t>In the Matter of Paul M. Willette, M.D.</w:t>
      </w:r>
      <w:r>
        <w:t xml:space="preserve">, Board of Registration in Medicine, Adjudicatory Case No. 2017-035 (Final Decision and Order, September 13, 2018)(revocation for </w:t>
      </w:r>
      <w:r>
        <w:lastRenderedPageBreak/>
        <w:t xml:space="preserve">physician whose license was revoked in New Mexico for failure to provide emergency care, for fraudulent medical records and billing for services never rendered, being disruptive with staff, and failure to access prescription monitoring reports for 8-10 patients); </w:t>
      </w:r>
      <w:r w:rsidRPr="00F7794D">
        <w:rPr>
          <w:u w:val="single"/>
        </w:rPr>
        <w:t>In the Matter of Christopher D. Owens, M.D.</w:t>
      </w:r>
      <w:r>
        <w:t xml:space="preserve">, Board of Registration in Medicine, Adjudicatory Case No. 2017-031 (Final Decision and Order, April 25, 2018)(revocation for physician whose license was revoked in California for prescribing controlled substances to non-patients who the physician knew suffered from substance abuse disorders and for fraudulent prescribing); </w:t>
      </w:r>
      <w:r w:rsidRPr="00F7794D">
        <w:rPr>
          <w:u w:val="single"/>
        </w:rPr>
        <w:t>In the Matter of John E. Strobeck, M.D.</w:t>
      </w:r>
      <w:r>
        <w:t xml:space="preserve">, Board of Registration in Medicine, Adjudicatory Case No. 2017-044 (Final Decision and Order, April 25, 2018)(revocation for physician who surrendered his license in New Jersey for improper and inappropriate sexual contact with six female patients).  </w:t>
      </w:r>
      <w:bookmarkEnd w:id="1"/>
      <w:r>
        <w:t xml:space="preserve">In these </w:t>
      </w:r>
      <w:r w:rsidR="00993073">
        <w:t xml:space="preserve">types of </w:t>
      </w:r>
      <w:r>
        <w:t xml:space="preserve">cases, the Board </w:t>
      </w:r>
      <w:r w:rsidR="00993073">
        <w:t>has highlighted a physician’s</w:t>
      </w:r>
      <w:r>
        <w:t xml:space="preserve"> </w:t>
      </w:r>
      <w:r w:rsidR="00993073">
        <w:t xml:space="preserve">“disregard for both the integrity of his profession and the authority of the Commonwealth.”  </w:t>
      </w:r>
      <w:r w:rsidR="00993073" w:rsidRPr="00993073">
        <w:rPr>
          <w:u w:val="single"/>
        </w:rPr>
        <w:t>See</w:t>
      </w:r>
      <w:r w:rsidR="00993073">
        <w:t xml:space="preserve"> </w:t>
      </w:r>
      <w:r w:rsidR="00993073" w:rsidRPr="00993073">
        <w:rPr>
          <w:u w:val="single"/>
        </w:rPr>
        <w:t>In the Matter of R. T. Moody, M.D.</w:t>
      </w:r>
      <w:r w:rsidR="00993073">
        <w:t xml:space="preserve">, Board of Registration in Medicine, Adjudicatory Case No., 2008-049 (Final Decision and Order, February 24, 2010).  </w:t>
      </w:r>
    </w:p>
    <w:bookmarkEnd w:id="0"/>
    <w:p w14:paraId="0F881B90" w14:textId="7DAE092F" w:rsidR="00717C7C" w:rsidRDefault="00717C7C" w:rsidP="00717C7C">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As to the acts of misconduct leading to the issuance of the SOA, the Respondent’s admissions include his failure to check </w:t>
      </w:r>
      <w:proofErr w:type="spellStart"/>
      <w:r>
        <w:rPr>
          <w:rFonts w:ascii="Times New Roman" w:hAnsi="Times New Roman"/>
          <w:sz w:val="24"/>
          <w:szCs w:val="24"/>
        </w:rPr>
        <w:t>MassPAT</w:t>
      </w:r>
      <w:proofErr w:type="spellEnd"/>
      <w:r>
        <w:rPr>
          <w:rFonts w:ascii="Times New Roman" w:hAnsi="Times New Roman"/>
          <w:sz w:val="24"/>
          <w:szCs w:val="24"/>
        </w:rPr>
        <w:t xml:space="preserve"> before prescribing controlled substances to his patients, beginning in July 2021.  When the Board </w:t>
      </w:r>
      <w:r w:rsidR="00F160AD">
        <w:rPr>
          <w:rFonts w:ascii="Times New Roman" w:hAnsi="Times New Roman"/>
          <w:sz w:val="24"/>
          <w:szCs w:val="24"/>
        </w:rPr>
        <w:t>finds</w:t>
      </w:r>
      <w:r>
        <w:rPr>
          <w:rFonts w:ascii="Times New Roman" w:hAnsi="Times New Roman"/>
          <w:sz w:val="24"/>
          <w:szCs w:val="24"/>
        </w:rPr>
        <w:t xml:space="preserve"> negligence on repeated occasions, sanctions have tended towards a suspension, with leave to petition for a stay following completion of additional training or a period of supervised practice.  </w:t>
      </w:r>
      <w:r w:rsidRPr="0032358D">
        <w:rPr>
          <w:rFonts w:ascii="Times New Roman" w:hAnsi="Times New Roman"/>
          <w:sz w:val="24"/>
          <w:szCs w:val="24"/>
          <w:u w:val="single"/>
        </w:rPr>
        <w:t>See</w:t>
      </w:r>
      <w:r w:rsidRPr="0032358D">
        <w:rPr>
          <w:rFonts w:ascii="Times New Roman" w:hAnsi="Times New Roman"/>
          <w:i/>
          <w:sz w:val="24"/>
          <w:szCs w:val="24"/>
        </w:rPr>
        <w:t xml:space="preserve"> </w:t>
      </w:r>
      <w:r w:rsidRPr="002F0DF6">
        <w:rPr>
          <w:rFonts w:ascii="Times New Roman" w:hAnsi="Times New Roman"/>
          <w:sz w:val="24"/>
          <w:szCs w:val="24"/>
          <w:u w:val="single"/>
        </w:rPr>
        <w:t xml:space="preserve">In the Matter of Barry J. </w:t>
      </w:r>
      <w:proofErr w:type="spellStart"/>
      <w:r w:rsidRPr="002F0DF6">
        <w:rPr>
          <w:rFonts w:ascii="Times New Roman" w:hAnsi="Times New Roman"/>
          <w:sz w:val="24"/>
          <w:szCs w:val="24"/>
          <w:u w:val="single"/>
        </w:rPr>
        <w:t>Lobovits</w:t>
      </w:r>
      <w:proofErr w:type="spellEnd"/>
      <w:r w:rsidRPr="002F0DF6">
        <w:rPr>
          <w:rFonts w:ascii="Times New Roman" w:hAnsi="Times New Roman"/>
          <w:sz w:val="24"/>
          <w:szCs w:val="24"/>
          <w:u w:val="single"/>
        </w:rPr>
        <w:t>, M.D.</w:t>
      </w:r>
      <w:r>
        <w:rPr>
          <w:rFonts w:ascii="Times New Roman" w:hAnsi="Times New Roman"/>
          <w:sz w:val="24"/>
          <w:szCs w:val="24"/>
        </w:rPr>
        <w:t xml:space="preserve">, Board of Registration in Medicine, Adjudicatory Case No. 2013-026 (Final Decision and Order, May 14, 2014) (indefinite suspension for negligence involving 24 patients); </w:t>
      </w:r>
      <w:r w:rsidRPr="007B141D">
        <w:rPr>
          <w:rFonts w:ascii="Times New Roman" w:hAnsi="Times New Roman"/>
          <w:sz w:val="24"/>
          <w:szCs w:val="24"/>
          <w:u w:val="single"/>
        </w:rPr>
        <w:t xml:space="preserve">In the Matter N. Raj </w:t>
      </w:r>
      <w:proofErr w:type="spellStart"/>
      <w:r w:rsidRPr="007B141D">
        <w:rPr>
          <w:rFonts w:ascii="Times New Roman" w:hAnsi="Times New Roman"/>
          <w:sz w:val="24"/>
          <w:szCs w:val="24"/>
          <w:u w:val="single"/>
        </w:rPr>
        <w:t>Birudavol</w:t>
      </w:r>
      <w:proofErr w:type="spellEnd"/>
      <w:r w:rsidRPr="007B141D">
        <w:rPr>
          <w:rFonts w:ascii="Times New Roman" w:hAnsi="Times New Roman"/>
          <w:sz w:val="24"/>
          <w:szCs w:val="24"/>
          <w:u w:val="single"/>
        </w:rPr>
        <w:t>, M.D.</w:t>
      </w:r>
      <w:r w:rsidRPr="0032358D">
        <w:rPr>
          <w:rFonts w:ascii="Times New Roman" w:hAnsi="Times New Roman"/>
          <w:sz w:val="24"/>
          <w:szCs w:val="24"/>
        </w:rPr>
        <w:t>, Board of Registration in Medicine, Adjudicatory Case No. 02-16-DALA (Final</w:t>
      </w:r>
      <w:r>
        <w:rPr>
          <w:rFonts w:ascii="Times New Roman" w:hAnsi="Times New Roman"/>
          <w:sz w:val="24"/>
          <w:szCs w:val="24"/>
        </w:rPr>
        <w:t xml:space="preserve"> Decision &amp; Order, January 18, 2006</w:t>
      </w:r>
      <w:r w:rsidRPr="0032358D">
        <w:rPr>
          <w:rFonts w:ascii="Times New Roman" w:hAnsi="Times New Roman"/>
          <w:sz w:val="24"/>
          <w:szCs w:val="24"/>
        </w:rPr>
        <w:t>)(</w:t>
      </w:r>
      <w:r>
        <w:rPr>
          <w:rFonts w:ascii="Times New Roman" w:hAnsi="Times New Roman"/>
          <w:sz w:val="24"/>
          <w:szCs w:val="24"/>
        </w:rPr>
        <w:t xml:space="preserve">indefinite suspension for pattern of </w:t>
      </w:r>
      <w:r>
        <w:rPr>
          <w:rFonts w:ascii="Times New Roman" w:hAnsi="Times New Roman"/>
          <w:sz w:val="24"/>
          <w:szCs w:val="24"/>
        </w:rPr>
        <w:lastRenderedPageBreak/>
        <w:t xml:space="preserve">substantial deviations in medical care and treatment involving four patients).  With respect to the specific admissions concerning the Respondent’s failure to check </w:t>
      </w:r>
      <w:proofErr w:type="spellStart"/>
      <w:r>
        <w:rPr>
          <w:rFonts w:ascii="Times New Roman" w:hAnsi="Times New Roman"/>
          <w:sz w:val="24"/>
          <w:szCs w:val="24"/>
        </w:rPr>
        <w:t>MassPAT</w:t>
      </w:r>
      <w:proofErr w:type="spellEnd"/>
      <w:r>
        <w:rPr>
          <w:rFonts w:ascii="Times New Roman" w:hAnsi="Times New Roman"/>
          <w:sz w:val="24"/>
          <w:szCs w:val="24"/>
        </w:rPr>
        <w:t xml:space="preserve">, the Board recently imposed a reprimand, $2,500 fine and additional CME requirements for a physician who failed to check </w:t>
      </w:r>
      <w:proofErr w:type="spellStart"/>
      <w:r>
        <w:rPr>
          <w:rFonts w:ascii="Times New Roman" w:hAnsi="Times New Roman"/>
          <w:sz w:val="24"/>
          <w:szCs w:val="24"/>
        </w:rPr>
        <w:t>MassPAT</w:t>
      </w:r>
      <w:proofErr w:type="spellEnd"/>
      <w:r>
        <w:rPr>
          <w:rFonts w:ascii="Times New Roman" w:hAnsi="Times New Roman"/>
          <w:sz w:val="24"/>
          <w:szCs w:val="24"/>
        </w:rPr>
        <w:t xml:space="preserve"> before prescribing large quantities of benzodiazepines to his patients between May 2019 and June 2022.  </w:t>
      </w:r>
      <w:r w:rsidRPr="002E2467">
        <w:rPr>
          <w:rFonts w:ascii="Times New Roman" w:hAnsi="Times New Roman"/>
          <w:sz w:val="24"/>
          <w:szCs w:val="24"/>
          <w:u w:val="single"/>
        </w:rPr>
        <w:t>See</w:t>
      </w:r>
      <w:r>
        <w:rPr>
          <w:rFonts w:ascii="Times New Roman" w:hAnsi="Times New Roman"/>
          <w:sz w:val="24"/>
          <w:szCs w:val="24"/>
        </w:rPr>
        <w:t xml:space="preserve"> </w:t>
      </w:r>
      <w:r w:rsidRPr="002E2467">
        <w:rPr>
          <w:rFonts w:ascii="Times New Roman" w:hAnsi="Times New Roman"/>
          <w:sz w:val="24"/>
          <w:szCs w:val="24"/>
          <w:u w:val="single"/>
        </w:rPr>
        <w:t xml:space="preserve">In the Matter of Christopher R. </w:t>
      </w:r>
      <w:proofErr w:type="spellStart"/>
      <w:r w:rsidRPr="002E2467">
        <w:rPr>
          <w:rFonts w:ascii="Times New Roman" w:hAnsi="Times New Roman"/>
          <w:sz w:val="24"/>
          <w:szCs w:val="24"/>
          <w:u w:val="single"/>
        </w:rPr>
        <w:t>Keroack</w:t>
      </w:r>
      <w:proofErr w:type="spellEnd"/>
      <w:r w:rsidRPr="002E2467">
        <w:rPr>
          <w:rFonts w:ascii="Times New Roman" w:hAnsi="Times New Roman"/>
          <w:sz w:val="24"/>
          <w:szCs w:val="24"/>
          <w:u w:val="single"/>
        </w:rPr>
        <w:t>, M.D.</w:t>
      </w:r>
      <w:r>
        <w:rPr>
          <w:rFonts w:ascii="Times New Roman" w:hAnsi="Times New Roman"/>
          <w:sz w:val="24"/>
          <w:szCs w:val="24"/>
        </w:rPr>
        <w:t>, Board of Registration in Medicine, Adjudicatory Case No. 20-0179 (Consent Order, January 5, 2023).  That case also involved allegations that the physician was receiving kickbacks for the sale of compounded medications through a specialty pharmacy from which he received gratuities.</w:t>
      </w:r>
    </w:p>
    <w:p w14:paraId="62287BB4" w14:textId="009509AD" w:rsidR="00717C7C" w:rsidRDefault="00717C7C" w:rsidP="00717C7C">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In the present matter, it does not appear that a reprimand, fine and required training in prescribing and the proper use of </w:t>
      </w:r>
      <w:proofErr w:type="spellStart"/>
      <w:r>
        <w:rPr>
          <w:rFonts w:ascii="Times New Roman" w:hAnsi="Times New Roman"/>
          <w:sz w:val="24"/>
          <w:szCs w:val="24"/>
        </w:rPr>
        <w:t>MassPAT</w:t>
      </w:r>
      <w:proofErr w:type="spellEnd"/>
      <w:r>
        <w:rPr>
          <w:rFonts w:ascii="Times New Roman" w:hAnsi="Times New Roman"/>
          <w:sz w:val="24"/>
          <w:szCs w:val="24"/>
        </w:rPr>
        <w:t xml:space="preserve"> would necessarily change the Respondent’s approach to treating his patients.  Nor does it appear that a suspension with required training would allow the Respondent’s patients to be assured they were being treated in a safe manner.  The Respondent shared with Board staff that he does not find it useful to check </w:t>
      </w:r>
      <w:proofErr w:type="spellStart"/>
      <w:r>
        <w:rPr>
          <w:rFonts w:ascii="Times New Roman" w:hAnsi="Times New Roman"/>
          <w:sz w:val="24"/>
          <w:szCs w:val="24"/>
        </w:rPr>
        <w:t>MassPAT</w:t>
      </w:r>
      <w:proofErr w:type="spellEnd"/>
      <w:r>
        <w:rPr>
          <w:rFonts w:ascii="Times New Roman" w:hAnsi="Times New Roman"/>
          <w:sz w:val="24"/>
          <w:szCs w:val="24"/>
        </w:rPr>
        <w:t>, despite his knowing that this is required by regulation, and that he does not use many other conventions with addicted patients, such as controlled substances contracts and random urine screens/pill counts. This is not a situation where the physician in question is simply unaware of the reporting requirements.  He blatantly avoids taking the steps necessary to meet the standard of care in his area of specialty.  Furthermore, negligence and prescribing issues are not the sole concern here.  The Respondent acted in an unprofessional manner on more than one occasion, in violation of the Board’s Disruptive Physician Policy, made misrepresentations on his 2020 License Renewal Application, and failed to wear a mask in his office, the one exception being when he was examining a patient’s throat.</w:t>
      </w:r>
    </w:p>
    <w:p w14:paraId="20DAA508" w14:textId="1B617535" w:rsidR="00717C7C" w:rsidRDefault="00EE312E" w:rsidP="00717C7C">
      <w:pPr>
        <w:pStyle w:val="le-brm-normal-32-level"/>
        <w:spacing w:line="480" w:lineRule="auto"/>
        <w:ind w:firstLine="720"/>
      </w:pPr>
      <w:r w:rsidRPr="00EE312E">
        <w:rPr>
          <w:rFonts w:ascii="Times New Roman" w:hAnsi="Times New Roman"/>
          <w:sz w:val="24"/>
          <w:szCs w:val="24"/>
        </w:rPr>
        <w:lastRenderedPageBreak/>
        <w:t xml:space="preserve">The Board’s paramount responsibility is the protection of the public health, safety and welfare.  </w:t>
      </w:r>
      <w:r w:rsidRPr="00EE312E">
        <w:rPr>
          <w:rFonts w:ascii="Times New Roman" w:hAnsi="Times New Roman"/>
          <w:sz w:val="24"/>
          <w:szCs w:val="24"/>
          <w:u w:val="single"/>
        </w:rPr>
        <w:t>See</w:t>
      </w:r>
      <w:r w:rsidRPr="00EE312E">
        <w:rPr>
          <w:rFonts w:ascii="Times New Roman" w:hAnsi="Times New Roman"/>
          <w:sz w:val="24"/>
          <w:szCs w:val="24"/>
        </w:rPr>
        <w:t xml:space="preserve"> </w:t>
      </w:r>
      <w:r w:rsidRPr="00EE312E">
        <w:rPr>
          <w:rFonts w:ascii="Times New Roman" w:hAnsi="Times New Roman"/>
          <w:iCs/>
          <w:sz w:val="24"/>
          <w:szCs w:val="24"/>
          <w:u w:val="single"/>
        </w:rPr>
        <w:t>Levy v. Board of Registration in Medicine</w:t>
      </w:r>
      <w:r w:rsidRPr="00EE312E">
        <w:rPr>
          <w:rFonts w:ascii="Times New Roman" w:hAnsi="Times New Roman"/>
          <w:sz w:val="24"/>
          <w:szCs w:val="24"/>
        </w:rPr>
        <w:t>, 378 Mass. 519 (1979).  In light of the Respondent’s default, which hindered the Board’s efforts in its fulfillment of this responsibility, it is appropriate to impose a sanction in this matter.</w:t>
      </w:r>
      <w:r>
        <w:t xml:space="preserve"> </w:t>
      </w:r>
      <w:r w:rsidR="00717C7C" w:rsidRPr="00387111">
        <w:rPr>
          <w:rFonts w:ascii="Times New Roman" w:hAnsi="Times New Roman"/>
          <w:sz w:val="24"/>
          <w:szCs w:val="24"/>
        </w:rPr>
        <w:t xml:space="preserve">As noted above, the Board could impose a revocation based on the default alone, </w:t>
      </w:r>
      <w:r w:rsidR="00E14585">
        <w:rPr>
          <w:rFonts w:ascii="Times New Roman" w:hAnsi="Times New Roman"/>
          <w:sz w:val="24"/>
          <w:szCs w:val="24"/>
        </w:rPr>
        <w:t>before</w:t>
      </w:r>
      <w:r w:rsidR="00717C7C" w:rsidRPr="00387111">
        <w:rPr>
          <w:rFonts w:ascii="Times New Roman" w:hAnsi="Times New Roman"/>
          <w:sz w:val="24"/>
          <w:szCs w:val="24"/>
        </w:rPr>
        <w:t xml:space="preserve"> </w:t>
      </w:r>
      <w:r w:rsidR="00E14585" w:rsidRPr="00387111">
        <w:rPr>
          <w:rFonts w:ascii="Times New Roman" w:hAnsi="Times New Roman"/>
          <w:sz w:val="24"/>
          <w:szCs w:val="24"/>
        </w:rPr>
        <w:t>considering</w:t>
      </w:r>
      <w:r w:rsidR="00717C7C" w:rsidRPr="00387111">
        <w:rPr>
          <w:rFonts w:ascii="Times New Roman" w:hAnsi="Times New Roman"/>
          <w:sz w:val="24"/>
          <w:szCs w:val="24"/>
        </w:rPr>
        <w:t xml:space="preserve"> the myriad of other issues presented by the Magistrate’s Recommended Decision.  Given the foregoing, the Board </w:t>
      </w:r>
      <w:r>
        <w:rPr>
          <w:rFonts w:ascii="Times New Roman" w:hAnsi="Times New Roman"/>
          <w:sz w:val="24"/>
          <w:szCs w:val="24"/>
        </w:rPr>
        <w:t xml:space="preserve">hereby </w:t>
      </w:r>
      <w:r w:rsidR="004D7683">
        <w:rPr>
          <w:rFonts w:ascii="Times New Roman" w:hAnsi="Times New Roman"/>
          <w:b/>
          <w:bCs/>
          <w:sz w:val="24"/>
          <w:szCs w:val="24"/>
        </w:rPr>
        <w:t>REVOKES</w:t>
      </w:r>
      <w:r w:rsidR="004D7683">
        <w:rPr>
          <w:rFonts w:ascii="Times New Roman" w:hAnsi="Times New Roman"/>
          <w:sz w:val="24"/>
          <w:szCs w:val="24"/>
        </w:rPr>
        <w:t xml:space="preserve"> </w:t>
      </w:r>
      <w:r w:rsidRPr="00EE312E">
        <w:rPr>
          <w:rFonts w:ascii="Times New Roman" w:hAnsi="Times New Roman"/>
          <w:sz w:val="24"/>
          <w:szCs w:val="24"/>
        </w:rPr>
        <w:t>the Respondent’s inchoate right to renew his license to practice medicine.  This sanction is imposed for each violation of law listed in the Conclusion section and not a combination of any or all of them.</w:t>
      </w:r>
      <w:r>
        <w:t xml:space="preserve">  </w:t>
      </w:r>
    </w:p>
    <w:p w14:paraId="2583B695" w14:textId="65B62415" w:rsidR="008C33DF" w:rsidRDefault="008C33DF" w:rsidP="00581EC8">
      <w:pPr>
        <w:spacing w:after="200" w:line="480" w:lineRule="auto"/>
        <w:ind w:firstLine="720"/>
      </w:pPr>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t xml:space="preserve">he becomes associated for the duration of this revocation.  The Respondent is further directed to certify to the Board within ten (10) days that </w:t>
      </w:r>
      <w:r w:rsidR="001A5C95">
        <w:t>h</w:t>
      </w:r>
      <w:r>
        <w:t>e has complied with this directive.</w:t>
      </w:r>
    </w:p>
    <w:p w14:paraId="49002BC0" w14:textId="77777777" w:rsidR="008C33DF" w:rsidRPr="000A15F7" w:rsidRDefault="008C33DF" w:rsidP="000F3020">
      <w:pPr>
        <w:spacing w:line="480" w:lineRule="auto"/>
        <w:jc w:val="both"/>
      </w:pPr>
      <w:r w:rsidRPr="000A15F7">
        <w:lastRenderedPageBreak/>
        <w:tab/>
        <w:t xml:space="preserve">The Respondent has the right to appeal this Final Decision and Order within thirty (30) days, pursuant to G.L. c. 30A, §§14 and 15, and G.L. c. 112, § 64.      </w:t>
      </w:r>
    </w:p>
    <w:p w14:paraId="269B3261" w14:textId="77777777" w:rsidR="008C33DF" w:rsidRPr="000A15F7" w:rsidRDefault="008C33DF" w:rsidP="000F3020">
      <w:pPr>
        <w:spacing w:line="480" w:lineRule="auto"/>
        <w:jc w:val="both"/>
      </w:pPr>
    </w:p>
    <w:p w14:paraId="2AE86D9C" w14:textId="6731ADAE" w:rsidR="008C33DF" w:rsidRPr="006D59C5"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CB13B6">
        <w:rPr>
          <w:rFonts w:ascii="Times New Roman" w:hAnsi="Times New Roman" w:cs="Times New Roman"/>
          <w:color w:val="000000"/>
          <w:sz w:val="24"/>
          <w:szCs w:val="24"/>
        </w:rPr>
        <w:t>February 2, 2023</w:t>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6D59C5">
        <w:rPr>
          <w:rFonts w:ascii="Times New Roman" w:hAnsi="Times New Roman" w:cs="Times New Roman"/>
          <w:color w:val="000000"/>
          <w:sz w:val="24"/>
          <w:szCs w:val="24"/>
          <w:u w:val="single"/>
        </w:rPr>
        <w:t>Signed by Julian Robinson, M.D.</w:t>
      </w:r>
      <w:r w:rsidR="006D59C5">
        <w:rPr>
          <w:rFonts w:ascii="Times New Roman" w:hAnsi="Times New Roman" w:cs="Times New Roman"/>
          <w:color w:val="000000"/>
          <w:sz w:val="24"/>
          <w:szCs w:val="24"/>
          <w:u w:val="single"/>
        </w:rPr>
        <w:tab/>
      </w:r>
    </w:p>
    <w:p w14:paraId="31C1C041" w14:textId="32FD89A9"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B13B6">
        <w:rPr>
          <w:rFonts w:ascii="Times New Roman" w:hAnsi="Times New Roman" w:cs="Times New Roman"/>
          <w:color w:val="000000"/>
          <w:sz w:val="24"/>
          <w:szCs w:val="24"/>
        </w:rPr>
        <w:t>Julian Robinson</w:t>
      </w:r>
      <w:r w:rsidRPr="00EF31FC">
        <w:rPr>
          <w:rFonts w:ascii="Times New Roman" w:hAnsi="Times New Roman" w:cs="Times New Roman"/>
          <w:color w:val="000000"/>
          <w:sz w:val="24"/>
          <w:szCs w:val="24"/>
        </w:rPr>
        <w:t>, M.D.</w:t>
      </w:r>
    </w:p>
    <w:p w14:paraId="70F95B7F" w14:textId="77777777"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C4203E">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5169" w14:textId="77777777" w:rsidR="00B26129" w:rsidRDefault="00B26129">
      <w:r>
        <w:separator/>
      </w:r>
    </w:p>
  </w:endnote>
  <w:endnote w:type="continuationSeparator" w:id="0">
    <w:p w14:paraId="27BBD91B" w14:textId="77777777" w:rsidR="00B26129" w:rsidRDefault="00B2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694A" w14:textId="77777777" w:rsidR="00B26129" w:rsidRDefault="00B26129">
      <w:r>
        <w:separator/>
      </w:r>
    </w:p>
  </w:footnote>
  <w:footnote w:type="continuationSeparator" w:id="0">
    <w:p w14:paraId="77CF5551" w14:textId="77777777" w:rsidR="00B26129" w:rsidRDefault="00B26129">
      <w:r>
        <w:continuationSeparator/>
      </w:r>
    </w:p>
  </w:footnote>
  <w:footnote w:id="1">
    <w:p w14:paraId="68EFB92C" w14:textId="0C59DE99" w:rsidR="004D7683" w:rsidRDefault="004D7683">
      <w:pPr>
        <w:pStyle w:val="FootnoteText"/>
      </w:pPr>
      <w:r>
        <w:rPr>
          <w:rStyle w:val="FootnoteReference"/>
        </w:rPr>
        <w:footnoteRef/>
      </w:r>
      <w:r>
        <w:t xml:space="preserve"> The Board notes that the Department of Public Health was authorized pursuant to M.G.L. c. 94C, § 24A to promulgate the requirement at 105 CMR 700.012(G) that registered practitioners utilize the prescription monitoring program (MassPAT) prior to issuing certain prescriptions.  While Respondent’s alleged conduct, deemed as true would constitute a violation of both M.G.L. c. 94C, § 24A and 105 CMR 700.012(G), the Board’s conclusion of law is limited to </w:t>
      </w:r>
      <w:r w:rsidR="00C128B4">
        <w:t>105 CMR 700.012(G), as this was the only basis for discipline asserted in the SOA.  Moreover, the Board notes that the additional conclusion of law that the conduct violated M.G.L. c. 94C, § 24A would not, in this instance, have resulted in any change in the sanction imposed by the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2"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4765093">
    <w:abstractNumId w:val="7"/>
  </w:num>
  <w:num w:numId="2" w16cid:durableId="913975585">
    <w:abstractNumId w:val="22"/>
  </w:num>
  <w:num w:numId="3" w16cid:durableId="869301405">
    <w:abstractNumId w:val="13"/>
  </w:num>
  <w:num w:numId="4" w16cid:durableId="1183861992">
    <w:abstractNumId w:val="23"/>
  </w:num>
  <w:num w:numId="5" w16cid:durableId="386029188">
    <w:abstractNumId w:val="20"/>
  </w:num>
  <w:num w:numId="6" w16cid:durableId="1626034810">
    <w:abstractNumId w:val="9"/>
  </w:num>
  <w:num w:numId="7" w16cid:durableId="1786802504">
    <w:abstractNumId w:val="21"/>
  </w:num>
  <w:num w:numId="8" w16cid:durableId="1385176338">
    <w:abstractNumId w:val="4"/>
  </w:num>
  <w:num w:numId="9" w16cid:durableId="828444323">
    <w:abstractNumId w:val="12"/>
  </w:num>
  <w:num w:numId="10" w16cid:durableId="942149318">
    <w:abstractNumId w:val="19"/>
  </w:num>
  <w:num w:numId="11" w16cid:durableId="1378319360">
    <w:abstractNumId w:val="1"/>
  </w:num>
  <w:num w:numId="12" w16cid:durableId="208345034">
    <w:abstractNumId w:val="6"/>
  </w:num>
  <w:num w:numId="13" w16cid:durableId="506557399">
    <w:abstractNumId w:val="5"/>
  </w:num>
  <w:num w:numId="14" w16cid:durableId="354161429">
    <w:abstractNumId w:val="3"/>
  </w:num>
  <w:num w:numId="15" w16cid:durableId="1017586648">
    <w:abstractNumId w:val="10"/>
  </w:num>
  <w:num w:numId="16" w16cid:durableId="425734488">
    <w:abstractNumId w:val="0"/>
  </w:num>
  <w:num w:numId="17" w16cid:durableId="757561231">
    <w:abstractNumId w:val="14"/>
  </w:num>
  <w:num w:numId="18" w16cid:durableId="1327633068">
    <w:abstractNumId w:val="11"/>
  </w:num>
  <w:num w:numId="19" w16cid:durableId="1291787713">
    <w:abstractNumId w:val="16"/>
  </w:num>
  <w:num w:numId="20" w16cid:durableId="1742823304">
    <w:abstractNumId w:val="17"/>
  </w:num>
  <w:num w:numId="21" w16cid:durableId="929384875">
    <w:abstractNumId w:val="15"/>
  </w:num>
  <w:num w:numId="22" w16cid:durableId="1268731885">
    <w:abstractNumId w:val="2"/>
  </w:num>
  <w:num w:numId="23" w16cid:durableId="1508330073">
    <w:abstractNumId w:val="18"/>
  </w:num>
  <w:num w:numId="24" w16cid:durableId="232938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22F93"/>
    <w:rsid w:val="000418F9"/>
    <w:rsid w:val="00052490"/>
    <w:rsid w:val="0005579B"/>
    <w:rsid w:val="00067CC8"/>
    <w:rsid w:val="00071C53"/>
    <w:rsid w:val="00073748"/>
    <w:rsid w:val="0009048F"/>
    <w:rsid w:val="000A609B"/>
    <w:rsid w:val="000B3CFE"/>
    <w:rsid w:val="000B5933"/>
    <w:rsid w:val="000E2293"/>
    <w:rsid w:val="000E6CD3"/>
    <w:rsid w:val="000F3020"/>
    <w:rsid w:val="0010597C"/>
    <w:rsid w:val="001162E7"/>
    <w:rsid w:val="00117F3C"/>
    <w:rsid w:val="00125D4F"/>
    <w:rsid w:val="001453B5"/>
    <w:rsid w:val="00145FD1"/>
    <w:rsid w:val="00170F4A"/>
    <w:rsid w:val="0017382B"/>
    <w:rsid w:val="00177D1A"/>
    <w:rsid w:val="00181B18"/>
    <w:rsid w:val="001907DB"/>
    <w:rsid w:val="001A34CA"/>
    <w:rsid w:val="001A5C95"/>
    <w:rsid w:val="001B2D72"/>
    <w:rsid w:val="001B6431"/>
    <w:rsid w:val="001C5D32"/>
    <w:rsid w:val="001E7A7D"/>
    <w:rsid w:val="00202590"/>
    <w:rsid w:val="00204059"/>
    <w:rsid w:val="00235DD6"/>
    <w:rsid w:val="00246535"/>
    <w:rsid w:val="002A2779"/>
    <w:rsid w:val="002A4108"/>
    <w:rsid w:val="002B5A27"/>
    <w:rsid w:val="002D74D3"/>
    <w:rsid w:val="002D7F98"/>
    <w:rsid w:val="00306A0B"/>
    <w:rsid w:val="0034525B"/>
    <w:rsid w:val="003469E2"/>
    <w:rsid w:val="00346AD1"/>
    <w:rsid w:val="00347263"/>
    <w:rsid w:val="00391026"/>
    <w:rsid w:val="00396EE2"/>
    <w:rsid w:val="003A01E2"/>
    <w:rsid w:val="003A24BB"/>
    <w:rsid w:val="003B7CD7"/>
    <w:rsid w:val="003C412B"/>
    <w:rsid w:val="003C6F39"/>
    <w:rsid w:val="00411BA7"/>
    <w:rsid w:val="004165E7"/>
    <w:rsid w:val="00416B6A"/>
    <w:rsid w:val="004267BE"/>
    <w:rsid w:val="004341F6"/>
    <w:rsid w:val="00437F4B"/>
    <w:rsid w:val="00452250"/>
    <w:rsid w:val="00456B65"/>
    <w:rsid w:val="004629C0"/>
    <w:rsid w:val="004720CD"/>
    <w:rsid w:val="00483A2F"/>
    <w:rsid w:val="004A4FC8"/>
    <w:rsid w:val="004A56C7"/>
    <w:rsid w:val="004C47A4"/>
    <w:rsid w:val="004D7683"/>
    <w:rsid w:val="004E0C1B"/>
    <w:rsid w:val="00506A4D"/>
    <w:rsid w:val="00507295"/>
    <w:rsid w:val="005427C4"/>
    <w:rsid w:val="00573515"/>
    <w:rsid w:val="005739EE"/>
    <w:rsid w:val="00581EC8"/>
    <w:rsid w:val="00585ABC"/>
    <w:rsid w:val="00591687"/>
    <w:rsid w:val="005A756F"/>
    <w:rsid w:val="005B412A"/>
    <w:rsid w:val="005E4A09"/>
    <w:rsid w:val="005E667B"/>
    <w:rsid w:val="00602436"/>
    <w:rsid w:val="00606C36"/>
    <w:rsid w:val="0063480C"/>
    <w:rsid w:val="006374FC"/>
    <w:rsid w:val="0065684F"/>
    <w:rsid w:val="006775A0"/>
    <w:rsid w:val="006847BF"/>
    <w:rsid w:val="00684D59"/>
    <w:rsid w:val="00690083"/>
    <w:rsid w:val="006B6AAD"/>
    <w:rsid w:val="006C61F4"/>
    <w:rsid w:val="006D59C5"/>
    <w:rsid w:val="006E095A"/>
    <w:rsid w:val="006F65EE"/>
    <w:rsid w:val="00717C7C"/>
    <w:rsid w:val="007268B5"/>
    <w:rsid w:val="00726D0F"/>
    <w:rsid w:val="00735F39"/>
    <w:rsid w:val="00746A43"/>
    <w:rsid w:val="007507CD"/>
    <w:rsid w:val="00756E28"/>
    <w:rsid w:val="007848AB"/>
    <w:rsid w:val="00796BD8"/>
    <w:rsid w:val="007B6030"/>
    <w:rsid w:val="007E6878"/>
    <w:rsid w:val="007F5BEA"/>
    <w:rsid w:val="00827D49"/>
    <w:rsid w:val="00845A64"/>
    <w:rsid w:val="00866515"/>
    <w:rsid w:val="008727AC"/>
    <w:rsid w:val="008831E1"/>
    <w:rsid w:val="008A317B"/>
    <w:rsid w:val="008A7688"/>
    <w:rsid w:val="008B6DB5"/>
    <w:rsid w:val="008C33DF"/>
    <w:rsid w:val="008C38D8"/>
    <w:rsid w:val="008D1F93"/>
    <w:rsid w:val="008D50A9"/>
    <w:rsid w:val="008E47E6"/>
    <w:rsid w:val="00905419"/>
    <w:rsid w:val="0091226F"/>
    <w:rsid w:val="00930EE1"/>
    <w:rsid w:val="0096561E"/>
    <w:rsid w:val="00972698"/>
    <w:rsid w:val="00973908"/>
    <w:rsid w:val="00993073"/>
    <w:rsid w:val="009C19A7"/>
    <w:rsid w:val="009E193C"/>
    <w:rsid w:val="009F0AFF"/>
    <w:rsid w:val="009F3A17"/>
    <w:rsid w:val="00A13C95"/>
    <w:rsid w:val="00A318F1"/>
    <w:rsid w:val="00A34194"/>
    <w:rsid w:val="00A43757"/>
    <w:rsid w:val="00A67708"/>
    <w:rsid w:val="00A92CF6"/>
    <w:rsid w:val="00AC234D"/>
    <w:rsid w:val="00AD2E9A"/>
    <w:rsid w:val="00AD6E07"/>
    <w:rsid w:val="00AE41BE"/>
    <w:rsid w:val="00B057A5"/>
    <w:rsid w:val="00B23585"/>
    <w:rsid w:val="00B26129"/>
    <w:rsid w:val="00B326C0"/>
    <w:rsid w:val="00B349DC"/>
    <w:rsid w:val="00B36052"/>
    <w:rsid w:val="00B567BC"/>
    <w:rsid w:val="00B57B91"/>
    <w:rsid w:val="00B6433B"/>
    <w:rsid w:val="00BA0A08"/>
    <w:rsid w:val="00BA488C"/>
    <w:rsid w:val="00BC5DCF"/>
    <w:rsid w:val="00BD1CA6"/>
    <w:rsid w:val="00BD7C3B"/>
    <w:rsid w:val="00BF7F9C"/>
    <w:rsid w:val="00C00F70"/>
    <w:rsid w:val="00C128B4"/>
    <w:rsid w:val="00C14AA5"/>
    <w:rsid w:val="00C176A2"/>
    <w:rsid w:val="00C37985"/>
    <w:rsid w:val="00C41A84"/>
    <w:rsid w:val="00C4203E"/>
    <w:rsid w:val="00C646DD"/>
    <w:rsid w:val="00C70482"/>
    <w:rsid w:val="00C942BE"/>
    <w:rsid w:val="00C9585F"/>
    <w:rsid w:val="00CA0F2E"/>
    <w:rsid w:val="00CB13B6"/>
    <w:rsid w:val="00CB16BC"/>
    <w:rsid w:val="00CB1993"/>
    <w:rsid w:val="00CE69AD"/>
    <w:rsid w:val="00CF3A14"/>
    <w:rsid w:val="00CF54D5"/>
    <w:rsid w:val="00D04957"/>
    <w:rsid w:val="00D16CB8"/>
    <w:rsid w:val="00D25D16"/>
    <w:rsid w:val="00D32FF7"/>
    <w:rsid w:val="00D50062"/>
    <w:rsid w:val="00D51FE4"/>
    <w:rsid w:val="00D52BEF"/>
    <w:rsid w:val="00D54C20"/>
    <w:rsid w:val="00D56F12"/>
    <w:rsid w:val="00D65D9B"/>
    <w:rsid w:val="00D746F5"/>
    <w:rsid w:val="00D9588E"/>
    <w:rsid w:val="00DC573C"/>
    <w:rsid w:val="00DD7CBB"/>
    <w:rsid w:val="00E14585"/>
    <w:rsid w:val="00E230A4"/>
    <w:rsid w:val="00E35BAE"/>
    <w:rsid w:val="00E548EC"/>
    <w:rsid w:val="00E743ED"/>
    <w:rsid w:val="00E76502"/>
    <w:rsid w:val="00E773BB"/>
    <w:rsid w:val="00E85BEF"/>
    <w:rsid w:val="00EB3AB0"/>
    <w:rsid w:val="00ED3C67"/>
    <w:rsid w:val="00ED7646"/>
    <w:rsid w:val="00EE312E"/>
    <w:rsid w:val="00EF31FC"/>
    <w:rsid w:val="00EF6016"/>
    <w:rsid w:val="00F160AD"/>
    <w:rsid w:val="00F234E8"/>
    <w:rsid w:val="00F54FF1"/>
    <w:rsid w:val="00F64827"/>
    <w:rsid w:val="00F67DB3"/>
    <w:rsid w:val="00F75A60"/>
    <w:rsid w:val="00FA3708"/>
    <w:rsid w:val="00FA4E49"/>
    <w:rsid w:val="00FA76FD"/>
    <w:rsid w:val="00FD509B"/>
    <w:rsid w:val="00FD66ED"/>
    <w:rsid w:val="00FF3EC6"/>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341B-1539-4A59-B4DC-BE4137A3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11</cp:revision>
  <cp:lastPrinted>2023-01-25T16:40:00Z</cp:lastPrinted>
  <dcterms:created xsi:type="dcterms:W3CDTF">2023-01-25T16:38:00Z</dcterms:created>
  <dcterms:modified xsi:type="dcterms:W3CDTF">2023-03-01T15:54:00Z</dcterms:modified>
</cp:coreProperties>
</file>