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2CFA" w14:textId="77777777" w:rsidR="000C6D30" w:rsidRPr="00BF7BF6" w:rsidRDefault="000C6D30" w:rsidP="000C6D30">
      <w:pPr>
        <w:jc w:val="center"/>
      </w:pPr>
      <w:smartTag w:uri="urn:schemas-microsoft-com:office:smarttags" w:element="place">
        <w:smartTag w:uri="urn:schemas-microsoft-com:office:smarttags" w:element="PlaceType">
          <w:r w:rsidRPr="00BF7BF6">
            <w:t>COMMONWEALTH</w:t>
          </w:r>
        </w:smartTag>
        <w:r w:rsidRPr="00BF7BF6">
          <w:t xml:space="preserve"> OF </w:t>
        </w:r>
        <w:smartTag w:uri="urn:schemas-microsoft-com:office:smarttags" w:element="PlaceName">
          <w:r w:rsidRPr="00BF7BF6">
            <w:t>MASSACHUSETTS</w:t>
          </w:r>
        </w:smartTag>
      </w:smartTag>
    </w:p>
    <w:p w14:paraId="23512087" w14:textId="77777777" w:rsidR="000C6D30" w:rsidRPr="00BF7BF6" w:rsidRDefault="000C6D30" w:rsidP="000C6D30">
      <w:pPr>
        <w:jc w:val="center"/>
      </w:pPr>
      <w:r w:rsidRPr="00BF7BF6">
        <w:t>BOARD OF REGISTRATION IN MEDICINE</w:t>
      </w:r>
    </w:p>
    <w:p w14:paraId="7A59AD3D" w14:textId="77777777" w:rsidR="000C6D30" w:rsidRPr="00BF7BF6" w:rsidRDefault="000C6D30" w:rsidP="000C6D30"/>
    <w:p w14:paraId="5D57EC77" w14:textId="77777777" w:rsidR="000C6D30" w:rsidRPr="00BF7BF6" w:rsidRDefault="000C6D30" w:rsidP="000C6D30"/>
    <w:p w14:paraId="111777A9" w14:textId="1A3C858E" w:rsidR="000C6D30" w:rsidRPr="00BF7BF6" w:rsidRDefault="000C6D30" w:rsidP="000C6D30">
      <w:pPr>
        <w:jc w:val="both"/>
      </w:pPr>
      <w:r w:rsidRPr="00BF7BF6">
        <w:t>MIDDLESEX, SS</w:t>
      </w:r>
      <w:r w:rsidRPr="00BF7BF6">
        <w:tab/>
      </w:r>
      <w:r w:rsidRPr="00BF7BF6">
        <w:tab/>
      </w:r>
      <w:r w:rsidRPr="00BF7BF6">
        <w:tab/>
      </w:r>
      <w:r w:rsidRPr="00BF7BF6">
        <w:tab/>
        <w:t>Adjudicatory Case</w:t>
      </w:r>
      <w:r>
        <w:t xml:space="preserve"> No. 2018-021</w:t>
      </w:r>
    </w:p>
    <w:p w14:paraId="4C564D7C" w14:textId="68C6A6EA" w:rsidR="000C6D30" w:rsidRPr="00BF7BF6" w:rsidRDefault="000C6D30" w:rsidP="000C6D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(RM-18-0350)</w:t>
      </w:r>
    </w:p>
    <w:p w14:paraId="25E765A4" w14:textId="77777777" w:rsidR="000C6D30" w:rsidRPr="00BF7BF6" w:rsidRDefault="000C6D30" w:rsidP="000C6D30">
      <w:pPr>
        <w:jc w:val="both"/>
      </w:pPr>
      <w:r w:rsidRPr="00BF7BF6">
        <w:t>________________________</w:t>
      </w:r>
    </w:p>
    <w:p w14:paraId="39330504" w14:textId="77777777" w:rsidR="000C6D30" w:rsidRPr="00BF7BF6" w:rsidRDefault="000C6D30" w:rsidP="000C6D30">
      <w:pPr>
        <w:jc w:val="both"/>
      </w:pPr>
      <w:r>
        <w:tab/>
      </w:r>
      <w:r>
        <w:tab/>
      </w:r>
      <w:r>
        <w:tab/>
      </w:r>
      <w:r>
        <w:tab/>
      </w:r>
      <w:r w:rsidRPr="00BF7BF6">
        <w:t>)</w:t>
      </w:r>
    </w:p>
    <w:p w14:paraId="3E0334F4" w14:textId="2649B041" w:rsidR="000C6D30" w:rsidRPr="00BF7BF6" w:rsidRDefault="000C6D30" w:rsidP="000C6D30">
      <w:pPr>
        <w:jc w:val="both"/>
      </w:pPr>
      <w:r w:rsidRPr="00BF7BF6">
        <w:t xml:space="preserve">In the Matter of </w:t>
      </w:r>
      <w:r w:rsidRPr="00BF7BF6">
        <w:tab/>
      </w:r>
      <w:r>
        <w:tab/>
        <w:t>)</w:t>
      </w:r>
      <w:r>
        <w:tab/>
      </w:r>
      <w:r>
        <w:tab/>
      </w:r>
      <w:r>
        <w:tab/>
        <w:t xml:space="preserve">    </w:t>
      </w:r>
      <w:r w:rsidR="000C3D6E">
        <w:tab/>
      </w:r>
      <w:r w:rsidR="000C3D6E">
        <w:tab/>
      </w:r>
      <w:r w:rsidR="000C3D6E">
        <w:tab/>
      </w:r>
      <w:r w:rsidR="000C3D6E">
        <w:tab/>
      </w:r>
      <w:r w:rsidR="000C3D6E">
        <w:tab/>
      </w:r>
      <w:r w:rsidR="000C3D6E">
        <w:tab/>
      </w:r>
      <w:r w:rsidRPr="00BF7BF6">
        <w:tab/>
      </w:r>
      <w:r w:rsidRPr="00BF7BF6">
        <w:tab/>
      </w:r>
      <w:r w:rsidRPr="00BF7BF6">
        <w:tab/>
      </w:r>
      <w:r>
        <w:tab/>
        <w:t>)</w:t>
      </w:r>
      <w:r>
        <w:tab/>
      </w:r>
      <w:r>
        <w:tab/>
      </w:r>
      <w:r w:rsidRPr="00C23007">
        <w:rPr>
          <w:u w:val="single"/>
        </w:rPr>
        <w:t xml:space="preserve">FINAL DECISION </w:t>
      </w:r>
      <w:r>
        <w:rPr>
          <w:u w:val="single"/>
        </w:rPr>
        <w:t>AND ORDER</w:t>
      </w:r>
    </w:p>
    <w:p w14:paraId="1C13371B" w14:textId="136C2F2E" w:rsidR="000C6D30" w:rsidRPr="00BF7BF6" w:rsidRDefault="000C3D6E" w:rsidP="000C6D30">
      <w:pPr>
        <w:jc w:val="both"/>
      </w:pPr>
      <w:r>
        <w:t>Emily G. Strehle,</w:t>
      </w:r>
      <w:r w:rsidR="000C6D30">
        <w:t xml:space="preserve"> D.O.</w:t>
      </w:r>
      <w:r w:rsidR="000C6D30">
        <w:tab/>
      </w:r>
      <w:r w:rsidR="000C6D30" w:rsidRPr="00BF7BF6">
        <w:t>)</w:t>
      </w:r>
      <w:r w:rsidR="000C6D30">
        <w:tab/>
      </w:r>
      <w:r w:rsidR="000C6D30">
        <w:tab/>
      </w:r>
    </w:p>
    <w:p w14:paraId="2835BEB5" w14:textId="77777777" w:rsidR="000C6D30" w:rsidRPr="00BF7BF6" w:rsidRDefault="000C6D30" w:rsidP="000C6D30">
      <w:pPr>
        <w:jc w:val="both"/>
      </w:pPr>
      <w:r w:rsidRPr="00BF7BF6">
        <w:t>________________________)</w:t>
      </w:r>
    </w:p>
    <w:p w14:paraId="30E1EC90" w14:textId="77777777" w:rsidR="000C6D30" w:rsidRDefault="000C6D30" w:rsidP="000C6D30">
      <w:pPr>
        <w:jc w:val="both"/>
      </w:pPr>
    </w:p>
    <w:p w14:paraId="574B7FE9" w14:textId="1FCC4684" w:rsidR="00CB14CA" w:rsidRPr="00CB14CA" w:rsidRDefault="00CB14CA" w:rsidP="000C6D30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CB14CA">
        <w:rPr>
          <w:u w:val="single"/>
        </w:rPr>
        <w:t xml:space="preserve">Procedural </w:t>
      </w:r>
      <w:r>
        <w:rPr>
          <w:u w:val="single"/>
        </w:rPr>
        <w:t>H</w:t>
      </w:r>
      <w:r w:rsidRPr="00CB14CA">
        <w:rPr>
          <w:u w:val="single"/>
        </w:rPr>
        <w:t>istory</w:t>
      </w:r>
    </w:p>
    <w:p w14:paraId="2449D030" w14:textId="77777777" w:rsidR="00CB14CA" w:rsidRPr="00BF7BF6" w:rsidRDefault="00CB14CA" w:rsidP="000C6D30">
      <w:pPr>
        <w:jc w:val="both"/>
      </w:pPr>
    </w:p>
    <w:p w14:paraId="779E8D1E" w14:textId="4158FD85" w:rsidR="00644015" w:rsidRDefault="00DF0574" w:rsidP="00951E6C">
      <w:pPr>
        <w:spacing w:line="360" w:lineRule="auto"/>
        <w:jc w:val="both"/>
      </w:pPr>
      <w:r>
        <w:tab/>
      </w:r>
      <w:r w:rsidR="000E321F">
        <w:t xml:space="preserve">On May 25, 2018, the Board of Registration in Medicine issued a Statement of Allegations (SOA) </w:t>
      </w:r>
      <w:r w:rsidR="004D6FCA">
        <w:t>against</w:t>
      </w:r>
      <w:r w:rsidR="000E321F">
        <w:t xml:space="preserve"> Emily G. Strehle, D.O. (Respondent)</w:t>
      </w:r>
      <w:r w:rsidR="004D6FCA">
        <w:t xml:space="preserve"> and</w:t>
      </w:r>
      <w:r w:rsidR="00644015">
        <w:t xml:space="preserve"> referred the matter to the Division of Administrative Law Appeals (DALA) </w:t>
      </w:r>
      <w:r w:rsidR="00292C4D">
        <w:t xml:space="preserve">for </w:t>
      </w:r>
      <w:r w:rsidR="001E7ADF">
        <w:t>F</w:t>
      </w:r>
      <w:r w:rsidR="00292C4D">
        <w:t xml:space="preserve">indings of </w:t>
      </w:r>
      <w:r w:rsidR="001E7ADF">
        <w:t>F</w:t>
      </w:r>
      <w:r w:rsidR="00292C4D">
        <w:t xml:space="preserve">act and </w:t>
      </w:r>
      <w:r w:rsidR="001E7ADF">
        <w:t>C</w:t>
      </w:r>
      <w:r w:rsidR="00292C4D">
        <w:t xml:space="preserve">onclusions of </w:t>
      </w:r>
      <w:r w:rsidR="001E7ADF">
        <w:t>L</w:t>
      </w:r>
      <w:r w:rsidR="00292C4D">
        <w:t>aw</w:t>
      </w:r>
      <w:r w:rsidR="004D6FCA">
        <w:t>.</w:t>
      </w:r>
    </w:p>
    <w:p w14:paraId="55CEC54E" w14:textId="77777777" w:rsidR="005C1203" w:rsidRDefault="005C1203" w:rsidP="00951E6C">
      <w:pPr>
        <w:spacing w:line="360" w:lineRule="auto"/>
        <w:ind w:left="60"/>
      </w:pPr>
    </w:p>
    <w:p w14:paraId="1EB8E903" w14:textId="132EC061" w:rsidR="005075E2" w:rsidRDefault="00292C4D" w:rsidP="00951E6C">
      <w:pPr>
        <w:spacing w:line="360" w:lineRule="auto"/>
        <w:ind w:left="60"/>
        <w:jc w:val="both"/>
      </w:pPr>
      <w:r>
        <w:tab/>
        <w:t xml:space="preserve">DALA Magistrate </w:t>
      </w:r>
      <w:r w:rsidR="002C0417">
        <w:t xml:space="preserve">Bonney Cashin (Magistrate) held a </w:t>
      </w:r>
      <w:r w:rsidR="004D6FCA">
        <w:t>p</w:t>
      </w:r>
      <w:r w:rsidR="002C0417">
        <w:t>re-</w:t>
      </w:r>
      <w:r w:rsidR="004D6FCA">
        <w:t>h</w:t>
      </w:r>
      <w:r w:rsidR="002C0417">
        <w:t xml:space="preserve">earing </w:t>
      </w:r>
      <w:r w:rsidR="004D6FCA">
        <w:t>c</w:t>
      </w:r>
      <w:r w:rsidR="002C0417">
        <w:t xml:space="preserve">onference </w:t>
      </w:r>
      <w:r w:rsidR="00A463B3">
        <w:t xml:space="preserve">on August 7, 2018 </w:t>
      </w:r>
      <w:r w:rsidR="002C0417">
        <w:t xml:space="preserve">and held a hearing on July 6-8, 2021. </w:t>
      </w:r>
      <w:r w:rsidR="006F566D">
        <w:t xml:space="preserve">In her July </w:t>
      </w:r>
      <w:r w:rsidR="003A1772">
        <w:t>16, 2024</w:t>
      </w:r>
      <w:r w:rsidR="00C82792">
        <w:t xml:space="preserve"> </w:t>
      </w:r>
      <w:r w:rsidR="003A1772">
        <w:t xml:space="preserve">Recommended Decision, </w:t>
      </w:r>
      <w:r w:rsidR="00AF5CB8">
        <w:t xml:space="preserve">which is attached hereto and incorporated by reference, </w:t>
      </w:r>
      <w:r w:rsidR="003A1772">
        <w:t xml:space="preserve">the Magistrate </w:t>
      </w:r>
      <w:r w:rsidR="00E27445">
        <w:t xml:space="preserve">found that the Respondent’s experts’ testimony was more reliable than that of the Board’s </w:t>
      </w:r>
      <w:r w:rsidR="00D847D4">
        <w:t>expert</w:t>
      </w:r>
      <w:r w:rsidR="00E27445">
        <w:t xml:space="preserve"> with respect to the standards of care. The Magistrate also found the patient’s testimony was less reliable than that of the Respondent</w:t>
      </w:r>
      <w:r w:rsidR="00203397">
        <w:t xml:space="preserve"> </w:t>
      </w:r>
      <w:r w:rsidR="00E27445">
        <w:t xml:space="preserve">with respect to the </w:t>
      </w:r>
      <w:r w:rsidR="004F6D5F">
        <w:t>events</w:t>
      </w:r>
      <w:r w:rsidR="00B224BE">
        <w:t xml:space="preserve"> in dispute.</w:t>
      </w:r>
      <w:r w:rsidR="005075E2">
        <w:t xml:space="preserve"> </w:t>
      </w:r>
    </w:p>
    <w:p w14:paraId="3F57B3BD" w14:textId="77777777" w:rsidR="005E44B9" w:rsidRDefault="005E44B9" w:rsidP="00951E6C">
      <w:pPr>
        <w:spacing w:line="360" w:lineRule="auto"/>
        <w:ind w:left="60"/>
        <w:jc w:val="both"/>
      </w:pPr>
    </w:p>
    <w:p w14:paraId="1FCD2E16" w14:textId="6AA4AC0D" w:rsidR="005E44B9" w:rsidRDefault="005E44B9" w:rsidP="00091E1C">
      <w:pPr>
        <w:spacing w:line="360" w:lineRule="auto"/>
        <w:ind w:left="60"/>
        <w:jc w:val="both"/>
      </w:pPr>
      <w:r>
        <w:tab/>
        <w:t xml:space="preserve">Neither </w:t>
      </w:r>
      <w:r w:rsidR="00484F56">
        <w:t>party</w:t>
      </w:r>
      <w:r>
        <w:t xml:space="preserve"> filed Objections to the Recommended Decision. On July 24, 2024, the Respondent filed “</w:t>
      </w:r>
      <w:r w:rsidR="000C072C">
        <w:t>Request for Disposition of Respondent, Emily Strehle, D.O</w:t>
      </w:r>
      <w:r w:rsidR="008D472C">
        <w:t>.”</w:t>
      </w:r>
      <w:r w:rsidR="00CB14CA">
        <w:t xml:space="preserve"> </w:t>
      </w:r>
      <w:r w:rsidR="00091E1C">
        <w:t>requesting that the Board dismiss the charges and exonerate the Respondent.</w:t>
      </w:r>
    </w:p>
    <w:p w14:paraId="12246E7D" w14:textId="77777777" w:rsidR="00091E1C" w:rsidRDefault="00091E1C" w:rsidP="00091E1C">
      <w:pPr>
        <w:spacing w:line="360" w:lineRule="auto"/>
        <w:ind w:left="60"/>
        <w:jc w:val="both"/>
      </w:pPr>
    </w:p>
    <w:p w14:paraId="5D2E866F" w14:textId="63309CCB" w:rsidR="005075E2" w:rsidRPr="00091E1C" w:rsidRDefault="00091E1C" w:rsidP="00091E1C">
      <w:pPr>
        <w:spacing w:line="360" w:lineRule="auto"/>
        <w:ind w:left="60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091E1C">
        <w:rPr>
          <w:u w:val="single"/>
        </w:rPr>
        <w:t>Discussion</w:t>
      </w:r>
    </w:p>
    <w:p w14:paraId="6551CD5A" w14:textId="77777777" w:rsidR="00091E1C" w:rsidRDefault="00091E1C" w:rsidP="00091E1C">
      <w:pPr>
        <w:spacing w:line="360" w:lineRule="auto"/>
        <w:ind w:left="60" w:firstLine="660"/>
        <w:jc w:val="both"/>
      </w:pPr>
    </w:p>
    <w:p w14:paraId="6F1CFA92" w14:textId="4EE01670" w:rsidR="008219C3" w:rsidRDefault="00887C3E" w:rsidP="00091E1C">
      <w:pPr>
        <w:spacing w:line="360" w:lineRule="auto"/>
        <w:ind w:left="60" w:firstLine="660"/>
        <w:jc w:val="both"/>
      </w:pPr>
      <w:r>
        <w:t xml:space="preserve"> </w:t>
      </w:r>
      <w:r w:rsidR="008219C3">
        <w:t xml:space="preserve">Where a Magistrate’s Findings of Fact rest upon a resolution of credibility questions, the Magistrate is entitled to substantial deference. </w:t>
      </w:r>
      <w:r w:rsidR="008219C3" w:rsidRPr="008219C3">
        <w:rPr>
          <w:u w:val="single"/>
        </w:rPr>
        <w:t>See</w:t>
      </w:r>
      <w:r w:rsidR="008219C3">
        <w:t xml:space="preserve"> </w:t>
      </w:r>
      <w:r w:rsidR="008219C3" w:rsidRPr="008219C3">
        <w:rPr>
          <w:i/>
          <w:iCs/>
        </w:rPr>
        <w:t>Vinal v. Contributory  Retirement Appeal Board</w:t>
      </w:r>
      <w:r w:rsidR="008219C3">
        <w:t xml:space="preserve">, 13 </w:t>
      </w:r>
      <w:proofErr w:type="spellStart"/>
      <w:r w:rsidR="008219C3">
        <w:t>Mass.App.Ct</w:t>
      </w:r>
      <w:proofErr w:type="spellEnd"/>
      <w:r w:rsidR="008219C3">
        <w:t xml:space="preserve">. 85, 101 (1982). The Board cannot reject a Magistrate’s determination of credibility absent a clear and articulable reason for such a rejection. </w:t>
      </w:r>
      <w:r w:rsidR="008219C3" w:rsidRPr="008219C3">
        <w:rPr>
          <w:u w:val="single"/>
        </w:rPr>
        <w:t>See</w:t>
      </w:r>
      <w:r w:rsidR="008219C3">
        <w:t xml:space="preserve"> </w:t>
      </w:r>
      <w:r w:rsidR="008219C3" w:rsidRPr="008219C3">
        <w:rPr>
          <w:i/>
          <w:iCs/>
        </w:rPr>
        <w:t xml:space="preserve">Morris v. Board of </w:t>
      </w:r>
      <w:r w:rsidR="008219C3" w:rsidRPr="008219C3">
        <w:rPr>
          <w:i/>
          <w:iCs/>
        </w:rPr>
        <w:lastRenderedPageBreak/>
        <w:t>Registration in Medicine</w:t>
      </w:r>
      <w:r w:rsidR="008219C3">
        <w:t>, 405 Mass</w:t>
      </w:r>
      <w:r w:rsidR="00B224BE">
        <w:t xml:space="preserve"> </w:t>
      </w:r>
      <w:r w:rsidR="008219C3">
        <w:t xml:space="preserve">103, 111 (1989). Having been afforded substantial deference in making credibility determinations, it is incumbent upon the Magistrate to </w:t>
      </w:r>
      <w:r w:rsidR="00D847D4">
        <w:t>provide</w:t>
      </w:r>
      <w:r w:rsidR="008219C3">
        <w:t xml:space="preserve"> thorough and reasoned explanations for</w:t>
      </w:r>
      <w:r w:rsidR="00092B33">
        <w:t xml:space="preserve"> </w:t>
      </w:r>
      <w:r w:rsidR="008219C3">
        <w:t xml:space="preserve">her decision to credit or discredit testimony. </w:t>
      </w:r>
      <w:r w:rsidR="008219C3" w:rsidRPr="008219C3">
        <w:rPr>
          <w:u w:val="single"/>
        </w:rPr>
        <w:t>See</w:t>
      </w:r>
      <w:r w:rsidR="008219C3">
        <w:t xml:space="preserve"> </w:t>
      </w:r>
      <w:r w:rsidR="00707698" w:rsidRPr="00707698">
        <w:rPr>
          <w:i/>
          <w:iCs/>
        </w:rPr>
        <w:t>H</w:t>
      </w:r>
      <w:r w:rsidR="008219C3" w:rsidRPr="008219C3">
        <w:rPr>
          <w:i/>
          <w:iCs/>
        </w:rPr>
        <w:t>erridge v. Board of Registration in Medicine</w:t>
      </w:r>
      <w:r w:rsidR="008219C3">
        <w:t>, 420 Mass 154, 156 (1995).</w:t>
      </w:r>
    </w:p>
    <w:p w14:paraId="1CD9B4CC" w14:textId="77777777" w:rsidR="008219C3" w:rsidRDefault="008219C3" w:rsidP="00951E6C">
      <w:pPr>
        <w:spacing w:line="360" w:lineRule="auto"/>
        <w:jc w:val="both"/>
      </w:pPr>
    </w:p>
    <w:p w14:paraId="40E069A1" w14:textId="47C9E4FF" w:rsidR="008219C3" w:rsidRDefault="008219C3" w:rsidP="00951E6C">
      <w:pPr>
        <w:spacing w:line="360" w:lineRule="auto"/>
        <w:jc w:val="both"/>
      </w:pPr>
      <w:r>
        <w:t xml:space="preserve">           </w:t>
      </w:r>
      <w:r>
        <w:tab/>
        <w:t xml:space="preserve">In the current matter, </w:t>
      </w:r>
      <w:r w:rsidR="00FC371C">
        <w:t xml:space="preserve">the Magistrate provided clear and detailed reasons for each of her credibility findings </w:t>
      </w:r>
      <w:r>
        <w:t xml:space="preserve">and identified the portions of testimony that were relevant to her ultimate Conclusions of Law. </w:t>
      </w:r>
    </w:p>
    <w:p w14:paraId="17807C67" w14:textId="77777777" w:rsidR="008219C3" w:rsidRDefault="008219C3" w:rsidP="00951E6C">
      <w:pPr>
        <w:spacing w:line="360" w:lineRule="auto"/>
      </w:pPr>
    </w:p>
    <w:p w14:paraId="089D88D7" w14:textId="0F67F17C" w:rsidR="003316C1" w:rsidRDefault="008219C3" w:rsidP="00951E6C">
      <w:pPr>
        <w:spacing w:line="360" w:lineRule="auto"/>
        <w:jc w:val="both"/>
      </w:pPr>
      <w:r>
        <w:t xml:space="preserve">            After full consideration of the Magistrate’s Recommended Decision, the Board hereby </w:t>
      </w:r>
      <w:r w:rsidR="003316C1">
        <w:t xml:space="preserve">dismisses the Statement of Allegations on the basis that the Board did not sustain its burden of proving its charges against the Respondent and, in accordance with M.G.L. c. 112, § 5, exonerates the Respondent. </w:t>
      </w:r>
    </w:p>
    <w:p w14:paraId="2C8CD277" w14:textId="77777777" w:rsidR="003316C1" w:rsidRDefault="003316C1" w:rsidP="008219C3">
      <w:pPr>
        <w:jc w:val="both"/>
      </w:pPr>
    </w:p>
    <w:p w14:paraId="54414C84" w14:textId="13A122AA" w:rsidR="008219C3" w:rsidRPr="001E44C1" w:rsidRDefault="003316C1" w:rsidP="008219C3">
      <w:pPr>
        <w:jc w:val="both"/>
        <w:rPr>
          <w:u w:val="single"/>
        </w:rPr>
      </w:pPr>
      <w:r>
        <w:t>Date: September 1</w:t>
      </w:r>
      <w:r w:rsidR="00741788">
        <w:t>2, 2024</w:t>
      </w:r>
      <w:r w:rsidR="00741788">
        <w:tab/>
      </w:r>
      <w:r w:rsidR="00741788">
        <w:tab/>
      </w:r>
      <w:r w:rsidR="00741788">
        <w:tab/>
      </w:r>
      <w:r w:rsidR="00741788">
        <w:tab/>
      </w:r>
      <w:r w:rsidR="001E44C1">
        <w:rPr>
          <w:u w:val="single"/>
        </w:rPr>
        <w:t>Signed by Booker T. Bush, M.D.</w:t>
      </w:r>
    </w:p>
    <w:p w14:paraId="6F90DB32" w14:textId="77777777" w:rsidR="00741788" w:rsidRDefault="00741788" w:rsidP="008219C3">
      <w:pPr>
        <w:jc w:val="both"/>
      </w:pPr>
      <w:r>
        <w:t xml:space="preserve">                                                                                    Booker T. Bush, M.D., Chair</w:t>
      </w:r>
    </w:p>
    <w:p w14:paraId="29EBD99B" w14:textId="24C2C36C" w:rsidR="00741788" w:rsidRDefault="00741788" w:rsidP="008219C3">
      <w:pPr>
        <w:jc w:val="both"/>
      </w:pPr>
      <w:r>
        <w:t xml:space="preserve">                                                                                    Board of Registration in Medicine </w:t>
      </w:r>
    </w:p>
    <w:sectPr w:rsidR="00741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D3F34"/>
    <w:multiLevelType w:val="hybridMultilevel"/>
    <w:tmpl w:val="EFCABC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909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D8"/>
    <w:rsid w:val="00014EA4"/>
    <w:rsid w:val="000260AD"/>
    <w:rsid w:val="00091E1C"/>
    <w:rsid w:val="00092B33"/>
    <w:rsid w:val="000C072C"/>
    <w:rsid w:val="000C3D6E"/>
    <w:rsid w:val="000C6D30"/>
    <w:rsid w:val="000E321F"/>
    <w:rsid w:val="00120E89"/>
    <w:rsid w:val="001E44C1"/>
    <w:rsid w:val="001E7ADF"/>
    <w:rsid w:val="00203397"/>
    <w:rsid w:val="00214C25"/>
    <w:rsid w:val="00292C4D"/>
    <w:rsid w:val="002A3488"/>
    <w:rsid w:val="002C0417"/>
    <w:rsid w:val="002F63A7"/>
    <w:rsid w:val="0031638F"/>
    <w:rsid w:val="003316C1"/>
    <w:rsid w:val="00373BD8"/>
    <w:rsid w:val="003A1772"/>
    <w:rsid w:val="003C3200"/>
    <w:rsid w:val="00403E54"/>
    <w:rsid w:val="00417A81"/>
    <w:rsid w:val="00484F56"/>
    <w:rsid w:val="004D6FCA"/>
    <w:rsid w:val="004F6D5F"/>
    <w:rsid w:val="005075E2"/>
    <w:rsid w:val="005C1203"/>
    <w:rsid w:val="005E44B9"/>
    <w:rsid w:val="00625E6E"/>
    <w:rsid w:val="00644015"/>
    <w:rsid w:val="00651EDF"/>
    <w:rsid w:val="006F1B58"/>
    <w:rsid w:val="006F566D"/>
    <w:rsid w:val="00707698"/>
    <w:rsid w:val="00741788"/>
    <w:rsid w:val="008219C3"/>
    <w:rsid w:val="00836752"/>
    <w:rsid w:val="00887C3E"/>
    <w:rsid w:val="008D472C"/>
    <w:rsid w:val="008D51C4"/>
    <w:rsid w:val="00951E6C"/>
    <w:rsid w:val="009F59C7"/>
    <w:rsid w:val="00A2505E"/>
    <w:rsid w:val="00A463B3"/>
    <w:rsid w:val="00A71DAA"/>
    <w:rsid w:val="00AE47F6"/>
    <w:rsid w:val="00AF5CB8"/>
    <w:rsid w:val="00B213A4"/>
    <w:rsid w:val="00B224BE"/>
    <w:rsid w:val="00BC4594"/>
    <w:rsid w:val="00C82792"/>
    <w:rsid w:val="00CB14CA"/>
    <w:rsid w:val="00D020BC"/>
    <w:rsid w:val="00D739B9"/>
    <w:rsid w:val="00D847D4"/>
    <w:rsid w:val="00DA5987"/>
    <w:rsid w:val="00DF012F"/>
    <w:rsid w:val="00DF0574"/>
    <w:rsid w:val="00E27445"/>
    <w:rsid w:val="00E8242B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2CA444"/>
  <w15:chartTrackingRefBased/>
  <w15:docId w15:val="{F055595A-ECFE-4E16-8D9B-5CE21EEE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B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B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B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B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B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B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B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B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B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B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B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B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2437</Characters>
  <Application>Microsoft Office Word</Application>
  <DocSecurity>4</DocSecurity>
  <Lines>110</Lines>
  <Paragraphs>39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Rebecca (DPH)</dc:creator>
  <cp:keywords/>
  <dc:description/>
  <cp:lastModifiedBy>Gauthier, Emily A (DPH)</cp:lastModifiedBy>
  <cp:revision>2</cp:revision>
  <cp:lastPrinted>2024-08-14T17:22:00Z</cp:lastPrinted>
  <dcterms:created xsi:type="dcterms:W3CDTF">2024-09-24T13:39:00Z</dcterms:created>
  <dcterms:modified xsi:type="dcterms:W3CDTF">2024-09-24T13:39:00Z</dcterms:modified>
</cp:coreProperties>
</file>