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EBB73" w14:textId="477A0621" w:rsidR="00EA2650" w:rsidRPr="003E7F6D" w:rsidRDefault="007F3F32" w:rsidP="003E7F6D">
      <w:pPr>
        <w:pStyle w:val="BodyText"/>
        <w:spacing w:line="249" w:lineRule="auto"/>
        <w:ind w:left="2194" w:right="1479" w:hanging="12"/>
        <w:rPr>
          <w:sz w:val="22"/>
          <w:szCs w:val="22"/>
        </w:rPr>
      </w:pPr>
      <w:r w:rsidRPr="003E7F6D">
        <w:rPr>
          <w:sz w:val="22"/>
          <w:szCs w:val="22"/>
        </w:rPr>
        <w:t xml:space="preserve"> </w:t>
      </w:r>
      <w:r w:rsidR="00E3380B" w:rsidRPr="003E7F6D">
        <w:rPr>
          <w:sz w:val="22"/>
          <w:szCs w:val="22"/>
        </w:rPr>
        <w:t>COMMONWEALTH OF MASSACHUSETTS</w:t>
      </w:r>
    </w:p>
    <w:p w14:paraId="131E51A0" w14:textId="74EA9CAA" w:rsidR="00E3380B" w:rsidRPr="003E7F6D" w:rsidRDefault="00E3380B" w:rsidP="003E7F6D">
      <w:pPr>
        <w:pStyle w:val="BodyText"/>
        <w:spacing w:after="240" w:line="249" w:lineRule="auto"/>
        <w:ind w:left="2194" w:right="1479" w:hanging="12"/>
        <w:rPr>
          <w:sz w:val="22"/>
          <w:szCs w:val="22"/>
        </w:rPr>
      </w:pPr>
      <w:bookmarkStart w:id="0" w:name="Draft_Final_Decision_and_Order"/>
      <w:bookmarkEnd w:id="0"/>
      <w:r w:rsidRPr="003E7F6D">
        <w:rPr>
          <w:w w:val="105"/>
          <w:sz w:val="22"/>
          <w:szCs w:val="22"/>
        </w:rPr>
        <w:t>BOARD</w:t>
      </w:r>
      <w:r w:rsidRPr="003E7F6D">
        <w:rPr>
          <w:spacing w:val="-13"/>
          <w:w w:val="105"/>
          <w:sz w:val="22"/>
          <w:szCs w:val="22"/>
        </w:rPr>
        <w:t xml:space="preserve"> </w:t>
      </w:r>
      <w:r w:rsidRPr="003E7F6D">
        <w:rPr>
          <w:w w:val="105"/>
          <w:sz w:val="22"/>
          <w:szCs w:val="22"/>
        </w:rPr>
        <w:t>OF</w:t>
      </w:r>
      <w:r w:rsidRPr="003E7F6D">
        <w:rPr>
          <w:spacing w:val="-15"/>
          <w:w w:val="105"/>
          <w:sz w:val="22"/>
          <w:szCs w:val="22"/>
        </w:rPr>
        <w:t xml:space="preserve"> </w:t>
      </w:r>
      <w:r w:rsidRPr="003E7F6D">
        <w:rPr>
          <w:w w:val="105"/>
          <w:sz w:val="22"/>
          <w:szCs w:val="22"/>
        </w:rPr>
        <w:t>REGISTRATION</w:t>
      </w:r>
      <w:r w:rsidRPr="003E7F6D">
        <w:rPr>
          <w:spacing w:val="5"/>
          <w:w w:val="105"/>
          <w:sz w:val="22"/>
          <w:szCs w:val="22"/>
        </w:rPr>
        <w:t xml:space="preserve"> </w:t>
      </w:r>
      <w:r w:rsidRPr="003E7F6D">
        <w:rPr>
          <w:w w:val="105"/>
          <w:sz w:val="22"/>
          <w:szCs w:val="22"/>
        </w:rPr>
        <w:t>IN</w:t>
      </w:r>
      <w:r w:rsidRPr="003E7F6D">
        <w:rPr>
          <w:spacing w:val="-12"/>
          <w:w w:val="105"/>
          <w:sz w:val="22"/>
          <w:szCs w:val="22"/>
        </w:rPr>
        <w:t xml:space="preserve"> </w:t>
      </w:r>
      <w:r w:rsidRPr="003E7F6D">
        <w:rPr>
          <w:spacing w:val="-2"/>
          <w:w w:val="105"/>
          <w:sz w:val="22"/>
          <w:szCs w:val="22"/>
        </w:rPr>
        <w:t>MEDICINE</w:t>
      </w:r>
    </w:p>
    <w:p w14:paraId="33B016DF" w14:textId="0AE4C689" w:rsidR="00C5256D" w:rsidRPr="003E7F6D" w:rsidRDefault="00E3380B" w:rsidP="003E7F6D">
      <w:pPr>
        <w:pStyle w:val="BodyText"/>
        <w:spacing w:line="242" w:lineRule="auto"/>
        <w:ind w:right="1271"/>
        <w:rPr>
          <w:w w:val="105"/>
          <w:position w:val="1"/>
          <w:sz w:val="22"/>
          <w:szCs w:val="22"/>
        </w:rPr>
      </w:pPr>
      <w:r w:rsidRPr="003E7F6D">
        <w:rPr>
          <w:w w:val="105"/>
          <w:sz w:val="22"/>
          <w:szCs w:val="22"/>
        </w:rPr>
        <w:t>MIDDLESEX, ss</w:t>
      </w:r>
      <w:r w:rsidRPr="003E7F6D">
        <w:rPr>
          <w:sz w:val="22"/>
          <w:szCs w:val="22"/>
        </w:rPr>
        <w:tab/>
      </w:r>
      <w:r w:rsidR="009631A9" w:rsidRPr="003E7F6D">
        <w:rPr>
          <w:sz w:val="22"/>
          <w:szCs w:val="22"/>
        </w:rPr>
        <w:tab/>
      </w:r>
      <w:r w:rsidR="009631A9" w:rsidRPr="003E7F6D">
        <w:rPr>
          <w:sz w:val="22"/>
          <w:szCs w:val="22"/>
        </w:rPr>
        <w:tab/>
      </w:r>
      <w:r w:rsidR="009631A9" w:rsidRPr="003E7F6D">
        <w:rPr>
          <w:sz w:val="22"/>
          <w:szCs w:val="22"/>
        </w:rPr>
        <w:tab/>
      </w:r>
      <w:r w:rsidRPr="003E7F6D">
        <w:rPr>
          <w:w w:val="105"/>
          <w:position w:val="1"/>
          <w:sz w:val="22"/>
          <w:szCs w:val="22"/>
        </w:rPr>
        <w:t>Adjudicatory</w:t>
      </w:r>
      <w:r w:rsidRPr="003E7F6D">
        <w:rPr>
          <w:spacing w:val="-4"/>
          <w:w w:val="105"/>
          <w:position w:val="1"/>
          <w:sz w:val="22"/>
          <w:szCs w:val="22"/>
        </w:rPr>
        <w:t xml:space="preserve"> </w:t>
      </w:r>
      <w:r w:rsidRPr="003E7F6D">
        <w:rPr>
          <w:w w:val="105"/>
          <w:position w:val="1"/>
          <w:sz w:val="22"/>
          <w:szCs w:val="22"/>
        </w:rPr>
        <w:t>Case</w:t>
      </w:r>
      <w:r w:rsidRPr="003E7F6D">
        <w:rPr>
          <w:spacing w:val="-15"/>
          <w:w w:val="105"/>
          <w:position w:val="1"/>
          <w:sz w:val="22"/>
          <w:szCs w:val="22"/>
        </w:rPr>
        <w:t xml:space="preserve"> </w:t>
      </w:r>
      <w:r w:rsidRPr="003E7F6D">
        <w:rPr>
          <w:w w:val="105"/>
          <w:position w:val="1"/>
          <w:sz w:val="22"/>
          <w:szCs w:val="22"/>
        </w:rPr>
        <w:t>No.</w:t>
      </w:r>
      <w:r w:rsidRPr="003E7F6D">
        <w:rPr>
          <w:spacing w:val="-15"/>
          <w:w w:val="105"/>
          <w:position w:val="1"/>
          <w:sz w:val="22"/>
          <w:szCs w:val="22"/>
        </w:rPr>
        <w:t xml:space="preserve"> </w:t>
      </w:r>
      <w:r w:rsidRPr="003E7F6D">
        <w:rPr>
          <w:w w:val="105"/>
          <w:position w:val="1"/>
          <w:sz w:val="22"/>
          <w:szCs w:val="22"/>
        </w:rPr>
        <w:t>2022-0</w:t>
      </w:r>
      <w:r w:rsidR="009631A9" w:rsidRPr="003E7F6D">
        <w:rPr>
          <w:w w:val="105"/>
          <w:position w:val="1"/>
          <w:sz w:val="22"/>
          <w:szCs w:val="22"/>
        </w:rPr>
        <w:t>33</w:t>
      </w:r>
    </w:p>
    <w:p w14:paraId="3D57B0C3" w14:textId="081DAA90" w:rsidR="00E3380B" w:rsidRPr="003E7F6D" w:rsidRDefault="00E3380B" w:rsidP="003E7F6D">
      <w:pPr>
        <w:pStyle w:val="BodyText"/>
        <w:spacing w:after="240" w:line="242" w:lineRule="auto"/>
        <w:ind w:left="4477" w:right="1271"/>
        <w:rPr>
          <w:w w:val="105"/>
          <w:sz w:val="22"/>
          <w:szCs w:val="22"/>
        </w:rPr>
      </w:pPr>
      <w:r w:rsidRPr="003E7F6D">
        <w:rPr>
          <w:w w:val="105"/>
          <w:sz w:val="22"/>
          <w:szCs w:val="22"/>
        </w:rPr>
        <w:t>(RM-22-</w:t>
      </w:r>
      <w:r w:rsidR="009631A9" w:rsidRPr="003E7F6D">
        <w:rPr>
          <w:w w:val="105"/>
          <w:sz w:val="22"/>
          <w:szCs w:val="22"/>
        </w:rPr>
        <w:t>042</w:t>
      </w:r>
      <w:r w:rsidR="007059F3" w:rsidRPr="003E7F6D">
        <w:rPr>
          <w:w w:val="105"/>
          <w:sz w:val="22"/>
          <w:szCs w:val="22"/>
        </w:rPr>
        <w:t>1</w:t>
      </w:r>
      <w:r w:rsidRPr="003E7F6D">
        <w:rPr>
          <w:w w:val="105"/>
          <w:sz w:val="22"/>
          <w:szCs w:val="22"/>
        </w:rPr>
        <w:t>)</w:t>
      </w:r>
    </w:p>
    <w:p w14:paraId="186B879E" w14:textId="566D3F4E" w:rsidR="00E3380B" w:rsidRPr="003E7F6D" w:rsidRDefault="00E3380B" w:rsidP="003E7F6D">
      <w:pPr>
        <w:pStyle w:val="BodyText"/>
        <w:spacing w:line="20" w:lineRule="exact"/>
        <w:rPr>
          <w:sz w:val="22"/>
          <w:szCs w:val="22"/>
        </w:rPr>
      </w:pPr>
      <w:r w:rsidRPr="003E7F6D">
        <w:rPr>
          <w:noProof/>
          <w:sz w:val="22"/>
          <w:szCs w:val="22"/>
        </w:rPr>
        <mc:AlternateContent>
          <mc:Choice Requires="wpg">
            <w:drawing>
              <wp:inline distT="0" distB="0" distL="0" distR="0" wp14:anchorId="717FE40B" wp14:editId="592816D1">
                <wp:extent cx="1851660" cy="9525"/>
                <wp:effectExtent l="10795" t="7620" r="1397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1660" cy="9525"/>
                          <a:chOff x="0" y="0"/>
                          <a:chExt cx="2916" cy="15"/>
                        </a:xfrm>
                      </wpg:grpSpPr>
                      <wps:wsp>
                        <wps:cNvPr id="4" name="Line 5"/>
                        <wps:cNvCnPr>
                          <a:cxnSpLocks noChangeShapeType="1"/>
                        </wps:cNvCnPr>
                        <wps:spPr bwMode="auto">
                          <a:xfrm>
                            <a:off x="0" y="7"/>
                            <a:ext cx="2916" cy="0"/>
                          </a:xfrm>
                          <a:prstGeom prst="line">
                            <a:avLst/>
                          </a:prstGeom>
                          <a:noFill/>
                          <a:ln w="916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7276A1" id="Group 3" o:spid="_x0000_s1026" style="width:145.8pt;height:.75pt;mso-position-horizontal-relative:char;mso-position-vertical-relative:line" coordsize="291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">
                <v:line id="Line 5" o:spid="_x0000_s1027" style="position:absolute;visibility:visible;mso-wrap-style:square" from="0,7" to="29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" strokeweight=".25447mm"/>
                <w10:anchorlock/>
              </v:group>
            </w:pict>
          </mc:Fallback>
        </mc:AlternateContent>
      </w:r>
    </w:p>
    <w:p w14:paraId="703E8978" w14:textId="77777777" w:rsidR="00E3380B" w:rsidRPr="003E7F6D" w:rsidRDefault="00E3380B" w:rsidP="003E7F6D">
      <w:pPr>
        <w:pStyle w:val="BodyText"/>
        <w:tabs>
          <w:tab w:val="left" w:pos="2887"/>
        </w:tabs>
        <w:ind w:right="38"/>
        <w:rPr>
          <w:sz w:val="22"/>
          <w:szCs w:val="22"/>
        </w:rPr>
      </w:pPr>
      <w:r w:rsidRPr="003E7F6D">
        <w:rPr>
          <w:w w:val="105"/>
          <w:sz w:val="22"/>
          <w:szCs w:val="22"/>
        </w:rPr>
        <w:t>In</w:t>
      </w:r>
      <w:r w:rsidRPr="003E7F6D">
        <w:rPr>
          <w:spacing w:val="-9"/>
          <w:w w:val="105"/>
          <w:sz w:val="22"/>
          <w:szCs w:val="22"/>
        </w:rPr>
        <w:t xml:space="preserve"> </w:t>
      </w:r>
      <w:r w:rsidRPr="003E7F6D">
        <w:rPr>
          <w:w w:val="105"/>
          <w:sz w:val="22"/>
          <w:szCs w:val="22"/>
        </w:rPr>
        <w:t>the</w:t>
      </w:r>
      <w:r w:rsidRPr="003E7F6D">
        <w:rPr>
          <w:spacing w:val="-7"/>
          <w:w w:val="105"/>
          <w:sz w:val="22"/>
          <w:szCs w:val="22"/>
        </w:rPr>
        <w:t xml:space="preserve"> </w:t>
      </w:r>
      <w:r w:rsidRPr="003E7F6D">
        <w:rPr>
          <w:w w:val="105"/>
          <w:sz w:val="22"/>
          <w:szCs w:val="22"/>
        </w:rPr>
        <w:t>Matter</w:t>
      </w:r>
      <w:r w:rsidRPr="003E7F6D">
        <w:rPr>
          <w:spacing w:val="-4"/>
          <w:w w:val="105"/>
          <w:sz w:val="22"/>
          <w:szCs w:val="22"/>
        </w:rPr>
        <w:t xml:space="preserve"> </w:t>
      </w:r>
      <w:r w:rsidRPr="003E7F6D">
        <w:rPr>
          <w:spacing w:val="-5"/>
          <w:w w:val="105"/>
          <w:sz w:val="22"/>
          <w:szCs w:val="22"/>
        </w:rPr>
        <w:t>of</w:t>
      </w:r>
      <w:r w:rsidRPr="003E7F6D">
        <w:rPr>
          <w:sz w:val="22"/>
          <w:szCs w:val="22"/>
        </w:rPr>
        <w:tab/>
      </w:r>
      <w:r w:rsidRPr="003E7F6D">
        <w:rPr>
          <w:spacing w:val="-10"/>
          <w:w w:val="105"/>
          <w:sz w:val="22"/>
          <w:szCs w:val="22"/>
        </w:rPr>
        <w:t>)</w:t>
      </w:r>
    </w:p>
    <w:p w14:paraId="6D20CC4F" w14:textId="3E8F83C5" w:rsidR="009631A9" w:rsidRPr="003E7F6D" w:rsidRDefault="009631A9" w:rsidP="003E7F6D">
      <w:pPr>
        <w:pStyle w:val="BodyText"/>
        <w:tabs>
          <w:tab w:val="left" w:pos="2882"/>
        </w:tabs>
        <w:ind w:right="38"/>
        <w:rPr>
          <w:sz w:val="22"/>
          <w:szCs w:val="22"/>
          <w:u w:val="single"/>
        </w:rPr>
      </w:pPr>
      <w:r w:rsidRPr="003E7F6D">
        <w:rPr>
          <w:w w:val="103"/>
          <w:sz w:val="22"/>
          <w:szCs w:val="22"/>
        </w:rPr>
        <w:tab/>
      </w:r>
      <w:r w:rsidR="00E3380B" w:rsidRPr="003E7F6D">
        <w:rPr>
          <w:w w:val="103"/>
          <w:sz w:val="22"/>
          <w:szCs w:val="22"/>
        </w:rPr>
        <w:t>)</w:t>
      </w:r>
      <w:r w:rsidRPr="003E7F6D">
        <w:rPr>
          <w:w w:val="103"/>
          <w:sz w:val="22"/>
          <w:szCs w:val="22"/>
        </w:rPr>
        <w:tab/>
      </w:r>
      <w:r w:rsidRPr="003E7F6D">
        <w:rPr>
          <w:w w:val="103"/>
          <w:sz w:val="22"/>
          <w:szCs w:val="22"/>
        </w:rPr>
        <w:tab/>
      </w:r>
      <w:r w:rsidRPr="003E7F6D">
        <w:rPr>
          <w:sz w:val="22"/>
          <w:szCs w:val="22"/>
          <w:u w:val="single"/>
        </w:rPr>
        <w:t xml:space="preserve">FINAL DECISION AND ORDER </w:t>
      </w:r>
    </w:p>
    <w:p w14:paraId="2A2CAEF7" w14:textId="0FB75AA8" w:rsidR="00E3380B" w:rsidRPr="003E7F6D" w:rsidRDefault="003E7F6D" w:rsidP="003E7F6D">
      <w:pPr>
        <w:ind w:left="2160" w:right="38" w:firstLine="720"/>
      </w:pPr>
      <w:r w:rsidRPr="003E7F6D">
        <w:t>)</w:t>
      </w:r>
    </w:p>
    <w:p w14:paraId="37ABC312" w14:textId="511A995A" w:rsidR="00F466BC" w:rsidRPr="003E7F6D" w:rsidRDefault="00332F68" w:rsidP="003E7F6D">
      <w:pPr>
        <w:pStyle w:val="BodyText"/>
        <w:tabs>
          <w:tab w:val="left" w:pos="2882"/>
        </w:tabs>
        <w:ind w:right="38"/>
        <w:rPr>
          <w:sz w:val="22"/>
          <w:szCs w:val="22"/>
        </w:rPr>
      </w:pPr>
      <w:r w:rsidRPr="003E7F6D">
        <w:rPr>
          <w:spacing w:val="-2"/>
          <w:w w:val="105"/>
          <w:sz w:val="22"/>
          <w:szCs w:val="22"/>
        </w:rPr>
        <w:t>Mary Kelly Sutton</w:t>
      </w:r>
      <w:r w:rsidR="007059F3" w:rsidRPr="003E7F6D">
        <w:rPr>
          <w:spacing w:val="-2"/>
          <w:w w:val="105"/>
          <w:sz w:val="22"/>
          <w:szCs w:val="22"/>
        </w:rPr>
        <w:t xml:space="preserve">, </w:t>
      </w:r>
      <w:r w:rsidR="00E3380B" w:rsidRPr="003E7F6D">
        <w:rPr>
          <w:sz w:val="22"/>
          <w:szCs w:val="22"/>
        </w:rPr>
        <w:t>M.D.</w:t>
      </w:r>
      <w:r w:rsidR="00F466BC" w:rsidRPr="003E7F6D">
        <w:rPr>
          <w:sz w:val="22"/>
          <w:szCs w:val="22"/>
        </w:rPr>
        <w:t xml:space="preserve">   </w:t>
      </w:r>
      <w:r w:rsidR="007059F3" w:rsidRPr="003E7F6D">
        <w:rPr>
          <w:sz w:val="22"/>
          <w:szCs w:val="22"/>
        </w:rPr>
        <w:tab/>
      </w:r>
      <w:r w:rsidR="00F466BC" w:rsidRPr="003E7F6D">
        <w:rPr>
          <w:sz w:val="22"/>
          <w:szCs w:val="22"/>
        </w:rPr>
        <w:t>)</w:t>
      </w:r>
    </w:p>
    <w:p w14:paraId="176E2860" w14:textId="23EC3A4A" w:rsidR="00654D84" w:rsidRPr="003E7F6D" w:rsidRDefault="00E3380B" w:rsidP="003E7F6D">
      <w:pPr>
        <w:pStyle w:val="BodyText"/>
        <w:tabs>
          <w:tab w:val="left" w:pos="2882"/>
        </w:tabs>
        <w:ind w:right="38"/>
        <w:rPr>
          <w:sz w:val="22"/>
          <w:szCs w:val="22"/>
          <w:u w:val="single"/>
        </w:rPr>
      </w:pPr>
      <w:r w:rsidRPr="003E7F6D">
        <w:rPr>
          <w:sz w:val="22"/>
          <w:szCs w:val="22"/>
          <w:u w:val="single"/>
        </w:rPr>
        <w:tab/>
      </w:r>
      <w:r w:rsidRPr="003E7F6D">
        <w:rPr>
          <w:sz w:val="22"/>
          <w:szCs w:val="22"/>
        </w:rPr>
        <w:t>)</w:t>
      </w:r>
      <w:r w:rsidR="007A7BB8" w:rsidRPr="003E7F6D">
        <w:rPr>
          <w:sz w:val="22"/>
          <w:szCs w:val="22"/>
        </w:rPr>
        <w:tab/>
      </w:r>
      <w:r w:rsidR="007A7BB8" w:rsidRPr="003E7F6D">
        <w:rPr>
          <w:sz w:val="22"/>
          <w:szCs w:val="22"/>
        </w:rPr>
        <w:tab/>
      </w:r>
      <w:r w:rsidR="007A7BB8" w:rsidRPr="003E7F6D">
        <w:rPr>
          <w:sz w:val="22"/>
          <w:szCs w:val="22"/>
        </w:rPr>
        <w:tab/>
      </w:r>
      <w:r w:rsidR="007A7BB8" w:rsidRPr="003E7F6D">
        <w:rPr>
          <w:sz w:val="22"/>
          <w:szCs w:val="22"/>
          <w:u w:val="single"/>
        </w:rPr>
        <w:t xml:space="preserve"> </w:t>
      </w:r>
    </w:p>
    <w:p w14:paraId="09B70866" w14:textId="77777777" w:rsidR="00654D84" w:rsidRPr="003E7F6D" w:rsidRDefault="00654D84" w:rsidP="009631A9">
      <w:pPr>
        <w:pStyle w:val="BodyText"/>
        <w:tabs>
          <w:tab w:val="left" w:pos="0"/>
        </w:tabs>
        <w:spacing w:before="19"/>
        <w:ind w:right="38"/>
        <w:rPr>
          <w:sz w:val="22"/>
          <w:szCs w:val="22"/>
        </w:rPr>
      </w:pPr>
    </w:p>
    <w:p w14:paraId="4FF89350" w14:textId="4282E560" w:rsidR="00C5256D" w:rsidRPr="003E7F6D" w:rsidRDefault="00EF0EBD" w:rsidP="008B1235">
      <w:pPr>
        <w:pStyle w:val="BodyText"/>
        <w:spacing w:after="240"/>
        <w:ind w:left="150"/>
        <w:jc w:val="center"/>
        <w:rPr>
          <w:spacing w:val="-2"/>
          <w:w w:val="105"/>
          <w:sz w:val="22"/>
          <w:szCs w:val="22"/>
          <w:u w:val="thick"/>
        </w:rPr>
      </w:pPr>
      <w:r w:rsidRPr="003E7F6D">
        <w:rPr>
          <w:spacing w:val="-2"/>
          <w:w w:val="105"/>
          <w:sz w:val="22"/>
          <w:szCs w:val="22"/>
          <w:u w:val="thick"/>
        </w:rPr>
        <w:t>Procedural History</w:t>
      </w:r>
    </w:p>
    <w:p w14:paraId="74EE12DB" w14:textId="2E1E5DE0" w:rsidR="00EE3266" w:rsidRPr="00110D4B" w:rsidRDefault="00E3380B" w:rsidP="00110D4B">
      <w:pPr>
        <w:pStyle w:val="BodyText"/>
        <w:spacing w:after="240" w:line="360" w:lineRule="auto"/>
        <w:ind w:right="186" w:firstLine="730"/>
        <w:rPr>
          <w:w w:val="105"/>
          <w:sz w:val="22"/>
          <w:szCs w:val="22"/>
        </w:rPr>
      </w:pPr>
      <w:r w:rsidRPr="00110D4B">
        <w:rPr>
          <w:w w:val="105"/>
          <w:sz w:val="22"/>
          <w:szCs w:val="22"/>
        </w:rPr>
        <w:t>On</w:t>
      </w:r>
      <w:r w:rsidRPr="00110D4B">
        <w:rPr>
          <w:spacing w:val="-1"/>
          <w:w w:val="105"/>
          <w:sz w:val="22"/>
          <w:szCs w:val="22"/>
        </w:rPr>
        <w:t xml:space="preserve"> </w:t>
      </w:r>
      <w:r w:rsidR="009631A9" w:rsidRPr="00110D4B">
        <w:rPr>
          <w:spacing w:val="-1"/>
          <w:w w:val="105"/>
          <w:sz w:val="22"/>
          <w:szCs w:val="22"/>
        </w:rPr>
        <w:t>September 8,</w:t>
      </w:r>
      <w:r w:rsidR="001920D6" w:rsidRPr="00110D4B">
        <w:rPr>
          <w:spacing w:val="-1"/>
          <w:w w:val="105"/>
          <w:sz w:val="22"/>
          <w:szCs w:val="22"/>
        </w:rPr>
        <w:t xml:space="preserve"> </w:t>
      </w:r>
      <w:r w:rsidR="009631A9" w:rsidRPr="00110D4B">
        <w:rPr>
          <w:spacing w:val="-1"/>
          <w:w w:val="105"/>
          <w:sz w:val="22"/>
          <w:szCs w:val="22"/>
        </w:rPr>
        <w:t>2022</w:t>
      </w:r>
      <w:r w:rsidRPr="00110D4B">
        <w:rPr>
          <w:w w:val="105"/>
          <w:sz w:val="22"/>
          <w:szCs w:val="22"/>
        </w:rPr>
        <w:t xml:space="preserve">, the Board </w:t>
      </w:r>
      <w:r w:rsidR="00AB0B8E" w:rsidRPr="00110D4B">
        <w:rPr>
          <w:w w:val="105"/>
          <w:sz w:val="22"/>
          <w:szCs w:val="22"/>
        </w:rPr>
        <w:t xml:space="preserve">of Registration in Medicine (Board) </w:t>
      </w:r>
      <w:r w:rsidRPr="00110D4B">
        <w:rPr>
          <w:w w:val="105"/>
          <w:sz w:val="22"/>
          <w:szCs w:val="22"/>
        </w:rPr>
        <w:t xml:space="preserve">issued </w:t>
      </w:r>
      <w:r w:rsidR="00BA357D">
        <w:rPr>
          <w:w w:val="105"/>
          <w:sz w:val="22"/>
          <w:szCs w:val="22"/>
        </w:rPr>
        <w:t xml:space="preserve">a </w:t>
      </w:r>
      <w:r w:rsidRPr="00110D4B">
        <w:rPr>
          <w:w w:val="105"/>
          <w:sz w:val="22"/>
          <w:szCs w:val="22"/>
        </w:rPr>
        <w:t xml:space="preserve">Statement of Allegations (SOA) charging </w:t>
      </w:r>
      <w:r w:rsidR="00F75A03" w:rsidRPr="00110D4B">
        <w:rPr>
          <w:w w:val="105"/>
          <w:sz w:val="22"/>
          <w:szCs w:val="22"/>
        </w:rPr>
        <w:t>t</w:t>
      </w:r>
      <w:r w:rsidRPr="00110D4B">
        <w:rPr>
          <w:w w:val="105"/>
          <w:sz w:val="22"/>
          <w:szCs w:val="22"/>
        </w:rPr>
        <w:t>he Respondent</w:t>
      </w:r>
      <w:r w:rsidR="00F75A03" w:rsidRPr="00110D4B">
        <w:rPr>
          <w:w w:val="105"/>
          <w:sz w:val="22"/>
          <w:szCs w:val="22"/>
        </w:rPr>
        <w:t xml:space="preserve"> </w:t>
      </w:r>
      <w:r w:rsidRPr="00110D4B">
        <w:rPr>
          <w:w w:val="105"/>
          <w:sz w:val="22"/>
          <w:szCs w:val="22"/>
        </w:rPr>
        <w:t>with</w:t>
      </w:r>
      <w:r w:rsidR="009631A9" w:rsidRPr="00110D4B">
        <w:rPr>
          <w:w w:val="105"/>
          <w:sz w:val="22"/>
          <w:szCs w:val="22"/>
        </w:rPr>
        <w:t xml:space="preserve"> having been disciplined in another jurisdiction for reasons substantially the same as those set forth in G.L.c.112, sec. 5 or 243 CMR 1.03(5), specifically for engaging in conduct which places into question her competence to practice medicine, in</w:t>
      </w:r>
      <w:r w:rsidR="001920D6" w:rsidRPr="00110D4B">
        <w:rPr>
          <w:w w:val="105"/>
          <w:sz w:val="22"/>
          <w:szCs w:val="22"/>
        </w:rPr>
        <w:t>c</w:t>
      </w:r>
      <w:r w:rsidR="009631A9" w:rsidRPr="00110D4B">
        <w:rPr>
          <w:w w:val="105"/>
          <w:sz w:val="22"/>
          <w:szCs w:val="22"/>
        </w:rPr>
        <w:t>luding but not limited to gross misconduct in the practice of medicine, or practicing medicine fraudulently, or beyon</w:t>
      </w:r>
      <w:r w:rsidR="001920D6" w:rsidRPr="00110D4B">
        <w:rPr>
          <w:w w:val="105"/>
          <w:sz w:val="22"/>
          <w:szCs w:val="22"/>
        </w:rPr>
        <w:t>d</w:t>
      </w:r>
      <w:r w:rsidR="009631A9" w:rsidRPr="00110D4B">
        <w:rPr>
          <w:w w:val="105"/>
          <w:sz w:val="22"/>
          <w:szCs w:val="22"/>
        </w:rPr>
        <w:t xml:space="preserve"> its authorized scope</w:t>
      </w:r>
      <w:r w:rsidR="001920D6" w:rsidRPr="00110D4B">
        <w:rPr>
          <w:w w:val="105"/>
          <w:sz w:val="22"/>
          <w:szCs w:val="22"/>
        </w:rPr>
        <w:t>,</w:t>
      </w:r>
      <w:r w:rsidR="009631A9" w:rsidRPr="00110D4B">
        <w:rPr>
          <w:w w:val="105"/>
          <w:sz w:val="22"/>
          <w:szCs w:val="22"/>
        </w:rPr>
        <w:t xml:space="preserve"> </w:t>
      </w:r>
      <w:r w:rsidR="001920D6" w:rsidRPr="00110D4B">
        <w:rPr>
          <w:w w:val="105"/>
          <w:sz w:val="22"/>
          <w:szCs w:val="22"/>
        </w:rPr>
        <w:t>o</w:t>
      </w:r>
      <w:r w:rsidR="009631A9" w:rsidRPr="00110D4B">
        <w:rPr>
          <w:w w:val="105"/>
          <w:sz w:val="22"/>
          <w:szCs w:val="22"/>
        </w:rPr>
        <w:t xml:space="preserve">r with gross incompetence or with gross negligence on a </w:t>
      </w:r>
      <w:r w:rsidR="001920D6" w:rsidRPr="00110D4B">
        <w:rPr>
          <w:w w:val="105"/>
          <w:sz w:val="22"/>
          <w:szCs w:val="22"/>
        </w:rPr>
        <w:t xml:space="preserve">particular occasion of negligence on repeated occasions in violation of 243 CMR 1.03(5)(a)(3).  The SOA also alleged that the Respondent lacked good moral character and engaged in conduct that undermines the public confidence in the integrity of the medical profession. </w:t>
      </w:r>
      <w:r w:rsidR="001920D6" w:rsidRPr="00110D4B">
        <w:rPr>
          <w:w w:val="105"/>
          <w:sz w:val="22"/>
          <w:szCs w:val="22"/>
          <w:u w:val="single"/>
        </w:rPr>
        <w:t>Levy v. Board of Registration in Medicine</w:t>
      </w:r>
      <w:r w:rsidR="001920D6" w:rsidRPr="00110D4B">
        <w:rPr>
          <w:w w:val="105"/>
          <w:sz w:val="22"/>
          <w:szCs w:val="22"/>
        </w:rPr>
        <w:t xml:space="preserve">, 378 Mass. 519 (1979); </w:t>
      </w:r>
      <w:r w:rsidR="001920D6" w:rsidRPr="00110D4B">
        <w:rPr>
          <w:w w:val="105"/>
          <w:sz w:val="22"/>
          <w:szCs w:val="22"/>
          <w:u w:val="single"/>
        </w:rPr>
        <w:t>Raymond v. Board of Registration in Medicine</w:t>
      </w:r>
      <w:r w:rsidR="001920D6" w:rsidRPr="00110D4B">
        <w:rPr>
          <w:w w:val="105"/>
          <w:sz w:val="22"/>
          <w:szCs w:val="22"/>
        </w:rPr>
        <w:t xml:space="preserve">, 387 Mass. 708 (1982). The SOA charged that the Respondent’s medical license had been revoked by the Medical Board of California (California Board) after it found </w:t>
      </w:r>
      <w:r w:rsidR="00EE3266" w:rsidRPr="00110D4B">
        <w:rPr>
          <w:w w:val="105"/>
          <w:sz w:val="22"/>
          <w:szCs w:val="22"/>
        </w:rPr>
        <w:t>that the Respondent had violated numerous provisions of that state’s medical practice action including those governing grossly negligent conduct, repeatedly negligent conduct and incompetent conduct, when she provided vaccine exemptions for eight juvenile patients. The SOA was also referred to the Division of Administrative Law Appeals on September 8, 2022.</w:t>
      </w:r>
    </w:p>
    <w:p w14:paraId="2E321653" w14:textId="21F909C3" w:rsidR="00AC2EB0" w:rsidRPr="00110D4B" w:rsidRDefault="00AC2EB0" w:rsidP="00110D4B">
      <w:pPr>
        <w:pStyle w:val="BodyText"/>
        <w:spacing w:after="240" w:line="360" w:lineRule="auto"/>
        <w:ind w:right="186" w:firstLine="730"/>
        <w:rPr>
          <w:w w:val="105"/>
          <w:sz w:val="22"/>
          <w:szCs w:val="22"/>
        </w:rPr>
      </w:pPr>
      <w:r w:rsidRPr="00110D4B">
        <w:rPr>
          <w:w w:val="105"/>
          <w:sz w:val="22"/>
          <w:szCs w:val="22"/>
        </w:rPr>
        <w:t>The Respondent filed her Answer on October 20,2022, attaching several documents concerning her discipline by the California Board. In her Answer, the Respondent argued that the Board should not discipline her as there were several issues with the proceeding before the California Board</w:t>
      </w:r>
      <w:r w:rsidR="004755E6" w:rsidRPr="00110D4B">
        <w:rPr>
          <w:w w:val="105"/>
          <w:sz w:val="22"/>
          <w:szCs w:val="22"/>
        </w:rPr>
        <w:t xml:space="preserve"> and the discipline by the California Board was being appealed to the California Sacramento County Superior Court.</w:t>
      </w:r>
    </w:p>
    <w:p w14:paraId="2F61A6C0" w14:textId="60710961" w:rsidR="00380EE8" w:rsidRPr="00110D4B" w:rsidRDefault="00380EE8" w:rsidP="00110D4B">
      <w:pPr>
        <w:pStyle w:val="BodyText"/>
        <w:spacing w:after="240" w:line="360" w:lineRule="auto"/>
        <w:ind w:right="186" w:firstLine="730"/>
        <w:rPr>
          <w:w w:val="105"/>
          <w:sz w:val="22"/>
          <w:szCs w:val="22"/>
        </w:rPr>
      </w:pPr>
      <w:r w:rsidRPr="00110D4B">
        <w:rPr>
          <w:w w:val="105"/>
          <w:sz w:val="22"/>
          <w:szCs w:val="22"/>
        </w:rPr>
        <w:t xml:space="preserve">Following the pre-hearing conference held on November 15, 2022, the Respondent filed several letters with </w:t>
      </w:r>
      <w:r w:rsidR="00092BEF" w:rsidRPr="00110D4B">
        <w:rPr>
          <w:w w:val="105"/>
          <w:sz w:val="22"/>
          <w:szCs w:val="22"/>
        </w:rPr>
        <w:t xml:space="preserve">the Division of Administrative Law Appeals </w:t>
      </w:r>
      <w:r w:rsidR="00BA357D">
        <w:rPr>
          <w:w w:val="105"/>
          <w:sz w:val="22"/>
          <w:szCs w:val="22"/>
        </w:rPr>
        <w:t>(</w:t>
      </w:r>
      <w:r w:rsidRPr="00110D4B">
        <w:rPr>
          <w:w w:val="105"/>
          <w:sz w:val="22"/>
          <w:szCs w:val="22"/>
        </w:rPr>
        <w:t>DALA</w:t>
      </w:r>
      <w:r w:rsidR="00092BEF" w:rsidRPr="00110D4B">
        <w:rPr>
          <w:w w:val="105"/>
          <w:sz w:val="22"/>
          <w:szCs w:val="22"/>
        </w:rPr>
        <w:t>)</w:t>
      </w:r>
      <w:r w:rsidRPr="00110D4B">
        <w:rPr>
          <w:w w:val="105"/>
          <w:sz w:val="22"/>
          <w:szCs w:val="22"/>
        </w:rPr>
        <w:t xml:space="preserve"> seeking relief or orders</w:t>
      </w:r>
      <w:r w:rsidR="00092BEF" w:rsidRPr="00110D4B">
        <w:rPr>
          <w:w w:val="105"/>
          <w:sz w:val="22"/>
          <w:szCs w:val="22"/>
        </w:rPr>
        <w:t xml:space="preserve"> </w:t>
      </w:r>
      <w:r w:rsidR="00092BEF" w:rsidRPr="00110D4B">
        <w:rPr>
          <w:w w:val="105"/>
          <w:sz w:val="22"/>
          <w:szCs w:val="22"/>
        </w:rPr>
        <w:lastRenderedPageBreak/>
        <w:t>from DALA</w:t>
      </w:r>
      <w:r w:rsidRPr="00110D4B">
        <w:rPr>
          <w:w w:val="105"/>
          <w:sz w:val="22"/>
          <w:szCs w:val="22"/>
        </w:rPr>
        <w:t>.  The Administrative Magistrate, John G. Wheatley, found tha</w:t>
      </w:r>
      <w:r w:rsidR="00AB0B8E" w:rsidRPr="00110D4B">
        <w:rPr>
          <w:w w:val="105"/>
          <w:sz w:val="22"/>
          <w:szCs w:val="22"/>
        </w:rPr>
        <w:t>t these requests for relief generally fell into five categories:  Motion to Stay Proceedings &amp; Request for Reasons for Denying Stay; Motion to Dismiss; Motion to Strike; Motion to Postpone Dispositive Motions and to Compel Production of Documents and Request for Legal Authority for Purported RSVP Requirement.</w:t>
      </w:r>
      <w:r w:rsidRPr="00110D4B">
        <w:rPr>
          <w:w w:val="105"/>
          <w:sz w:val="22"/>
          <w:szCs w:val="22"/>
        </w:rPr>
        <w:t xml:space="preserve"> </w:t>
      </w:r>
      <w:r w:rsidR="00AB0B8E" w:rsidRPr="00110D4B">
        <w:rPr>
          <w:w w:val="105"/>
          <w:sz w:val="22"/>
          <w:szCs w:val="22"/>
        </w:rPr>
        <w:t xml:space="preserve"> On December 2, 2022, the Magistrate denied these motions</w:t>
      </w:r>
      <w:r w:rsidR="00C75C40" w:rsidRPr="00110D4B">
        <w:rPr>
          <w:w w:val="105"/>
          <w:sz w:val="22"/>
          <w:szCs w:val="22"/>
        </w:rPr>
        <w:t>.  As for the Motion to Stay Proceedings, the Magistrate</w:t>
      </w:r>
      <w:r w:rsidR="00AB0B8E" w:rsidRPr="00110D4B">
        <w:rPr>
          <w:w w:val="105"/>
          <w:sz w:val="22"/>
          <w:szCs w:val="22"/>
        </w:rPr>
        <w:t xml:space="preserve"> stat</w:t>
      </w:r>
      <w:r w:rsidR="00C75C40" w:rsidRPr="00110D4B">
        <w:rPr>
          <w:w w:val="105"/>
          <w:sz w:val="22"/>
          <w:szCs w:val="22"/>
        </w:rPr>
        <w:t>ed</w:t>
      </w:r>
      <w:r w:rsidR="00AB0B8E" w:rsidRPr="00110D4B">
        <w:rPr>
          <w:w w:val="105"/>
          <w:sz w:val="22"/>
          <w:szCs w:val="22"/>
        </w:rPr>
        <w:t xml:space="preserve"> that the </w:t>
      </w:r>
      <w:r w:rsidR="00C75C40" w:rsidRPr="00110D4B">
        <w:rPr>
          <w:w w:val="105"/>
          <w:sz w:val="22"/>
          <w:szCs w:val="22"/>
        </w:rPr>
        <w:t xml:space="preserve">Board had indicated that it would include legal authority in its Motion for Summary Decision in support of its argument that a pending appeals of a license revocation by another state’s medical board does not prevent </w:t>
      </w:r>
      <w:r w:rsidR="00D341EA" w:rsidRPr="00110D4B">
        <w:rPr>
          <w:w w:val="105"/>
          <w:sz w:val="22"/>
          <w:szCs w:val="22"/>
        </w:rPr>
        <w:t>the Massachusetts Board</w:t>
      </w:r>
      <w:r w:rsidR="00C75C40" w:rsidRPr="00110D4B">
        <w:rPr>
          <w:w w:val="105"/>
          <w:sz w:val="22"/>
          <w:szCs w:val="22"/>
        </w:rPr>
        <w:t xml:space="preserve"> from taking reciprocal disciplinary action against a physician’s Massachusetts medical license.  The Magistrate emphasized that this denial was without prejudice to the Respondent’s raising the same argument in any opposition to the Motion for Summary Decision. The Magistrate rejected the Motion to Dismiss for lack of subject matter jurisdiction as he found that “[t]he prosecution of disciplinary actions against physicians licensed in Massachusetts rests squarely within the Board’s jurisdictions.”  He further stated that the Board need not have jurisdiction over the writing of childhood vaccine medical exemptions under California law in order to take disciplinary action here nor does it need to relitigate the factual basis for the California Board’s disciplinary decision.  </w:t>
      </w:r>
      <w:r w:rsidR="00C75C40" w:rsidRPr="00110D4B">
        <w:rPr>
          <w:w w:val="105"/>
          <w:sz w:val="22"/>
          <w:szCs w:val="22"/>
          <w:u w:val="single"/>
        </w:rPr>
        <w:t>Haran v. Board of Registration in Medicine</w:t>
      </w:r>
      <w:r w:rsidR="00C75C40" w:rsidRPr="00110D4B">
        <w:rPr>
          <w:w w:val="105"/>
          <w:sz w:val="22"/>
          <w:szCs w:val="22"/>
        </w:rPr>
        <w:t>, 398 Mass. 571, 57</w:t>
      </w:r>
      <w:r w:rsidR="00E242CE" w:rsidRPr="00110D4B">
        <w:rPr>
          <w:w w:val="105"/>
          <w:sz w:val="22"/>
          <w:szCs w:val="22"/>
        </w:rPr>
        <w:t>5 (1986). Likewise, the Magistrate denied the Motion to Strike on the basis of “wrong facts” and “being highly prejudicial” as not being a valid basis for a motion to strike</w:t>
      </w:r>
      <w:r w:rsidR="008D64B6" w:rsidRPr="00110D4B">
        <w:rPr>
          <w:w w:val="105"/>
          <w:sz w:val="22"/>
          <w:szCs w:val="22"/>
        </w:rPr>
        <w:t xml:space="preserve"> pursuant to </w:t>
      </w:r>
      <w:r w:rsidR="00E242CE" w:rsidRPr="00110D4B">
        <w:rPr>
          <w:w w:val="105"/>
          <w:sz w:val="22"/>
          <w:szCs w:val="22"/>
        </w:rPr>
        <w:t>801 CMR 1.01(7)(c). The Magistrate rejected the Motions to Continue and to Compel, without prejudice</w:t>
      </w:r>
      <w:r w:rsidR="008D64B6" w:rsidRPr="00110D4B">
        <w:rPr>
          <w:w w:val="105"/>
          <w:sz w:val="22"/>
          <w:szCs w:val="22"/>
        </w:rPr>
        <w:t>,</w:t>
      </w:r>
      <w:r w:rsidR="00E242CE" w:rsidRPr="00110D4B">
        <w:rPr>
          <w:w w:val="105"/>
          <w:sz w:val="22"/>
          <w:szCs w:val="22"/>
        </w:rPr>
        <w:t xml:space="preserve"> for lack of detail and inadequate justification. Finally, the Magistrate denied the Request</w:t>
      </w:r>
      <w:r w:rsidR="000B15DD" w:rsidRPr="00110D4B">
        <w:rPr>
          <w:w w:val="105"/>
          <w:sz w:val="22"/>
          <w:szCs w:val="22"/>
        </w:rPr>
        <w:t xml:space="preserve"> </w:t>
      </w:r>
      <w:r w:rsidR="00E242CE" w:rsidRPr="00110D4B">
        <w:rPr>
          <w:w w:val="105"/>
          <w:sz w:val="22"/>
          <w:szCs w:val="22"/>
        </w:rPr>
        <w:t>for Legal Authority for Purported RSVP Requirement on the basis that he did not understand what the Respondent was seeking.</w:t>
      </w:r>
    </w:p>
    <w:p w14:paraId="394FFBC8" w14:textId="11F7CC5B" w:rsidR="004848AB" w:rsidRPr="00110D4B" w:rsidRDefault="008D64B6" w:rsidP="00110D4B">
      <w:pPr>
        <w:pStyle w:val="BodyText"/>
        <w:spacing w:after="240" w:line="360" w:lineRule="auto"/>
        <w:ind w:right="186" w:firstLine="730"/>
        <w:rPr>
          <w:w w:val="105"/>
          <w:sz w:val="22"/>
          <w:szCs w:val="22"/>
        </w:rPr>
      </w:pPr>
      <w:r w:rsidRPr="00110D4B">
        <w:rPr>
          <w:w w:val="105"/>
          <w:sz w:val="22"/>
          <w:szCs w:val="22"/>
        </w:rPr>
        <w:t xml:space="preserve">On November 30, 2022, </w:t>
      </w:r>
      <w:r w:rsidR="00221330" w:rsidRPr="00110D4B">
        <w:rPr>
          <w:w w:val="105"/>
          <w:sz w:val="22"/>
          <w:szCs w:val="22"/>
        </w:rPr>
        <w:t xml:space="preserve">Complaint Counsel </w:t>
      </w:r>
      <w:r w:rsidR="00326C82" w:rsidRPr="00110D4B">
        <w:rPr>
          <w:w w:val="105"/>
          <w:sz w:val="22"/>
          <w:szCs w:val="22"/>
        </w:rPr>
        <w:t xml:space="preserve">filed </w:t>
      </w:r>
      <w:r w:rsidR="00221330" w:rsidRPr="00110D4B">
        <w:rPr>
          <w:w w:val="105"/>
          <w:sz w:val="22"/>
          <w:szCs w:val="22"/>
        </w:rPr>
        <w:t>a Motion for Summary</w:t>
      </w:r>
      <w:r w:rsidR="00E31577" w:rsidRPr="00110D4B">
        <w:rPr>
          <w:w w:val="105"/>
          <w:sz w:val="22"/>
          <w:szCs w:val="22"/>
        </w:rPr>
        <w:t xml:space="preserve"> </w:t>
      </w:r>
      <w:r w:rsidR="00B76434" w:rsidRPr="00110D4B">
        <w:rPr>
          <w:w w:val="105"/>
          <w:sz w:val="22"/>
          <w:szCs w:val="22"/>
        </w:rPr>
        <w:t>Decisio</w:t>
      </w:r>
      <w:r w:rsidR="00CE56C8" w:rsidRPr="00110D4B">
        <w:rPr>
          <w:w w:val="105"/>
          <w:sz w:val="22"/>
          <w:szCs w:val="22"/>
        </w:rPr>
        <w:t>n</w:t>
      </w:r>
      <w:r w:rsidR="00C14764" w:rsidRPr="00110D4B">
        <w:rPr>
          <w:w w:val="105"/>
          <w:sz w:val="22"/>
          <w:szCs w:val="22"/>
        </w:rPr>
        <w:t>,</w:t>
      </w:r>
      <w:r w:rsidR="00CE56C8" w:rsidRPr="00110D4B">
        <w:rPr>
          <w:rStyle w:val="FootnoteReference"/>
          <w:w w:val="105"/>
          <w:sz w:val="22"/>
          <w:szCs w:val="22"/>
        </w:rPr>
        <w:footnoteReference w:id="1"/>
      </w:r>
      <w:r w:rsidR="0064354E" w:rsidRPr="00110D4B">
        <w:rPr>
          <w:w w:val="105"/>
          <w:sz w:val="22"/>
          <w:szCs w:val="22"/>
        </w:rPr>
        <w:t xml:space="preserve"> </w:t>
      </w:r>
      <w:r w:rsidRPr="00110D4B">
        <w:rPr>
          <w:w w:val="105"/>
          <w:sz w:val="22"/>
          <w:szCs w:val="22"/>
        </w:rPr>
        <w:t xml:space="preserve"> </w:t>
      </w:r>
      <w:r w:rsidR="000C4FB3" w:rsidRPr="00110D4B">
        <w:rPr>
          <w:w w:val="105"/>
          <w:sz w:val="22"/>
          <w:szCs w:val="22"/>
        </w:rPr>
        <w:t xml:space="preserve"> On December 13, 2002, the Respondent filed ten “urgent” motions, including three Motions to Dismiss, two Motions addressing discovery matters, a Motion to Stay, a Motion to Strike allegations in the SOA, as well as a Motion to Quash Board’s Motion for Summary Decision.</w:t>
      </w:r>
      <w:r w:rsidR="000C4FB3" w:rsidRPr="00110D4B">
        <w:rPr>
          <w:rStyle w:val="FootnoteReference"/>
          <w:w w:val="105"/>
          <w:sz w:val="22"/>
          <w:szCs w:val="22"/>
        </w:rPr>
        <w:footnoteReference w:id="2"/>
      </w:r>
      <w:r w:rsidR="000C4FB3" w:rsidRPr="00110D4B">
        <w:rPr>
          <w:w w:val="105"/>
          <w:sz w:val="22"/>
          <w:szCs w:val="22"/>
        </w:rPr>
        <w:t xml:space="preserve"> The latter motion was based on allege</w:t>
      </w:r>
      <w:r w:rsidR="00716750" w:rsidRPr="00110D4B">
        <w:rPr>
          <w:w w:val="105"/>
          <w:sz w:val="22"/>
          <w:szCs w:val="22"/>
        </w:rPr>
        <w:t>d</w:t>
      </w:r>
      <w:r w:rsidR="000C4FB3" w:rsidRPr="00110D4B">
        <w:rPr>
          <w:w w:val="105"/>
          <w:sz w:val="22"/>
          <w:szCs w:val="22"/>
        </w:rPr>
        <w:t xml:space="preserve"> violations of Superior Court Rule 9A(b)(5).</w:t>
      </w:r>
      <w:r w:rsidR="00716750" w:rsidRPr="00110D4B">
        <w:rPr>
          <w:w w:val="105"/>
          <w:sz w:val="22"/>
          <w:szCs w:val="22"/>
        </w:rPr>
        <w:t xml:space="preserve"> On December 16, 2022, Complaint Counsel filed an Objection to Respondent’s Urgent Motion</w:t>
      </w:r>
      <w:r w:rsidR="00524401" w:rsidRPr="00110D4B">
        <w:rPr>
          <w:w w:val="105"/>
          <w:sz w:val="22"/>
          <w:szCs w:val="22"/>
        </w:rPr>
        <w:t>s</w:t>
      </w:r>
      <w:r w:rsidR="00716750" w:rsidRPr="00110D4B">
        <w:rPr>
          <w:w w:val="105"/>
          <w:sz w:val="22"/>
          <w:szCs w:val="22"/>
        </w:rPr>
        <w:t xml:space="preserve">, requesting, in part, that she be given leave to await the Respondent’s Opposition to and </w:t>
      </w:r>
      <w:r w:rsidR="00C87986" w:rsidRPr="00110D4B">
        <w:rPr>
          <w:w w:val="105"/>
          <w:sz w:val="22"/>
          <w:szCs w:val="22"/>
        </w:rPr>
        <w:t>the</w:t>
      </w:r>
      <w:r w:rsidR="00716750" w:rsidRPr="00110D4B">
        <w:rPr>
          <w:w w:val="105"/>
          <w:sz w:val="22"/>
          <w:szCs w:val="22"/>
        </w:rPr>
        <w:t xml:space="preserve"> Magistrate’s ruling on the Motion for Summary Decision before addressing the Respondent’s Urgent Motions. </w:t>
      </w:r>
      <w:r w:rsidR="00C87986" w:rsidRPr="00110D4B">
        <w:rPr>
          <w:w w:val="105"/>
          <w:sz w:val="22"/>
          <w:szCs w:val="22"/>
        </w:rPr>
        <w:t xml:space="preserve">On December </w:t>
      </w:r>
      <w:r w:rsidR="00C87986" w:rsidRPr="00110D4B">
        <w:rPr>
          <w:w w:val="105"/>
          <w:sz w:val="22"/>
          <w:szCs w:val="22"/>
        </w:rPr>
        <w:lastRenderedPageBreak/>
        <w:t>19, 2022, the Respondent filed a Response to the Objection to Respondent’s Urgent Motions.</w:t>
      </w:r>
      <w:r w:rsidR="00332F68" w:rsidRPr="00110D4B">
        <w:rPr>
          <w:w w:val="105"/>
          <w:sz w:val="22"/>
          <w:szCs w:val="22"/>
        </w:rPr>
        <w:t xml:space="preserve"> She also filed, on January 3, 2023, a Motion for DALA to Vacate the January 17, 2023 Date for Respondent to respond to the Motion for Summary Decision and a Motion for DALA to Compel Complaint Counsel to Respond to three sets of Discovery.</w:t>
      </w:r>
    </w:p>
    <w:p w14:paraId="41CC407F" w14:textId="4F5B954B" w:rsidR="000C4FB3" w:rsidRPr="00110D4B" w:rsidRDefault="00092BEF" w:rsidP="00110D4B">
      <w:pPr>
        <w:pStyle w:val="BodyText"/>
        <w:spacing w:after="240" w:line="360" w:lineRule="auto"/>
        <w:ind w:right="186"/>
        <w:rPr>
          <w:w w:val="105"/>
          <w:sz w:val="22"/>
          <w:szCs w:val="22"/>
        </w:rPr>
      </w:pPr>
      <w:r w:rsidRPr="00110D4B">
        <w:rPr>
          <w:w w:val="105"/>
          <w:sz w:val="22"/>
          <w:szCs w:val="22"/>
        </w:rPr>
        <w:tab/>
        <w:t>On January 10, 2023, the Administrative Magistrate issue</w:t>
      </w:r>
      <w:r w:rsidR="00573B86" w:rsidRPr="00110D4B">
        <w:rPr>
          <w:w w:val="105"/>
          <w:sz w:val="22"/>
          <w:szCs w:val="22"/>
        </w:rPr>
        <w:t>d</w:t>
      </w:r>
      <w:r w:rsidRPr="00110D4B">
        <w:rPr>
          <w:w w:val="105"/>
          <w:sz w:val="22"/>
          <w:szCs w:val="22"/>
        </w:rPr>
        <w:t xml:space="preserve"> on Order on the twelve motions of the Respondent that were outstanding. He deemed six of the motions to be similar to those that he had previously denied and determined that the further arguments raised by the Respondent did not warrant a different outcome.  He also denied the Motion to Quash the Motion for Summary Decision as the Respondent cited the Rules of the Superior Court which do not apply to proceedings before DALA.  The Magistrate also denied </w:t>
      </w:r>
      <w:r w:rsidR="00C4021F" w:rsidRPr="00110D4B">
        <w:rPr>
          <w:w w:val="105"/>
          <w:sz w:val="22"/>
          <w:szCs w:val="22"/>
        </w:rPr>
        <w:t xml:space="preserve">the Respondent’s discovery motions as </w:t>
      </w:r>
      <w:r w:rsidR="00573B86" w:rsidRPr="00110D4B">
        <w:rPr>
          <w:w w:val="105"/>
          <w:sz w:val="22"/>
          <w:szCs w:val="22"/>
        </w:rPr>
        <w:t xml:space="preserve">they were </w:t>
      </w:r>
      <w:r w:rsidR="00C4021F" w:rsidRPr="00110D4B">
        <w:rPr>
          <w:w w:val="105"/>
          <w:sz w:val="22"/>
          <w:szCs w:val="22"/>
        </w:rPr>
        <w:t xml:space="preserve">seeking materials “that go far beyond the issued that are before DALA….”  The Motions to Show Cause were denied as the Magistrate declined “to interject in the parties’ external communications in the manner requested by the respondent.”  The Magistrate </w:t>
      </w:r>
      <w:r w:rsidR="005E18CF" w:rsidRPr="00110D4B">
        <w:rPr>
          <w:w w:val="105"/>
          <w:sz w:val="22"/>
          <w:szCs w:val="22"/>
        </w:rPr>
        <w:t xml:space="preserve">allowed the </w:t>
      </w:r>
      <w:r w:rsidR="00C4021F" w:rsidRPr="00110D4B">
        <w:rPr>
          <w:w w:val="105"/>
          <w:sz w:val="22"/>
          <w:szCs w:val="22"/>
        </w:rPr>
        <w:t xml:space="preserve">Motion to Vacate the deadline for responding to the Motion for Summary Decision, in part, </w:t>
      </w:r>
      <w:r w:rsidR="005E18CF" w:rsidRPr="00110D4B">
        <w:rPr>
          <w:w w:val="105"/>
          <w:sz w:val="22"/>
          <w:szCs w:val="22"/>
        </w:rPr>
        <w:t>and extended the deadline until January 31, 2023.</w:t>
      </w:r>
      <w:r w:rsidR="00442C06" w:rsidRPr="00110D4B">
        <w:rPr>
          <w:rStyle w:val="FootnoteReference"/>
          <w:w w:val="105"/>
          <w:sz w:val="22"/>
          <w:szCs w:val="22"/>
        </w:rPr>
        <w:footnoteReference w:id="3"/>
      </w:r>
    </w:p>
    <w:p w14:paraId="14C48D65" w14:textId="76B97D58" w:rsidR="00591E8A" w:rsidRPr="00110D4B" w:rsidRDefault="00A7320F" w:rsidP="00110D4B">
      <w:pPr>
        <w:pStyle w:val="BodyText"/>
        <w:spacing w:after="240" w:line="360" w:lineRule="auto"/>
        <w:ind w:right="186" w:firstLine="730"/>
        <w:rPr>
          <w:w w:val="105"/>
          <w:sz w:val="22"/>
          <w:szCs w:val="22"/>
        </w:rPr>
      </w:pPr>
      <w:r w:rsidRPr="00110D4B">
        <w:rPr>
          <w:w w:val="105"/>
          <w:sz w:val="22"/>
          <w:szCs w:val="22"/>
        </w:rPr>
        <w:t xml:space="preserve">On </w:t>
      </w:r>
      <w:r w:rsidR="00573B86" w:rsidRPr="00110D4B">
        <w:rPr>
          <w:w w:val="105"/>
          <w:sz w:val="22"/>
          <w:szCs w:val="22"/>
        </w:rPr>
        <w:t>February 24, 2023</w:t>
      </w:r>
      <w:r w:rsidRPr="00110D4B">
        <w:rPr>
          <w:w w:val="105"/>
          <w:sz w:val="22"/>
          <w:szCs w:val="22"/>
        </w:rPr>
        <w:t xml:space="preserve">, </w:t>
      </w:r>
      <w:r w:rsidR="00573B86" w:rsidRPr="00110D4B">
        <w:rPr>
          <w:w w:val="105"/>
          <w:sz w:val="22"/>
          <w:szCs w:val="22"/>
        </w:rPr>
        <w:t>the</w:t>
      </w:r>
      <w:r w:rsidRPr="00110D4B">
        <w:rPr>
          <w:w w:val="105"/>
          <w:sz w:val="22"/>
          <w:szCs w:val="22"/>
        </w:rPr>
        <w:t xml:space="preserve"> </w:t>
      </w:r>
      <w:r w:rsidR="00C5256D" w:rsidRPr="00110D4B">
        <w:rPr>
          <w:w w:val="105"/>
          <w:sz w:val="22"/>
          <w:szCs w:val="22"/>
        </w:rPr>
        <w:t xml:space="preserve">Administrative </w:t>
      </w:r>
      <w:r w:rsidR="00FA78B8" w:rsidRPr="00110D4B">
        <w:rPr>
          <w:w w:val="105"/>
          <w:sz w:val="22"/>
          <w:szCs w:val="22"/>
        </w:rPr>
        <w:t>Magistrate issued a Recommended Decision</w:t>
      </w:r>
      <w:r w:rsidR="00804864" w:rsidRPr="00110D4B">
        <w:rPr>
          <w:w w:val="105"/>
          <w:sz w:val="22"/>
          <w:szCs w:val="22"/>
        </w:rPr>
        <w:t xml:space="preserve"> </w:t>
      </w:r>
      <w:r w:rsidR="001B64E7" w:rsidRPr="00110D4B">
        <w:rPr>
          <w:w w:val="105"/>
          <w:sz w:val="22"/>
          <w:szCs w:val="22"/>
        </w:rPr>
        <w:t>ruling on the Motion for Summary Decision, and ruling, too, on the merits of the</w:t>
      </w:r>
      <w:r w:rsidR="0077300F" w:rsidRPr="00110D4B">
        <w:rPr>
          <w:w w:val="105"/>
          <w:sz w:val="22"/>
          <w:szCs w:val="22"/>
        </w:rPr>
        <w:t xml:space="preserve"> Board’s </w:t>
      </w:r>
      <w:r w:rsidR="00EB037A" w:rsidRPr="00110D4B">
        <w:rPr>
          <w:w w:val="105"/>
          <w:sz w:val="22"/>
          <w:szCs w:val="22"/>
        </w:rPr>
        <w:t>SOA</w:t>
      </w:r>
      <w:r w:rsidR="00F61625" w:rsidRPr="00110D4B">
        <w:rPr>
          <w:w w:val="105"/>
          <w:sz w:val="22"/>
          <w:szCs w:val="22"/>
        </w:rPr>
        <w:t xml:space="preserve"> </w:t>
      </w:r>
      <w:r w:rsidR="0077300F" w:rsidRPr="00110D4B">
        <w:rPr>
          <w:w w:val="105"/>
          <w:sz w:val="22"/>
          <w:szCs w:val="22"/>
        </w:rPr>
        <w:t>charges</w:t>
      </w:r>
      <w:r w:rsidR="00F61625" w:rsidRPr="00110D4B">
        <w:rPr>
          <w:w w:val="105"/>
          <w:sz w:val="22"/>
          <w:szCs w:val="22"/>
        </w:rPr>
        <w:t>.</w:t>
      </w:r>
      <w:r w:rsidR="005C1B18" w:rsidRPr="00110D4B">
        <w:rPr>
          <w:w w:val="105"/>
          <w:sz w:val="22"/>
          <w:szCs w:val="22"/>
        </w:rPr>
        <w:t xml:space="preserve"> </w:t>
      </w:r>
      <w:r w:rsidR="00573B86" w:rsidRPr="00110D4B">
        <w:rPr>
          <w:w w:val="105"/>
          <w:sz w:val="22"/>
          <w:szCs w:val="22"/>
        </w:rPr>
        <w:t xml:space="preserve"> On March 24. 2003, the Respondent filed </w:t>
      </w:r>
      <w:r w:rsidR="003F0DCE" w:rsidRPr="00110D4B">
        <w:rPr>
          <w:w w:val="105"/>
          <w:sz w:val="22"/>
          <w:szCs w:val="22"/>
        </w:rPr>
        <w:t xml:space="preserve">Objections </w:t>
      </w:r>
      <w:r w:rsidR="005D134C" w:rsidRPr="00110D4B">
        <w:rPr>
          <w:w w:val="105"/>
          <w:sz w:val="22"/>
          <w:szCs w:val="22"/>
        </w:rPr>
        <w:t>to the Recommended Decision</w:t>
      </w:r>
      <w:r w:rsidR="00573B86" w:rsidRPr="00110D4B">
        <w:rPr>
          <w:w w:val="105"/>
          <w:sz w:val="22"/>
          <w:szCs w:val="22"/>
        </w:rPr>
        <w:t>, as well as a request to DALA to withdraw that Recommended Decision</w:t>
      </w:r>
      <w:r w:rsidR="005D134C" w:rsidRPr="00110D4B">
        <w:rPr>
          <w:w w:val="105"/>
          <w:sz w:val="22"/>
          <w:szCs w:val="22"/>
        </w:rPr>
        <w:t>.</w:t>
      </w:r>
      <w:r w:rsidR="00C130E6" w:rsidRPr="00110D4B">
        <w:rPr>
          <w:rStyle w:val="FootnoteReference"/>
          <w:w w:val="105"/>
          <w:sz w:val="22"/>
          <w:szCs w:val="22"/>
        </w:rPr>
        <w:footnoteReference w:id="4"/>
      </w:r>
      <w:r w:rsidR="005D134C" w:rsidRPr="00110D4B">
        <w:rPr>
          <w:w w:val="105"/>
          <w:sz w:val="22"/>
          <w:szCs w:val="22"/>
        </w:rPr>
        <w:t xml:space="preserve"> The Board determines that the Objections </w:t>
      </w:r>
      <w:r w:rsidR="004C4583" w:rsidRPr="00110D4B">
        <w:rPr>
          <w:w w:val="105"/>
          <w:sz w:val="22"/>
          <w:szCs w:val="22"/>
        </w:rPr>
        <w:t>are limited to issues fully and adequately addressed by the Magistrate in the Recommended Decision</w:t>
      </w:r>
      <w:r w:rsidR="00581623" w:rsidRPr="00110D4B">
        <w:rPr>
          <w:w w:val="105"/>
          <w:sz w:val="22"/>
          <w:szCs w:val="22"/>
        </w:rPr>
        <w:t>.</w:t>
      </w:r>
      <w:r w:rsidR="00581623" w:rsidRPr="00110D4B">
        <w:rPr>
          <w:rStyle w:val="FootnoteReference"/>
          <w:w w:val="105"/>
          <w:sz w:val="22"/>
          <w:szCs w:val="22"/>
        </w:rPr>
        <w:footnoteReference w:id="5"/>
      </w:r>
      <w:r w:rsidR="00387ECF" w:rsidRPr="00110D4B">
        <w:rPr>
          <w:w w:val="105"/>
          <w:sz w:val="22"/>
          <w:szCs w:val="22"/>
        </w:rPr>
        <w:t xml:space="preserve"> On </w:t>
      </w:r>
      <w:r w:rsidR="00C130E6" w:rsidRPr="00110D4B">
        <w:rPr>
          <w:w w:val="105"/>
          <w:sz w:val="22"/>
          <w:szCs w:val="22"/>
        </w:rPr>
        <w:t>May 4</w:t>
      </w:r>
      <w:r w:rsidR="00387ECF" w:rsidRPr="00110D4B">
        <w:rPr>
          <w:w w:val="105"/>
          <w:sz w:val="22"/>
          <w:szCs w:val="22"/>
        </w:rPr>
        <w:t>, 2023,</w:t>
      </w:r>
      <w:r w:rsidR="00C130E6" w:rsidRPr="00110D4B">
        <w:rPr>
          <w:w w:val="105"/>
          <w:sz w:val="22"/>
          <w:szCs w:val="22"/>
        </w:rPr>
        <w:t xml:space="preserve"> Complaint Counsel </w:t>
      </w:r>
      <w:r w:rsidR="00387ECF" w:rsidRPr="00110D4B">
        <w:rPr>
          <w:w w:val="105"/>
          <w:sz w:val="22"/>
          <w:szCs w:val="22"/>
        </w:rPr>
        <w:t xml:space="preserve">submitted </w:t>
      </w:r>
      <w:r w:rsidR="00C130E6" w:rsidRPr="00110D4B">
        <w:rPr>
          <w:w w:val="105"/>
          <w:sz w:val="22"/>
          <w:szCs w:val="22"/>
        </w:rPr>
        <w:t>a Memorandum</w:t>
      </w:r>
      <w:r w:rsidR="00BF70FB" w:rsidRPr="00110D4B">
        <w:rPr>
          <w:w w:val="105"/>
          <w:sz w:val="22"/>
          <w:szCs w:val="22"/>
        </w:rPr>
        <w:t xml:space="preserve"> on Disposition. </w:t>
      </w:r>
    </w:p>
    <w:p w14:paraId="5C6908C4" w14:textId="49A15462" w:rsidR="00AB1D0A" w:rsidRPr="00110D4B" w:rsidRDefault="00AB1D0A" w:rsidP="00110D4B">
      <w:pPr>
        <w:pStyle w:val="BodyText"/>
        <w:spacing w:after="240" w:line="360" w:lineRule="auto"/>
        <w:ind w:right="186" w:firstLine="730"/>
        <w:rPr>
          <w:w w:val="105"/>
          <w:sz w:val="22"/>
          <w:szCs w:val="22"/>
        </w:rPr>
      </w:pPr>
      <w:r w:rsidRPr="00110D4B">
        <w:rPr>
          <w:w w:val="105"/>
          <w:sz w:val="22"/>
          <w:szCs w:val="22"/>
        </w:rPr>
        <w:t xml:space="preserve">The Board </w:t>
      </w:r>
      <w:r w:rsidR="004B35CB" w:rsidRPr="00110D4B">
        <w:rPr>
          <w:w w:val="105"/>
          <w:sz w:val="22"/>
          <w:szCs w:val="22"/>
        </w:rPr>
        <w:t>ha</w:t>
      </w:r>
      <w:r w:rsidR="00387ECF" w:rsidRPr="00110D4B">
        <w:rPr>
          <w:w w:val="105"/>
          <w:sz w:val="22"/>
          <w:szCs w:val="22"/>
        </w:rPr>
        <w:t>s</w:t>
      </w:r>
      <w:r w:rsidR="004B35CB" w:rsidRPr="00110D4B">
        <w:rPr>
          <w:w w:val="105"/>
          <w:sz w:val="22"/>
          <w:szCs w:val="22"/>
        </w:rPr>
        <w:t xml:space="preserve"> reviewed the Recommended Decision, the Objection, and the Memorand</w:t>
      </w:r>
      <w:r w:rsidR="00C130E6" w:rsidRPr="00110D4B">
        <w:rPr>
          <w:w w:val="105"/>
          <w:sz w:val="22"/>
          <w:szCs w:val="22"/>
        </w:rPr>
        <w:t>um</w:t>
      </w:r>
      <w:r w:rsidR="004B35CB" w:rsidRPr="00110D4B">
        <w:rPr>
          <w:w w:val="105"/>
          <w:sz w:val="22"/>
          <w:szCs w:val="22"/>
        </w:rPr>
        <w:t xml:space="preserve"> on Disposition. </w:t>
      </w:r>
      <w:r w:rsidR="002D686B" w:rsidRPr="00110D4B">
        <w:rPr>
          <w:w w:val="105"/>
          <w:sz w:val="22"/>
          <w:szCs w:val="22"/>
        </w:rPr>
        <w:t xml:space="preserve">On the basis of its review, the Board </w:t>
      </w:r>
      <w:r w:rsidRPr="00110D4B">
        <w:rPr>
          <w:w w:val="105"/>
          <w:sz w:val="22"/>
          <w:szCs w:val="22"/>
        </w:rPr>
        <w:t>adopts the</w:t>
      </w:r>
      <w:r w:rsidR="002D686B" w:rsidRPr="00110D4B">
        <w:rPr>
          <w:w w:val="105"/>
          <w:sz w:val="22"/>
          <w:szCs w:val="22"/>
        </w:rPr>
        <w:t xml:space="preserve"> </w:t>
      </w:r>
      <w:r w:rsidR="007F34EE" w:rsidRPr="00110D4B">
        <w:rPr>
          <w:w w:val="105"/>
          <w:sz w:val="22"/>
          <w:szCs w:val="22"/>
        </w:rPr>
        <w:t xml:space="preserve">Recommended Decision, which is attached hereto and </w:t>
      </w:r>
      <w:r w:rsidR="0031215C" w:rsidRPr="00110D4B">
        <w:rPr>
          <w:w w:val="105"/>
          <w:sz w:val="22"/>
          <w:szCs w:val="22"/>
        </w:rPr>
        <w:t>in</w:t>
      </w:r>
      <w:r w:rsidR="001645E5" w:rsidRPr="00110D4B">
        <w:rPr>
          <w:w w:val="105"/>
          <w:sz w:val="22"/>
          <w:szCs w:val="22"/>
        </w:rPr>
        <w:t xml:space="preserve">corporated by reference. </w:t>
      </w:r>
    </w:p>
    <w:p w14:paraId="592EB481" w14:textId="77777777" w:rsidR="001C36BF" w:rsidRDefault="001C36BF" w:rsidP="00110D4B">
      <w:pPr>
        <w:pStyle w:val="BodyText"/>
        <w:spacing w:after="240" w:line="360" w:lineRule="auto"/>
        <w:ind w:right="186"/>
        <w:rPr>
          <w:i/>
          <w:iCs/>
          <w:w w:val="105"/>
          <w:sz w:val="22"/>
          <w:szCs w:val="22"/>
        </w:rPr>
      </w:pPr>
    </w:p>
    <w:p w14:paraId="229F601A" w14:textId="2BC5AA9B" w:rsidR="00AE2919" w:rsidRPr="00110D4B" w:rsidRDefault="002113B1" w:rsidP="00110D4B">
      <w:pPr>
        <w:pStyle w:val="BodyText"/>
        <w:spacing w:after="240" w:line="360" w:lineRule="auto"/>
        <w:ind w:right="186"/>
        <w:rPr>
          <w:i/>
          <w:iCs/>
          <w:w w:val="105"/>
          <w:sz w:val="22"/>
          <w:szCs w:val="22"/>
        </w:rPr>
      </w:pPr>
      <w:r w:rsidRPr="00110D4B">
        <w:rPr>
          <w:i/>
          <w:iCs/>
          <w:w w:val="105"/>
          <w:sz w:val="22"/>
          <w:szCs w:val="22"/>
        </w:rPr>
        <w:lastRenderedPageBreak/>
        <w:t>Discussion</w:t>
      </w:r>
    </w:p>
    <w:p w14:paraId="18384F26" w14:textId="4856A085" w:rsidR="008F328B" w:rsidRDefault="007F3F32" w:rsidP="008F328B">
      <w:pPr>
        <w:tabs>
          <w:tab w:val="left" w:pos="3060"/>
        </w:tabs>
        <w:spacing w:line="360" w:lineRule="auto"/>
        <w:ind w:left="90" w:right="187" w:firstLine="630"/>
      </w:pPr>
      <w:r w:rsidRPr="00110D4B">
        <w:t>The Magistrate granted summary decision in this matter and determined that the allegations in the SOA have been proven. The Magistrate, relying on the California Board’s findings, determined that the Respondent issued immunization exemptions to eight children for improper reasons and without completing appropriate examinations. He analyzed the statutory authority for the Respondent’s discipline in California for “gross negligence” and “repeated negligence” and found them analogous to the provisions of G.L. c. 112, sec. 5(c) and 243 CMR 1.03(5)(a)(3), under which a physician may</w:t>
      </w:r>
      <w:r w:rsidR="00C261C7">
        <w:t xml:space="preserve"> </w:t>
      </w:r>
      <w:r w:rsidRPr="00110D4B">
        <w:t>be disciplined for “gross negligence on a particular occasion or negligence on repeated occasions.” He also note</w:t>
      </w:r>
      <w:r w:rsidR="001E3F4A">
        <w:t>d</w:t>
      </w:r>
      <w:r w:rsidRPr="00110D4B">
        <w:t xml:space="preserve"> that Massachusetts also requires certain immunizations for children entering school, absent a religious exception, or a physician’s certification that he has “personally examined such child” and believes the child’s health would be endangered by the immunization. G.L. c. 76, sec 15.  The Magistrate concludes that the Respondent is therefore subject to reciprocal discipline in Massachusetts based on the discipline imposed by the California Board.  </w:t>
      </w:r>
      <w:r w:rsidRPr="00A63AB3">
        <w:rPr>
          <w:u w:val="single"/>
        </w:rPr>
        <w:t>See</w:t>
      </w:r>
      <w:r w:rsidRPr="00110D4B">
        <w:t xml:space="preserve"> </w:t>
      </w:r>
      <w:r w:rsidRPr="00A63AB3">
        <w:rPr>
          <w:u w:val="single"/>
        </w:rPr>
        <w:t>Ramirez v. Board of Registration in Medicine</w:t>
      </w:r>
      <w:r w:rsidRPr="00110D4B">
        <w:t xml:space="preserve">, 441 Mass. 479 (2004) and </w:t>
      </w:r>
      <w:proofErr w:type="spellStart"/>
      <w:r w:rsidRPr="00A63AB3">
        <w:rPr>
          <w:u w:val="single"/>
        </w:rPr>
        <w:t>Anusavice</w:t>
      </w:r>
      <w:proofErr w:type="spellEnd"/>
      <w:r w:rsidRPr="00A63AB3">
        <w:rPr>
          <w:u w:val="single"/>
        </w:rPr>
        <w:t xml:space="preserve"> v, Board of Registration in Dentistry</w:t>
      </w:r>
      <w:r w:rsidRPr="00110D4B">
        <w:t>, 451 Mass 786, 798 (2008).</w:t>
      </w:r>
      <w:r w:rsidR="00D1395D">
        <w:t xml:space="preserve"> In adopting the Recommended Decision, the Board endorses the Magistrate’s conclusions finding the basis for the California discipline to be similar to th</w:t>
      </w:r>
      <w:r w:rsidR="00E73BBF">
        <w:t>at</w:t>
      </w:r>
      <w:r w:rsidR="00D1395D">
        <w:t xml:space="preserve"> for which a physician may be disciplined pursuant to Massachusetts law.</w:t>
      </w:r>
      <w:r w:rsidR="001E3F4A">
        <w:t xml:space="preserve"> When there is no significant difference between another state’s reasons for discipline and grounds for discipline in Massachusetts, the doctrine of collateral estoppel prevents physicians from relitigating the underlying facts in Massachusetts. </w:t>
      </w:r>
      <w:r w:rsidR="001E3F4A" w:rsidRPr="008F328B">
        <w:rPr>
          <w:u w:val="single"/>
        </w:rPr>
        <w:t>Haran v. Board of Registration in  Medicine</w:t>
      </w:r>
      <w:r w:rsidR="001E3F4A">
        <w:t xml:space="preserve">, </w:t>
      </w:r>
      <w:r w:rsidR="008F328B" w:rsidRPr="008F328B">
        <w:rPr>
          <w:u w:val="single"/>
        </w:rPr>
        <w:t>supra.</w:t>
      </w:r>
    </w:p>
    <w:p w14:paraId="6F2FB17B" w14:textId="77777777" w:rsidR="008F328B" w:rsidRDefault="008F328B" w:rsidP="008F328B">
      <w:pPr>
        <w:tabs>
          <w:tab w:val="left" w:pos="3060"/>
        </w:tabs>
        <w:spacing w:line="360" w:lineRule="auto"/>
        <w:ind w:left="90" w:right="187" w:firstLine="630"/>
      </w:pPr>
    </w:p>
    <w:p w14:paraId="37580482" w14:textId="728181C1" w:rsidR="007F3F32" w:rsidRPr="00110D4B" w:rsidRDefault="00D1395D" w:rsidP="00D1395D">
      <w:pPr>
        <w:tabs>
          <w:tab w:val="left" w:pos="3060"/>
        </w:tabs>
        <w:spacing w:after="240" w:line="360" w:lineRule="auto"/>
        <w:ind w:right="187" w:firstLine="720"/>
      </w:pPr>
      <w:r>
        <w:t xml:space="preserve">The Board </w:t>
      </w:r>
      <w:r w:rsidR="007F3F32" w:rsidRPr="00110D4B">
        <w:t>may impose any sanction consistent with its policies and precedent and based on</w:t>
      </w:r>
      <w:r w:rsidR="00AE2CAD">
        <w:t xml:space="preserve"> the </w:t>
      </w:r>
      <w:r w:rsidR="007F3F32" w:rsidRPr="00110D4B">
        <w:t xml:space="preserve"> out-of-state fact, not the </w:t>
      </w:r>
      <w:proofErr w:type="spellStart"/>
      <w:r w:rsidR="007F3F32" w:rsidRPr="00110D4B">
        <w:t>out-of</w:t>
      </w:r>
      <w:proofErr w:type="spellEnd"/>
      <w:r w:rsidR="007F3F32" w:rsidRPr="00110D4B">
        <w:t xml:space="preserve"> state sanction.  </w:t>
      </w:r>
      <w:r w:rsidR="007F3F32" w:rsidRPr="00110D4B">
        <w:rPr>
          <w:u w:val="single"/>
        </w:rPr>
        <w:t>See</w:t>
      </w:r>
      <w:r w:rsidR="007F3F32" w:rsidRPr="00110D4B">
        <w:t xml:space="preserve"> </w:t>
      </w:r>
      <w:r w:rsidR="007F3F32" w:rsidRPr="00110D4B">
        <w:rPr>
          <w:u w:val="single"/>
        </w:rPr>
        <w:t xml:space="preserve">In the Matter of Robert </w:t>
      </w:r>
      <w:proofErr w:type="spellStart"/>
      <w:r w:rsidR="007F3F32" w:rsidRPr="00110D4B">
        <w:rPr>
          <w:u w:val="single"/>
        </w:rPr>
        <w:t>Schlossman</w:t>
      </w:r>
      <w:proofErr w:type="spellEnd"/>
      <w:r w:rsidR="007F3F32" w:rsidRPr="00110D4B">
        <w:rPr>
          <w:u w:val="single"/>
        </w:rPr>
        <w:t>, M.D.</w:t>
      </w:r>
      <w:r w:rsidR="007F3F32" w:rsidRPr="00110D4B">
        <w:t>, Adjudicatory No. 85-12-RO (Final Decision &amp; Order November 5, 1986). Nonetheless, the Board</w:t>
      </w:r>
      <w:r w:rsidR="00AE2CAD">
        <w:t xml:space="preserve"> notes that </w:t>
      </w:r>
      <w:r w:rsidR="007F3F32" w:rsidRPr="00110D4B">
        <w:t>the California Board imposed a revocation of the Respondent’s license only after if found that the Respondent’s conduct was “egregious” and that it “posed a serious risk to her patients’ health and the public health.”</w:t>
      </w:r>
    </w:p>
    <w:p w14:paraId="46B1B270" w14:textId="01E02476" w:rsidR="007F3F32" w:rsidRPr="00110D4B" w:rsidRDefault="007F3F32" w:rsidP="00110D4B">
      <w:pPr>
        <w:tabs>
          <w:tab w:val="left" w:pos="0"/>
        </w:tabs>
        <w:spacing w:after="240" w:line="360" w:lineRule="auto"/>
        <w:ind w:right="187"/>
      </w:pPr>
      <w:r w:rsidRPr="00110D4B">
        <w:tab/>
      </w:r>
      <w:r w:rsidRPr="004E2BD2">
        <w:t xml:space="preserve">Similar </w:t>
      </w:r>
      <w:r w:rsidR="00C261C7">
        <w:t xml:space="preserve">to the </w:t>
      </w:r>
      <w:r w:rsidRPr="004E2BD2">
        <w:t>California</w:t>
      </w:r>
      <w:r w:rsidR="00C261C7">
        <w:t xml:space="preserve"> Board</w:t>
      </w:r>
      <w:r w:rsidRPr="004E2BD2">
        <w:t>, th</w:t>
      </w:r>
      <w:r w:rsidR="00C261C7">
        <w:t>is</w:t>
      </w:r>
      <w:r w:rsidRPr="004E2BD2">
        <w:t xml:space="preserve"> Board has an obligation to protect the public health, safety and welfare. </w:t>
      </w:r>
      <w:r w:rsidRPr="004E2BD2">
        <w:rPr>
          <w:u w:val="single"/>
        </w:rPr>
        <w:t>Levy v. Board of Registration in Medicine</w:t>
      </w:r>
      <w:r w:rsidR="00AE2CAD" w:rsidRPr="004E2BD2">
        <w:t xml:space="preserve">, </w:t>
      </w:r>
      <w:r w:rsidR="00AE2CAD" w:rsidRPr="004E2BD2">
        <w:rPr>
          <w:u w:val="single"/>
        </w:rPr>
        <w:t>supra.</w:t>
      </w:r>
      <w:r w:rsidRPr="00110D4B">
        <w:t xml:space="preserve"> When determining the appropriate sanction, the Board takes into consideration the degree of deviation from the standard of care, the number of patients involved, and mitigating circumstances.  </w:t>
      </w:r>
      <w:r w:rsidRPr="00110D4B">
        <w:rPr>
          <w:u w:val="single"/>
        </w:rPr>
        <w:t>In the Matter of Ernest Osei-Tutu</w:t>
      </w:r>
      <w:r w:rsidRPr="00110D4B">
        <w:t xml:space="preserve">, </w:t>
      </w:r>
      <w:r w:rsidRPr="00110D4B">
        <w:rPr>
          <w:u w:val="single"/>
        </w:rPr>
        <w:t>M.D.</w:t>
      </w:r>
      <w:r w:rsidRPr="00110D4B">
        <w:t xml:space="preserve">, Adjudicatory Case No. 2007-04 (Final Decision &amp; Order, February 25, 2009)  </w:t>
      </w:r>
      <w:r w:rsidR="00D1395D">
        <w:t>W</w:t>
      </w:r>
      <w:r w:rsidRPr="00110D4B">
        <w:t xml:space="preserve">here there has been substantial deviation from the standard of care and multiple patients involved, the Board frequently had </w:t>
      </w:r>
      <w:r w:rsidRPr="00110D4B">
        <w:lastRenderedPageBreak/>
        <w:t xml:space="preserve">determined that revocation is the appropriate sanction. </w:t>
      </w:r>
      <w:r w:rsidRPr="00110D4B">
        <w:rPr>
          <w:u w:val="single"/>
        </w:rPr>
        <w:t>Id.</w:t>
      </w:r>
      <w:r w:rsidRPr="00110D4B">
        <w:t xml:space="preserve"> </w:t>
      </w:r>
      <w:r w:rsidRPr="00110D4B">
        <w:rPr>
          <w:u w:val="single"/>
        </w:rPr>
        <w:t>See also</w:t>
      </w:r>
      <w:r w:rsidRPr="00110D4B">
        <w:t xml:space="preserve"> </w:t>
      </w:r>
      <w:r w:rsidR="002E721B" w:rsidRPr="002E721B">
        <w:rPr>
          <w:u w:val="single"/>
        </w:rPr>
        <w:t xml:space="preserve">In the Matter of Suzanne </w:t>
      </w:r>
      <w:r w:rsidRPr="002E721B">
        <w:rPr>
          <w:u w:val="single"/>
        </w:rPr>
        <w:t>Rothchild</w:t>
      </w:r>
      <w:r w:rsidRPr="00110D4B">
        <w:t xml:space="preserve">, </w:t>
      </w:r>
      <w:r w:rsidR="002E721B">
        <w:t xml:space="preserve">Adjudicatory Case Nos. 2006-021 &amp; 2008-02 (Final Decision &amp; Order July 16, 2013), </w:t>
      </w:r>
      <w:r w:rsidR="00704597" w:rsidRPr="00704597">
        <w:rPr>
          <w:u w:val="single"/>
        </w:rPr>
        <w:t xml:space="preserve">In the Matter of Viorel </w:t>
      </w:r>
      <w:proofErr w:type="spellStart"/>
      <w:r w:rsidRPr="00704597">
        <w:rPr>
          <w:u w:val="single"/>
        </w:rPr>
        <w:t>Boborodea</w:t>
      </w:r>
      <w:proofErr w:type="spellEnd"/>
      <w:r w:rsidRPr="00704597">
        <w:rPr>
          <w:u w:val="single"/>
        </w:rPr>
        <w:t>,</w:t>
      </w:r>
      <w:r w:rsidR="00704597">
        <w:rPr>
          <w:u w:val="single"/>
        </w:rPr>
        <w:t xml:space="preserve"> M.D</w:t>
      </w:r>
      <w:r w:rsidRPr="00110D4B">
        <w:rPr>
          <w:u w:val="single"/>
        </w:rPr>
        <w:t>.</w:t>
      </w:r>
      <w:r w:rsidR="00704597">
        <w:t>, Adjudicatory Case No. 04-61-DALA  (Final Decision &amp; Order March 15, 2006)</w:t>
      </w:r>
      <w:r w:rsidR="00AE2CAD">
        <w:t xml:space="preserve">  </w:t>
      </w:r>
      <w:r w:rsidRPr="00110D4B">
        <w:t xml:space="preserve">and </w:t>
      </w:r>
      <w:r w:rsidRPr="00110D4B">
        <w:rPr>
          <w:u w:val="single"/>
        </w:rPr>
        <w:t xml:space="preserve">In the Matter of Sunil R. </w:t>
      </w:r>
      <w:proofErr w:type="spellStart"/>
      <w:r w:rsidRPr="00110D4B">
        <w:rPr>
          <w:u w:val="single"/>
        </w:rPr>
        <w:t>Lahiri</w:t>
      </w:r>
      <w:proofErr w:type="spellEnd"/>
      <w:r w:rsidRPr="00110D4B">
        <w:rPr>
          <w:u w:val="single"/>
        </w:rPr>
        <w:t>, M.D.</w:t>
      </w:r>
      <w:r w:rsidRPr="00110D4B">
        <w:t>, Adjudicatory Case No. 94-33-DALA (Final Decision &amp; Order December 28, 1994) Where there is a less serious deviation from the standard of care, but repeated acts of negligence and more than one patient involved, the</w:t>
      </w:r>
      <w:r w:rsidR="001C36BF">
        <w:t xml:space="preserve"> Board</w:t>
      </w:r>
      <w:r w:rsidRPr="00110D4B">
        <w:t xml:space="preserve"> frequently has determined that suspension from practice is the appropriate sanction, with return to practice conditioned upon entry into a monitoring agreement.  </w:t>
      </w:r>
      <w:r w:rsidRPr="00110D4B">
        <w:rPr>
          <w:u w:val="single"/>
        </w:rPr>
        <w:t>See</w:t>
      </w:r>
      <w:r w:rsidRPr="001C36BF">
        <w:t xml:space="preserve"> </w:t>
      </w:r>
      <w:r w:rsidRPr="00110D4B">
        <w:rPr>
          <w:u w:val="single"/>
        </w:rPr>
        <w:t xml:space="preserve">In the Matter of N. Raj </w:t>
      </w:r>
      <w:proofErr w:type="spellStart"/>
      <w:r w:rsidRPr="00110D4B">
        <w:rPr>
          <w:u w:val="single"/>
        </w:rPr>
        <w:t>Birudavol</w:t>
      </w:r>
      <w:proofErr w:type="spellEnd"/>
      <w:r w:rsidRPr="00110D4B">
        <w:rPr>
          <w:u w:val="single"/>
        </w:rPr>
        <w:t>, M.D.</w:t>
      </w:r>
      <w:r w:rsidRPr="00110D4B">
        <w:t>, Adjudicatory Case No. 02-16-DALA (Final Decision &amp; Order July 21, 2004)</w:t>
      </w:r>
      <w:r w:rsidR="003E7F6D">
        <w:t>.</w:t>
      </w:r>
    </w:p>
    <w:p w14:paraId="6D3DCA05" w14:textId="3162CFBC" w:rsidR="00434CC2" w:rsidRPr="00D24573" w:rsidRDefault="003E7F6D" w:rsidP="00D24573">
      <w:pPr>
        <w:tabs>
          <w:tab w:val="left" w:pos="0"/>
        </w:tabs>
        <w:spacing w:after="240" w:line="360" w:lineRule="auto"/>
        <w:ind w:right="187"/>
      </w:pPr>
      <w:r>
        <w:tab/>
      </w:r>
      <w:r w:rsidR="00704597">
        <w:t>T</w:t>
      </w:r>
      <w:r w:rsidR="007F3F32" w:rsidRPr="00110D4B">
        <w:t xml:space="preserve">he Respondent has </w:t>
      </w:r>
      <w:r w:rsidR="00A84CFF">
        <w:t xml:space="preserve">had </w:t>
      </w:r>
      <w:r w:rsidR="007F3F32" w:rsidRPr="00110D4B">
        <w:t>opportunity to present mitigating evidence before the Board makes its discipline.  She has not done so.  However, the Board take</w:t>
      </w:r>
      <w:r w:rsidR="00E73BBF">
        <w:t xml:space="preserve">s </w:t>
      </w:r>
      <w:r w:rsidR="007F3F32" w:rsidRPr="00110D4B">
        <w:t xml:space="preserve">notice of supportive affidavits which </w:t>
      </w:r>
      <w:r w:rsidR="00A84CFF">
        <w:t>are</w:t>
      </w:r>
      <w:r w:rsidR="007F3F32" w:rsidRPr="00110D4B">
        <w:t xml:space="preserve"> attached to her Answer.</w:t>
      </w:r>
      <w:r w:rsidR="00AD2516">
        <w:t xml:space="preserve">  </w:t>
      </w:r>
      <w:r w:rsidR="00E73BBF">
        <w:t>The Board is also aware that the Respondent has appealed the California Board’s discipline.  However, the Board is not required to wait until the physician has exhausted her appellate options before it can take action agains</w:t>
      </w:r>
      <w:r w:rsidR="00D24573">
        <w:t xml:space="preserve">t her license to practice medicine. </w:t>
      </w:r>
      <w:r w:rsidR="00D24573" w:rsidRPr="002E721B">
        <w:rPr>
          <w:u w:val="single"/>
        </w:rPr>
        <w:t>In the Matter of</w:t>
      </w:r>
      <w:r w:rsidR="002E721B" w:rsidRPr="002E721B">
        <w:rPr>
          <w:u w:val="single"/>
        </w:rPr>
        <w:t xml:space="preserve"> Russel </w:t>
      </w:r>
      <w:r w:rsidR="00D24573" w:rsidRPr="002E721B">
        <w:rPr>
          <w:u w:val="single"/>
        </w:rPr>
        <w:t xml:space="preserve">Aubin, </w:t>
      </w:r>
      <w:r w:rsidR="002E721B" w:rsidRPr="002E721B">
        <w:rPr>
          <w:u w:val="single"/>
        </w:rPr>
        <w:t>D.O.</w:t>
      </w:r>
      <w:r w:rsidR="002E721B">
        <w:t xml:space="preserve">, </w:t>
      </w:r>
      <w:r w:rsidR="00D24573">
        <w:t>Adj. Case No. 2006-007</w:t>
      </w:r>
      <w:r w:rsidR="002E721B">
        <w:t xml:space="preserve"> </w:t>
      </w:r>
      <w:r w:rsidR="00D24573">
        <w:t>(</w:t>
      </w:r>
      <w:r w:rsidR="002E721B">
        <w:t xml:space="preserve">Partial Final Decision </w:t>
      </w:r>
      <w:r w:rsidR="00D24573">
        <w:t xml:space="preserve"> </w:t>
      </w:r>
      <w:r w:rsidR="007844DC">
        <w:t>January 10, 2007)</w:t>
      </w:r>
      <w:r w:rsidR="00434CC2" w:rsidRPr="00110D4B">
        <w:rPr>
          <w:rStyle w:val="FootnoteReference"/>
        </w:rPr>
        <w:footnoteReference w:id="6"/>
      </w:r>
    </w:p>
    <w:p w14:paraId="392B5617" w14:textId="0F4B859F" w:rsidR="00434CC2" w:rsidRPr="00110D4B" w:rsidRDefault="00434CC2" w:rsidP="00110D4B">
      <w:pPr>
        <w:spacing w:after="240" w:line="360" w:lineRule="auto"/>
        <w:rPr>
          <w:i/>
          <w:iCs/>
        </w:rPr>
      </w:pPr>
      <w:r w:rsidRPr="00110D4B">
        <w:rPr>
          <w:i/>
          <w:iCs/>
        </w:rPr>
        <w:t>Sanction</w:t>
      </w:r>
    </w:p>
    <w:p w14:paraId="7B422D53" w14:textId="1F2778EB" w:rsidR="00480059" w:rsidRPr="00110D4B" w:rsidRDefault="00AE2CAD" w:rsidP="00C261C7">
      <w:pPr>
        <w:tabs>
          <w:tab w:val="left" w:pos="3060"/>
        </w:tabs>
        <w:spacing w:after="240" w:line="360" w:lineRule="auto"/>
        <w:ind w:right="187" w:firstLine="720"/>
      </w:pPr>
      <w:r>
        <w:rPr>
          <w:rFonts w:eastAsiaTheme="minorHAnsi"/>
        </w:rPr>
        <w:t xml:space="preserve">There is no dispute that then Respondent was disciplined </w:t>
      </w:r>
      <w:r w:rsidR="00C76336" w:rsidRPr="00110D4B">
        <w:t xml:space="preserve">for “gross negligence” and “repeated negligence” </w:t>
      </w:r>
      <w:r w:rsidR="004E2BD2">
        <w:t xml:space="preserve">by the California Board </w:t>
      </w:r>
      <w:r w:rsidR="00C76336" w:rsidRPr="00110D4B">
        <w:t>and</w:t>
      </w:r>
      <w:r w:rsidR="00C261C7">
        <w:t xml:space="preserve"> that</w:t>
      </w:r>
      <w:r w:rsidR="00C76336" w:rsidRPr="00110D4B">
        <w:t xml:space="preserve"> </w:t>
      </w:r>
      <w:r w:rsidR="004E2BD2">
        <w:t>these basis for discipline are similar</w:t>
      </w:r>
      <w:r w:rsidR="00C76336" w:rsidRPr="00110D4B">
        <w:t xml:space="preserve"> to the provisions of G.L. c. 112, sec. 5(c) and 243 CMR 1.03(5)(a)(3), under which a physician may</w:t>
      </w:r>
      <w:r w:rsidR="00C261C7">
        <w:t xml:space="preserve"> </w:t>
      </w:r>
      <w:r w:rsidR="00C76336" w:rsidRPr="00110D4B">
        <w:t xml:space="preserve">be disciplined for “gross negligence on a particular occasion or negligence on repeated occasions.” </w:t>
      </w:r>
      <w:r>
        <w:rPr>
          <w:rFonts w:eastAsiaTheme="minorHAnsi"/>
        </w:rPr>
        <w:t xml:space="preserve"> </w:t>
      </w:r>
      <w:r w:rsidR="004E2BD2">
        <w:rPr>
          <w:rFonts w:eastAsiaTheme="minorHAnsi"/>
        </w:rPr>
        <w:t xml:space="preserve">The California Board found that the </w:t>
      </w:r>
      <w:r w:rsidR="004E2BD2" w:rsidRPr="00110D4B">
        <w:t>Respondent’s conduct was “egregious” and that it “posed a serious risk to her patients’ health and the public health.”</w:t>
      </w:r>
      <w:r w:rsidR="004E2BD2" w:rsidRPr="004E2BD2">
        <w:t xml:space="preserve"> Similar to</w:t>
      </w:r>
      <w:r w:rsidR="004E2BD2">
        <w:t xml:space="preserve"> the</w:t>
      </w:r>
      <w:r w:rsidR="004E2BD2" w:rsidRPr="004E2BD2">
        <w:t xml:space="preserve"> California</w:t>
      </w:r>
      <w:r w:rsidR="004E2BD2">
        <w:t xml:space="preserve"> Board</w:t>
      </w:r>
      <w:r w:rsidR="004E2BD2" w:rsidRPr="004E2BD2">
        <w:t>, th</w:t>
      </w:r>
      <w:r w:rsidR="00C261C7">
        <w:t>is</w:t>
      </w:r>
      <w:r w:rsidR="004E2BD2" w:rsidRPr="004E2BD2">
        <w:t xml:space="preserve"> Board has an obligation to protect the public health, safety and welfare. </w:t>
      </w:r>
      <w:r w:rsidR="004E2BD2" w:rsidRPr="004E2BD2">
        <w:rPr>
          <w:u w:val="single"/>
        </w:rPr>
        <w:t>Levy v. Board of Registration in Medicine</w:t>
      </w:r>
      <w:r w:rsidR="004E2BD2" w:rsidRPr="004E2BD2">
        <w:t xml:space="preserve">, </w:t>
      </w:r>
      <w:r w:rsidR="004E2BD2" w:rsidRPr="004E2BD2">
        <w:rPr>
          <w:u w:val="single"/>
        </w:rPr>
        <w:t>supra.</w:t>
      </w:r>
      <w:r w:rsidR="00C261C7">
        <w:t xml:space="preserve"> Therefore,</w:t>
      </w:r>
      <w:r w:rsidR="00EC684F" w:rsidRPr="00110D4B">
        <w:t xml:space="preserve"> th</w:t>
      </w:r>
      <w:r w:rsidR="00C261C7">
        <w:t>is</w:t>
      </w:r>
      <w:r w:rsidR="00EC684F" w:rsidRPr="00110D4B">
        <w:t xml:space="preserve"> Board hereby RE</w:t>
      </w:r>
      <w:r w:rsidR="00D24573">
        <w:t xml:space="preserve">VOKES the Respondent’s </w:t>
      </w:r>
      <w:r w:rsidR="00C261C7">
        <w:t>license to practice medicine.</w:t>
      </w:r>
      <w:r w:rsidR="000A4A3B" w:rsidRPr="00110D4B">
        <w:t xml:space="preserve">  </w:t>
      </w:r>
    </w:p>
    <w:p w14:paraId="3594D1F1" w14:textId="7ED4B3F7" w:rsidR="00110D4B" w:rsidRDefault="00E3380B" w:rsidP="003E7F6D">
      <w:pPr>
        <w:pStyle w:val="BodyText"/>
        <w:spacing w:after="480" w:line="360" w:lineRule="auto"/>
        <w:ind w:left="154" w:right="106" w:firstLine="566"/>
        <w:rPr>
          <w:sz w:val="22"/>
          <w:szCs w:val="22"/>
        </w:rPr>
      </w:pPr>
      <w:r w:rsidRPr="00110D4B">
        <w:rPr>
          <w:w w:val="105"/>
          <w:sz w:val="22"/>
          <w:szCs w:val="22"/>
        </w:rPr>
        <w:t>The Respondent shall provide a complete copy of</w:t>
      </w:r>
      <w:r w:rsidRPr="00110D4B">
        <w:rPr>
          <w:spacing w:val="-1"/>
          <w:w w:val="105"/>
          <w:sz w:val="22"/>
          <w:szCs w:val="22"/>
        </w:rPr>
        <w:t xml:space="preserve"> </w:t>
      </w:r>
      <w:r w:rsidRPr="00110D4B">
        <w:rPr>
          <w:w w:val="105"/>
          <w:sz w:val="22"/>
          <w:szCs w:val="22"/>
        </w:rPr>
        <w:t>this Final Decision and Order, with all exhibits and attachments within ten (10) days by certified mail, return receipt requested,</w:t>
      </w:r>
      <w:r w:rsidRPr="00110D4B">
        <w:rPr>
          <w:spacing w:val="-7"/>
          <w:w w:val="105"/>
          <w:sz w:val="22"/>
          <w:szCs w:val="22"/>
        </w:rPr>
        <w:t xml:space="preserve"> </w:t>
      </w:r>
      <w:r w:rsidRPr="00110D4B">
        <w:rPr>
          <w:w w:val="105"/>
          <w:sz w:val="22"/>
          <w:szCs w:val="22"/>
        </w:rPr>
        <w:t>or by</w:t>
      </w:r>
      <w:r w:rsidRPr="00110D4B">
        <w:rPr>
          <w:spacing w:val="-3"/>
          <w:w w:val="105"/>
          <w:sz w:val="22"/>
          <w:szCs w:val="22"/>
        </w:rPr>
        <w:t xml:space="preserve"> </w:t>
      </w:r>
      <w:r w:rsidRPr="00110D4B">
        <w:rPr>
          <w:w w:val="105"/>
          <w:sz w:val="22"/>
          <w:szCs w:val="22"/>
        </w:rPr>
        <w:t>hand</w:t>
      </w:r>
      <w:r w:rsidRPr="00110D4B">
        <w:rPr>
          <w:spacing w:val="-2"/>
          <w:w w:val="105"/>
          <w:sz w:val="22"/>
          <w:szCs w:val="22"/>
        </w:rPr>
        <w:t xml:space="preserve"> </w:t>
      </w:r>
      <w:r w:rsidRPr="00110D4B">
        <w:rPr>
          <w:w w:val="105"/>
          <w:sz w:val="22"/>
          <w:szCs w:val="22"/>
        </w:rPr>
        <w:t>delivery to</w:t>
      </w:r>
      <w:r w:rsidRPr="00110D4B">
        <w:rPr>
          <w:spacing w:val="-16"/>
          <w:w w:val="105"/>
          <w:sz w:val="22"/>
          <w:szCs w:val="22"/>
        </w:rPr>
        <w:t xml:space="preserve"> </w:t>
      </w:r>
      <w:r w:rsidRPr="00110D4B">
        <w:rPr>
          <w:w w:val="105"/>
          <w:sz w:val="22"/>
          <w:szCs w:val="22"/>
        </w:rPr>
        <w:t>the</w:t>
      </w:r>
      <w:r w:rsidRPr="00110D4B">
        <w:rPr>
          <w:spacing w:val="-14"/>
          <w:w w:val="105"/>
          <w:sz w:val="22"/>
          <w:szCs w:val="22"/>
        </w:rPr>
        <w:t xml:space="preserve"> </w:t>
      </w:r>
      <w:r w:rsidRPr="00110D4B">
        <w:rPr>
          <w:w w:val="105"/>
          <w:sz w:val="22"/>
          <w:szCs w:val="22"/>
        </w:rPr>
        <w:t>following designated entities:</w:t>
      </w:r>
      <w:r w:rsidRPr="00110D4B">
        <w:rPr>
          <w:spacing w:val="40"/>
          <w:w w:val="105"/>
          <w:sz w:val="22"/>
          <w:szCs w:val="22"/>
        </w:rPr>
        <w:t xml:space="preserve"> </w:t>
      </w:r>
      <w:r w:rsidRPr="00110D4B">
        <w:rPr>
          <w:w w:val="105"/>
          <w:sz w:val="22"/>
          <w:szCs w:val="22"/>
        </w:rPr>
        <w:t>any</w:t>
      </w:r>
      <w:r w:rsidRPr="00110D4B">
        <w:rPr>
          <w:spacing w:val="-6"/>
          <w:w w:val="105"/>
          <w:sz w:val="22"/>
          <w:szCs w:val="22"/>
        </w:rPr>
        <w:t xml:space="preserve"> </w:t>
      </w:r>
      <w:r w:rsidRPr="00110D4B">
        <w:rPr>
          <w:w w:val="105"/>
          <w:sz w:val="22"/>
          <w:szCs w:val="22"/>
        </w:rPr>
        <w:t>in-</w:t>
      </w:r>
      <w:r w:rsidRPr="00110D4B">
        <w:rPr>
          <w:spacing w:val="-9"/>
          <w:w w:val="105"/>
          <w:sz w:val="22"/>
          <w:szCs w:val="22"/>
        </w:rPr>
        <w:t xml:space="preserve"> </w:t>
      </w:r>
      <w:r w:rsidRPr="00110D4B">
        <w:rPr>
          <w:w w:val="105"/>
          <w:sz w:val="22"/>
          <w:szCs w:val="22"/>
        </w:rPr>
        <w:t>or</w:t>
      </w:r>
      <w:r w:rsidRPr="00110D4B">
        <w:rPr>
          <w:spacing w:val="-14"/>
          <w:w w:val="105"/>
          <w:sz w:val="22"/>
          <w:szCs w:val="22"/>
        </w:rPr>
        <w:t xml:space="preserve"> </w:t>
      </w:r>
      <w:r w:rsidRPr="00110D4B">
        <w:rPr>
          <w:w w:val="105"/>
          <w:sz w:val="22"/>
          <w:szCs w:val="22"/>
        </w:rPr>
        <w:t xml:space="preserve">out-of-state hospital, nursing home, </w:t>
      </w:r>
      <w:r w:rsidRPr="00110D4B">
        <w:rPr>
          <w:w w:val="105"/>
          <w:sz w:val="22"/>
          <w:szCs w:val="22"/>
        </w:rPr>
        <w:lastRenderedPageBreak/>
        <w:t>clinic, other licensed facility, or municipal, state, or federal facility</w:t>
      </w:r>
      <w:r w:rsidRPr="00110D4B">
        <w:rPr>
          <w:spacing w:val="65"/>
          <w:w w:val="105"/>
          <w:sz w:val="22"/>
          <w:szCs w:val="22"/>
        </w:rPr>
        <w:t xml:space="preserve"> </w:t>
      </w:r>
      <w:r w:rsidRPr="00110D4B">
        <w:rPr>
          <w:w w:val="105"/>
          <w:sz w:val="22"/>
          <w:szCs w:val="22"/>
        </w:rPr>
        <w:t>at</w:t>
      </w:r>
      <w:r w:rsidRPr="00110D4B">
        <w:rPr>
          <w:spacing w:val="60"/>
          <w:w w:val="105"/>
          <w:sz w:val="22"/>
          <w:szCs w:val="22"/>
        </w:rPr>
        <w:t xml:space="preserve"> </w:t>
      </w:r>
      <w:r w:rsidRPr="00110D4B">
        <w:rPr>
          <w:w w:val="105"/>
          <w:sz w:val="22"/>
          <w:szCs w:val="22"/>
        </w:rPr>
        <w:t>which</w:t>
      </w:r>
      <w:r w:rsidRPr="00110D4B">
        <w:rPr>
          <w:spacing w:val="64"/>
          <w:w w:val="105"/>
          <w:sz w:val="22"/>
          <w:szCs w:val="22"/>
        </w:rPr>
        <w:t xml:space="preserve"> </w:t>
      </w:r>
      <w:r w:rsidR="001C36BF">
        <w:rPr>
          <w:w w:val="105"/>
          <w:sz w:val="22"/>
          <w:szCs w:val="22"/>
        </w:rPr>
        <w:t>she</w:t>
      </w:r>
      <w:r w:rsidRPr="00110D4B">
        <w:rPr>
          <w:spacing w:val="63"/>
          <w:w w:val="105"/>
          <w:sz w:val="22"/>
          <w:szCs w:val="22"/>
        </w:rPr>
        <w:t xml:space="preserve"> </w:t>
      </w:r>
      <w:r w:rsidRPr="00110D4B">
        <w:rPr>
          <w:w w:val="105"/>
          <w:sz w:val="22"/>
          <w:szCs w:val="22"/>
        </w:rPr>
        <w:t>practices</w:t>
      </w:r>
      <w:r w:rsidRPr="00110D4B">
        <w:rPr>
          <w:spacing w:val="70"/>
          <w:w w:val="105"/>
          <w:sz w:val="22"/>
          <w:szCs w:val="22"/>
        </w:rPr>
        <w:t xml:space="preserve"> </w:t>
      </w:r>
      <w:r w:rsidRPr="00110D4B">
        <w:rPr>
          <w:w w:val="105"/>
          <w:sz w:val="22"/>
          <w:szCs w:val="22"/>
        </w:rPr>
        <w:t>medicine;</w:t>
      </w:r>
      <w:r w:rsidRPr="00110D4B">
        <w:rPr>
          <w:spacing w:val="69"/>
          <w:w w:val="105"/>
          <w:sz w:val="22"/>
          <w:szCs w:val="22"/>
        </w:rPr>
        <w:t xml:space="preserve"> </w:t>
      </w:r>
      <w:r w:rsidRPr="00110D4B">
        <w:rPr>
          <w:w w:val="105"/>
          <w:sz w:val="22"/>
          <w:szCs w:val="22"/>
        </w:rPr>
        <w:t>any</w:t>
      </w:r>
      <w:r w:rsidRPr="00110D4B">
        <w:rPr>
          <w:spacing w:val="70"/>
          <w:w w:val="105"/>
          <w:sz w:val="22"/>
          <w:szCs w:val="22"/>
        </w:rPr>
        <w:t xml:space="preserve"> </w:t>
      </w:r>
      <w:r w:rsidRPr="00110D4B">
        <w:rPr>
          <w:w w:val="105"/>
          <w:sz w:val="22"/>
          <w:szCs w:val="22"/>
        </w:rPr>
        <w:t>in-</w:t>
      </w:r>
      <w:r w:rsidRPr="00110D4B">
        <w:rPr>
          <w:spacing w:val="61"/>
          <w:w w:val="105"/>
          <w:sz w:val="22"/>
          <w:szCs w:val="22"/>
        </w:rPr>
        <w:t xml:space="preserve"> </w:t>
      </w:r>
      <w:r w:rsidRPr="00110D4B">
        <w:rPr>
          <w:w w:val="105"/>
          <w:sz w:val="22"/>
          <w:szCs w:val="22"/>
        </w:rPr>
        <w:t>or</w:t>
      </w:r>
      <w:r w:rsidRPr="00110D4B">
        <w:rPr>
          <w:spacing w:val="40"/>
          <w:w w:val="105"/>
          <w:sz w:val="22"/>
          <w:szCs w:val="22"/>
        </w:rPr>
        <w:t xml:space="preserve"> </w:t>
      </w:r>
      <w:r w:rsidRPr="00110D4B">
        <w:rPr>
          <w:w w:val="105"/>
          <w:sz w:val="22"/>
          <w:szCs w:val="22"/>
        </w:rPr>
        <w:t>out-of-state</w:t>
      </w:r>
      <w:r w:rsidRPr="00110D4B">
        <w:rPr>
          <w:spacing w:val="80"/>
          <w:w w:val="105"/>
          <w:sz w:val="22"/>
          <w:szCs w:val="22"/>
        </w:rPr>
        <w:t xml:space="preserve"> </w:t>
      </w:r>
      <w:r w:rsidRPr="00110D4B">
        <w:rPr>
          <w:w w:val="105"/>
          <w:sz w:val="22"/>
          <w:szCs w:val="22"/>
        </w:rPr>
        <w:t>health</w:t>
      </w:r>
      <w:r w:rsidRPr="00110D4B">
        <w:rPr>
          <w:spacing w:val="65"/>
          <w:w w:val="105"/>
          <w:sz w:val="22"/>
          <w:szCs w:val="22"/>
        </w:rPr>
        <w:t xml:space="preserve"> </w:t>
      </w:r>
      <w:r w:rsidRPr="00110D4B">
        <w:rPr>
          <w:w w:val="105"/>
          <w:sz w:val="22"/>
          <w:szCs w:val="22"/>
        </w:rPr>
        <w:t>maintenance</w:t>
      </w:r>
      <w:r w:rsidR="00D7112B" w:rsidRPr="00110D4B">
        <w:rPr>
          <w:w w:val="105"/>
          <w:sz w:val="22"/>
          <w:szCs w:val="22"/>
        </w:rPr>
        <w:t xml:space="preserve"> o</w:t>
      </w:r>
      <w:r w:rsidRPr="00110D4B">
        <w:rPr>
          <w:sz w:val="22"/>
          <w:szCs w:val="22"/>
        </w:rPr>
        <w:t xml:space="preserve">rganization with whom </w:t>
      </w:r>
      <w:r w:rsidR="001C36BF">
        <w:rPr>
          <w:sz w:val="22"/>
          <w:szCs w:val="22"/>
        </w:rPr>
        <w:t>she</w:t>
      </w:r>
      <w:r w:rsidRPr="00110D4B">
        <w:rPr>
          <w:sz w:val="22"/>
          <w:szCs w:val="22"/>
        </w:rPr>
        <w:t xml:space="preserve"> has privileges or any other kind of association; any state agency, in- or out-of-state, with which </w:t>
      </w:r>
      <w:r w:rsidR="001C36BF">
        <w:rPr>
          <w:sz w:val="22"/>
          <w:szCs w:val="22"/>
        </w:rPr>
        <w:t>she</w:t>
      </w:r>
      <w:r w:rsidRPr="00110D4B">
        <w:rPr>
          <w:sz w:val="22"/>
          <w:szCs w:val="22"/>
        </w:rPr>
        <w:t xml:space="preserve"> has a provider contract; any in- or out-of-state medical employer, whether or not </w:t>
      </w:r>
      <w:r w:rsidR="001C36BF">
        <w:rPr>
          <w:sz w:val="22"/>
          <w:szCs w:val="22"/>
        </w:rPr>
        <w:t>she</w:t>
      </w:r>
      <w:r w:rsidRPr="00110D4B">
        <w:rPr>
          <w:sz w:val="22"/>
          <w:szCs w:val="22"/>
        </w:rPr>
        <w:t xml:space="preserve"> practices medicine there; the state licensing boards of all states in which </w:t>
      </w:r>
      <w:r w:rsidR="001C36BF">
        <w:rPr>
          <w:sz w:val="22"/>
          <w:szCs w:val="22"/>
        </w:rPr>
        <w:t>she</w:t>
      </w:r>
      <w:r w:rsidRPr="00110D4B">
        <w:rPr>
          <w:sz w:val="22"/>
          <w:szCs w:val="22"/>
        </w:rPr>
        <w:t xml:space="preserve"> has any kind of license to practice medicine; the Drug Enforcement Administration - Boston Diversion Group; and the Massachusetts Department of Public Health Drug Control Program.</w:t>
      </w:r>
      <w:r w:rsidRPr="00110D4B">
        <w:rPr>
          <w:spacing w:val="40"/>
          <w:sz w:val="22"/>
          <w:szCs w:val="22"/>
        </w:rPr>
        <w:t xml:space="preserve"> </w:t>
      </w:r>
      <w:r w:rsidRPr="00110D4B">
        <w:rPr>
          <w:sz w:val="22"/>
          <w:szCs w:val="22"/>
        </w:rPr>
        <w:t>The Respondent shall also provide this</w:t>
      </w:r>
      <w:r w:rsidRPr="00110D4B">
        <w:rPr>
          <w:spacing w:val="-1"/>
          <w:sz w:val="22"/>
          <w:szCs w:val="22"/>
        </w:rPr>
        <w:t xml:space="preserve"> </w:t>
      </w:r>
      <w:r w:rsidRPr="00110D4B">
        <w:rPr>
          <w:sz w:val="22"/>
          <w:szCs w:val="22"/>
        </w:rPr>
        <w:t>notification to</w:t>
      </w:r>
      <w:r w:rsidRPr="00110D4B">
        <w:rPr>
          <w:spacing w:val="-3"/>
          <w:sz w:val="22"/>
          <w:szCs w:val="22"/>
        </w:rPr>
        <w:t xml:space="preserve"> </w:t>
      </w:r>
      <w:r w:rsidRPr="00110D4B">
        <w:rPr>
          <w:sz w:val="22"/>
          <w:szCs w:val="22"/>
        </w:rPr>
        <w:t xml:space="preserve">any such designated entities with which </w:t>
      </w:r>
      <w:r w:rsidR="001C36BF">
        <w:rPr>
          <w:sz w:val="22"/>
          <w:szCs w:val="22"/>
        </w:rPr>
        <w:t>she</w:t>
      </w:r>
      <w:r w:rsidRPr="00110D4B">
        <w:rPr>
          <w:sz w:val="22"/>
          <w:szCs w:val="22"/>
        </w:rPr>
        <w:t xml:space="preserve"> becomes associated </w:t>
      </w:r>
      <w:r w:rsidR="00D159D1">
        <w:rPr>
          <w:sz w:val="22"/>
          <w:szCs w:val="22"/>
        </w:rPr>
        <w:t>for the duration of the revocation.</w:t>
      </w:r>
      <w:r w:rsidR="001C36BF">
        <w:rPr>
          <w:sz w:val="22"/>
          <w:szCs w:val="22"/>
        </w:rPr>
        <w:t xml:space="preserve">  </w:t>
      </w:r>
      <w:r w:rsidRPr="00110D4B">
        <w:rPr>
          <w:sz w:val="22"/>
          <w:szCs w:val="22"/>
        </w:rPr>
        <w:t xml:space="preserve">The Respondent is further directed to certify to the Board within ten (10) days that </w:t>
      </w:r>
      <w:r w:rsidR="001C36BF">
        <w:rPr>
          <w:sz w:val="22"/>
          <w:szCs w:val="22"/>
        </w:rPr>
        <w:t>she</w:t>
      </w:r>
      <w:r w:rsidRPr="00110D4B">
        <w:rPr>
          <w:sz w:val="22"/>
          <w:szCs w:val="22"/>
        </w:rPr>
        <w:t xml:space="preserve"> has complied with this directive.</w:t>
      </w:r>
      <w:r w:rsidRPr="00110D4B">
        <w:rPr>
          <w:spacing w:val="80"/>
          <w:sz w:val="22"/>
          <w:szCs w:val="22"/>
        </w:rPr>
        <w:t xml:space="preserve"> </w:t>
      </w:r>
      <w:r w:rsidRPr="00110D4B">
        <w:rPr>
          <w:sz w:val="22"/>
          <w:szCs w:val="22"/>
        </w:rPr>
        <w:t>The Board expressly reserves the authority to independently notify, at any time, any of the entities designated above, or any other affected entity, of any action it has taken. The Respondent</w:t>
      </w:r>
      <w:r w:rsidRPr="00110D4B">
        <w:rPr>
          <w:spacing w:val="40"/>
          <w:sz w:val="22"/>
          <w:szCs w:val="22"/>
        </w:rPr>
        <w:t xml:space="preserve"> </w:t>
      </w:r>
      <w:r w:rsidRPr="00110D4B">
        <w:rPr>
          <w:sz w:val="22"/>
          <w:szCs w:val="22"/>
        </w:rPr>
        <w:t>has the right to appeal this Final Decision and Order within thirty (30) days, pursuant to G.L. c. 30A, §§14 and 15, and G.L. c. 112, § 64.</w:t>
      </w:r>
    </w:p>
    <w:p w14:paraId="4687C107" w14:textId="2DF6F6A7" w:rsidR="00032E70" w:rsidRPr="00110D4B" w:rsidRDefault="00032E70" w:rsidP="00110D4B">
      <w:pPr>
        <w:pStyle w:val="BodyText"/>
        <w:spacing w:line="360" w:lineRule="auto"/>
        <w:ind w:right="106"/>
        <w:rPr>
          <w:sz w:val="22"/>
          <w:szCs w:val="22"/>
        </w:rPr>
      </w:pPr>
      <w:r w:rsidRPr="00110D4B">
        <w:rPr>
          <w:sz w:val="22"/>
          <w:szCs w:val="22"/>
        </w:rPr>
        <w:t xml:space="preserve">Date:  </w:t>
      </w:r>
      <w:r w:rsidR="001C36BF">
        <w:rPr>
          <w:sz w:val="22"/>
          <w:szCs w:val="22"/>
        </w:rPr>
        <w:t>July 13</w:t>
      </w:r>
      <w:r w:rsidRPr="00110D4B">
        <w:rPr>
          <w:sz w:val="22"/>
          <w:szCs w:val="22"/>
        </w:rPr>
        <w:t>, 2023</w:t>
      </w:r>
      <w:r w:rsidRPr="00110D4B">
        <w:rPr>
          <w:sz w:val="22"/>
          <w:szCs w:val="22"/>
        </w:rPr>
        <w:tab/>
      </w:r>
      <w:r w:rsidRPr="00110D4B">
        <w:rPr>
          <w:sz w:val="22"/>
          <w:szCs w:val="22"/>
        </w:rPr>
        <w:tab/>
      </w:r>
      <w:r w:rsidRPr="00110D4B">
        <w:rPr>
          <w:sz w:val="22"/>
          <w:szCs w:val="22"/>
        </w:rPr>
        <w:tab/>
      </w:r>
      <w:r w:rsidR="00225171">
        <w:rPr>
          <w:sz w:val="22"/>
          <w:szCs w:val="22"/>
          <w:u w:val="single"/>
        </w:rPr>
        <w:t>Signed by Julian Robinson, M.D.</w:t>
      </w:r>
      <w:r w:rsidR="00225171">
        <w:rPr>
          <w:sz w:val="22"/>
          <w:szCs w:val="22"/>
          <w:u w:val="single"/>
        </w:rPr>
        <w:tab/>
      </w:r>
    </w:p>
    <w:p w14:paraId="195F6CC4" w14:textId="0E181E73" w:rsidR="00032E70" w:rsidRPr="00110D4B" w:rsidRDefault="00A84CFF" w:rsidP="00110D4B">
      <w:pPr>
        <w:spacing w:line="360" w:lineRule="auto"/>
        <w:ind w:left="3600"/>
      </w:pPr>
      <w:r>
        <w:t>Julian Robinson,</w:t>
      </w:r>
      <w:r w:rsidR="00032E70" w:rsidRPr="00110D4B">
        <w:t xml:space="preserve"> M.D.</w:t>
      </w:r>
      <w:r w:rsidR="00110D4B">
        <w:br/>
      </w:r>
      <w:r w:rsidR="00032E70" w:rsidRPr="00110D4B">
        <w:t>Chair</w:t>
      </w:r>
    </w:p>
    <w:p w14:paraId="749529D1" w14:textId="77777777" w:rsidR="00622C11" w:rsidRPr="00110D4B" w:rsidRDefault="00622C11" w:rsidP="00110D4B">
      <w:pPr>
        <w:spacing w:line="360" w:lineRule="auto"/>
        <w:ind w:left="3753"/>
      </w:pPr>
    </w:p>
    <w:p w14:paraId="25633A3B" w14:textId="77777777" w:rsidR="00D447AD" w:rsidRPr="00110D4B" w:rsidRDefault="00D447AD" w:rsidP="00110D4B">
      <w:pPr>
        <w:spacing w:line="360" w:lineRule="auto"/>
      </w:pPr>
    </w:p>
    <w:sectPr w:rsidR="00D447AD" w:rsidRPr="00110D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0363" w14:textId="77777777" w:rsidR="00A153D2" w:rsidRDefault="00A153D2" w:rsidP="003834A2">
      <w:r>
        <w:separator/>
      </w:r>
    </w:p>
  </w:endnote>
  <w:endnote w:type="continuationSeparator" w:id="0">
    <w:p w14:paraId="04FB6273" w14:textId="77777777" w:rsidR="00A153D2" w:rsidRDefault="00A153D2" w:rsidP="0038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264806"/>
      <w:docPartObj>
        <w:docPartGallery w:val="Page Numbers (Bottom of Page)"/>
        <w:docPartUnique/>
      </w:docPartObj>
    </w:sdtPr>
    <w:sdtEndPr>
      <w:rPr>
        <w:noProof/>
      </w:rPr>
    </w:sdtEndPr>
    <w:sdtContent>
      <w:p w14:paraId="77B5BC56" w14:textId="38F33751" w:rsidR="006C6747" w:rsidRDefault="006C6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B57ED" w14:textId="0358C3F8" w:rsidR="00FB3E9D"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2E06F" w14:textId="77777777" w:rsidR="00A153D2" w:rsidRDefault="00A153D2" w:rsidP="003834A2">
      <w:r>
        <w:separator/>
      </w:r>
    </w:p>
  </w:footnote>
  <w:footnote w:type="continuationSeparator" w:id="0">
    <w:p w14:paraId="158157BB" w14:textId="77777777" w:rsidR="00A153D2" w:rsidRDefault="00A153D2" w:rsidP="003834A2">
      <w:r>
        <w:continuationSeparator/>
      </w:r>
    </w:p>
  </w:footnote>
  <w:footnote w:id="1">
    <w:p w14:paraId="387C91B0" w14:textId="0C1B360A" w:rsidR="00CE56C8" w:rsidRDefault="00CE56C8" w:rsidP="008645E9">
      <w:pPr>
        <w:pStyle w:val="FootnoteText"/>
        <w:jc w:val="both"/>
      </w:pPr>
      <w:r>
        <w:rPr>
          <w:rStyle w:val="FootnoteReference"/>
        </w:rPr>
        <w:footnoteRef/>
      </w:r>
      <w:r>
        <w:t xml:space="preserve"> When a Party is of the opinion that there is no genuine issue of fact relating to one or more of the claims, he may move for summary decision as to the claim(s). 801 CMR 1.01(7)(h).</w:t>
      </w:r>
    </w:p>
  </w:footnote>
  <w:footnote w:id="2">
    <w:p w14:paraId="5E79C5B7" w14:textId="7FBF3D18" w:rsidR="000C4FB3" w:rsidRDefault="000C4FB3">
      <w:pPr>
        <w:pStyle w:val="FootnoteText"/>
      </w:pPr>
      <w:r>
        <w:rPr>
          <w:rStyle w:val="FootnoteReference"/>
        </w:rPr>
        <w:footnoteRef/>
      </w:r>
      <w:r>
        <w:t xml:space="preserve"> A Motion to Show Cause why Board Filed to Communicate and a Motion to Show Cause why Board Breached Promise to Stay were also filed.</w:t>
      </w:r>
    </w:p>
  </w:footnote>
  <w:footnote w:id="3">
    <w:p w14:paraId="43880BA9" w14:textId="0F24DEAF" w:rsidR="00442C06" w:rsidRDefault="00442C06">
      <w:pPr>
        <w:pStyle w:val="FootnoteText"/>
      </w:pPr>
      <w:r>
        <w:rPr>
          <w:rStyle w:val="FootnoteReference"/>
        </w:rPr>
        <w:footnoteRef/>
      </w:r>
      <w:r>
        <w:t xml:space="preserve"> On January 12, 2023, the Respondent filed further discovery requests.</w:t>
      </w:r>
    </w:p>
  </w:footnote>
  <w:footnote w:id="4">
    <w:p w14:paraId="246A2BE6" w14:textId="68336251" w:rsidR="00C130E6" w:rsidRDefault="00C130E6">
      <w:pPr>
        <w:pStyle w:val="FootnoteText"/>
      </w:pPr>
      <w:r>
        <w:rPr>
          <w:rStyle w:val="FootnoteReference"/>
        </w:rPr>
        <w:footnoteRef/>
      </w:r>
      <w:r>
        <w:t xml:space="preserve"> This request, which the Magistrate treated as a Motion for Reconsideration, was denied April 4, 2023.</w:t>
      </w:r>
    </w:p>
  </w:footnote>
  <w:footnote w:id="5">
    <w:p w14:paraId="34B8476F" w14:textId="61213FE6" w:rsidR="00581623" w:rsidRDefault="00581623" w:rsidP="008645E9">
      <w:pPr>
        <w:pStyle w:val="FootnoteText"/>
        <w:jc w:val="both"/>
      </w:pPr>
      <w:r>
        <w:rPr>
          <w:rStyle w:val="FootnoteReference"/>
        </w:rPr>
        <w:footnoteRef/>
      </w:r>
      <w:r>
        <w:t xml:space="preserve"> </w:t>
      </w:r>
      <w:r w:rsidR="00CF6DC4">
        <w:t xml:space="preserve">The Board </w:t>
      </w:r>
      <w:r w:rsidR="00DB5092">
        <w:t xml:space="preserve">has noted the </w:t>
      </w:r>
      <w:r w:rsidR="00DC1AF1">
        <w:t xml:space="preserve">Respondent’s Objections </w:t>
      </w:r>
      <w:r w:rsidR="00736C53">
        <w:t xml:space="preserve">and has provided an adequate statement of reasons </w:t>
      </w:r>
      <w:r w:rsidR="007C0D56">
        <w:t xml:space="preserve">for its decision; </w:t>
      </w:r>
      <w:r w:rsidR="00B91D1D">
        <w:t xml:space="preserve">the Board is not required to answer each specific objection in its </w:t>
      </w:r>
      <w:r w:rsidR="00997222">
        <w:t>d</w:t>
      </w:r>
      <w:r w:rsidR="00B91D1D">
        <w:t>ec</w:t>
      </w:r>
      <w:r w:rsidR="00997222">
        <w:t xml:space="preserve">ision. </w:t>
      </w:r>
      <w:r w:rsidR="00997222" w:rsidRPr="00D6506D">
        <w:rPr>
          <w:i/>
          <w:iCs/>
        </w:rPr>
        <w:t>Arthurs v. Board of Registration in Medicine</w:t>
      </w:r>
      <w:r w:rsidR="00EA403E" w:rsidRPr="00D6506D">
        <w:rPr>
          <w:i/>
          <w:iCs/>
        </w:rPr>
        <w:t xml:space="preserve">, </w:t>
      </w:r>
      <w:r w:rsidR="00EA403E">
        <w:t>383 Mass. 289</w:t>
      </w:r>
      <w:r w:rsidR="00561E71">
        <w:t>, 418 N.E.2</w:t>
      </w:r>
      <w:r w:rsidR="00CC3F74">
        <w:t>d 1236 (1981).</w:t>
      </w:r>
    </w:p>
  </w:footnote>
  <w:footnote w:id="6">
    <w:p w14:paraId="13CB0C12" w14:textId="77777777" w:rsidR="00434CC2" w:rsidRDefault="00434CC2" w:rsidP="00434CC2">
      <w:pPr>
        <w:pStyle w:val="FootnoteText"/>
        <w:jc w:val="both"/>
      </w:pPr>
      <w:r>
        <w:rPr>
          <w:rStyle w:val="FootnoteReference"/>
        </w:rPr>
        <w:footnoteRef/>
      </w:r>
      <w:r>
        <w:t xml:space="preserve"> </w:t>
      </w:r>
      <w:r w:rsidRPr="00D21431">
        <w:rPr>
          <w:u w:val="single"/>
        </w:rPr>
        <w:t>See</w:t>
      </w:r>
      <w:r w:rsidRPr="00D21431">
        <w:t xml:space="preserve"> </w:t>
      </w:r>
      <w:r w:rsidRPr="00D21431">
        <w:rPr>
          <w:u w:val="single"/>
        </w:rPr>
        <w:t>e.g.,</w:t>
      </w:r>
      <w:r w:rsidRPr="00D21431">
        <w:t xml:space="preserve"> </w:t>
      </w:r>
      <w:r w:rsidRPr="00D21431">
        <w:rPr>
          <w:i/>
          <w:iCs/>
        </w:rPr>
        <w:t>Board of Registration in Medicine v. Greineder</w:t>
      </w:r>
      <w:r w:rsidRPr="00D21431">
        <w:t xml:space="preserve">, Docket No.: RM-00-238 (Mass. Div. of Admin. Law App. August 27, 2001) (allowing motion for summary decision where physician was in the process of appealing his conviction for homicide); </w:t>
      </w:r>
      <w:r w:rsidRPr="00EC636B">
        <w:rPr>
          <w:i/>
          <w:iCs/>
        </w:rPr>
        <w:t>Board of Registration in Medicine v. Mukherjee</w:t>
      </w:r>
      <w:r w:rsidRPr="00D21431">
        <w:t>, Docket No.: RM-07-247 (Mass. Div. of Admin. Law App., July 17, 2007)(denying physician’s motion to stay administrative proceeding while he awaited the results of his criminal appeal)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524"/>
    <w:multiLevelType w:val="hybridMultilevel"/>
    <w:tmpl w:val="28D0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82A1B"/>
    <w:multiLevelType w:val="hybridMultilevel"/>
    <w:tmpl w:val="04FECCA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6F0991"/>
    <w:multiLevelType w:val="hybridMultilevel"/>
    <w:tmpl w:val="538A2CBA"/>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63C25DA"/>
    <w:multiLevelType w:val="hybridMultilevel"/>
    <w:tmpl w:val="0E0EB18A"/>
    <w:lvl w:ilvl="0" w:tplc="D054E0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BD5074"/>
    <w:multiLevelType w:val="hybridMultilevel"/>
    <w:tmpl w:val="3CC474B6"/>
    <w:lvl w:ilvl="0" w:tplc="7A86073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74B20"/>
    <w:multiLevelType w:val="hybridMultilevel"/>
    <w:tmpl w:val="923EB6F2"/>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6" w15:restartNumberingAfterBreak="0">
    <w:nsid w:val="6B711079"/>
    <w:multiLevelType w:val="hybridMultilevel"/>
    <w:tmpl w:val="5A4A483C"/>
    <w:lvl w:ilvl="0" w:tplc="3D045576">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57810471">
    <w:abstractNumId w:val="4"/>
  </w:num>
  <w:num w:numId="2" w16cid:durableId="1032192201">
    <w:abstractNumId w:val="0"/>
  </w:num>
  <w:num w:numId="3" w16cid:durableId="610935085">
    <w:abstractNumId w:val="3"/>
  </w:num>
  <w:num w:numId="4" w16cid:durableId="2629851">
    <w:abstractNumId w:val="5"/>
  </w:num>
  <w:num w:numId="5" w16cid:durableId="129444584">
    <w:abstractNumId w:val="6"/>
  </w:num>
  <w:num w:numId="6" w16cid:durableId="1215121682">
    <w:abstractNumId w:val="2"/>
  </w:num>
  <w:num w:numId="7" w16cid:durableId="228854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0B"/>
    <w:rsid w:val="00001303"/>
    <w:rsid w:val="000023E0"/>
    <w:rsid w:val="00002AA1"/>
    <w:rsid w:val="000042B2"/>
    <w:rsid w:val="00004AC9"/>
    <w:rsid w:val="00007D1E"/>
    <w:rsid w:val="00010E19"/>
    <w:rsid w:val="00011C8C"/>
    <w:rsid w:val="00021937"/>
    <w:rsid w:val="0003299B"/>
    <w:rsid w:val="00032E70"/>
    <w:rsid w:val="00033978"/>
    <w:rsid w:val="000367B6"/>
    <w:rsid w:val="0003725C"/>
    <w:rsid w:val="00052BDE"/>
    <w:rsid w:val="000630DF"/>
    <w:rsid w:val="00064C7D"/>
    <w:rsid w:val="00064F49"/>
    <w:rsid w:val="00065158"/>
    <w:rsid w:val="0007370B"/>
    <w:rsid w:val="00076FBB"/>
    <w:rsid w:val="000817C5"/>
    <w:rsid w:val="0008325F"/>
    <w:rsid w:val="00085264"/>
    <w:rsid w:val="000861C8"/>
    <w:rsid w:val="00087BED"/>
    <w:rsid w:val="00087F24"/>
    <w:rsid w:val="00092BEF"/>
    <w:rsid w:val="00097616"/>
    <w:rsid w:val="000A3299"/>
    <w:rsid w:val="000A4A3B"/>
    <w:rsid w:val="000A6C26"/>
    <w:rsid w:val="000B15DD"/>
    <w:rsid w:val="000B6F95"/>
    <w:rsid w:val="000C2B39"/>
    <w:rsid w:val="000C2E4A"/>
    <w:rsid w:val="000C4FB3"/>
    <w:rsid w:val="000C549F"/>
    <w:rsid w:val="000C5D11"/>
    <w:rsid w:val="000D3066"/>
    <w:rsid w:val="000E0821"/>
    <w:rsid w:val="000E0BDA"/>
    <w:rsid w:val="000E2459"/>
    <w:rsid w:val="000E7201"/>
    <w:rsid w:val="000F6CF4"/>
    <w:rsid w:val="000F76A9"/>
    <w:rsid w:val="00100654"/>
    <w:rsid w:val="00101BBF"/>
    <w:rsid w:val="00101D10"/>
    <w:rsid w:val="00102B2B"/>
    <w:rsid w:val="001040CC"/>
    <w:rsid w:val="001048B2"/>
    <w:rsid w:val="00110D4B"/>
    <w:rsid w:val="001302CE"/>
    <w:rsid w:val="00133C7C"/>
    <w:rsid w:val="001360FF"/>
    <w:rsid w:val="00141798"/>
    <w:rsid w:val="001548F0"/>
    <w:rsid w:val="00156BA2"/>
    <w:rsid w:val="0015794B"/>
    <w:rsid w:val="00157C89"/>
    <w:rsid w:val="00160AD5"/>
    <w:rsid w:val="001615B5"/>
    <w:rsid w:val="001645E5"/>
    <w:rsid w:val="00174342"/>
    <w:rsid w:val="0017447E"/>
    <w:rsid w:val="0017787B"/>
    <w:rsid w:val="00183CB1"/>
    <w:rsid w:val="00191F0E"/>
    <w:rsid w:val="001920D6"/>
    <w:rsid w:val="00194E35"/>
    <w:rsid w:val="00194E8E"/>
    <w:rsid w:val="0019618B"/>
    <w:rsid w:val="001966CD"/>
    <w:rsid w:val="001A11D2"/>
    <w:rsid w:val="001A41EC"/>
    <w:rsid w:val="001A526F"/>
    <w:rsid w:val="001B0CC1"/>
    <w:rsid w:val="001B6068"/>
    <w:rsid w:val="001B64E7"/>
    <w:rsid w:val="001C36BF"/>
    <w:rsid w:val="001C4B8F"/>
    <w:rsid w:val="001D35E4"/>
    <w:rsid w:val="001E3F4A"/>
    <w:rsid w:val="001E768D"/>
    <w:rsid w:val="001F1595"/>
    <w:rsid w:val="001F1FA1"/>
    <w:rsid w:val="00200083"/>
    <w:rsid w:val="00202D31"/>
    <w:rsid w:val="002101AB"/>
    <w:rsid w:val="002113B1"/>
    <w:rsid w:val="00221330"/>
    <w:rsid w:val="0022169F"/>
    <w:rsid w:val="00224ED6"/>
    <w:rsid w:val="00225171"/>
    <w:rsid w:val="00240ABE"/>
    <w:rsid w:val="00244CB8"/>
    <w:rsid w:val="00251984"/>
    <w:rsid w:val="00251D34"/>
    <w:rsid w:val="00253E28"/>
    <w:rsid w:val="00256009"/>
    <w:rsid w:val="0027669B"/>
    <w:rsid w:val="0028725C"/>
    <w:rsid w:val="002900C6"/>
    <w:rsid w:val="002A637D"/>
    <w:rsid w:val="002A68B8"/>
    <w:rsid w:val="002C0709"/>
    <w:rsid w:val="002C2BD4"/>
    <w:rsid w:val="002D4DF3"/>
    <w:rsid w:val="002D686B"/>
    <w:rsid w:val="002E721B"/>
    <w:rsid w:val="00300155"/>
    <w:rsid w:val="0030438D"/>
    <w:rsid w:val="00306F7F"/>
    <w:rsid w:val="0031215C"/>
    <w:rsid w:val="00323D68"/>
    <w:rsid w:val="00324045"/>
    <w:rsid w:val="00326C82"/>
    <w:rsid w:val="003313AA"/>
    <w:rsid w:val="00332F68"/>
    <w:rsid w:val="00335B70"/>
    <w:rsid w:val="003444EE"/>
    <w:rsid w:val="003469A6"/>
    <w:rsid w:val="00350CD4"/>
    <w:rsid w:val="003558F9"/>
    <w:rsid w:val="003627E4"/>
    <w:rsid w:val="0036444A"/>
    <w:rsid w:val="003650B1"/>
    <w:rsid w:val="003774A2"/>
    <w:rsid w:val="00380EE8"/>
    <w:rsid w:val="003834A2"/>
    <w:rsid w:val="003878B4"/>
    <w:rsid w:val="00387ECF"/>
    <w:rsid w:val="003915AF"/>
    <w:rsid w:val="00394DD8"/>
    <w:rsid w:val="00394FA4"/>
    <w:rsid w:val="00397054"/>
    <w:rsid w:val="003A4829"/>
    <w:rsid w:val="003B0DF5"/>
    <w:rsid w:val="003B6413"/>
    <w:rsid w:val="003B7C8E"/>
    <w:rsid w:val="003B7D65"/>
    <w:rsid w:val="003B7EBE"/>
    <w:rsid w:val="003C1DD5"/>
    <w:rsid w:val="003C636C"/>
    <w:rsid w:val="003D12DF"/>
    <w:rsid w:val="003D398C"/>
    <w:rsid w:val="003D39EF"/>
    <w:rsid w:val="003E0DF7"/>
    <w:rsid w:val="003E5B32"/>
    <w:rsid w:val="003E7F6D"/>
    <w:rsid w:val="003F0DCE"/>
    <w:rsid w:val="004007D2"/>
    <w:rsid w:val="0040380C"/>
    <w:rsid w:val="00411F02"/>
    <w:rsid w:val="00413154"/>
    <w:rsid w:val="00416BC2"/>
    <w:rsid w:val="00426678"/>
    <w:rsid w:val="00430EAB"/>
    <w:rsid w:val="00433560"/>
    <w:rsid w:val="00434CC2"/>
    <w:rsid w:val="00442656"/>
    <w:rsid w:val="00442C06"/>
    <w:rsid w:val="00454A7D"/>
    <w:rsid w:val="0046234C"/>
    <w:rsid w:val="00466A9A"/>
    <w:rsid w:val="00472F59"/>
    <w:rsid w:val="004755E6"/>
    <w:rsid w:val="00480059"/>
    <w:rsid w:val="0048321E"/>
    <w:rsid w:val="004848AB"/>
    <w:rsid w:val="00485119"/>
    <w:rsid w:val="004902FE"/>
    <w:rsid w:val="00490BC1"/>
    <w:rsid w:val="004968DB"/>
    <w:rsid w:val="004A0E76"/>
    <w:rsid w:val="004B35CB"/>
    <w:rsid w:val="004B541F"/>
    <w:rsid w:val="004C13A0"/>
    <w:rsid w:val="004C3078"/>
    <w:rsid w:val="004C4583"/>
    <w:rsid w:val="004C4B3D"/>
    <w:rsid w:val="004C5912"/>
    <w:rsid w:val="004C651C"/>
    <w:rsid w:val="004D3E83"/>
    <w:rsid w:val="004D6CC0"/>
    <w:rsid w:val="004E20B1"/>
    <w:rsid w:val="004E2BD2"/>
    <w:rsid w:val="004F3201"/>
    <w:rsid w:val="004F57FF"/>
    <w:rsid w:val="004F6891"/>
    <w:rsid w:val="004F7391"/>
    <w:rsid w:val="005017AD"/>
    <w:rsid w:val="00502844"/>
    <w:rsid w:val="005032A7"/>
    <w:rsid w:val="00503D6F"/>
    <w:rsid w:val="00506C03"/>
    <w:rsid w:val="00507351"/>
    <w:rsid w:val="00510343"/>
    <w:rsid w:val="00513039"/>
    <w:rsid w:val="00515512"/>
    <w:rsid w:val="00524401"/>
    <w:rsid w:val="0052788C"/>
    <w:rsid w:val="00541B0F"/>
    <w:rsid w:val="0055369D"/>
    <w:rsid w:val="0055602A"/>
    <w:rsid w:val="00561E71"/>
    <w:rsid w:val="00561EB8"/>
    <w:rsid w:val="00562212"/>
    <w:rsid w:val="00567C2B"/>
    <w:rsid w:val="00571131"/>
    <w:rsid w:val="00573B86"/>
    <w:rsid w:val="00574F87"/>
    <w:rsid w:val="00581623"/>
    <w:rsid w:val="00591E8A"/>
    <w:rsid w:val="005A1634"/>
    <w:rsid w:val="005A2A0A"/>
    <w:rsid w:val="005A75B4"/>
    <w:rsid w:val="005B4258"/>
    <w:rsid w:val="005B4993"/>
    <w:rsid w:val="005B596A"/>
    <w:rsid w:val="005C1B18"/>
    <w:rsid w:val="005C2E62"/>
    <w:rsid w:val="005C4145"/>
    <w:rsid w:val="005C724E"/>
    <w:rsid w:val="005D0243"/>
    <w:rsid w:val="005D1222"/>
    <w:rsid w:val="005D134C"/>
    <w:rsid w:val="005E021C"/>
    <w:rsid w:val="005E18CF"/>
    <w:rsid w:val="005E22D7"/>
    <w:rsid w:val="005E325E"/>
    <w:rsid w:val="005E6ECB"/>
    <w:rsid w:val="005F21EA"/>
    <w:rsid w:val="005F36F2"/>
    <w:rsid w:val="005F7DE1"/>
    <w:rsid w:val="006062F8"/>
    <w:rsid w:val="00621201"/>
    <w:rsid w:val="00622C11"/>
    <w:rsid w:val="006265A8"/>
    <w:rsid w:val="00635CD1"/>
    <w:rsid w:val="00635D78"/>
    <w:rsid w:val="0064354E"/>
    <w:rsid w:val="006458B2"/>
    <w:rsid w:val="00653EF7"/>
    <w:rsid w:val="00654D84"/>
    <w:rsid w:val="00657574"/>
    <w:rsid w:val="0066324D"/>
    <w:rsid w:val="006821AE"/>
    <w:rsid w:val="006837B2"/>
    <w:rsid w:val="00683B0A"/>
    <w:rsid w:val="00683E19"/>
    <w:rsid w:val="0069408E"/>
    <w:rsid w:val="006A1F11"/>
    <w:rsid w:val="006A323B"/>
    <w:rsid w:val="006A33D2"/>
    <w:rsid w:val="006A74BF"/>
    <w:rsid w:val="006B09F3"/>
    <w:rsid w:val="006C6747"/>
    <w:rsid w:val="006D02D8"/>
    <w:rsid w:val="006D20FF"/>
    <w:rsid w:val="006D2CA2"/>
    <w:rsid w:val="006D2D3C"/>
    <w:rsid w:val="006F1DF5"/>
    <w:rsid w:val="006F60EF"/>
    <w:rsid w:val="006F7054"/>
    <w:rsid w:val="007034FE"/>
    <w:rsid w:val="00704597"/>
    <w:rsid w:val="007059F3"/>
    <w:rsid w:val="00706DE8"/>
    <w:rsid w:val="007143F7"/>
    <w:rsid w:val="00715971"/>
    <w:rsid w:val="00716750"/>
    <w:rsid w:val="00722F51"/>
    <w:rsid w:val="00723342"/>
    <w:rsid w:val="00736C53"/>
    <w:rsid w:val="00742AD4"/>
    <w:rsid w:val="0074490F"/>
    <w:rsid w:val="00745219"/>
    <w:rsid w:val="007505AE"/>
    <w:rsid w:val="007520A8"/>
    <w:rsid w:val="00755FC6"/>
    <w:rsid w:val="00761692"/>
    <w:rsid w:val="0076396A"/>
    <w:rsid w:val="00765B0E"/>
    <w:rsid w:val="00765D0C"/>
    <w:rsid w:val="00770DFA"/>
    <w:rsid w:val="00772049"/>
    <w:rsid w:val="007720D2"/>
    <w:rsid w:val="0077300F"/>
    <w:rsid w:val="0077533E"/>
    <w:rsid w:val="00776EB0"/>
    <w:rsid w:val="007844DC"/>
    <w:rsid w:val="00786376"/>
    <w:rsid w:val="007A677D"/>
    <w:rsid w:val="007A7BB8"/>
    <w:rsid w:val="007B4775"/>
    <w:rsid w:val="007B786A"/>
    <w:rsid w:val="007C0D56"/>
    <w:rsid w:val="007C1925"/>
    <w:rsid w:val="007C591A"/>
    <w:rsid w:val="007C60AE"/>
    <w:rsid w:val="007D59F2"/>
    <w:rsid w:val="007D70ED"/>
    <w:rsid w:val="007D7969"/>
    <w:rsid w:val="007D7CFB"/>
    <w:rsid w:val="007E0F62"/>
    <w:rsid w:val="007E169A"/>
    <w:rsid w:val="007E4EDD"/>
    <w:rsid w:val="007E7DEA"/>
    <w:rsid w:val="007F34EE"/>
    <w:rsid w:val="007F3F32"/>
    <w:rsid w:val="007F4CDC"/>
    <w:rsid w:val="007F58E3"/>
    <w:rsid w:val="008030E0"/>
    <w:rsid w:val="00804864"/>
    <w:rsid w:val="008128E1"/>
    <w:rsid w:val="008347A6"/>
    <w:rsid w:val="008348E2"/>
    <w:rsid w:val="00835B6F"/>
    <w:rsid w:val="00841C3A"/>
    <w:rsid w:val="008444BF"/>
    <w:rsid w:val="00853CE3"/>
    <w:rsid w:val="008553F8"/>
    <w:rsid w:val="00856092"/>
    <w:rsid w:val="008579BF"/>
    <w:rsid w:val="00863E22"/>
    <w:rsid w:val="008645E9"/>
    <w:rsid w:val="00867EEE"/>
    <w:rsid w:val="008707A6"/>
    <w:rsid w:val="008731ED"/>
    <w:rsid w:val="00874BB9"/>
    <w:rsid w:val="00877642"/>
    <w:rsid w:val="00887236"/>
    <w:rsid w:val="00893377"/>
    <w:rsid w:val="00893F52"/>
    <w:rsid w:val="008976FA"/>
    <w:rsid w:val="008A1EAD"/>
    <w:rsid w:val="008A5428"/>
    <w:rsid w:val="008B08FB"/>
    <w:rsid w:val="008B1235"/>
    <w:rsid w:val="008B3AAE"/>
    <w:rsid w:val="008B3C14"/>
    <w:rsid w:val="008C0345"/>
    <w:rsid w:val="008C3B65"/>
    <w:rsid w:val="008C5520"/>
    <w:rsid w:val="008D04C3"/>
    <w:rsid w:val="008D0EF0"/>
    <w:rsid w:val="008D3459"/>
    <w:rsid w:val="008D64B6"/>
    <w:rsid w:val="008E56F6"/>
    <w:rsid w:val="008F0C2C"/>
    <w:rsid w:val="008F328B"/>
    <w:rsid w:val="008F61E1"/>
    <w:rsid w:val="00900485"/>
    <w:rsid w:val="00911578"/>
    <w:rsid w:val="0091307C"/>
    <w:rsid w:val="00914397"/>
    <w:rsid w:val="00914FAF"/>
    <w:rsid w:val="009207AC"/>
    <w:rsid w:val="00930126"/>
    <w:rsid w:val="009313D8"/>
    <w:rsid w:val="009334C4"/>
    <w:rsid w:val="009628C3"/>
    <w:rsid w:val="009631A9"/>
    <w:rsid w:val="00972C77"/>
    <w:rsid w:val="00980105"/>
    <w:rsid w:val="00995682"/>
    <w:rsid w:val="00996906"/>
    <w:rsid w:val="00996DCD"/>
    <w:rsid w:val="00997222"/>
    <w:rsid w:val="009A4473"/>
    <w:rsid w:val="009A67AC"/>
    <w:rsid w:val="009B5B7C"/>
    <w:rsid w:val="009C4692"/>
    <w:rsid w:val="009E2C7D"/>
    <w:rsid w:val="009E2D6D"/>
    <w:rsid w:val="009F1A2B"/>
    <w:rsid w:val="009F1AC0"/>
    <w:rsid w:val="00A01BE4"/>
    <w:rsid w:val="00A031C2"/>
    <w:rsid w:val="00A035C4"/>
    <w:rsid w:val="00A0648B"/>
    <w:rsid w:val="00A11945"/>
    <w:rsid w:val="00A13394"/>
    <w:rsid w:val="00A153D2"/>
    <w:rsid w:val="00A15653"/>
    <w:rsid w:val="00A23594"/>
    <w:rsid w:val="00A27700"/>
    <w:rsid w:val="00A371A3"/>
    <w:rsid w:val="00A41828"/>
    <w:rsid w:val="00A43EED"/>
    <w:rsid w:val="00A446A6"/>
    <w:rsid w:val="00A54FF2"/>
    <w:rsid w:val="00A60BD0"/>
    <w:rsid w:val="00A63AB3"/>
    <w:rsid w:val="00A64BB2"/>
    <w:rsid w:val="00A65E9B"/>
    <w:rsid w:val="00A66868"/>
    <w:rsid w:val="00A66A5B"/>
    <w:rsid w:val="00A7320F"/>
    <w:rsid w:val="00A75105"/>
    <w:rsid w:val="00A770E1"/>
    <w:rsid w:val="00A81AF7"/>
    <w:rsid w:val="00A83DC5"/>
    <w:rsid w:val="00A84CFF"/>
    <w:rsid w:val="00A914AA"/>
    <w:rsid w:val="00A91562"/>
    <w:rsid w:val="00AA00DC"/>
    <w:rsid w:val="00AA0C11"/>
    <w:rsid w:val="00AA1B87"/>
    <w:rsid w:val="00AA1C58"/>
    <w:rsid w:val="00AB0B8E"/>
    <w:rsid w:val="00AB1D0A"/>
    <w:rsid w:val="00AC2EB0"/>
    <w:rsid w:val="00AC68D9"/>
    <w:rsid w:val="00AD15EB"/>
    <w:rsid w:val="00AD2516"/>
    <w:rsid w:val="00AD31F6"/>
    <w:rsid w:val="00AD7595"/>
    <w:rsid w:val="00AE2919"/>
    <w:rsid w:val="00AE2CAD"/>
    <w:rsid w:val="00AE4A4A"/>
    <w:rsid w:val="00B01149"/>
    <w:rsid w:val="00B225E4"/>
    <w:rsid w:val="00B23A8F"/>
    <w:rsid w:val="00B23B66"/>
    <w:rsid w:val="00B35E5C"/>
    <w:rsid w:val="00B40AE4"/>
    <w:rsid w:val="00B51F74"/>
    <w:rsid w:val="00B61AA5"/>
    <w:rsid w:val="00B634AF"/>
    <w:rsid w:val="00B66AF5"/>
    <w:rsid w:val="00B75812"/>
    <w:rsid w:val="00B76434"/>
    <w:rsid w:val="00B81C13"/>
    <w:rsid w:val="00B85BA7"/>
    <w:rsid w:val="00B9033F"/>
    <w:rsid w:val="00B919B9"/>
    <w:rsid w:val="00B91D1D"/>
    <w:rsid w:val="00B91FC7"/>
    <w:rsid w:val="00B937ED"/>
    <w:rsid w:val="00B95D28"/>
    <w:rsid w:val="00B96890"/>
    <w:rsid w:val="00BA357D"/>
    <w:rsid w:val="00BA671E"/>
    <w:rsid w:val="00BB604F"/>
    <w:rsid w:val="00BC51A5"/>
    <w:rsid w:val="00BD6B80"/>
    <w:rsid w:val="00BD7524"/>
    <w:rsid w:val="00BE3004"/>
    <w:rsid w:val="00BF23FD"/>
    <w:rsid w:val="00BF4A68"/>
    <w:rsid w:val="00BF70FB"/>
    <w:rsid w:val="00C0686A"/>
    <w:rsid w:val="00C06962"/>
    <w:rsid w:val="00C130E6"/>
    <w:rsid w:val="00C1458B"/>
    <w:rsid w:val="00C14764"/>
    <w:rsid w:val="00C20C4E"/>
    <w:rsid w:val="00C25052"/>
    <w:rsid w:val="00C261C7"/>
    <w:rsid w:val="00C32463"/>
    <w:rsid w:val="00C4021F"/>
    <w:rsid w:val="00C4070F"/>
    <w:rsid w:val="00C43720"/>
    <w:rsid w:val="00C50FAC"/>
    <w:rsid w:val="00C516A5"/>
    <w:rsid w:val="00C5256D"/>
    <w:rsid w:val="00C52D5C"/>
    <w:rsid w:val="00C550A9"/>
    <w:rsid w:val="00C61930"/>
    <w:rsid w:val="00C65194"/>
    <w:rsid w:val="00C65BAF"/>
    <w:rsid w:val="00C74A3B"/>
    <w:rsid w:val="00C74F5A"/>
    <w:rsid w:val="00C75C40"/>
    <w:rsid w:val="00C76336"/>
    <w:rsid w:val="00C81EB4"/>
    <w:rsid w:val="00C846E5"/>
    <w:rsid w:val="00C87986"/>
    <w:rsid w:val="00C912D9"/>
    <w:rsid w:val="00C9580A"/>
    <w:rsid w:val="00C9607B"/>
    <w:rsid w:val="00CA37A5"/>
    <w:rsid w:val="00CA4240"/>
    <w:rsid w:val="00CA5E0A"/>
    <w:rsid w:val="00CB59B5"/>
    <w:rsid w:val="00CC3F74"/>
    <w:rsid w:val="00CC65DD"/>
    <w:rsid w:val="00CC6773"/>
    <w:rsid w:val="00CE1D7C"/>
    <w:rsid w:val="00CE56C8"/>
    <w:rsid w:val="00CE6FEE"/>
    <w:rsid w:val="00CF4370"/>
    <w:rsid w:val="00CF580B"/>
    <w:rsid w:val="00CF6DC4"/>
    <w:rsid w:val="00D02045"/>
    <w:rsid w:val="00D03F18"/>
    <w:rsid w:val="00D061CC"/>
    <w:rsid w:val="00D11619"/>
    <w:rsid w:val="00D1395D"/>
    <w:rsid w:val="00D14C3F"/>
    <w:rsid w:val="00D159D1"/>
    <w:rsid w:val="00D24573"/>
    <w:rsid w:val="00D27074"/>
    <w:rsid w:val="00D30E20"/>
    <w:rsid w:val="00D321CD"/>
    <w:rsid w:val="00D341EA"/>
    <w:rsid w:val="00D447AD"/>
    <w:rsid w:val="00D46C65"/>
    <w:rsid w:val="00D522E7"/>
    <w:rsid w:val="00D531B9"/>
    <w:rsid w:val="00D53876"/>
    <w:rsid w:val="00D62E11"/>
    <w:rsid w:val="00D63C81"/>
    <w:rsid w:val="00D64D80"/>
    <w:rsid w:val="00D6506D"/>
    <w:rsid w:val="00D67E28"/>
    <w:rsid w:val="00D7112B"/>
    <w:rsid w:val="00D720A7"/>
    <w:rsid w:val="00D75F8B"/>
    <w:rsid w:val="00D7665E"/>
    <w:rsid w:val="00D77E21"/>
    <w:rsid w:val="00D83DFD"/>
    <w:rsid w:val="00D87CDE"/>
    <w:rsid w:val="00D91861"/>
    <w:rsid w:val="00D9589D"/>
    <w:rsid w:val="00DA201B"/>
    <w:rsid w:val="00DA3629"/>
    <w:rsid w:val="00DB04CC"/>
    <w:rsid w:val="00DB5092"/>
    <w:rsid w:val="00DB6AE2"/>
    <w:rsid w:val="00DC1AE2"/>
    <w:rsid w:val="00DC1AF1"/>
    <w:rsid w:val="00DC46CA"/>
    <w:rsid w:val="00DC4D77"/>
    <w:rsid w:val="00DD421D"/>
    <w:rsid w:val="00DD59F2"/>
    <w:rsid w:val="00DD65C3"/>
    <w:rsid w:val="00DD7C0E"/>
    <w:rsid w:val="00DF6EC2"/>
    <w:rsid w:val="00E05767"/>
    <w:rsid w:val="00E14DF8"/>
    <w:rsid w:val="00E1644A"/>
    <w:rsid w:val="00E17587"/>
    <w:rsid w:val="00E21599"/>
    <w:rsid w:val="00E2187F"/>
    <w:rsid w:val="00E21AC3"/>
    <w:rsid w:val="00E23375"/>
    <w:rsid w:val="00E24194"/>
    <w:rsid w:val="00E242CE"/>
    <w:rsid w:val="00E31577"/>
    <w:rsid w:val="00E32CA4"/>
    <w:rsid w:val="00E32CB2"/>
    <w:rsid w:val="00E3380B"/>
    <w:rsid w:val="00E3623F"/>
    <w:rsid w:val="00E40A96"/>
    <w:rsid w:val="00E429E1"/>
    <w:rsid w:val="00E44506"/>
    <w:rsid w:val="00E50D4A"/>
    <w:rsid w:val="00E54FD4"/>
    <w:rsid w:val="00E5655B"/>
    <w:rsid w:val="00E61D3A"/>
    <w:rsid w:val="00E62723"/>
    <w:rsid w:val="00E6332C"/>
    <w:rsid w:val="00E6354D"/>
    <w:rsid w:val="00E73BBF"/>
    <w:rsid w:val="00E8279C"/>
    <w:rsid w:val="00E835AF"/>
    <w:rsid w:val="00E84C53"/>
    <w:rsid w:val="00E85250"/>
    <w:rsid w:val="00E856B8"/>
    <w:rsid w:val="00E8725A"/>
    <w:rsid w:val="00E95168"/>
    <w:rsid w:val="00EA2650"/>
    <w:rsid w:val="00EA2C33"/>
    <w:rsid w:val="00EA35A9"/>
    <w:rsid w:val="00EA403E"/>
    <w:rsid w:val="00EA5171"/>
    <w:rsid w:val="00EA556B"/>
    <w:rsid w:val="00EA56CA"/>
    <w:rsid w:val="00EB037A"/>
    <w:rsid w:val="00EB4685"/>
    <w:rsid w:val="00EB6BCF"/>
    <w:rsid w:val="00EC2EA3"/>
    <w:rsid w:val="00EC6504"/>
    <w:rsid w:val="00EC684F"/>
    <w:rsid w:val="00EE3266"/>
    <w:rsid w:val="00EE3D9D"/>
    <w:rsid w:val="00EF0EBD"/>
    <w:rsid w:val="00EF195D"/>
    <w:rsid w:val="00EF50CF"/>
    <w:rsid w:val="00EF7AF0"/>
    <w:rsid w:val="00F11C29"/>
    <w:rsid w:val="00F131D0"/>
    <w:rsid w:val="00F20B0E"/>
    <w:rsid w:val="00F23BAA"/>
    <w:rsid w:val="00F264B6"/>
    <w:rsid w:val="00F31E42"/>
    <w:rsid w:val="00F445A7"/>
    <w:rsid w:val="00F458CA"/>
    <w:rsid w:val="00F466BC"/>
    <w:rsid w:val="00F475F9"/>
    <w:rsid w:val="00F56B7A"/>
    <w:rsid w:val="00F61348"/>
    <w:rsid w:val="00F61625"/>
    <w:rsid w:val="00F67817"/>
    <w:rsid w:val="00F720B6"/>
    <w:rsid w:val="00F733C5"/>
    <w:rsid w:val="00F75A03"/>
    <w:rsid w:val="00F80E74"/>
    <w:rsid w:val="00F930AC"/>
    <w:rsid w:val="00FA54D3"/>
    <w:rsid w:val="00FA69A8"/>
    <w:rsid w:val="00FA78B8"/>
    <w:rsid w:val="00FB0114"/>
    <w:rsid w:val="00FB24CA"/>
    <w:rsid w:val="00FB5AA9"/>
    <w:rsid w:val="00FB6C3F"/>
    <w:rsid w:val="00FC1A18"/>
    <w:rsid w:val="00FD08FE"/>
    <w:rsid w:val="00FD2016"/>
    <w:rsid w:val="00FD38EC"/>
    <w:rsid w:val="00FF7583"/>
    <w:rsid w:val="00FF7A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9E8F3"/>
  <w15:chartTrackingRefBased/>
  <w15:docId w15:val="{5C5093F0-35F2-4C6A-BA99-82DF8139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3380B"/>
    <w:rPr>
      <w:sz w:val="23"/>
      <w:szCs w:val="23"/>
    </w:rPr>
  </w:style>
  <w:style w:type="character" w:customStyle="1" w:styleId="BodyTextChar">
    <w:name w:val="Body Text Char"/>
    <w:basedOn w:val="DefaultParagraphFont"/>
    <w:link w:val="BodyText"/>
    <w:uiPriority w:val="1"/>
    <w:rsid w:val="00E3380B"/>
    <w:rPr>
      <w:rFonts w:ascii="Times New Roman" w:eastAsia="Times New Roman" w:hAnsi="Times New Roman" w:cs="Times New Roman"/>
      <w:sz w:val="23"/>
      <w:szCs w:val="23"/>
    </w:rPr>
  </w:style>
  <w:style w:type="paragraph" w:styleId="FootnoteText">
    <w:name w:val="footnote text"/>
    <w:basedOn w:val="Normal"/>
    <w:link w:val="FootnoteTextChar"/>
    <w:uiPriority w:val="99"/>
    <w:semiHidden/>
    <w:unhideWhenUsed/>
    <w:rsid w:val="003834A2"/>
    <w:rPr>
      <w:sz w:val="20"/>
      <w:szCs w:val="20"/>
    </w:rPr>
  </w:style>
  <w:style w:type="character" w:customStyle="1" w:styleId="FootnoteTextChar">
    <w:name w:val="Footnote Text Char"/>
    <w:basedOn w:val="DefaultParagraphFont"/>
    <w:link w:val="FootnoteText"/>
    <w:uiPriority w:val="99"/>
    <w:semiHidden/>
    <w:rsid w:val="003834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34A2"/>
    <w:rPr>
      <w:vertAlign w:val="superscript"/>
    </w:rPr>
  </w:style>
  <w:style w:type="paragraph" w:styleId="Header">
    <w:name w:val="header"/>
    <w:basedOn w:val="Normal"/>
    <w:link w:val="HeaderChar"/>
    <w:uiPriority w:val="99"/>
    <w:unhideWhenUsed/>
    <w:rsid w:val="00157C89"/>
    <w:pPr>
      <w:tabs>
        <w:tab w:val="center" w:pos="4680"/>
        <w:tab w:val="right" w:pos="9360"/>
      </w:tabs>
    </w:pPr>
  </w:style>
  <w:style w:type="character" w:customStyle="1" w:styleId="HeaderChar">
    <w:name w:val="Header Char"/>
    <w:basedOn w:val="DefaultParagraphFont"/>
    <w:link w:val="Header"/>
    <w:uiPriority w:val="99"/>
    <w:rsid w:val="00157C89"/>
    <w:rPr>
      <w:rFonts w:ascii="Times New Roman" w:eastAsia="Times New Roman" w:hAnsi="Times New Roman" w:cs="Times New Roman"/>
    </w:rPr>
  </w:style>
  <w:style w:type="paragraph" w:styleId="Footer">
    <w:name w:val="footer"/>
    <w:basedOn w:val="Normal"/>
    <w:link w:val="FooterChar"/>
    <w:uiPriority w:val="99"/>
    <w:unhideWhenUsed/>
    <w:rsid w:val="00157C89"/>
    <w:pPr>
      <w:tabs>
        <w:tab w:val="center" w:pos="4680"/>
        <w:tab w:val="right" w:pos="9360"/>
      </w:tabs>
    </w:pPr>
  </w:style>
  <w:style w:type="character" w:customStyle="1" w:styleId="FooterChar">
    <w:name w:val="Footer Char"/>
    <w:basedOn w:val="DefaultParagraphFont"/>
    <w:link w:val="Footer"/>
    <w:uiPriority w:val="99"/>
    <w:rsid w:val="00157C89"/>
    <w:rPr>
      <w:rFonts w:ascii="Times New Roman" w:eastAsia="Times New Roman" w:hAnsi="Times New Roman" w:cs="Times New Roman"/>
    </w:rPr>
  </w:style>
  <w:style w:type="paragraph" w:styleId="Revision">
    <w:name w:val="Revision"/>
    <w:hidden/>
    <w:uiPriority w:val="99"/>
    <w:semiHidden/>
    <w:rsid w:val="00FB0114"/>
    <w:rPr>
      <w:rFonts w:ascii="Times New Roman" w:eastAsia="Times New Roman" w:hAnsi="Times New Roman" w:cs="Times New Roman"/>
    </w:rPr>
  </w:style>
  <w:style w:type="paragraph" w:styleId="ListParagraph">
    <w:name w:val="List Paragraph"/>
    <w:basedOn w:val="Normal"/>
    <w:uiPriority w:val="34"/>
    <w:qFormat/>
    <w:rsid w:val="00B225E4"/>
    <w:pPr>
      <w:ind w:left="720"/>
      <w:contextualSpacing/>
    </w:pPr>
    <w:rPr>
      <w:rFonts w:asciiTheme="minorHAnsi" w:eastAsiaTheme="minorHAnsi" w:hAnsiTheme="minorHAnsi" w:cstheme="minorBidi"/>
      <w:sz w:val="24"/>
      <w:szCs w:val="24"/>
    </w:rPr>
  </w:style>
  <w:style w:type="character" w:styleId="CommentReference">
    <w:name w:val="annotation reference"/>
    <w:basedOn w:val="DefaultParagraphFont"/>
    <w:uiPriority w:val="99"/>
    <w:semiHidden/>
    <w:unhideWhenUsed/>
    <w:rsid w:val="00B225E4"/>
    <w:rPr>
      <w:sz w:val="16"/>
      <w:szCs w:val="16"/>
    </w:rPr>
  </w:style>
  <w:style w:type="paragraph" w:styleId="CommentText">
    <w:name w:val="annotation text"/>
    <w:basedOn w:val="Normal"/>
    <w:link w:val="CommentTextChar"/>
    <w:uiPriority w:val="99"/>
    <w:semiHidden/>
    <w:unhideWhenUsed/>
    <w:rsid w:val="00B225E4"/>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225E4"/>
    <w:rPr>
      <w:sz w:val="20"/>
      <w:szCs w:val="20"/>
    </w:rPr>
  </w:style>
  <w:style w:type="paragraph" w:styleId="BalloonText">
    <w:name w:val="Balloon Text"/>
    <w:basedOn w:val="Normal"/>
    <w:link w:val="BalloonTextChar"/>
    <w:uiPriority w:val="99"/>
    <w:semiHidden/>
    <w:unhideWhenUsed/>
    <w:rsid w:val="00BA3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5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4EBD3-F1C5-439C-984E-46C316BCF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3</cp:revision>
  <cp:lastPrinted>2023-05-30T13:33:00Z</cp:lastPrinted>
  <dcterms:created xsi:type="dcterms:W3CDTF">2023-07-13T13:12:00Z</dcterms:created>
  <dcterms:modified xsi:type="dcterms:W3CDTF">2023-07-20T18:42:00Z</dcterms:modified>
</cp:coreProperties>
</file>