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2590" w:rsidRPr="00022F93" w:rsidRDefault="00202590">
      <w:pPr>
        <w:pStyle w:val="Title"/>
        <w:rPr>
          <w:rFonts w:ascii="Times New Roman" w:hAnsi="Times New Roman" w:cs="Times New Roman"/>
          <w:b w:val="0"/>
          <w:sz w:val="24"/>
          <w:szCs w:val="24"/>
        </w:rPr>
      </w:pPr>
      <w:bookmarkStart w:id="0" w:name="_GoBack"/>
      <w:bookmarkEnd w:id="0"/>
      <w:r w:rsidRPr="00022F93">
        <w:rPr>
          <w:rFonts w:ascii="Times New Roman" w:hAnsi="Times New Roman" w:cs="Times New Roman"/>
          <w:b w:val="0"/>
          <w:sz w:val="24"/>
          <w:szCs w:val="24"/>
        </w:rPr>
        <w:t>COMMONWEALTH OF MASSACHUSETTS</w:t>
      </w:r>
    </w:p>
    <w:p w:rsidR="00202590" w:rsidRDefault="00202590"/>
    <w:p w:rsidR="00202590" w:rsidRDefault="00202590">
      <w:pPr>
        <w:jc w:val="center"/>
      </w:pPr>
    </w:p>
    <w:p w:rsidR="00202590" w:rsidRDefault="008831E1">
      <w:r>
        <w:t>MIDDLESEX</w:t>
      </w:r>
      <w:r w:rsidR="00202590">
        <w:t>, SS</w:t>
      </w:r>
      <w:r w:rsidR="00202590">
        <w:tab/>
      </w:r>
      <w:r w:rsidR="00202590">
        <w:tab/>
      </w:r>
      <w:r w:rsidR="00202590">
        <w:tab/>
      </w:r>
      <w:r w:rsidR="00202590">
        <w:tab/>
      </w:r>
      <w:r w:rsidR="00202590">
        <w:tab/>
        <w:t>BOARD OF REGISTRATION</w:t>
      </w:r>
      <w:r w:rsidR="00202590">
        <w:tab/>
      </w:r>
      <w:r w:rsidR="00202590">
        <w:tab/>
      </w:r>
      <w:r w:rsidR="00202590">
        <w:tab/>
      </w:r>
      <w:r w:rsidR="00202590">
        <w:tab/>
      </w:r>
      <w:r w:rsidR="00202590">
        <w:tab/>
      </w:r>
      <w:r w:rsidR="00202590">
        <w:tab/>
      </w:r>
      <w:r w:rsidR="00202590">
        <w:tab/>
      </w:r>
      <w:r w:rsidR="00202590">
        <w:tab/>
      </w:r>
      <w:r w:rsidR="007E6878">
        <w:tab/>
      </w:r>
      <w:r w:rsidR="00202590">
        <w:t>IN MEDICINE</w:t>
      </w:r>
    </w:p>
    <w:p w:rsidR="00202590" w:rsidRDefault="00202590"/>
    <w:p w:rsidR="00202590" w:rsidRDefault="00202590">
      <w:pPr>
        <w:ind w:left="3600" w:firstLine="720"/>
      </w:pPr>
      <w:r>
        <w:tab/>
        <w:t>Adj</w:t>
      </w:r>
      <w:r w:rsidR="00C00F70">
        <w:t>udicatory</w:t>
      </w:r>
      <w:r w:rsidR="00B6433B">
        <w:t xml:space="preserve"> </w:t>
      </w:r>
      <w:r>
        <w:t xml:space="preserve">Case No: </w:t>
      </w:r>
      <w:r w:rsidR="004A56C7">
        <w:t>201</w:t>
      </w:r>
      <w:r w:rsidR="00B12BC1">
        <w:t>8</w:t>
      </w:r>
      <w:r w:rsidR="004A56C7">
        <w:t>-</w:t>
      </w:r>
      <w:r w:rsidR="00B12BC1">
        <w:t>017</w:t>
      </w:r>
    </w:p>
    <w:p w:rsidR="00202590" w:rsidRDefault="00202590">
      <w:r>
        <w:t>________________________</w:t>
      </w:r>
    </w:p>
    <w:p w:rsidR="00202590" w:rsidRDefault="00202590">
      <w:r>
        <w:tab/>
      </w:r>
      <w:r>
        <w:tab/>
      </w:r>
      <w:r>
        <w:tab/>
      </w:r>
      <w:r>
        <w:tab/>
        <w:t>)</w:t>
      </w:r>
      <w:r>
        <w:tab/>
      </w:r>
    </w:p>
    <w:p w:rsidR="00202590" w:rsidRDefault="00202590">
      <w:r>
        <w:t>In the Matter of</w:t>
      </w:r>
      <w:r>
        <w:tab/>
      </w:r>
      <w:r>
        <w:tab/>
        <w:t>)</w:t>
      </w:r>
    </w:p>
    <w:p w:rsidR="00202590" w:rsidRPr="006374FC" w:rsidRDefault="00202590">
      <w:pPr>
        <w:rPr>
          <w:u w:val="single"/>
        </w:rPr>
      </w:pPr>
      <w:r>
        <w:tab/>
      </w:r>
      <w:r>
        <w:tab/>
      </w:r>
      <w:r>
        <w:tab/>
      </w:r>
      <w:r>
        <w:tab/>
        <w:t>)</w:t>
      </w:r>
      <w:r>
        <w:tab/>
      </w:r>
      <w:r>
        <w:tab/>
      </w:r>
      <w:r w:rsidR="00C00F70">
        <w:tab/>
      </w:r>
      <w:r w:rsidR="00A43757" w:rsidRPr="006374FC">
        <w:rPr>
          <w:u w:val="single"/>
        </w:rPr>
        <w:t>Final Decision and Order</w:t>
      </w:r>
    </w:p>
    <w:p w:rsidR="00202590" w:rsidRDefault="00B12BC1">
      <w:r>
        <w:t xml:space="preserve">Manuel S. Yapchai, </w:t>
      </w:r>
      <w:r w:rsidR="008B55E0">
        <w:t>M.D.</w:t>
      </w:r>
      <w:r w:rsidR="00202590">
        <w:t xml:space="preserve"> </w:t>
      </w:r>
      <w:r w:rsidR="00202590">
        <w:tab/>
        <w:t>)</w:t>
      </w:r>
    </w:p>
    <w:p w:rsidR="00202590" w:rsidRDefault="00202590">
      <w:r>
        <w:t>________________________)</w:t>
      </w:r>
    </w:p>
    <w:p w:rsidR="00866515" w:rsidRDefault="00866515"/>
    <w:p w:rsidR="008C33DF" w:rsidRDefault="00A43757" w:rsidP="000F3020">
      <w:pPr>
        <w:pStyle w:val="le-brm-normal-32-level"/>
        <w:spacing w:line="480" w:lineRule="auto"/>
        <w:jc w:val="both"/>
        <w:rPr>
          <w:rFonts w:ascii="Times New Roman" w:hAnsi="Times New Roman"/>
          <w:sz w:val="24"/>
          <w:szCs w:val="24"/>
        </w:rPr>
      </w:pPr>
      <w:r w:rsidRPr="008A7688">
        <w:rPr>
          <w:rFonts w:ascii="Times New Roman" w:hAnsi="Times New Roman"/>
          <w:sz w:val="24"/>
          <w:szCs w:val="24"/>
        </w:rPr>
        <w:tab/>
      </w:r>
      <w:r w:rsidR="008C33DF" w:rsidRPr="001217ED">
        <w:rPr>
          <w:rFonts w:ascii="Times New Roman" w:hAnsi="Times New Roman"/>
          <w:sz w:val="24"/>
          <w:szCs w:val="24"/>
        </w:rPr>
        <w:t xml:space="preserve">This matter came before the Board for final disposition on the basis of the Administrative Magistrate’s Recommended Decision, dated </w:t>
      </w:r>
      <w:r w:rsidR="00B12BC1">
        <w:rPr>
          <w:rFonts w:ascii="Times New Roman" w:hAnsi="Times New Roman"/>
          <w:sz w:val="24"/>
          <w:szCs w:val="24"/>
        </w:rPr>
        <w:t>July 30, 2018</w:t>
      </w:r>
      <w:r w:rsidR="008B55E0">
        <w:rPr>
          <w:rFonts w:ascii="Times New Roman" w:hAnsi="Times New Roman"/>
          <w:sz w:val="24"/>
          <w:szCs w:val="24"/>
        </w:rPr>
        <w:t>, which</w:t>
      </w:r>
      <w:r w:rsidR="008C33DF">
        <w:rPr>
          <w:rFonts w:ascii="Times New Roman" w:hAnsi="Times New Roman"/>
          <w:sz w:val="24"/>
          <w:szCs w:val="24"/>
        </w:rPr>
        <w:t xml:space="preserve"> found </w:t>
      </w:r>
      <w:r w:rsidR="00B12BC1">
        <w:rPr>
          <w:rFonts w:ascii="Times New Roman" w:hAnsi="Times New Roman"/>
          <w:sz w:val="24"/>
          <w:szCs w:val="24"/>
        </w:rPr>
        <w:t xml:space="preserve">Manuel S. Yapchai, M.D. </w:t>
      </w:r>
      <w:r w:rsidR="000B3CFE">
        <w:rPr>
          <w:rFonts w:ascii="Times New Roman" w:hAnsi="Times New Roman"/>
          <w:sz w:val="24"/>
          <w:szCs w:val="24"/>
        </w:rPr>
        <w:t xml:space="preserve"> </w:t>
      </w:r>
      <w:r w:rsidR="008C33DF">
        <w:rPr>
          <w:rFonts w:ascii="Times New Roman" w:hAnsi="Times New Roman"/>
          <w:sz w:val="24"/>
          <w:szCs w:val="24"/>
        </w:rPr>
        <w:t xml:space="preserve">(Respondent) in default.  </w:t>
      </w:r>
      <w:r w:rsidR="008C33DF" w:rsidRPr="001217ED">
        <w:rPr>
          <w:rFonts w:ascii="Times New Roman" w:hAnsi="Times New Roman"/>
          <w:sz w:val="24"/>
          <w:szCs w:val="24"/>
        </w:rPr>
        <w:t xml:space="preserve">After full consideration </w:t>
      </w:r>
      <w:r w:rsidR="008C33DF">
        <w:rPr>
          <w:rFonts w:ascii="Times New Roman" w:hAnsi="Times New Roman"/>
          <w:sz w:val="24"/>
          <w:szCs w:val="24"/>
        </w:rPr>
        <w:t>of that</w:t>
      </w:r>
      <w:r w:rsidR="008C33DF" w:rsidRPr="001217ED">
        <w:rPr>
          <w:rFonts w:ascii="Times New Roman" w:hAnsi="Times New Roman"/>
          <w:sz w:val="24"/>
          <w:szCs w:val="24"/>
        </w:rPr>
        <w:t xml:space="preserve"> Recommended Decision</w:t>
      </w:r>
      <w:r w:rsidR="000343FD">
        <w:rPr>
          <w:rFonts w:ascii="Times New Roman" w:hAnsi="Times New Roman"/>
          <w:sz w:val="24"/>
          <w:szCs w:val="24"/>
        </w:rPr>
        <w:t xml:space="preserve"> as well as the Petitioner’s Memorandum on Disposition, </w:t>
      </w:r>
      <w:r w:rsidR="008C33DF" w:rsidRPr="001217ED">
        <w:rPr>
          <w:rFonts w:ascii="Times New Roman" w:hAnsi="Times New Roman"/>
          <w:sz w:val="24"/>
          <w:szCs w:val="24"/>
        </w:rPr>
        <w:t xml:space="preserve">which </w:t>
      </w:r>
      <w:r w:rsidR="000343FD">
        <w:rPr>
          <w:rFonts w:ascii="Times New Roman" w:hAnsi="Times New Roman"/>
          <w:sz w:val="24"/>
          <w:szCs w:val="24"/>
        </w:rPr>
        <w:t xml:space="preserve">are </w:t>
      </w:r>
      <w:r w:rsidR="008C33DF" w:rsidRPr="001217ED">
        <w:rPr>
          <w:rFonts w:ascii="Times New Roman" w:hAnsi="Times New Roman"/>
          <w:sz w:val="24"/>
          <w:szCs w:val="24"/>
        </w:rPr>
        <w:t>attached hereto and incorporated by </w:t>
      </w:r>
      <w:r w:rsidR="008C33DF">
        <w:rPr>
          <w:rFonts w:ascii="Times New Roman" w:hAnsi="Times New Roman"/>
          <w:sz w:val="24"/>
          <w:szCs w:val="24"/>
        </w:rPr>
        <w:t>reference</w:t>
      </w:r>
      <w:r w:rsidR="001B3055">
        <w:rPr>
          <w:rFonts w:ascii="Times New Roman" w:hAnsi="Times New Roman"/>
          <w:sz w:val="24"/>
          <w:szCs w:val="24"/>
        </w:rPr>
        <w:t xml:space="preserve">, </w:t>
      </w:r>
      <w:r w:rsidR="008C33DF">
        <w:rPr>
          <w:rFonts w:ascii="Times New Roman" w:hAnsi="Times New Roman"/>
          <w:sz w:val="24"/>
          <w:szCs w:val="24"/>
        </w:rPr>
        <w:t>the Board adopts the R</w:t>
      </w:r>
      <w:r w:rsidR="008C33DF" w:rsidRPr="001217ED">
        <w:rPr>
          <w:rFonts w:ascii="Times New Roman" w:hAnsi="Times New Roman"/>
          <w:sz w:val="24"/>
          <w:szCs w:val="24"/>
        </w:rPr>
        <w:t>ecommended Decision, amending it by adding the following: </w:t>
      </w:r>
    </w:p>
    <w:p w:rsidR="008C33DF" w:rsidRPr="008C33DF" w:rsidRDefault="008C33DF" w:rsidP="000F3020">
      <w:pPr>
        <w:pStyle w:val="le-brm-normal-32-level"/>
        <w:spacing w:line="480" w:lineRule="auto"/>
        <w:jc w:val="center"/>
        <w:rPr>
          <w:rFonts w:ascii="Times New Roman" w:hAnsi="Times New Roman"/>
          <w:sz w:val="24"/>
          <w:szCs w:val="24"/>
          <w:u w:val="single"/>
        </w:rPr>
      </w:pPr>
      <w:r w:rsidRPr="008C33DF">
        <w:rPr>
          <w:rFonts w:ascii="Times New Roman" w:hAnsi="Times New Roman"/>
          <w:sz w:val="24"/>
          <w:szCs w:val="24"/>
          <w:u w:val="single"/>
        </w:rPr>
        <w:t>Findings of Fact</w:t>
      </w:r>
    </w:p>
    <w:p w:rsidR="00C00F70" w:rsidRDefault="008C33DF" w:rsidP="00B12BC1">
      <w:pPr>
        <w:pStyle w:val="le-brm-normal-32-level"/>
        <w:spacing w:line="480" w:lineRule="auto"/>
        <w:jc w:val="both"/>
        <w:rPr>
          <w:rFonts w:ascii="Times New Roman" w:hAnsi="Times New Roman"/>
          <w:sz w:val="24"/>
          <w:szCs w:val="24"/>
        </w:rPr>
      </w:pPr>
      <w:r w:rsidRPr="008C33DF">
        <w:rPr>
          <w:rFonts w:ascii="Times New Roman" w:hAnsi="Times New Roman"/>
          <w:sz w:val="24"/>
          <w:szCs w:val="24"/>
        </w:rPr>
        <w:tab/>
        <w:t>In light of the Respondent</w:t>
      </w:r>
      <w:r w:rsidR="00FA3708">
        <w:rPr>
          <w:rFonts w:ascii="Times New Roman" w:hAnsi="Times New Roman"/>
          <w:sz w:val="24"/>
          <w:szCs w:val="24"/>
        </w:rPr>
        <w:t>’s failure</w:t>
      </w:r>
      <w:r w:rsidRPr="008C33DF">
        <w:rPr>
          <w:rFonts w:ascii="Times New Roman" w:hAnsi="Times New Roman"/>
          <w:sz w:val="24"/>
          <w:szCs w:val="24"/>
        </w:rPr>
        <w:t xml:space="preserve"> to </w:t>
      </w:r>
      <w:r w:rsidR="00FA3708">
        <w:rPr>
          <w:rFonts w:ascii="Times New Roman" w:hAnsi="Times New Roman"/>
          <w:sz w:val="24"/>
          <w:szCs w:val="24"/>
        </w:rPr>
        <w:t>respond to the Statement of Allegations (SOA)</w:t>
      </w:r>
      <w:r w:rsidR="001B3055">
        <w:rPr>
          <w:rFonts w:ascii="Times New Roman" w:hAnsi="Times New Roman"/>
          <w:sz w:val="24"/>
          <w:szCs w:val="24"/>
        </w:rPr>
        <w:t xml:space="preserve"> and</w:t>
      </w:r>
      <w:r w:rsidR="00FA3708">
        <w:rPr>
          <w:rFonts w:ascii="Times New Roman" w:hAnsi="Times New Roman"/>
          <w:sz w:val="24"/>
          <w:szCs w:val="24"/>
        </w:rPr>
        <w:t xml:space="preserve"> to </w:t>
      </w:r>
      <w:r w:rsidRPr="008C33DF">
        <w:rPr>
          <w:rFonts w:ascii="Times New Roman" w:hAnsi="Times New Roman"/>
          <w:sz w:val="24"/>
          <w:szCs w:val="24"/>
        </w:rPr>
        <w:t xml:space="preserve">appear for </w:t>
      </w:r>
      <w:r w:rsidR="00FA3708">
        <w:rPr>
          <w:rFonts w:ascii="Times New Roman" w:hAnsi="Times New Roman"/>
          <w:sz w:val="24"/>
          <w:szCs w:val="24"/>
        </w:rPr>
        <w:t>a</w:t>
      </w:r>
      <w:r w:rsidRPr="008C33DF">
        <w:rPr>
          <w:rFonts w:ascii="Times New Roman" w:hAnsi="Times New Roman"/>
          <w:sz w:val="24"/>
          <w:szCs w:val="24"/>
        </w:rPr>
        <w:t xml:space="preserve"> scheduled </w:t>
      </w:r>
      <w:r w:rsidR="00456B65">
        <w:rPr>
          <w:rFonts w:ascii="Times New Roman" w:hAnsi="Times New Roman"/>
          <w:sz w:val="24"/>
          <w:szCs w:val="24"/>
        </w:rPr>
        <w:t>pr</w:t>
      </w:r>
      <w:r w:rsidR="000B3CFE">
        <w:rPr>
          <w:rFonts w:ascii="Times New Roman" w:hAnsi="Times New Roman"/>
          <w:sz w:val="24"/>
          <w:szCs w:val="24"/>
        </w:rPr>
        <w:t>e</w:t>
      </w:r>
      <w:r w:rsidRPr="008C33DF">
        <w:rPr>
          <w:rFonts w:ascii="Times New Roman" w:hAnsi="Times New Roman"/>
          <w:sz w:val="24"/>
          <w:szCs w:val="24"/>
        </w:rPr>
        <w:t>hearing</w:t>
      </w:r>
      <w:r>
        <w:rPr>
          <w:rFonts w:ascii="Times New Roman" w:hAnsi="Times New Roman"/>
          <w:sz w:val="24"/>
          <w:szCs w:val="24"/>
        </w:rPr>
        <w:t xml:space="preserve"> at the Division of Administrative Law Appeals (DALA)</w:t>
      </w:r>
      <w:r w:rsidRPr="008C33DF">
        <w:rPr>
          <w:rFonts w:ascii="Times New Roman" w:hAnsi="Times New Roman"/>
          <w:sz w:val="24"/>
          <w:szCs w:val="24"/>
        </w:rPr>
        <w:t xml:space="preserve">, </w:t>
      </w:r>
      <w:r>
        <w:rPr>
          <w:rFonts w:ascii="Times New Roman" w:hAnsi="Times New Roman"/>
          <w:sz w:val="24"/>
          <w:szCs w:val="24"/>
        </w:rPr>
        <w:t xml:space="preserve">the Board hereby finds the Respondent in default.  M.G.L. c. 30A, § 10(2).  </w:t>
      </w:r>
      <w:r w:rsidRPr="00AF086E">
        <w:rPr>
          <w:rFonts w:ascii="Times New Roman" w:hAnsi="Times New Roman"/>
          <w:sz w:val="24"/>
          <w:szCs w:val="24"/>
        </w:rPr>
        <w:t>Therefore, the allegations contained in the S</w:t>
      </w:r>
      <w:r w:rsidR="00C00F70">
        <w:rPr>
          <w:rFonts w:ascii="Times New Roman" w:hAnsi="Times New Roman"/>
          <w:sz w:val="24"/>
          <w:szCs w:val="24"/>
        </w:rPr>
        <w:t>OA</w:t>
      </w:r>
      <w:r w:rsidRPr="00AF086E">
        <w:rPr>
          <w:rFonts w:ascii="Times New Roman" w:hAnsi="Times New Roman"/>
          <w:sz w:val="24"/>
          <w:szCs w:val="24"/>
        </w:rPr>
        <w:t xml:space="preserve"> are deemed admitted. </w:t>
      </w:r>
      <w:r>
        <w:rPr>
          <w:rFonts w:ascii="Times New Roman" w:hAnsi="Times New Roman"/>
          <w:sz w:val="24"/>
          <w:szCs w:val="24"/>
        </w:rPr>
        <w:t xml:space="preserve"> </w:t>
      </w:r>
      <w:r w:rsidRPr="00F6174C">
        <w:rPr>
          <w:rFonts w:ascii="Times New Roman" w:hAnsi="Times New Roman"/>
          <w:sz w:val="24"/>
          <w:szCs w:val="24"/>
          <w:u w:val="single"/>
        </w:rPr>
        <w:t>See</w:t>
      </w:r>
      <w:r w:rsidRPr="00AF086E">
        <w:rPr>
          <w:rFonts w:ascii="Times New Roman" w:hAnsi="Times New Roman"/>
          <w:sz w:val="24"/>
          <w:szCs w:val="24"/>
        </w:rPr>
        <w:t xml:space="preserve"> </w:t>
      </w:r>
      <w:r w:rsidRPr="00C00F70">
        <w:rPr>
          <w:rFonts w:ascii="Times New Roman" w:hAnsi="Times New Roman"/>
          <w:i/>
          <w:sz w:val="24"/>
          <w:szCs w:val="24"/>
        </w:rPr>
        <w:t>Peters &amp; Russel, Inc. v. Dorfman</w:t>
      </w:r>
      <w:r w:rsidRPr="00AF086E">
        <w:rPr>
          <w:rFonts w:ascii="Times New Roman" w:hAnsi="Times New Roman"/>
          <w:sz w:val="24"/>
          <w:szCs w:val="24"/>
        </w:rPr>
        <w:t>, 188 F.2d 711 (7th Cir. 1951);</w:t>
      </w:r>
      <w:r>
        <w:rPr>
          <w:rFonts w:ascii="Times New Roman" w:hAnsi="Times New Roman"/>
          <w:sz w:val="24"/>
          <w:szCs w:val="24"/>
        </w:rPr>
        <w:t xml:space="preserve"> and </w:t>
      </w:r>
      <w:r w:rsidRPr="00C00F70">
        <w:rPr>
          <w:rFonts w:ascii="Times New Roman" w:hAnsi="Times New Roman"/>
          <w:i/>
          <w:sz w:val="24"/>
          <w:szCs w:val="24"/>
        </w:rPr>
        <w:t>Northwest Yeast Co. v. Broutin</w:t>
      </w:r>
      <w:r w:rsidRPr="00AF086E">
        <w:rPr>
          <w:rFonts w:ascii="Times New Roman" w:hAnsi="Times New Roman"/>
          <w:sz w:val="24"/>
          <w:szCs w:val="24"/>
        </w:rPr>
        <w:t xml:space="preserve">, 133 F.2d 638 (6th Cir. 1943). </w:t>
      </w:r>
      <w:r>
        <w:rPr>
          <w:rFonts w:ascii="Times New Roman" w:hAnsi="Times New Roman"/>
          <w:sz w:val="24"/>
          <w:szCs w:val="24"/>
        </w:rPr>
        <w:t xml:space="preserve"> </w:t>
      </w:r>
    </w:p>
    <w:p w:rsidR="008C33DF" w:rsidRDefault="008C33DF" w:rsidP="00B12BC1">
      <w:pPr>
        <w:pStyle w:val="le-brm-normal-32-level"/>
        <w:spacing w:line="480" w:lineRule="auto"/>
        <w:ind w:left="720"/>
        <w:jc w:val="both"/>
        <w:rPr>
          <w:rFonts w:ascii="Times New Roman" w:hAnsi="Times New Roman"/>
          <w:sz w:val="24"/>
          <w:szCs w:val="24"/>
        </w:rPr>
      </w:pPr>
      <w:r w:rsidRPr="00AF086E">
        <w:rPr>
          <w:rFonts w:ascii="Times New Roman" w:hAnsi="Times New Roman"/>
          <w:sz w:val="24"/>
          <w:szCs w:val="24"/>
        </w:rPr>
        <w:t>The Board makes the following fin</w:t>
      </w:r>
      <w:r>
        <w:rPr>
          <w:rFonts w:ascii="Times New Roman" w:hAnsi="Times New Roman"/>
          <w:sz w:val="24"/>
          <w:szCs w:val="24"/>
        </w:rPr>
        <w:t>d</w:t>
      </w:r>
      <w:r w:rsidRPr="00AF086E">
        <w:rPr>
          <w:rFonts w:ascii="Times New Roman" w:hAnsi="Times New Roman"/>
          <w:sz w:val="24"/>
          <w:szCs w:val="24"/>
        </w:rPr>
        <w:t>ings: </w:t>
      </w:r>
    </w:p>
    <w:p w:rsidR="00B12BC1" w:rsidRPr="0009432F" w:rsidRDefault="00B12BC1" w:rsidP="00B12BC1">
      <w:pPr>
        <w:pStyle w:val="le-brm-normal-32-level"/>
        <w:spacing w:line="480" w:lineRule="auto"/>
        <w:ind w:firstLine="720"/>
        <w:rPr>
          <w:rFonts w:ascii="Times New Roman" w:hAnsi="Times New Roman"/>
          <w:sz w:val="24"/>
          <w:szCs w:val="24"/>
          <w:u w:val="single"/>
        </w:rPr>
      </w:pPr>
      <w:r w:rsidRPr="0009432F">
        <w:rPr>
          <w:rFonts w:ascii="Times New Roman" w:hAnsi="Times New Roman"/>
          <w:sz w:val="24"/>
          <w:szCs w:val="24"/>
          <w:u w:val="single"/>
        </w:rPr>
        <w:t>Biographical Information</w:t>
      </w:r>
    </w:p>
    <w:p w:rsidR="00B12BC1" w:rsidRPr="008B55E0" w:rsidRDefault="00B12BC1" w:rsidP="00B12BC1">
      <w:pPr>
        <w:pStyle w:val="le-brm-normal-32-level"/>
        <w:numPr>
          <w:ilvl w:val="0"/>
          <w:numId w:val="24"/>
        </w:numPr>
        <w:spacing w:line="360" w:lineRule="auto"/>
        <w:ind w:left="720"/>
        <w:rPr>
          <w:rFonts w:ascii="Times New Roman" w:hAnsi="Times New Roman"/>
          <w:sz w:val="24"/>
          <w:szCs w:val="24"/>
        </w:rPr>
      </w:pPr>
      <w:r w:rsidRPr="008B55E0">
        <w:rPr>
          <w:rFonts w:ascii="Times New Roman" w:hAnsi="Times New Roman"/>
          <w:sz w:val="24"/>
          <w:szCs w:val="24"/>
        </w:rPr>
        <w:t>Manuel S. Yapchai, M.D., was born on December 11, 1950. He graduated from the University of the East Ramon Magsaysay Memorial Medical Center in</w:t>
      </w:r>
      <w:r w:rsidR="00352437">
        <w:rPr>
          <w:rFonts w:ascii="Times New Roman" w:hAnsi="Times New Roman"/>
          <w:sz w:val="24"/>
          <w:szCs w:val="24"/>
        </w:rPr>
        <w:t xml:space="preserve"> </w:t>
      </w:r>
      <w:r w:rsidRPr="008B55E0">
        <w:rPr>
          <w:rFonts w:ascii="Times New Roman" w:hAnsi="Times New Roman"/>
          <w:sz w:val="24"/>
          <w:szCs w:val="24"/>
        </w:rPr>
        <w:t xml:space="preserve">Quezon City, Quezon, Philippines in 1976.  He was licensed to practice medicine in Massachusetts </w:t>
      </w:r>
      <w:r w:rsidRPr="008B55E0">
        <w:rPr>
          <w:rFonts w:ascii="Times New Roman" w:hAnsi="Times New Roman"/>
          <w:sz w:val="24"/>
          <w:szCs w:val="24"/>
        </w:rPr>
        <w:lastRenderedPageBreak/>
        <w:t>under certificate number 53328 on August 24, 1984; his license was revoked by operation of law on December 11, 2005 when he failed to renew it.</w:t>
      </w:r>
    </w:p>
    <w:p w:rsidR="00B12BC1" w:rsidRDefault="00B12BC1" w:rsidP="00B12BC1">
      <w:pPr>
        <w:pStyle w:val="le-brm-normal-32-level"/>
        <w:spacing w:line="360" w:lineRule="auto"/>
        <w:ind w:left="720"/>
        <w:rPr>
          <w:rFonts w:ascii="Times New Roman" w:hAnsi="Times New Roman"/>
          <w:sz w:val="24"/>
          <w:szCs w:val="24"/>
        </w:rPr>
      </w:pPr>
      <w:r>
        <w:rPr>
          <w:rFonts w:ascii="Times New Roman" w:hAnsi="Times New Roman"/>
          <w:sz w:val="24"/>
          <w:szCs w:val="24"/>
        </w:rPr>
        <w:t xml:space="preserve"> </w:t>
      </w:r>
    </w:p>
    <w:p w:rsidR="00B12BC1" w:rsidRDefault="00B12BC1" w:rsidP="00B12BC1">
      <w:pPr>
        <w:pStyle w:val="le-brm-normal-32-level"/>
        <w:rPr>
          <w:rFonts w:ascii="Times New Roman" w:hAnsi="Times New Roman"/>
          <w:sz w:val="24"/>
          <w:szCs w:val="24"/>
          <w:u w:val="single"/>
        </w:rPr>
      </w:pPr>
      <w:r>
        <w:rPr>
          <w:rFonts w:ascii="Times New Roman" w:hAnsi="Times New Roman"/>
          <w:sz w:val="24"/>
          <w:szCs w:val="24"/>
        </w:rPr>
        <w:tab/>
      </w:r>
      <w:r w:rsidRPr="0009432F">
        <w:rPr>
          <w:rFonts w:ascii="Times New Roman" w:hAnsi="Times New Roman"/>
          <w:sz w:val="24"/>
          <w:szCs w:val="24"/>
          <w:u w:val="single"/>
        </w:rPr>
        <w:t>Factual Allegations</w:t>
      </w:r>
    </w:p>
    <w:p w:rsidR="00B12BC1" w:rsidRPr="0009432F" w:rsidRDefault="00B12BC1" w:rsidP="00B12BC1">
      <w:pPr>
        <w:pStyle w:val="le-brm-normal-32-level"/>
        <w:rPr>
          <w:rFonts w:ascii="Times New Roman" w:hAnsi="Times New Roman"/>
          <w:sz w:val="24"/>
          <w:szCs w:val="24"/>
          <w:u w:val="single"/>
        </w:rPr>
      </w:pPr>
    </w:p>
    <w:p w:rsidR="00B12BC1" w:rsidRDefault="00B12BC1" w:rsidP="00B12BC1">
      <w:pPr>
        <w:pStyle w:val="le-brm-normal-32-level"/>
        <w:numPr>
          <w:ilvl w:val="0"/>
          <w:numId w:val="21"/>
        </w:numPr>
        <w:spacing w:line="480" w:lineRule="auto"/>
        <w:rPr>
          <w:rFonts w:ascii="Times New Roman" w:hAnsi="Times New Roman"/>
          <w:sz w:val="24"/>
          <w:szCs w:val="24"/>
        </w:rPr>
      </w:pPr>
      <w:r>
        <w:rPr>
          <w:rFonts w:ascii="Times New Roman" w:hAnsi="Times New Roman"/>
          <w:sz w:val="24"/>
          <w:szCs w:val="24"/>
        </w:rPr>
        <w:t>On</w:t>
      </w:r>
      <w:r w:rsidR="00352437">
        <w:rPr>
          <w:rFonts w:ascii="Times New Roman" w:hAnsi="Times New Roman"/>
          <w:sz w:val="24"/>
          <w:szCs w:val="24"/>
        </w:rPr>
        <w:t xml:space="preserve"> </w:t>
      </w:r>
      <w:r>
        <w:rPr>
          <w:rFonts w:ascii="Times New Roman" w:hAnsi="Times New Roman"/>
          <w:sz w:val="24"/>
          <w:szCs w:val="24"/>
        </w:rPr>
        <w:t xml:space="preserve">March 7, 2018, the </w:t>
      </w:r>
      <w:r w:rsidRPr="002272E7">
        <w:rPr>
          <w:rFonts w:ascii="Times New Roman" w:hAnsi="Times New Roman"/>
          <w:sz w:val="24"/>
          <w:szCs w:val="24"/>
        </w:rPr>
        <w:t>Respondent was convicted</w:t>
      </w:r>
      <w:r>
        <w:rPr>
          <w:rFonts w:ascii="Times New Roman" w:hAnsi="Times New Roman"/>
          <w:sz w:val="24"/>
          <w:szCs w:val="24"/>
        </w:rPr>
        <w:t xml:space="preserve"> of one count </w:t>
      </w:r>
      <w:r w:rsidR="00E04A73">
        <w:rPr>
          <w:rFonts w:ascii="Times New Roman" w:hAnsi="Times New Roman"/>
          <w:sz w:val="24"/>
          <w:szCs w:val="24"/>
        </w:rPr>
        <w:t>of the</w:t>
      </w:r>
      <w:r w:rsidR="00352437">
        <w:rPr>
          <w:rFonts w:ascii="Times New Roman" w:hAnsi="Times New Roman"/>
          <w:sz w:val="24"/>
          <w:szCs w:val="24"/>
        </w:rPr>
        <w:t xml:space="preserve"> I</w:t>
      </w:r>
      <w:r>
        <w:rPr>
          <w:rFonts w:ascii="Times New Roman" w:hAnsi="Times New Roman"/>
          <w:sz w:val="24"/>
          <w:szCs w:val="24"/>
        </w:rPr>
        <w:t>llegal Distribution of a Controlled Substance (Oxycodone and Promethazine with Codeine) of a federal crime in the Eastern District of Michigan.  On the same day, he was sentenced to imprisonment for one day, time served and two years of supervised release.</w:t>
      </w:r>
      <w:r w:rsidRPr="00617485">
        <w:rPr>
          <w:rFonts w:ascii="Times New Roman" w:hAnsi="Times New Roman"/>
          <w:sz w:val="24"/>
          <w:szCs w:val="24"/>
        </w:rPr>
        <w:t xml:space="preserve"> </w:t>
      </w:r>
    </w:p>
    <w:p w:rsidR="00B12BC1" w:rsidRDefault="00B12BC1" w:rsidP="00B12BC1">
      <w:pPr>
        <w:pStyle w:val="le-brm-normal-32-level"/>
        <w:numPr>
          <w:ilvl w:val="0"/>
          <w:numId w:val="21"/>
        </w:numPr>
        <w:spacing w:line="480" w:lineRule="auto"/>
        <w:rPr>
          <w:rFonts w:ascii="Times New Roman" w:hAnsi="Times New Roman"/>
          <w:sz w:val="24"/>
          <w:szCs w:val="24"/>
        </w:rPr>
      </w:pPr>
      <w:r>
        <w:rPr>
          <w:rFonts w:ascii="Times New Roman" w:hAnsi="Times New Roman"/>
          <w:sz w:val="24"/>
          <w:szCs w:val="24"/>
        </w:rPr>
        <w:t>On September 13, 2017, the Michigan Board accepted, by Stipulated Order, the Respondent’s revocation of his license to practice medicine in the State of Michigan. A review of the Consent Order issued by the Disciplinary Subcommittee of the Michigan Board, dated September 13, 2017, recites the Respondent’s admission that he violated several subsections of the Michigan Public Health Code (M.C.L. Sections 333.16221(a), (b), (b)vi,, (c)(iv) and (e)(iii).</w:t>
      </w:r>
    </w:p>
    <w:p w:rsidR="00B12BC1" w:rsidRDefault="00B12BC1" w:rsidP="00B12BC1">
      <w:pPr>
        <w:pStyle w:val="le-brm-normal-32-level"/>
        <w:numPr>
          <w:ilvl w:val="0"/>
          <w:numId w:val="21"/>
        </w:numPr>
        <w:spacing w:line="480" w:lineRule="auto"/>
        <w:rPr>
          <w:rFonts w:ascii="Times New Roman" w:hAnsi="Times New Roman"/>
          <w:sz w:val="24"/>
          <w:szCs w:val="24"/>
        </w:rPr>
      </w:pPr>
      <w:r>
        <w:rPr>
          <w:rFonts w:ascii="Times New Roman" w:hAnsi="Times New Roman"/>
          <w:sz w:val="24"/>
          <w:szCs w:val="24"/>
        </w:rPr>
        <w:t xml:space="preserve">The Respondent, as part of the Stipulated Order, was </w:t>
      </w:r>
      <w:r w:rsidR="005A50F7">
        <w:rPr>
          <w:rFonts w:ascii="Times New Roman" w:hAnsi="Times New Roman"/>
          <w:sz w:val="24"/>
          <w:szCs w:val="24"/>
        </w:rPr>
        <w:t xml:space="preserve">also </w:t>
      </w:r>
      <w:r>
        <w:rPr>
          <w:rFonts w:ascii="Times New Roman" w:hAnsi="Times New Roman"/>
          <w:sz w:val="24"/>
          <w:szCs w:val="24"/>
        </w:rPr>
        <w:t xml:space="preserve">fined $5,000, for violation of the Michigan Public Health Code, MCL 333.11101 </w:t>
      </w:r>
      <w:r w:rsidRPr="002272E7">
        <w:rPr>
          <w:rFonts w:ascii="Times New Roman" w:hAnsi="Times New Roman"/>
          <w:i/>
          <w:sz w:val="24"/>
          <w:szCs w:val="24"/>
        </w:rPr>
        <w:t>et seq</w:t>
      </w:r>
      <w:r>
        <w:rPr>
          <w:rFonts w:ascii="Times New Roman" w:hAnsi="Times New Roman"/>
          <w:sz w:val="24"/>
          <w:szCs w:val="24"/>
        </w:rPr>
        <w:t>.</w:t>
      </w:r>
    </w:p>
    <w:p w:rsidR="001B3055" w:rsidRPr="00B12BC1" w:rsidRDefault="00B12BC1" w:rsidP="00B12BC1">
      <w:pPr>
        <w:pStyle w:val="le-brm-normal-32-level"/>
        <w:spacing w:line="480" w:lineRule="auto"/>
        <w:rPr>
          <w:rFonts w:ascii="Times New Roman" w:eastAsiaTheme="minorHAnsi" w:hAnsi="Times New Roman"/>
          <w:sz w:val="24"/>
          <w:szCs w:val="24"/>
          <w:u w:val="single"/>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B3055" w:rsidRPr="00B12BC1">
        <w:rPr>
          <w:rFonts w:ascii="Times New Roman" w:eastAsiaTheme="minorHAnsi" w:hAnsi="Times New Roman"/>
          <w:sz w:val="24"/>
          <w:szCs w:val="24"/>
          <w:u w:val="single"/>
        </w:rPr>
        <w:t>Conclusions of Law</w:t>
      </w:r>
    </w:p>
    <w:p w:rsidR="001B3055" w:rsidRPr="001B3055" w:rsidRDefault="001B3055" w:rsidP="001B3055">
      <w:pPr>
        <w:spacing w:line="480" w:lineRule="auto"/>
        <w:ind w:firstLine="720"/>
        <w:jc w:val="both"/>
        <w:rPr>
          <w:rFonts w:eastAsiaTheme="minorHAnsi"/>
        </w:rPr>
      </w:pPr>
      <w:r w:rsidRPr="001B3055">
        <w:rPr>
          <w:rFonts w:eastAsiaTheme="minorHAnsi"/>
        </w:rPr>
        <w:t>Based upon the facts set out in the SOA, and now admitted, the Board make</w:t>
      </w:r>
      <w:r w:rsidR="00270901">
        <w:rPr>
          <w:rFonts w:eastAsiaTheme="minorHAnsi"/>
        </w:rPr>
        <w:t xml:space="preserve">s the following </w:t>
      </w:r>
      <w:r w:rsidRPr="001B3055">
        <w:rPr>
          <w:rFonts w:eastAsiaTheme="minorHAnsi"/>
        </w:rPr>
        <w:t xml:space="preserve">Conclusions of Law that the Respondent has: </w:t>
      </w:r>
    </w:p>
    <w:p w:rsidR="00B12BC1" w:rsidRPr="008B55E0" w:rsidRDefault="00B12BC1" w:rsidP="008B55E0">
      <w:pPr>
        <w:pStyle w:val="ListParagraph"/>
        <w:numPr>
          <w:ilvl w:val="0"/>
          <w:numId w:val="25"/>
        </w:numPr>
        <w:spacing w:after="200" w:line="480" w:lineRule="auto"/>
        <w:contextualSpacing/>
        <w:jc w:val="both"/>
        <w:rPr>
          <w:rFonts w:eastAsiaTheme="minorHAnsi"/>
        </w:rPr>
      </w:pPr>
      <w:r w:rsidRPr="008B55E0">
        <w:rPr>
          <w:rFonts w:eastAsiaTheme="minorHAnsi"/>
        </w:rPr>
        <w:t>violated  243 CMR 1.03(5)</w:t>
      </w:r>
      <w:r w:rsidR="00D708DD" w:rsidRPr="008B55E0">
        <w:rPr>
          <w:rFonts w:eastAsiaTheme="minorHAnsi"/>
        </w:rPr>
        <w:t>(a)</w:t>
      </w:r>
      <w:r w:rsidRPr="008B55E0">
        <w:rPr>
          <w:rFonts w:eastAsiaTheme="minorHAnsi"/>
        </w:rPr>
        <w:t xml:space="preserve">7 by </w:t>
      </w:r>
      <w:r w:rsidR="00D3353B">
        <w:rPr>
          <w:rFonts w:eastAsiaTheme="minorHAnsi"/>
        </w:rPr>
        <w:t xml:space="preserve">his </w:t>
      </w:r>
      <w:r w:rsidR="00641A99">
        <w:rPr>
          <w:rFonts w:eastAsiaTheme="minorHAnsi"/>
        </w:rPr>
        <w:t xml:space="preserve">March 2017 </w:t>
      </w:r>
      <w:r w:rsidR="00D3353B">
        <w:rPr>
          <w:rFonts w:eastAsiaTheme="minorHAnsi"/>
        </w:rPr>
        <w:t xml:space="preserve">criminal conviction for the Illegal </w:t>
      </w:r>
      <w:r w:rsidRPr="008B55E0">
        <w:rPr>
          <w:rFonts w:eastAsiaTheme="minorHAnsi"/>
        </w:rPr>
        <w:t xml:space="preserve">Distribution of a Controlled Substance in </w:t>
      </w:r>
      <w:r w:rsidR="000343FD">
        <w:rPr>
          <w:rFonts w:eastAsiaTheme="minorHAnsi"/>
        </w:rPr>
        <w:t xml:space="preserve">Federal Court in the Eastern District of </w:t>
      </w:r>
      <w:r w:rsidRPr="008B55E0">
        <w:rPr>
          <w:rFonts w:eastAsiaTheme="minorHAnsi"/>
        </w:rPr>
        <w:t>Michigan;</w:t>
      </w:r>
    </w:p>
    <w:p w:rsidR="00004F4D" w:rsidRDefault="00D3353B" w:rsidP="008B55E0">
      <w:pPr>
        <w:pStyle w:val="ListParagraph"/>
        <w:numPr>
          <w:ilvl w:val="0"/>
          <w:numId w:val="25"/>
        </w:numPr>
        <w:spacing w:after="200" w:line="480" w:lineRule="auto"/>
        <w:contextualSpacing/>
        <w:jc w:val="both"/>
        <w:rPr>
          <w:rFonts w:eastAsiaTheme="minorHAnsi"/>
        </w:rPr>
      </w:pPr>
      <w:r>
        <w:rPr>
          <w:rFonts w:eastAsiaTheme="minorHAnsi"/>
        </w:rPr>
        <w:lastRenderedPageBreak/>
        <w:t>been d</w:t>
      </w:r>
      <w:r w:rsidR="00004F4D" w:rsidRPr="008B55E0">
        <w:rPr>
          <w:rFonts w:eastAsiaTheme="minorHAnsi"/>
        </w:rPr>
        <w:t>isciplined in another jurisdiction in any way by the proper licensing authority for reasons substantially the same as those in G.L. c. 112 §5 or 243 CMR 1.03(5)</w:t>
      </w:r>
      <w:r>
        <w:rPr>
          <w:rFonts w:eastAsiaTheme="minorHAnsi"/>
        </w:rPr>
        <w:t>. More specifically,  the Respondent has:</w:t>
      </w:r>
    </w:p>
    <w:p w:rsidR="00D708DD" w:rsidRDefault="00D708DD" w:rsidP="00D3353B">
      <w:pPr>
        <w:pStyle w:val="ListParagraph"/>
        <w:numPr>
          <w:ilvl w:val="0"/>
          <w:numId w:val="28"/>
        </w:numPr>
        <w:spacing w:after="200" w:line="480" w:lineRule="auto"/>
        <w:contextualSpacing/>
        <w:jc w:val="both"/>
        <w:rPr>
          <w:rFonts w:eastAsiaTheme="minorHAnsi"/>
        </w:rPr>
      </w:pPr>
      <w:r w:rsidRPr="00D3353B">
        <w:rPr>
          <w:rFonts w:eastAsiaTheme="minorHAnsi"/>
        </w:rPr>
        <w:t>engag</w:t>
      </w:r>
      <w:r w:rsidR="00D3353B" w:rsidRPr="00D3353B">
        <w:rPr>
          <w:rFonts w:eastAsiaTheme="minorHAnsi"/>
        </w:rPr>
        <w:t xml:space="preserve">ed </w:t>
      </w:r>
      <w:r w:rsidRPr="00D3353B">
        <w:rPr>
          <w:rFonts w:eastAsiaTheme="minorHAnsi"/>
        </w:rPr>
        <w:t xml:space="preserve">in conduct that </w:t>
      </w:r>
      <w:r w:rsidR="00D3353B" w:rsidRPr="00D3353B">
        <w:rPr>
          <w:rFonts w:eastAsiaTheme="minorHAnsi"/>
        </w:rPr>
        <w:t xml:space="preserve">indicates a lack of good moral character and </w:t>
      </w:r>
      <w:r w:rsidRPr="00D3353B">
        <w:rPr>
          <w:rFonts w:eastAsiaTheme="minorHAnsi"/>
        </w:rPr>
        <w:t xml:space="preserve">undermines </w:t>
      </w:r>
      <w:r w:rsidR="00D3353B" w:rsidRPr="00D3353B">
        <w:rPr>
          <w:rFonts w:eastAsiaTheme="minorHAnsi"/>
        </w:rPr>
        <w:tab/>
      </w:r>
      <w:r w:rsidRPr="00D3353B">
        <w:rPr>
          <w:rFonts w:eastAsiaTheme="minorHAnsi"/>
        </w:rPr>
        <w:t xml:space="preserve">the public confidence in the integrity of the medical profession. </w:t>
      </w:r>
      <w:r w:rsidRPr="00D3353B">
        <w:rPr>
          <w:rFonts w:eastAsiaTheme="minorHAnsi"/>
          <w:i/>
        </w:rPr>
        <w:t>Levy v. Board of Registration in Medicine</w:t>
      </w:r>
      <w:r w:rsidRPr="00D3353B">
        <w:rPr>
          <w:rFonts w:eastAsiaTheme="minorHAnsi"/>
        </w:rPr>
        <w:t xml:space="preserve">, 378 Mass. 519 (1979) and </w:t>
      </w:r>
      <w:r w:rsidRPr="00D3353B">
        <w:rPr>
          <w:rFonts w:eastAsiaTheme="minorHAnsi"/>
          <w:i/>
        </w:rPr>
        <w:t>Raymond v. Board of Registration in Medicine</w:t>
      </w:r>
      <w:r w:rsidRPr="00D3353B">
        <w:rPr>
          <w:rFonts w:eastAsiaTheme="minorHAnsi"/>
        </w:rPr>
        <w:t xml:space="preserve">, 387 Mass. 708 (1982). </w:t>
      </w:r>
    </w:p>
    <w:p w:rsidR="00970171" w:rsidRPr="00970171" w:rsidRDefault="00970171" w:rsidP="00970171">
      <w:pPr>
        <w:pStyle w:val="ListParagraph"/>
        <w:numPr>
          <w:ilvl w:val="0"/>
          <w:numId w:val="28"/>
        </w:numPr>
        <w:spacing w:after="200" w:line="480" w:lineRule="auto"/>
        <w:contextualSpacing/>
        <w:jc w:val="both"/>
        <w:rPr>
          <w:rFonts w:eastAsiaTheme="minorHAnsi"/>
        </w:rPr>
      </w:pPr>
      <w:r w:rsidRPr="00970171">
        <w:rPr>
          <w:rFonts w:eastAsiaTheme="minorHAnsi"/>
        </w:rPr>
        <w:t>practiced medicine fraudulently or beyond its scope in violation of G.L. c. 112, s. 5 eight par.</w:t>
      </w:r>
      <w:r w:rsidR="00647E2D">
        <w:rPr>
          <w:rFonts w:eastAsiaTheme="minorHAnsi"/>
        </w:rPr>
        <w:t>(c)</w:t>
      </w:r>
      <w:r w:rsidRPr="00970171">
        <w:rPr>
          <w:rFonts w:eastAsiaTheme="minorHAnsi"/>
        </w:rPr>
        <w:t xml:space="preserve"> and 243 CMR 1.03(5)(a);</w:t>
      </w:r>
    </w:p>
    <w:p w:rsidR="00D3353B" w:rsidRDefault="00970171" w:rsidP="00D3353B">
      <w:pPr>
        <w:pStyle w:val="ListParagraph"/>
        <w:numPr>
          <w:ilvl w:val="0"/>
          <w:numId w:val="28"/>
        </w:numPr>
        <w:spacing w:after="200" w:line="480" w:lineRule="auto"/>
        <w:contextualSpacing/>
        <w:jc w:val="both"/>
        <w:rPr>
          <w:rFonts w:eastAsiaTheme="minorHAnsi"/>
        </w:rPr>
      </w:pPr>
      <w:r>
        <w:rPr>
          <w:rFonts w:eastAsiaTheme="minorHAnsi"/>
        </w:rPr>
        <w:t xml:space="preserve">practiced medicine deceitfully or engaged in conduct that has the capacity to deceive or defraud in violation of </w:t>
      </w:r>
      <w:r w:rsidR="00D3353B">
        <w:rPr>
          <w:rFonts w:eastAsiaTheme="minorHAnsi"/>
        </w:rPr>
        <w:t>2.03(5)(a)(10)</w:t>
      </w:r>
      <w:r w:rsidR="00E04A73">
        <w:rPr>
          <w:rFonts w:eastAsiaTheme="minorHAnsi"/>
        </w:rPr>
        <w:t>.</w:t>
      </w:r>
    </w:p>
    <w:p w:rsidR="00D3353B" w:rsidRDefault="00647E2D" w:rsidP="00D3353B">
      <w:pPr>
        <w:pStyle w:val="ListParagraph"/>
        <w:numPr>
          <w:ilvl w:val="0"/>
          <w:numId w:val="28"/>
        </w:numPr>
        <w:spacing w:after="200" w:line="480" w:lineRule="auto"/>
        <w:contextualSpacing/>
        <w:jc w:val="both"/>
        <w:rPr>
          <w:rFonts w:eastAsiaTheme="minorHAnsi"/>
        </w:rPr>
      </w:pPr>
      <w:r>
        <w:rPr>
          <w:rFonts w:eastAsiaTheme="minorHAnsi"/>
        </w:rPr>
        <w:t>committed misconduct in the practice of medicine in violation of 2</w:t>
      </w:r>
      <w:r w:rsidR="00D3353B">
        <w:rPr>
          <w:rFonts w:eastAsiaTheme="minorHAnsi"/>
        </w:rPr>
        <w:t>43 CMR 1.03(5)(a)(18)</w:t>
      </w:r>
      <w:r>
        <w:rPr>
          <w:rFonts w:eastAsiaTheme="minorHAnsi"/>
        </w:rPr>
        <w:t>.</w:t>
      </w:r>
    </w:p>
    <w:p w:rsidR="001B3055" w:rsidRPr="008B55E0" w:rsidRDefault="00D3353B" w:rsidP="008B55E0">
      <w:pPr>
        <w:pStyle w:val="ListParagraph"/>
        <w:numPr>
          <w:ilvl w:val="0"/>
          <w:numId w:val="25"/>
        </w:numPr>
        <w:spacing w:after="200" w:line="480" w:lineRule="auto"/>
        <w:contextualSpacing/>
        <w:jc w:val="both"/>
        <w:rPr>
          <w:rFonts w:eastAsiaTheme="minorHAnsi"/>
        </w:rPr>
      </w:pPr>
      <w:r>
        <w:rPr>
          <w:rFonts w:eastAsiaTheme="minorHAnsi"/>
        </w:rPr>
        <w:t xml:space="preserve">violated </w:t>
      </w:r>
      <w:r w:rsidR="001B3055" w:rsidRPr="008B55E0">
        <w:rPr>
          <w:rFonts w:eastAsiaTheme="minorHAnsi"/>
        </w:rPr>
        <w:t>G. L. c. 112, § 5, eighth par. (b) and 243 CMR 1.03(5)(a)2, by committing an offense against a provision of the laws of the Commonwealth relating to the practice of medicine, or a rule or regulation adopted thereunder. More specifically:</w:t>
      </w:r>
    </w:p>
    <w:p w:rsidR="001B3055" w:rsidRPr="001B3055" w:rsidRDefault="0066324F" w:rsidP="0066324F">
      <w:pPr>
        <w:spacing w:after="200" w:line="480" w:lineRule="auto"/>
        <w:ind w:left="1170"/>
        <w:contextualSpacing/>
        <w:jc w:val="both"/>
        <w:rPr>
          <w:rFonts w:eastAsiaTheme="minorHAnsi"/>
        </w:rPr>
      </w:pPr>
      <w:r>
        <w:rPr>
          <w:rFonts w:eastAsiaTheme="minorHAnsi"/>
        </w:rPr>
        <w:tab/>
        <w:t xml:space="preserve">       a).  </w:t>
      </w:r>
      <w:r w:rsidR="001B3055" w:rsidRPr="001B3055">
        <w:rPr>
          <w:rFonts w:eastAsiaTheme="minorHAnsi"/>
        </w:rPr>
        <w:t xml:space="preserve">G.L. c. 94C, § 19(a), which requires that physicians issue prescriptions </w:t>
      </w:r>
      <w:r>
        <w:rPr>
          <w:rFonts w:eastAsiaTheme="minorHAnsi"/>
        </w:rPr>
        <w:tab/>
      </w:r>
      <w:r>
        <w:rPr>
          <w:rFonts w:eastAsiaTheme="minorHAnsi"/>
        </w:rPr>
        <w:tab/>
      </w:r>
      <w:r>
        <w:rPr>
          <w:rFonts w:eastAsiaTheme="minorHAnsi"/>
        </w:rPr>
        <w:tab/>
      </w:r>
      <w:r w:rsidR="00C145EF">
        <w:rPr>
          <w:rFonts w:eastAsiaTheme="minorHAnsi"/>
        </w:rPr>
        <w:t xml:space="preserve"> </w:t>
      </w:r>
      <w:r w:rsidR="001B3055" w:rsidRPr="001B3055">
        <w:rPr>
          <w:rFonts w:eastAsiaTheme="minorHAnsi"/>
        </w:rPr>
        <w:t xml:space="preserve">for controlled substances for a legitimate purpose and in the usual course </w:t>
      </w:r>
      <w:r>
        <w:rPr>
          <w:rFonts w:eastAsiaTheme="minorHAnsi"/>
        </w:rPr>
        <w:tab/>
      </w:r>
      <w:r>
        <w:rPr>
          <w:rFonts w:eastAsiaTheme="minorHAnsi"/>
        </w:rPr>
        <w:tab/>
      </w:r>
      <w:r>
        <w:rPr>
          <w:rFonts w:eastAsiaTheme="minorHAnsi"/>
        </w:rPr>
        <w:tab/>
      </w:r>
      <w:r w:rsidR="00C145EF">
        <w:rPr>
          <w:rFonts w:eastAsiaTheme="minorHAnsi"/>
        </w:rPr>
        <w:t xml:space="preserve"> </w:t>
      </w:r>
      <w:r w:rsidR="001B3055" w:rsidRPr="001B3055">
        <w:rPr>
          <w:rFonts w:eastAsiaTheme="minorHAnsi"/>
        </w:rPr>
        <w:t>of the physician’s medical practice.</w:t>
      </w:r>
      <w:r w:rsidR="00647E2D">
        <w:rPr>
          <w:rStyle w:val="FootnoteReference"/>
          <w:rFonts w:eastAsiaTheme="minorHAnsi"/>
        </w:rPr>
        <w:footnoteReference w:id="1"/>
      </w:r>
    </w:p>
    <w:p w:rsidR="002C737A" w:rsidRDefault="002C737A" w:rsidP="003A01E2">
      <w:pPr>
        <w:tabs>
          <w:tab w:val="left" w:pos="0"/>
        </w:tabs>
        <w:spacing w:after="200" w:line="480" w:lineRule="auto"/>
        <w:contextualSpacing/>
        <w:jc w:val="center"/>
        <w:rPr>
          <w:u w:val="single"/>
        </w:rPr>
      </w:pPr>
    </w:p>
    <w:p w:rsidR="008C33DF" w:rsidRDefault="008C33DF" w:rsidP="003A01E2">
      <w:pPr>
        <w:tabs>
          <w:tab w:val="left" w:pos="0"/>
        </w:tabs>
        <w:spacing w:after="200" w:line="480" w:lineRule="auto"/>
        <w:contextualSpacing/>
        <w:jc w:val="center"/>
      </w:pPr>
      <w:r w:rsidRPr="00456B65">
        <w:rPr>
          <w:u w:val="single"/>
        </w:rPr>
        <w:t>Sanction</w:t>
      </w:r>
    </w:p>
    <w:p w:rsidR="00004F4D" w:rsidRDefault="008C33DF" w:rsidP="00004F4D">
      <w:pPr>
        <w:spacing w:line="480" w:lineRule="auto"/>
        <w:jc w:val="both"/>
      </w:pPr>
      <w:r>
        <w:tab/>
      </w:r>
      <w:r w:rsidR="00DC573C">
        <w:t xml:space="preserve">The Respondent’s failure to respond to </w:t>
      </w:r>
      <w:r w:rsidR="00C00F70">
        <w:t>the S</w:t>
      </w:r>
      <w:r w:rsidR="0091226F">
        <w:t>OA</w:t>
      </w:r>
      <w:r w:rsidR="00C00F70">
        <w:t xml:space="preserve">, to </w:t>
      </w:r>
      <w:r w:rsidR="00C00F70" w:rsidRPr="008C33DF">
        <w:t xml:space="preserve">appear for </w:t>
      </w:r>
      <w:r w:rsidR="00C00F70">
        <w:t>a</w:t>
      </w:r>
      <w:r w:rsidR="00C00F70" w:rsidRPr="008C33DF">
        <w:t xml:space="preserve"> scheduled </w:t>
      </w:r>
      <w:r w:rsidR="003A01E2">
        <w:t>pre</w:t>
      </w:r>
      <w:r w:rsidR="00C00F70" w:rsidRPr="008C33DF">
        <w:t>hearing</w:t>
      </w:r>
      <w:r w:rsidR="00C00F70">
        <w:t xml:space="preserve"> at DALA</w:t>
      </w:r>
      <w:r w:rsidR="00C00F70" w:rsidRPr="008C33DF">
        <w:t xml:space="preserve">, </w:t>
      </w:r>
      <w:r w:rsidR="00C00F70">
        <w:t>and</w:t>
      </w:r>
      <w:r w:rsidR="00DC573C">
        <w:t xml:space="preserve"> h</w:t>
      </w:r>
      <w:r w:rsidR="001A5C95">
        <w:t>is</w:t>
      </w:r>
      <w:r w:rsidR="00DC573C">
        <w:t xml:space="preserve"> default in connection with this action demonstrate h</w:t>
      </w:r>
      <w:r w:rsidR="001A5C95">
        <w:t>is</w:t>
      </w:r>
      <w:r w:rsidR="00DC573C">
        <w:t xml:space="preserve"> utter disregard for the Board’s statutory mandate.  By failing to respond to the Board, the Respondent prevented the Board from investigating the serious allegations concerning h</w:t>
      </w:r>
      <w:r w:rsidR="001A5C95">
        <w:t>is</w:t>
      </w:r>
      <w:r w:rsidR="00D22DAD">
        <w:t>:</w:t>
      </w:r>
      <w:r w:rsidR="001A5C95">
        <w:t xml:space="preserve"> </w:t>
      </w:r>
      <w:r w:rsidR="00D22DAD">
        <w:t xml:space="preserve">i) </w:t>
      </w:r>
      <w:r w:rsidR="00D708DD">
        <w:t xml:space="preserve">criminal conviction for the Illegal Distribution of a Controlled Substance (Oxycodone and Promethazine with Codeine); and 2) out-of-state discipline by the Michigan Board of Medicine for prescribing </w:t>
      </w:r>
      <w:r w:rsidR="00352437">
        <w:t xml:space="preserve">controlled substances </w:t>
      </w:r>
      <w:r w:rsidR="00D708DD">
        <w:t>outside the scope of his medical practice and with no legitimate purpose</w:t>
      </w:r>
      <w:r w:rsidR="00352437">
        <w:t xml:space="preserve">. </w:t>
      </w:r>
    </w:p>
    <w:p w:rsidR="00C6202A" w:rsidRDefault="00004F4D" w:rsidP="000343FD">
      <w:pPr>
        <w:spacing w:line="480" w:lineRule="auto"/>
        <w:jc w:val="both"/>
      </w:pPr>
      <w:r>
        <w:tab/>
      </w:r>
      <w:r w:rsidR="00DC573C">
        <w:t xml:space="preserve">In order for the Board to fulfill its mission to protect the public, a physician’s cooperation is essential.  By failing to respond to the serious allegations against </w:t>
      </w:r>
      <w:r w:rsidR="00C00F70">
        <w:t>h</w:t>
      </w:r>
      <w:r w:rsidR="00972698">
        <w:t>im</w:t>
      </w:r>
      <w:r w:rsidR="00DC573C">
        <w:t xml:space="preserve">, the Respondent hindered the Board’s efforts to fulfill its mission.  </w:t>
      </w:r>
      <w:r w:rsidR="00DC573C" w:rsidRPr="00504015">
        <w:rPr>
          <w:u w:val="single"/>
        </w:rPr>
        <w:t>See</w:t>
      </w:r>
      <w:r w:rsidR="00DC573C">
        <w:t xml:space="preserve"> </w:t>
      </w:r>
      <w:r w:rsidR="00DC573C" w:rsidRPr="000F3020">
        <w:rPr>
          <w:i/>
        </w:rPr>
        <w:t>In the Matter of Mark M. Kowalski, M.D.</w:t>
      </w:r>
      <w:r w:rsidR="00DC573C">
        <w:t xml:space="preserve">, </w:t>
      </w:r>
      <w:r w:rsidR="000F3020">
        <w:t xml:space="preserve">Board of Registration in Medicine, </w:t>
      </w:r>
      <w:r w:rsidR="00DC573C">
        <w:t xml:space="preserve">Adjudicatory Case No. 97-16-DALA (Final Decision and Order, April 1, 1998) (“A physician who obstructs the Board’s investigation of a complaint and blatantly ignores repeated requests for a response threatens the public’s health, welfare and safety, not only by denying the Board potentially important information, but also by draining the </w:t>
      </w:r>
      <w:r w:rsidR="000817AE">
        <w:t>resources of the Boar</w:t>
      </w:r>
      <w:r w:rsidR="00B3498E">
        <w:t>d</w:t>
      </w:r>
      <w:r w:rsidR="00306096">
        <w:t>.</w:t>
      </w:r>
      <w:r w:rsidR="00B3498E">
        <w:t>”)</w:t>
      </w:r>
    </w:p>
    <w:p w:rsidR="00F8656F" w:rsidRDefault="000343FD" w:rsidP="000343FD">
      <w:pPr>
        <w:pStyle w:val="le-brm-normal-32-level"/>
        <w:spacing w:before="0" w:after="0" w:line="480" w:lineRule="auto"/>
        <w:ind w:firstLine="720"/>
        <w:rPr>
          <w:rFonts w:ascii="Times New Roman" w:hAnsi="Times New Roman"/>
          <w:sz w:val="24"/>
          <w:szCs w:val="24"/>
        </w:rPr>
      </w:pPr>
      <w:r w:rsidRPr="00446838">
        <w:rPr>
          <w:rFonts w:ascii="Times New Roman" w:hAnsi="Times New Roman"/>
          <w:sz w:val="24"/>
          <w:szCs w:val="24"/>
        </w:rPr>
        <w:t>The Board may, in accordance with 243 CMR 1.03(5)(a)7 and M.G.L. c. 112, § 5(g), discipline a physician who has been convicted of a crime.</w:t>
      </w:r>
      <w:r>
        <w:rPr>
          <w:rFonts w:ascii="Times New Roman" w:hAnsi="Times New Roman"/>
          <w:sz w:val="24"/>
          <w:szCs w:val="24"/>
        </w:rPr>
        <w:t xml:space="preserve"> </w:t>
      </w:r>
      <w:r w:rsidR="00F8656F">
        <w:rPr>
          <w:rFonts w:ascii="Times New Roman" w:hAnsi="Times New Roman"/>
          <w:sz w:val="24"/>
          <w:szCs w:val="24"/>
        </w:rPr>
        <w:t xml:space="preserve"> </w:t>
      </w:r>
      <w:r w:rsidR="005A50F7">
        <w:rPr>
          <w:rFonts w:ascii="Times New Roman" w:hAnsi="Times New Roman"/>
          <w:sz w:val="24"/>
          <w:szCs w:val="24"/>
        </w:rPr>
        <w:t>T</w:t>
      </w:r>
      <w:r w:rsidR="00F8656F">
        <w:rPr>
          <w:rFonts w:ascii="Times New Roman" w:hAnsi="Times New Roman"/>
          <w:sz w:val="24"/>
          <w:szCs w:val="24"/>
        </w:rPr>
        <w:t>he Board also has the authority to discipline a physician upon proof satisfactory that the physician has been disciplined in another  jurisdiction in any way by the proper licensing authority for reasons substantially the same as those set forth in M.G.L. c. 112,</w:t>
      </w:r>
      <w:r w:rsidR="00F8656F" w:rsidRPr="00F8656F">
        <w:rPr>
          <w:rFonts w:ascii="Times New Roman" w:hAnsi="Times New Roman"/>
          <w:sz w:val="24"/>
          <w:szCs w:val="24"/>
        </w:rPr>
        <w:t xml:space="preserve"> </w:t>
      </w:r>
      <w:r w:rsidR="00F8656F" w:rsidRPr="00446838">
        <w:rPr>
          <w:rFonts w:ascii="Times New Roman" w:hAnsi="Times New Roman"/>
          <w:sz w:val="24"/>
          <w:szCs w:val="24"/>
        </w:rPr>
        <w:t xml:space="preserve">§ </w:t>
      </w:r>
      <w:r w:rsidR="00F8656F">
        <w:rPr>
          <w:rFonts w:ascii="Times New Roman" w:hAnsi="Times New Roman"/>
          <w:sz w:val="24"/>
          <w:szCs w:val="24"/>
        </w:rPr>
        <w:t>5 or 243 CMR 1.03(5).</w:t>
      </w:r>
    </w:p>
    <w:p w:rsidR="000343FD" w:rsidRDefault="000343FD" w:rsidP="000343FD">
      <w:pPr>
        <w:pStyle w:val="le-brm-normal-32-level"/>
        <w:spacing w:before="0" w:after="0" w:line="480" w:lineRule="auto"/>
        <w:ind w:firstLine="720"/>
        <w:rPr>
          <w:rFonts w:ascii="Times New Roman" w:hAnsi="Times New Roman"/>
          <w:sz w:val="24"/>
          <w:szCs w:val="24"/>
        </w:rPr>
      </w:pPr>
      <w:r w:rsidRPr="00446838">
        <w:rPr>
          <w:rFonts w:ascii="Times New Roman" w:hAnsi="Times New Roman"/>
          <w:sz w:val="24"/>
          <w:szCs w:val="24"/>
        </w:rPr>
        <w:t xml:space="preserve"> </w:t>
      </w:r>
      <w:r>
        <w:rPr>
          <w:rFonts w:ascii="Times New Roman" w:hAnsi="Times New Roman"/>
          <w:sz w:val="24"/>
          <w:szCs w:val="24"/>
        </w:rPr>
        <w:t>In particular, the</w:t>
      </w:r>
      <w:r w:rsidRPr="00446838">
        <w:rPr>
          <w:rFonts w:ascii="Times New Roman" w:hAnsi="Times New Roman"/>
          <w:sz w:val="24"/>
          <w:szCs w:val="24"/>
        </w:rPr>
        <w:t xml:space="preserve"> Board has long viewed with the utmost seriousness any physician’s inability or failure to faithfully discharge the grave responsibility of issuing prescriptions for controlled substances, and has dealt strictly with cases involving the unlawful distribution of controlled substances. </w:t>
      </w:r>
      <w:r>
        <w:rPr>
          <w:rFonts w:ascii="Times New Roman" w:hAnsi="Times New Roman"/>
          <w:sz w:val="24"/>
          <w:szCs w:val="24"/>
        </w:rPr>
        <w:t xml:space="preserve"> </w:t>
      </w:r>
      <w:r w:rsidRPr="00446838">
        <w:rPr>
          <w:rFonts w:ascii="Times New Roman" w:hAnsi="Times New Roman"/>
          <w:sz w:val="24"/>
          <w:szCs w:val="24"/>
        </w:rPr>
        <w:t xml:space="preserve">In these situations, </w:t>
      </w:r>
      <w:r>
        <w:rPr>
          <w:rFonts w:ascii="Times New Roman" w:hAnsi="Times New Roman"/>
          <w:sz w:val="24"/>
          <w:szCs w:val="24"/>
        </w:rPr>
        <w:t>the Board has generally imposed the sanction of revocation</w:t>
      </w:r>
      <w:r w:rsidRPr="00446838">
        <w:rPr>
          <w:rFonts w:ascii="Times New Roman" w:hAnsi="Times New Roman"/>
          <w:sz w:val="24"/>
          <w:szCs w:val="24"/>
        </w:rPr>
        <w:t xml:space="preserve">. </w:t>
      </w:r>
      <w:r>
        <w:rPr>
          <w:rFonts w:ascii="Times New Roman" w:hAnsi="Times New Roman"/>
          <w:sz w:val="24"/>
          <w:szCs w:val="24"/>
        </w:rPr>
        <w:t xml:space="preserve"> </w:t>
      </w:r>
      <w:r w:rsidRPr="009229A7">
        <w:rPr>
          <w:rFonts w:ascii="Times New Roman" w:hAnsi="Times New Roman"/>
          <w:sz w:val="24"/>
          <w:szCs w:val="24"/>
          <w:u w:val="single"/>
        </w:rPr>
        <w:t>See</w:t>
      </w:r>
      <w:r w:rsidRPr="009229A7">
        <w:rPr>
          <w:rFonts w:ascii="Times New Roman" w:hAnsi="Times New Roman"/>
          <w:sz w:val="24"/>
          <w:szCs w:val="24"/>
        </w:rPr>
        <w:t xml:space="preserve"> </w:t>
      </w:r>
      <w:r w:rsidR="005A50F7" w:rsidRPr="005A50F7">
        <w:rPr>
          <w:rFonts w:ascii="Times New Roman" w:hAnsi="Times New Roman"/>
          <w:sz w:val="24"/>
          <w:szCs w:val="24"/>
          <w:u w:val="single"/>
          <w:lang w:val="en"/>
        </w:rPr>
        <w:t>In the Matter of Joseph F. Piazza, M.D</w:t>
      </w:r>
      <w:r w:rsidR="005A50F7" w:rsidRPr="005A50F7">
        <w:rPr>
          <w:rFonts w:ascii="Times New Roman" w:hAnsi="Times New Roman"/>
          <w:i/>
          <w:sz w:val="24"/>
          <w:szCs w:val="24"/>
          <w:lang w:val="en"/>
        </w:rPr>
        <w:t>.,</w:t>
      </w:r>
      <w:r w:rsidR="005A50F7">
        <w:rPr>
          <w:lang w:val="en"/>
        </w:rPr>
        <w:t xml:space="preserve"> </w:t>
      </w:r>
      <w:r w:rsidR="005A50F7" w:rsidRPr="005A50F7">
        <w:rPr>
          <w:rFonts w:ascii="Times New Roman" w:hAnsi="Times New Roman"/>
          <w:sz w:val="24"/>
          <w:szCs w:val="24"/>
          <w:lang w:val="en"/>
        </w:rPr>
        <w:t>Bo</w:t>
      </w:r>
      <w:r w:rsidR="005A50F7">
        <w:rPr>
          <w:rFonts w:ascii="Times New Roman" w:hAnsi="Times New Roman"/>
          <w:sz w:val="24"/>
          <w:szCs w:val="24"/>
          <w:lang w:val="en"/>
        </w:rPr>
        <w:t xml:space="preserve">ard of Registration in Medicine, </w:t>
      </w:r>
      <w:r w:rsidR="005A50F7" w:rsidRPr="005A50F7">
        <w:rPr>
          <w:rFonts w:ascii="Times New Roman" w:hAnsi="Times New Roman"/>
          <w:sz w:val="24"/>
          <w:szCs w:val="24"/>
          <w:lang w:val="en"/>
        </w:rPr>
        <w:t xml:space="preserve">Adjudicatory Case No. 2015-005 (Final Decision and Order, September 4, 2015, amended November 19, 2015) (revocation for conviction for </w:t>
      </w:r>
      <w:r w:rsidR="005A50F7">
        <w:rPr>
          <w:rFonts w:ascii="Times New Roman" w:hAnsi="Times New Roman"/>
          <w:sz w:val="24"/>
          <w:szCs w:val="24"/>
          <w:lang w:val="en"/>
        </w:rPr>
        <w:t xml:space="preserve">Conspiracy to Commit an Offense Against the United States by the </w:t>
      </w:r>
      <w:r w:rsidR="005A50F7" w:rsidRPr="005A50F7">
        <w:rPr>
          <w:rFonts w:ascii="Times New Roman" w:hAnsi="Times New Roman"/>
          <w:sz w:val="24"/>
          <w:szCs w:val="24"/>
          <w:lang w:val="en"/>
        </w:rPr>
        <w:t xml:space="preserve"> unauthorized distribution of 1</w:t>
      </w:r>
      <w:r w:rsidR="005A50F7" w:rsidRPr="005A50F7">
        <w:rPr>
          <w:rFonts w:ascii="Times New Roman" w:hAnsi="Times New Roman"/>
          <w:sz w:val="24"/>
          <w:szCs w:val="24"/>
        </w:rPr>
        <w:t>52,774 Oxycodone pills while employed by a cash-only pain management clinic</w:t>
      </w:r>
      <w:r w:rsidR="002C737A">
        <w:rPr>
          <w:rFonts w:ascii="Times New Roman" w:hAnsi="Times New Roman"/>
          <w:sz w:val="24"/>
          <w:szCs w:val="24"/>
        </w:rPr>
        <w:t xml:space="preserve"> in the State of Florida</w:t>
      </w:r>
      <w:r w:rsidR="005A50F7">
        <w:rPr>
          <w:rFonts w:ascii="Times New Roman" w:hAnsi="Times New Roman"/>
          <w:sz w:val="24"/>
          <w:szCs w:val="24"/>
        </w:rPr>
        <w:t>)</w:t>
      </w:r>
      <w:r w:rsidR="00270901">
        <w:rPr>
          <w:rFonts w:ascii="Times New Roman" w:hAnsi="Times New Roman"/>
          <w:sz w:val="24"/>
          <w:szCs w:val="24"/>
        </w:rPr>
        <w:t xml:space="preserve">; </w:t>
      </w:r>
      <w:r w:rsidRPr="009229A7">
        <w:rPr>
          <w:rFonts w:ascii="Times New Roman" w:hAnsi="Times New Roman"/>
          <w:sz w:val="24"/>
          <w:szCs w:val="24"/>
          <w:u w:val="single"/>
        </w:rPr>
        <w:t>In the Matter of Michael L. Mavroidis, M.D.</w:t>
      </w:r>
      <w:r w:rsidRPr="009229A7">
        <w:rPr>
          <w:rFonts w:ascii="Times New Roman" w:hAnsi="Times New Roman"/>
          <w:sz w:val="24"/>
          <w:szCs w:val="24"/>
        </w:rPr>
        <w:t>, Board of Registration in Medicine, Adjudicatory Case No. 01-27-DALA (Final Decision and Order, November 19, 2008)(</w:t>
      </w:r>
      <w:r>
        <w:rPr>
          <w:rFonts w:ascii="Times New Roman" w:hAnsi="Times New Roman"/>
          <w:sz w:val="24"/>
          <w:szCs w:val="24"/>
        </w:rPr>
        <w:t xml:space="preserve">revocation for conviction on </w:t>
      </w:r>
      <w:r w:rsidRPr="009229A7">
        <w:rPr>
          <w:rFonts w:ascii="Times New Roman" w:hAnsi="Times New Roman"/>
          <w:sz w:val="24"/>
          <w:szCs w:val="24"/>
        </w:rPr>
        <w:t>ten counts of unauthorized distribution of Class B, C and E controlled substances</w:t>
      </w:r>
      <w:r>
        <w:rPr>
          <w:rFonts w:ascii="Times New Roman" w:hAnsi="Times New Roman"/>
          <w:sz w:val="24"/>
          <w:szCs w:val="24"/>
        </w:rPr>
        <w:t>)</w:t>
      </w:r>
      <w:r w:rsidRPr="009229A7">
        <w:rPr>
          <w:rFonts w:ascii="Times New Roman" w:hAnsi="Times New Roman"/>
          <w:sz w:val="24"/>
          <w:szCs w:val="24"/>
        </w:rPr>
        <w:t xml:space="preserve">; </w:t>
      </w:r>
      <w:r w:rsidRPr="009229A7">
        <w:rPr>
          <w:rFonts w:ascii="Times New Roman" w:hAnsi="Times New Roman"/>
          <w:sz w:val="24"/>
          <w:szCs w:val="24"/>
          <w:u w:val="single"/>
        </w:rPr>
        <w:t>In the Matter of Luis A. Molmenti, M.D.</w:t>
      </w:r>
      <w:r w:rsidRPr="009229A7">
        <w:rPr>
          <w:rFonts w:ascii="Times New Roman" w:hAnsi="Times New Roman"/>
          <w:sz w:val="24"/>
          <w:szCs w:val="24"/>
        </w:rPr>
        <w:t>, Board of Registration in Medicine, Adjudicatory Case No. 2006-017 (Consent Order, April 12, 2006)(</w:t>
      </w:r>
      <w:r>
        <w:rPr>
          <w:rFonts w:ascii="Times New Roman" w:hAnsi="Times New Roman"/>
          <w:sz w:val="24"/>
          <w:szCs w:val="24"/>
        </w:rPr>
        <w:t xml:space="preserve">revocation for convictions on one count of health care fraud and one count of obtaining drugs by fraud); </w:t>
      </w:r>
      <w:r w:rsidRPr="009229A7">
        <w:rPr>
          <w:rFonts w:ascii="Times New Roman" w:hAnsi="Times New Roman"/>
          <w:sz w:val="24"/>
          <w:szCs w:val="24"/>
          <w:u w:val="single"/>
        </w:rPr>
        <w:t>In the Matter of David C. Arndt, M.D.</w:t>
      </w:r>
      <w:r w:rsidRPr="009229A7">
        <w:rPr>
          <w:rFonts w:ascii="Times New Roman" w:hAnsi="Times New Roman"/>
          <w:sz w:val="24"/>
          <w:szCs w:val="24"/>
        </w:rPr>
        <w:t>, Board of Registration in Medicine, Adjudicatory Case No. 2005-031 (Final Decision and Order, November 16, 2005)(</w:t>
      </w:r>
      <w:r>
        <w:rPr>
          <w:rFonts w:ascii="Times New Roman" w:hAnsi="Times New Roman"/>
          <w:sz w:val="24"/>
          <w:szCs w:val="24"/>
        </w:rPr>
        <w:t xml:space="preserve">reaffirmation of prior </w:t>
      </w:r>
      <w:r w:rsidRPr="009229A7">
        <w:rPr>
          <w:rFonts w:ascii="Times New Roman" w:hAnsi="Times New Roman"/>
          <w:sz w:val="24"/>
          <w:szCs w:val="24"/>
        </w:rPr>
        <w:t>revocation</w:t>
      </w:r>
      <w:r>
        <w:rPr>
          <w:rFonts w:ascii="Times New Roman" w:hAnsi="Times New Roman"/>
          <w:sz w:val="24"/>
          <w:szCs w:val="24"/>
        </w:rPr>
        <w:t>,</w:t>
      </w:r>
      <w:r w:rsidRPr="009229A7">
        <w:rPr>
          <w:rFonts w:ascii="Times New Roman" w:hAnsi="Times New Roman"/>
          <w:sz w:val="24"/>
          <w:szCs w:val="24"/>
        </w:rPr>
        <w:t xml:space="preserve"> for conviction on nine counts of controlled substance law</w:t>
      </w:r>
      <w:r>
        <w:rPr>
          <w:rFonts w:ascii="Times New Roman" w:hAnsi="Times New Roman"/>
          <w:sz w:val="24"/>
          <w:szCs w:val="24"/>
        </w:rPr>
        <w:t xml:space="preserve"> violations</w:t>
      </w:r>
      <w:r w:rsidRPr="001E4C2A">
        <w:rPr>
          <w:rFonts w:ascii="Times New Roman" w:hAnsi="Times New Roman"/>
          <w:sz w:val="24"/>
          <w:szCs w:val="24"/>
        </w:rPr>
        <w:t>)</w:t>
      </w:r>
      <w:r>
        <w:rPr>
          <w:rFonts w:ascii="Times New Roman" w:hAnsi="Times New Roman"/>
          <w:sz w:val="24"/>
          <w:szCs w:val="24"/>
        </w:rPr>
        <w:t xml:space="preserve">; and </w:t>
      </w:r>
      <w:r w:rsidRPr="001A2B38">
        <w:rPr>
          <w:rFonts w:ascii="Times New Roman" w:hAnsi="Times New Roman"/>
          <w:sz w:val="24"/>
          <w:szCs w:val="24"/>
          <w:u w:val="single"/>
        </w:rPr>
        <w:t xml:space="preserve">In the Matter of Anish </w:t>
      </w:r>
      <w:r>
        <w:rPr>
          <w:rFonts w:ascii="Times New Roman" w:hAnsi="Times New Roman"/>
          <w:sz w:val="24"/>
          <w:szCs w:val="24"/>
          <w:u w:val="single"/>
        </w:rPr>
        <w:t xml:space="preserve">B. </w:t>
      </w:r>
      <w:r w:rsidRPr="001A2B38">
        <w:rPr>
          <w:rFonts w:ascii="Times New Roman" w:hAnsi="Times New Roman"/>
          <w:sz w:val="24"/>
          <w:szCs w:val="24"/>
          <w:u w:val="single"/>
        </w:rPr>
        <w:t>Doshi, M.D.</w:t>
      </w:r>
      <w:r>
        <w:rPr>
          <w:rFonts w:ascii="Times New Roman" w:hAnsi="Times New Roman"/>
          <w:sz w:val="24"/>
          <w:szCs w:val="24"/>
        </w:rPr>
        <w:t xml:space="preserve">, Board of Registration in Medicine, Adjudicatory Case No. 02-11-XX (Consent Order, April 10, 2002)(revocation for admitting to sufficient facts for a finding guilty on 26 counts of illegal distribution of controlled substances). </w:t>
      </w:r>
    </w:p>
    <w:p w:rsidR="004267BE" w:rsidRDefault="004267BE" w:rsidP="000F3020">
      <w:pPr>
        <w:spacing w:line="480" w:lineRule="auto"/>
        <w:ind w:firstLine="720"/>
        <w:jc w:val="both"/>
      </w:pPr>
      <w:r>
        <w:t xml:space="preserve">The Board’s paramount responsibility is the protection of the public health, safety and welfare.  </w:t>
      </w:r>
      <w:r>
        <w:rPr>
          <w:u w:val="single"/>
        </w:rPr>
        <w:t>See</w:t>
      </w:r>
      <w:r>
        <w:t xml:space="preserve"> </w:t>
      </w:r>
      <w:r w:rsidRPr="000F3020">
        <w:rPr>
          <w:i/>
        </w:rPr>
        <w:t>Levy v. Board of Registration in Medicine</w:t>
      </w:r>
      <w:r>
        <w:t xml:space="preserve">, 378 </w:t>
      </w:r>
      <w:smartTag w:uri="urn:schemas-microsoft-com:office:smarttags" w:element="place">
        <w:smartTag w:uri="urn:schemas-microsoft-com:office:smarttags" w:element="State">
          <w:r>
            <w:t>Mass.</w:t>
          </w:r>
        </w:smartTag>
      </w:smartTag>
      <w:r>
        <w:t xml:space="preserve"> 519 (1979).  In light of the </w:t>
      </w:r>
      <w:r w:rsidR="0010597C">
        <w:t>Respondent’s default, which hindered the Board</w:t>
      </w:r>
      <w:r w:rsidR="00071C53">
        <w:t>’s efforts</w:t>
      </w:r>
      <w:r w:rsidR="0010597C">
        <w:t xml:space="preserve"> in its fulfillment of this responsibility, </w:t>
      </w:r>
      <w:r>
        <w:t>it is appropriate to impose a sanction in this matter.</w:t>
      </w:r>
      <w:r w:rsidR="0010597C">
        <w:t xml:space="preserve">  </w:t>
      </w:r>
      <w:r w:rsidR="00E04A73">
        <w:t xml:space="preserve">Whereby the Respondent’s license is lapsed, the </w:t>
      </w:r>
      <w:r>
        <w:t xml:space="preserve">Board hereby </w:t>
      </w:r>
      <w:r w:rsidRPr="00921814">
        <w:rPr>
          <w:b/>
        </w:rPr>
        <w:t>revokes</w:t>
      </w:r>
      <w:r>
        <w:t xml:space="preserve"> the Respondent’s </w:t>
      </w:r>
      <w:r w:rsidR="00E04A73">
        <w:t>inchoate right to renew his l</w:t>
      </w:r>
      <w:r>
        <w:t xml:space="preserve">icense to practice medicine.  This sanction is imposed for each violation of law listed in the Conclusion </w:t>
      </w:r>
      <w:r w:rsidR="00270901">
        <w:t xml:space="preserve">of Law </w:t>
      </w:r>
      <w:r>
        <w:t xml:space="preserve">section and not a combination of any or all of them. </w:t>
      </w:r>
      <w:r w:rsidR="0010597C">
        <w:t xml:space="preserve"> </w:t>
      </w:r>
    </w:p>
    <w:p w:rsidR="008C33DF" w:rsidRDefault="00EF31FC" w:rsidP="000F3020">
      <w:pPr>
        <w:spacing w:line="480" w:lineRule="auto"/>
        <w:jc w:val="both"/>
      </w:pPr>
      <w:r>
        <w:tab/>
      </w:r>
      <w:r w:rsidR="008C33DF">
        <w:t>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w:t>
      </w:r>
      <w:r w:rsidR="001A5C95">
        <w:t xml:space="preserve"> </w:t>
      </w:r>
      <w:r w:rsidR="008C33DF">
        <w:t xml:space="preserve">he becomes associated for the duration of this revocation.  The Respondent is further directed to certify to the Board within ten (10) days that </w:t>
      </w:r>
      <w:r w:rsidR="001A5C95">
        <w:t>h</w:t>
      </w:r>
      <w:r w:rsidR="008C33DF">
        <w:t>e has complied with this directive.</w:t>
      </w:r>
    </w:p>
    <w:p w:rsidR="008C33DF" w:rsidRPr="000A15F7" w:rsidRDefault="008C33DF" w:rsidP="000F3020">
      <w:pPr>
        <w:spacing w:line="480" w:lineRule="auto"/>
        <w:jc w:val="both"/>
      </w:pPr>
      <w:r w:rsidRPr="000A15F7">
        <w:tab/>
        <w:t xml:space="preserve">The Respondent has the right to appeal this Final Decision and Order within thirty (30) days, pursuant to G.L. c. 30A, §§14 and 15, and G.L. c. 112, § 64.      </w:t>
      </w:r>
    </w:p>
    <w:p w:rsidR="008C33DF" w:rsidRDefault="008C33DF" w:rsidP="000F3020">
      <w:pPr>
        <w:spacing w:line="480" w:lineRule="auto"/>
        <w:jc w:val="both"/>
      </w:pPr>
    </w:p>
    <w:p w:rsidR="008C33DF" w:rsidRPr="000A15F7" w:rsidRDefault="008C33DF" w:rsidP="000F3020">
      <w:pPr>
        <w:spacing w:line="480" w:lineRule="auto"/>
        <w:jc w:val="both"/>
      </w:pPr>
    </w:p>
    <w:p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D</w:t>
      </w:r>
      <w:r w:rsidR="00C00F70">
        <w:rPr>
          <w:rFonts w:ascii="Times New Roman" w:hAnsi="Times New Roman" w:cs="Times New Roman"/>
          <w:color w:val="000000"/>
          <w:sz w:val="24"/>
          <w:szCs w:val="24"/>
        </w:rPr>
        <w:t>ate</w:t>
      </w:r>
      <w:r w:rsidRPr="00EF31FC">
        <w:rPr>
          <w:rFonts w:ascii="Times New Roman" w:hAnsi="Times New Roman" w:cs="Times New Roman"/>
          <w:color w:val="000000"/>
          <w:sz w:val="24"/>
          <w:szCs w:val="24"/>
        </w:rPr>
        <w:t>:</w:t>
      </w:r>
      <w:r w:rsidRPr="00EF31FC">
        <w:rPr>
          <w:rFonts w:ascii="Times New Roman" w:hAnsi="Times New Roman" w:cs="Times New Roman"/>
          <w:color w:val="000000"/>
          <w:sz w:val="24"/>
          <w:szCs w:val="24"/>
        </w:rPr>
        <w:tab/>
      </w:r>
      <w:r w:rsidR="00B12BC1">
        <w:rPr>
          <w:rFonts w:ascii="Times New Roman" w:hAnsi="Times New Roman" w:cs="Times New Roman"/>
          <w:color w:val="000000"/>
          <w:sz w:val="24"/>
          <w:szCs w:val="24"/>
        </w:rPr>
        <w:t>November 21, 2018</w:t>
      </w:r>
      <w:r w:rsid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ab/>
      </w:r>
      <w:r w:rsidR="00042CD6" w:rsidRPr="00042CD6">
        <w:rPr>
          <w:rFonts w:ascii="Times New Roman" w:hAnsi="Times New Roman" w:cs="Times New Roman"/>
          <w:color w:val="000000"/>
          <w:sz w:val="24"/>
          <w:szCs w:val="24"/>
          <w:u w:val="single"/>
        </w:rPr>
        <w:t>Signed by Candace Lapidus Sloane, M.D.</w:t>
      </w:r>
    </w:p>
    <w:p w:rsidR="008C33DF" w:rsidRP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EF31FC">
        <w:rPr>
          <w:rFonts w:ascii="Times New Roman" w:hAnsi="Times New Roman" w:cs="Times New Roman"/>
          <w:color w:val="000000"/>
          <w:sz w:val="24"/>
          <w:szCs w:val="24"/>
        </w:rPr>
        <w:t>Candace Lapidus Sloane</w:t>
      </w:r>
      <w:r w:rsidRPr="00EF31FC">
        <w:rPr>
          <w:rFonts w:ascii="Times New Roman" w:hAnsi="Times New Roman" w:cs="Times New Roman"/>
          <w:color w:val="000000"/>
          <w:sz w:val="24"/>
          <w:szCs w:val="24"/>
        </w:rPr>
        <w:t>, M.D.</w:t>
      </w:r>
    </w:p>
    <w:p w:rsidR="00EF31FC" w:rsidRDefault="008C33DF" w:rsidP="000F3020">
      <w:pPr>
        <w:pStyle w:val="BodyText"/>
        <w:spacing w:line="240" w:lineRule="auto"/>
        <w:jc w:val="both"/>
        <w:rPr>
          <w:rFonts w:ascii="Times New Roman" w:hAnsi="Times New Roman" w:cs="Times New Roman"/>
          <w:color w:val="000000"/>
          <w:sz w:val="24"/>
          <w:szCs w:val="24"/>
        </w:rPr>
      </w:pP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Pr="00EF31FC">
        <w:rPr>
          <w:rFonts w:ascii="Times New Roman" w:hAnsi="Times New Roman" w:cs="Times New Roman"/>
          <w:color w:val="000000"/>
          <w:sz w:val="24"/>
          <w:szCs w:val="24"/>
        </w:rPr>
        <w:tab/>
      </w:r>
      <w:r w:rsidR="00C00F70">
        <w:rPr>
          <w:rFonts w:ascii="Times New Roman" w:hAnsi="Times New Roman" w:cs="Times New Roman"/>
          <w:color w:val="000000"/>
          <w:sz w:val="24"/>
          <w:szCs w:val="24"/>
        </w:rPr>
        <w:t xml:space="preserve">Board </w:t>
      </w:r>
      <w:r w:rsidRPr="00EF31FC">
        <w:rPr>
          <w:rFonts w:ascii="Times New Roman" w:hAnsi="Times New Roman" w:cs="Times New Roman"/>
          <w:color w:val="000000"/>
          <w:sz w:val="24"/>
          <w:szCs w:val="24"/>
        </w:rPr>
        <w:t>Chair</w:t>
      </w:r>
      <w:r w:rsidRPr="00EF31FC">
        <w:rPr>
          <w:rFonts w:ascii="Times New Roman" w:hAnsi="Times New Roman" w:cs="Times New Roman"/>
          <w:color w:val="000000"/>
          <w:sz w:val="24"/>
          <w:szCs w:val="24"/>
        </w:rPr>
        <w:tab/>
      </w:r>
    </w:p>
    <w:p w:rsidR="008C33DF" w:rsidRPr="000A15F7" w:rsidRDefault="00EF31FC" w:rsidP="000F3020">
      <w:pPr>
        <w:pStyle w:val="BodyText"/>
        <w:spacing w:line="240" w:lineRule="auto"/>
        <w:jc w:val="both"/>
        <w:rPr>
          <w:color w:val="000000"/>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EF31FC">
        <w:rPr>
          <w:rFonts w:ascii="Times New Roman" w:hAnsi="Times New Roman" w:cs="Times New Roman"/>
          <w:color w:val="000000"/>
          <w:sz w:val="24"/>
          <w:szCs w:val="24"/>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r w:rsidR="008C33DF" w:rsidRPr="000A15F7">
        <w:rPr>
          <w:color w:val="000000"/>
        </w:rPr>
        <w:tab/>
      </w:r>
    </w:p>
    <w:p w:rsidR="00202590" w:rsidRDefault="00202590" w:rsidP="008C33DF">
      <w:pPr>
        <w:pStyle w:val="le-brm-normal-32-level"/>
        <w:spacing w:line="480" w:lineRule="auto"/>
      </w:pPr>
    </w:p>
    <w:sectPr w:rsidR="00202590" w:rsidSect="00C4203E">
      <w:headerReference w:type="even" r:id="rId9"/>
      <w:headerReference w:type="default" r:id="rId10"/>
      <w:footerReference w:type="even" r:id="rId11"/>
      <w:footerReference w:type="default" r:id="rId12"/>
      <w:pgSz w:w="12240" w:h="15840" w:code="1"/>
      <w:pgMar w:top="1440" w:right="144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43ED" w:rsidRDefault="00E743ED">
      <w:r>
        <w:separator/>
      </w:r>
    </w:p>
  </w:endnote>
  <w:endnote w:type="continuationSeparator" w:id="0">
    <w:p w:rsidR="00E743ED" w:rsidRDefault="00E74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4194" w:rsidRDefault="00A3419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Pr="00E548EC" w:rsidRDefault="00A34194">
    <w:pPr>
      <w:pStyle w:val="Footer"/>
      <w:framePr w:wrap="around" w:vAnchor="text" w:hAnchor="margin" w:xAlign="center" w:y="1"/>
      <w:rPr>
        <w:rStyle w:val="PageNumber"/>
        <w:rFonts w:ascii="Times New Roman" w:hAnsi="Times New Roman"/>
      </w:rPr>
    </w:pPr>
    <w:r w:rsidRPr="00E548EC">
      <w:rPr>
        <w:rStyle w:val="PageNumber"/>
        <w:rFonts w:ascii="Times New Roman" w:hAnsi="Times New Roman"/>
      </w:rPr>
      <w:fldChar w:fldCharType="begin"/>
    </w:r>
    <w:r w:rsidRPr="00E548EC">
      <w:rPr>
        <w:rStyle w:val="PageNumber"/>
        <w:rFonts w:ascii="Times New Roman" w:hAnsi="Times New Roman"/>
      </w:rPr>
      <w:instrText xml:space="preserve">PAGE  </w:instrText>
    </w:r>
    <w:r w:rsidRPr="00E548EC">
      <w:rPr>
        <w:rStyle w:val="PageNumber"/>
        <w:rFonts w:ascii="Times New Roman" w:hAnsi="Times New Roman"/>
      </w:rPr>
      <w:fldChar w:fldCharType="separate"/>
    </w:r>
    <w:r w:rsidR="0017117D">
      <w:rPr>
        <w:rStyle w:val="PageNumber"/>
        <w:rFonts w:ascii="Times New Roman" w:hAnsi="Times New Roman"/>
        <w:noProof/>
      </w:rPr>
      <w:t>6</w:t>
    </w:r>
    <w:r w:rsidRPr="00E548EC">
      <w:rPr>
        <w:rStyle w:val="PageNumber"/>
        <w:rFonts w:ascii="Times New Roman" w:hAnsi="Times New Roman"/>
      </w:rPr>
      <w:fldChar w:fldCharType="end"/>
    </w:r>
  </w:p>
  <w:p w:rsidR="00A34194" w:rsidRDefault="00A3419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43ED" w:rsidRDefault="00E743ED">
      <w:r>
        <w:separator/>
      </w:r>
    </w:p>
  </w:footnote>
  <w:footnote w:type="continuationSeparator" w:id="0">
    <w:p w:rsidR="00E743ED" w:rsidRDefault="00E743ED">
      <w:r>
        <w:continuationSeparator/>
      </w:r>
    </w:p>
  </w:footnote>
  <w:footnote w:id="1">
    <w:p w:rsidR="00647E2D" w:rsidRDefault="00647E2D">
      <w:pPr>
        <w:pStyle w:val="FootnoteText"/>
      </w:pPr>
      <w:r>
        <w:rPr>
          <w:rStyle w:val="FootnoteReference"/>
        </w:rPr>
        <w:footnoteRef/>
      </w:r>
      <w:r>
        <w:t xml:space="preserve"> </w:t>
      </w:r>
      <w:r w:rsidR="00270901">
        <w:t xml:space="preserve">The Board corrects </w:t>
      </w:r>
      <w:r>
        <w:t xml:space="preserve"> a scrivener’s error</w:t>
      </w:r>
      <w:r w:rsidR="00270901">
        <w:t xml:space="preserve"> found in the SOA </w:t>
      </w:r>
      <w:r>
        <w:t xml:space="preserve">under Legal Basis for Proposed Relief (paragraph C-5) which  states that pursuant to G.L. 94C, </w:t>
      </w:r>
      <w:r w:rsidRPr="008B55E0">
        <w:rPr>
          <w:rFonts w:eastAsiaTheme="minorHAnsi"/>
        </w:rPr>
        <w:t>§</w:t>
      </w:r>
      <w:r>
        <w:rPr>
          <w:rFonts w:eastAsiaTheme="minorHAnsi"/>
        </w:rPr>
        <w:t xml:space="preserve"> 19(a), that the Board may discipline a physician who issues prescriptions for a controlled substance for legitimated purposes  and in the usual course of the physician’s medical practice.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34194" w:rsidRDefault="00A34194">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194" w:rsidRDefault="00A34194">
    <w:pPr>
      <w:pStyle w:val="Header"/>
      <w:framePr w:wrap="around" w:vAnchor="text" w:hAnchor="margin" w:xAlign="center" w:y="1"/>
      <w:rPr>
        <w:rStyle w:val="PageNumber"/>
      </w:rPr>
    </w:pPr>
  </w:p>
  <w:p w:rsidR="00A34194" w:rsidRDefault="00A34194">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64C58"/>
    <w:multiLevelType w:val="hybridMultilevel"/>
    <w:tmpl w:val="959AA83A"/>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8D1400"/>
    <w:multiLevelType w:val="hybridMultilevel"/>
    <w:tmpl w:val="5E80E474"/>
    <w:lvl w:ilvl="0" w:tplc="117E57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937DAD"/>
    <w:multiLevelType w:val="hybridMultilevel"/>
    <w:tmpl w:val="6D7C883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78C466E"/>
    <w:multiLevelType w:val="hybridMultilevel"/>
    <w:tmpl w:val="7960D560"/>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4">
    <w:nsid w:val="086377E1"/>
    <w:multiLevelType w:val="hybridMultilevel"/>
    <w:tmpl w:val="5B067430"/>
    <w:lvl w:ilvl="0" w:tplc="CBCC10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1277E7"/>
    <w:multiLevelType w:val="hybridMultilevel"/>
    <w:tmpl w:val="7E6C80F4"/>
    <w:lvl w:ilvl="0" w:tplc="AD90FFAE">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351BBC"/>
    <w:multiLevelType w:val="hybridMultilevel"/>
    <w:tmpl w:val="7838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B4921"/>
    <w:multiLevelType w:val="hybridMultilevel"/>
    <w:tmpl w:val="A5AADCBC"/>
    <w:lvl w:ilvl="0" w:tplc="486224FA">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CFD24E9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A58510A"/>
    <w:multiLevelType w:val="hybridMultilevel"/>
    <w:tmpl w:val="6F8A92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10">
    <w:nsid w:val="1EBE0CD0"/>
    <w:multiLevelType w:val="hybridMultilevel"/>
    <w:tmpl w:val="99A27E0E"/>
    <w:lvl w:ilvl="0" w:tplc="80C44C96">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D33A94"/>
    <w:multiLevelType w:val="hybridMultilevel"/>
    <w:tmpl w:val="389C43E8"/>
    <w:lvl w:ilvl="0" w:tplc="9A785B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6537464"/>
    <w:multiLevelType w:val="multilevel"/>
    <w:tmpl w:val="1E087344"/>
    <w:lvl w:ilvl="0">
      <w:start w:val="1"/>
      <w:numFmt w:val="upperLetter"/>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A0A04DE"/>
    <w:multiLevelType w:val="hybridMultilevel"/>
    <w:tmpl w:val="88408088"/>
    <w:lvl w:ilvl="0" w:tplc="94D41F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AB4016B"/>
    <w:multiLevelType w:val="hybridMultilevel"/>
    <w:tmpl w:val="39EC5A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0A57966"/>
    <w:multiLevelType w:val="hybridMultilevel"/>
    <w:tmpl w:val="432C7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33078A"/>
    <w:multiLevelType w:val="hybridMultilevel"/>
    <w:tmpl w:val="1E087344"/>
    <w:lvl w:ilvl="0" w:tplc="6B8EA66A">
      <w:start w:val="1"/>
      <w:numFmt w:val="upperLetter"/>
      <w:lvlText w:val="%1."/>
      <w:lvlJc w:val="left"/>
      <w:pPr>
        <w:tabs>
          <w:tab w:val="num" w:pos="1080"/>
        </w:tabs>
        <w:ind w:left="1080" w:hanging="720"/>
      </w:pPr>
      <w:rPr>
        <w:rFonts w:hint="default"/>
      </w:rPr>
    </w:lvl>
    <w:lvl w:ilvl="1" w:tplc="04090011">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0938C0"/>
    <w:multiLevelType w:val="hybridMultilevel"/>
    <w:tmpl w:val="39083694"/>
    <w:lvl w:ilvl="0" w:tplc="86E6C5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67C769F"/>
    <w:multiLevelType w:val="hybridMultilevel"/>
    <w:tmpl w:val="20DC0BB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94559DA"/>
    <w:multiLevelType w:val="hybridMultilevel"/>
    <w:tmpl w:val="F662B006"/>
    <w:lvl w:ilvl="0" w:tplc="CABE57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BE631BD"/>
    <w:multiLevelType w:val="hybridMultilevel"/>
    <w:tmpl w:val="640455EE"/>
    <w:lvl w:ilvl="0" w:tplc="8A2661A2">
      <w:start w:val="1"/>
      <w:numFmt w:val="upperLetter"/>
      <w:lvlText w:val="%1."/>
      <w:lvlJc w:val="left"/>
      <w:pPr>
        <w:ind w:left="1080" w:hanging="360"/>
      </w:pPr>
      <w:rPr>
        <w:rFonts w:hint="default"/>
      </w:rPr>
    </w:lvl>
    <w:lvl w:ilvl="1" w:tplc="4AC8465C">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E631B2"/>
    <w:multiLevelType w:val="hybridMultilevel"/>
    <w:tmpl w:val="4A365C08"/>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2">
    <w:nsid w:val="4C80110B"/>
    <w:multiLevelType w:val="hybridMultilevel"/>
    <w:tmpl w:val="FF3AF522"/>
    <w:lvl w:ilvl="0" w:tplc="D0388620">
      <w:start w:val="1"/>
      <w:numFmt w:val="decimal"/>
      <w:lvlText w:val="%1."/>
      <w:lvlJc w:val="left"/>
      <w:pPr>
        <w:ind w:left="108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33A2DAD"/>
    <w:multiLevelType w:val="hybridMultilevel"/>
    <w:tmpl w:val="321CA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6AE221E"/>
    <w:multiLevelType w:val="multilevel"/>
    <w:tmpl w:val="B9E05476"/>
    <w:lvl w:ilvl="0">
      <w:start w:val="1"/>
      <w:numFmt w:val="upperLetter"/>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8FC785A"/>
    <w:multiLevelType w:val="hybridMultilevel"/>
    <w:tmpl w:val="39EEC768"/>
    <w:lvl w:ilvl="0" w:tplc="6BA29512">
      <w:start w:val="16"/>
      <w:numFmt w:val="upperLetter"/>
      <w:lvlText w:val="%1."/>
      <w:lvlJc w:val="left"/>
      <w:pPr>
        <w:tabs>
          <w:tab w:val="num" w:pos="475"/>
        </w:tabs>
        <w:ind w:left="475" w:hanging="360"/>
      </w:pPr>
      <w:rPr>
        <w:rFonts w:hint="default"/>
      </w:rPr>
    </w:lvl>
    <w:lvl w:ilvl="1" w:tplc="04090019" w:tentative="1">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26">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5C7393"/>
    <w:multiLevelType w:val="hybridMultilevel"/>
    <w:tmpl w:val="A5C2745A"/>
    <w:lvl w:ilvl="0" w:tplc="965A8854">
      <w:start w:val="6"/>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6"/>
  </w:num>
  <w:num w:numId="3">
    <w:abstractNumId w:val="16"/>
  </w:num>
  <w:num w:numId="4">
    <w:abstractNumId w:val="27"/>
  </w:num>
  <w:num w:numId="5">
    <w:abstractNumId w:val="24"/>
  </w:num>
  <w:num w:numId="6">
    <w:abstractNumId w:val="12"/>
  </w:num>
  <w:num w:numId="7">
    <w:abstractNumId w:val="25"/>
  </w:num>
  <w:num w:numId="8">
    <w:abstractNumId w:val="6"/>
  </w:num>
  <w:num w:numId="9">
    <w:abstractNumId w:val="15"/>
  </w:num>
  <w:num w:numId="10">
    <w:abstractNumId w:val="23"/>
  </w:num>
  <w:num w:numId="11">
    <w:abstractNumId w:val="2"/>
  </w:num>
  <w:num w:numId="12">
    <w:abstractNumId w:val="8"/>
  </w:num>
  <w:num w:numId="13">
    <w:abstractNumId w:val="7"/>
  </w:num>
  <w:num w:numId="14">
    <w:abstractNumId w:val="4"/>
  </w:num>
  <w:num w:numId="15">
    <w:abstractNumId w:val="13"/>
  </w:num>
  <w:num w:numId="16">
    <w:abstractNumId w:val="0"/>
  </w:num>
  <w:num w:numId="17">
    <w:abstractNumId w:val="18"/>
  </w:num>
  <w:num w:numId="18">
    <w:abstractNumId w:val="14"/>
  </w:num>
  <w:num w:numId="19">
    <w:abstractNumId w:val="5"/>
  </w:num>
  <w:num w:numId="20">
    <w:abstractNumId w:val="20"/>
  </w:num>
  <w:num w:numId="21">
    <w:abstractNumId w:val="19"/>
  </w:num>
  <w:num w:numId="22">
    <w:abstractNumId w:val="10"/>
  </w:num>
  <w:num w:numId="23">
    <w:abstractNumId w:val="17"/>
  </w:num>
  <w:num w:numId="24">
    <w:abstractNumId w:val="1"/>
  </w:num>
  <w:num w:numId="25">
    <w:abstractNumId w:val="22"/>
  </w:num>
  <w:num w:numId="26">
    <w:abstractNumId w:val="11"/>
  </w:num>
  <w:num w:numId="27">
    <w:abstractNumId w:val="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F39"/>
    <w:rsid w:val="00004F4D"/>
    <w:rsid w:val="00022F93"/>
    <w:rsid w:val="000343FD"/>
    <w:rsid w:val="000418F9"/>
    <w:rsid w:val="00042CD6"/>
    <w:rsid w:val="00052490"/>
    <w:rsid w:val="00067CC8"/>
    <w:rsid w:val="00071C53"/>
    <w:rsid w:val="00073748"/>
    <w:rsid w:val="000817AE"/>
    <w:rsid w:val="0009048F"/>
    <w:rsid w:val="00093669"/>
    <w:rsid w:val="000B3CFE"/>
    <w:rsid w:val="000B5933"/>
    <w:rsid w:val="000E2293"/>
    <w:rsid w:val="000E6CD3"/>
    <w:rsid w:val="000F3020"/>
    <w:rsid w:val="0010597C"/>
    <w:rsid w:val="001162E7"/>
    <w:rsid w:val="00117F3C"/>
    <w:rsid w:val="00125D4F"/>
    <w:rsid w:val="001453B5"/>
    <w:rsid w:val="00145FD1"/>
    <w:rsid w:val="0017117D"/>
    <w:rsid w:val="0017382B"/>
    <w:rsid w:val="00177D1A"/>
    <w:rsid w:val="00181B18"/>
    <w:rsid w:val="001907DB"/>
    <w:rsid w:val="001A34CA"/>
    <w:rsid w:val="001A5C95"/>
    <w:rsid w:val="001B3055"/>
    <w:rsid w:val="001B6431"/>
    <w:rsid w:val="001C5D32"/>
    <w:rsid w:val="001E7A7D"/>
    <w:rsid w:val="00202590"/>
    <w:rsid w:val="00204059"/>
    <w:rsid w:val="00235DD6"/>
    <w:rsid w:val="00246535"/>
    <w:rsid w:val="00270901"/>
    <w:rsid w:val="002A2779"/>
    <w:rsid w:val="002A4108"/>
    <w:rsid w:val="002B5A27"/>
    <w:rsid w:val="002C737A"/>
    <w:rsid w:val="002D74D3"/>
    <w:rsid w:val="002D7F98"/>
    <w:rsid w:val="00306096"/>
    <w:rsid w:val="00306A0B"/>
    <w:rsid w:val="0034525B"/>
    <w:rsid w:val="003469E2"/>
    <w:rsid w:val="00346AD1"/>
    <w:rsid w:val="00347263"/>
    <w:rsid w:val="00352437"/>
    <w:rsid w:val="00391026"/>
    <w:rsid w:val="00396EE2"/>
    <w:rsid w:val="003A01E2"/>
    <w:rsid w:val="003B7CD7"/>
    <w:rsid w:val="003C6F39"/>
    <w:rsid w:val="00411BA7"/>
    <w:rsid w:val="004165E7"/>
    <w:rsid w:val="00416B6A"/>
    <w:rsid w:val="004267BE"/>
    <w:rsid w:val="00452250"/>
    <w:rsid w:val="00456B65"/>
    <w:rsid w:val="004629C0"/>
    <w:rsid w:val="004720CD"/>
    <w:rsid w:val="00483A2F"/>
    <w:rsid w:val="004A56C7"/>
    <w:rsid w:val="004C47A4"/>
    <w:rsid w:val="00506A4D"/>
    <w:rsid w:val="005739EE"/>
    <w:rsid w:val="00591687"/>
    <w:rsid w:val="005A50F7"/>
    <w:rsid w:val="005A756F"/>
    <w:rsid w:val="005B412A"/>
    <w:rsid w:val="005F22AE"/>
    <w:rsid w:val="00602436"/>
    <w:rsid w:val="0063480C"/>
    <w:rsid w:val="006374FC"/>
    <w:rsid w:val="00641A99"/>
    <w:rsid w:val="00647E2D"/>
    <w:rsid w:val="0065684F"/>
    <w:rsid w:val="0066324F"/>
    <w:rsid w:val="006847BF"/>
    <w:rsid w:val="00684D59"/>
    <w:rsid w:val="00690083"/>
    <w:rsid w:val="0069068E"/>
    <w:rsid w:val="006C61F4"/>
    <w:rsid w:val="006F65EE"/>
    <w:rsid w:val="007268B5"/>
    <w:rsid w:val="00735F39"/>
    <w:rsid w:val="00746A43"/>
    <w:rsid w:val="007507CD"/>
    <w:rsid w:val="00756E28"/>
    <w:rsid w:val="007848AB"/>
    <w:rsid w:val="00796BD8"/>
    <w:rsid w:val="007B6030"/>
    <w:rsid w:val="007C0370"/>
    <w:rsid w:val="007E6878"/>
    <w:rsid w:val="007F5BEA"/>
    <w:rsid w:val="00827D49"/>
    <w:rsid w:val="00845A64"/>
    <w:rsid w:val="00866515"/>
    <w:rsid w:val="008831E1"/>
    <w:rsid w:val="008A317B"/>
    <w:rsid w:val="008A7688"/>
    <w:rsid w:val="008B55E0"/>
    <w:rsid w:val="008B6DB5"/>
    <w:rsid w:val="008C33DF"/>
    <w:rsid w:val="008C38D8"/>
    <w:rsid w:val="008D1F93"/>
    <w:rsid w:val="008D50A9"/>
    <w:rsid w:val="008E47E6"/>
    <w:rsid w:val="00905419"/>
    <w:rsid w:val="00905EE5"/>
    <w:rsid w:val="0091226F"/>
    <w:rsid w:val="00930EE1"/>
    <w:rsid w:val="0096561E"/>
    <w:rsid w:val="00970171"/>
    <w:rsid w:val="00972698"/>
    <w:rsid w:val="00973908"/>
    <w:rsid w:val="009C19A7"/>
    <w:rsid w:val="009E193C"/>
    <w:rsid w:val="009F3A17"/>
    <w:rsid w:val="00A13C95"/>
    <w:rsid w:val="00A318F1"/>
    <w:rsid w:val="00A34194"/>
    <w:rsid w:val="00A43757"/>
    <w:rsid w:val="00A67708"/>
    <w:rsid w:val="00A92CF6"/>
    <w:rsid w:val="00AC234D"/>
    <w:rsid w:val="00AD2E9A"/>
    <w:rsid w:val="00AE38D7"/>
    <w:rsid w:val="00B057A5"/>
    <w:rsid w:val="00B12BC1"/>
    <w:rsid w:val="00B23585"/>
    <w:rsid w:val="00B326C0"/>
    <w:rsid w:val="00B3498E"/>
    <w:rsid w:val="00B36052"/>
    <w:rsid w:val="00B3669F"/>
    <w:rsid w:val="00B57B91"/>
    <w:rsid w:val="00B6433B"/>
    <w:rsid w:val="00BA0A08"/>
    <w:rsid w:val="00BC5DCF"/>
    <w:rsid w:val="00BD1CA6"/>
    <w:rsid w:val="00BD7C3B"/>
    <w:rsid w:val="00BF7356"/>
    <w:rsid w:val="00BF7F9C"/>
    <w:rsid w:val="00C00F70"/>
    <w:rsid w:val="00C145EF"/>
    <w:rsid w:val="00C14AA5"/>
    <w:rsid w:val="00C176A2"/>
    <w:rsid w:val="00C37985"/>
    <w:rsid w:val="00C4203E"/>
    <w:rsid w:val="00C6202A"/>
    <w:rsid w:val="00C942BE"/>
    <w:rsid w:val="00C9585F"/>
    <w:rsid w:val="00CB16BC"/>
    <w:rsid w:val="00CB1993"/>
    <w:rsid w:val="00CE69AD"/>
    <w:rsid w:val="00CF3A14"/>
    <w:rsid w:val="00CF54D5"/>
    <w:rsid w:val="00D04957"/>
    <w:rsid w:val="00D16CB8"/>
    <w:rsid w:val="00D22DAD"/>
    <w:rsid w:val="00D25D16"/>
    <w:rsid w:val="00D32FF7"/>
    <w:rsid w:val="00D3353B"/>
    <w:rsid w:val="00D37A8E"/>
    <w:rsid w:val="00D52BEF"/>
    <w:rsid w:val="00D54C20"/>
    <w:rsid w:val="00D708DD"/>
    <w:rsid w:val="00D746F5"/>
    <w:rsid w:val="00D9588E"/>
    <w:rsid w:val="00DC573C"/>
    <w:rsid w:val="00E04A73"/>
    <w:rsid w:val="00E35BAE"/>
    <w:rsid w:val="00E548EC"/>
    <w:rsid w:val="00E743ED"/>
    <w:rsid w:val="00E76502"/>
    <w:rsid w:val="00E773BB"/>
    <w:rsid w:val="00E85BEF"/>
    <w:rsid w:val="00EB3AB0"/>
    <w:rsid w:val="00ED7646"/>
    <w:rsid w:val="00EF31FC"/>
    <w:rsid w:val="00EF6016"/>
    <w:rsid w:val="00F234E8"/>
    <w:rsid w:val="00F54FF1"/>
    <w:rsid w:val="00F64827"/>
    <w:rsid w:val="00F67DB3"/>
    <w:rsid w:val="00F75A60"/>
    <w:rsid w:val="00F8656F"/>
    <w:rsid w:val="00FA3708"/>
    <w:rsid w:val="00FA4E49"/>
    <w:rsid w:val="00FA76FD"/>
    <w:rsid w:val="00FD509B"/>
    <w:rsid w:val="00FD66ED"/>
    <w:rsid w:val="00FF5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rFonts w:ascii="Arial" w:hAnsi="Arial" w:cs="Arial"/>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cs="Arial"/>
      <w:sz w:val="26"/>
      <w:szCs w:val="20"/>
    </w:rPr>
  </w:style>
  <w:style w:type="character" w:styleId="PageNumber">
    <w:name w:val="page number"/>
    <w:basedOn w:val="DefaultParagraphFont"/>
  </w:style>
  <w:style w:type="paragraph" w:styleId="BodyText">
    <w:name w:val="Body Text"/>
    <w:basedOn w:val="Normal"/>
    <w:pPr>
      <w:spacing w:line="480" w:lineRule="auto"/>
    </w:pPr>
    <w:rPr>
      <w:rFonts w:ascii="Arial" w:hAnsi="Arial" w:cs="Arial"/>
      <w:sz w:val="26"/>
      <w:szCs w:val="20"/>
    </w:rPr>
  </w:style>
  <w:style w:type="paragraph" w:styleId="BodyText2">
    <w:name w:val="Body Text 2"/>
    <w:basedOn w:val="Normal"/>
    <w:pPr>
      <w:spacing w:line="480" w:lineRule="atLeast"/>
      <w:jc w:val="both"/>
    </w:pPr>
    <w:rPr>
      <w:rFonts w:ascii="Arial" w:hAnsi="Arial" w:cs="Arial"/>
      <w:szCs w:val="20"/>
    </w:rPr>
  </w:style>
  <w:style w:type="paragraph" w:styleId="Title">
    <w:name w:val="Title"/>
    <w:basedOn w:val="Normal"/>
    <w:qFormat/>
    <w:pPr>
      <w:jc w:val="center"/>
    </w:pPr>
    <w:rPr>
      <w:rFonts w:ascii="Arial" w:hAnsi="Arial" w:cs="Arial"/>
      <w:b/>
      <w:sz w:val="26"/>
      <w:szCs w:val="20"/>
    </w:rPr>
  </w:style>
  <w:style w:type="paragraph" w:styleId="Footer">
    <w:name w:val="footer"/>
    <w:basedOn w:val="Normal"/>
    <w:pPr>
      <w:tabs>
        <w:tab w:val="center" w:pos="4320"/>
        <w:tab w:val="right" w:pos="8640"/>
      </w:tabs>
    </w:pPr>
    <w:rPr>
      <w:rFonts w:ascii="Arial" w:hAnsi="Arial"/>
    </w:rPr>
  </w:style>
  <w:style w:type="paragraph" w:styleId="BodyTextIndent">
    <w:name w:val="Body Text Indent"/>
    <w:basedOn w:val="Normal"/>
    <w:pPr>
      <w:spacing w:line="480" w:lineRule="auto"/>
      <w:ind w:firstLine="720"/>
      <w:jc w:val="both"/>
    </w:pPr>
  </w:style>
  <w:style w:type="paragraph" w:styleId="BalloonText">
    <w:name w:val="Balloon Text"/>
    <w:basedOn w:val="Normal"/>
    <w:link w:val="BalloonTextChar"/>
    <w:rsid w:val="00BC5DCF"/>
    <w:rPr>
      <w:rFonts w:ascii="Tahoma" w:hAnsi="Tahoma" w:cs="Tahoma"/>
      <w:sz w:val="16"/>
      <w:szCs w:val="16"/>
    </w:rPr>
  </w:style>
  <w:style w:type="character" w:customStyle="1" w:styleId="BalloonTextChar">
    <w:name w:val="Balloon Text Char"/>
    <w:link w:val="BalloonText"/>
    <w:rsid w:val="00BC5DCF"/>
    <w:rPr>
      <w:rFonts w:ascii="Tahoma" w:hAnsi="Tahoma" w:cs="Tahoma"/>
      <w:sz w:val="16"/>
      <w:szCs w:val="16"/>
    </w:rPr>
  </w:style>
  <w:style w:type="paragraph" w:styleId="ListParagraph">
    <w:name w:val="List Paragraph"/>
    <w:basedOn w:val="Normal"/>
    <w:uiPriority w:val="34"/>
    <w:qFormat/>
    <w:rsid w:val="00ED7646"/>
    <w:pPr>
      <w:ind w:left="720"/>
    </w:pPr>
  </w:style>
  <w:style w:type="paragraph" w:customStyle="1" w:styleId="le-brm-normal-32-level">
    <w:name w:val="le-brm-normal-32-level"/>
    <w:basedOn w:val="Normal"/>
    <w:rsid w:val="008A7688"/>
    <w:pPr>
      <w:spacing w:before="15" w:after="15"/>
    </w:pPr>
    <w:rPr>
      <w:rFonts w:ascii="Courier New" w:hAnsi="Courier New"/>
      <w:color w:val="000000"/>
      <w:sz w:val="20"/>
      <w:szCs w:val="20"/>
    </w:rPr>
  </w:style>
  <w:style w:type="paragraph" w:styleId="FootnoteText">
    <w:name w:val="footnote text"/>
    <w:basedOn w:val="Normal"/>
    <w:link w:val="FootnoteTextChar"/>
    <w:rsid w:val="008C33DF"/>
    <w:rPr>
      <w:sz w:val="20"/>
      <w:szCs w:val="20"/>
    </w:rPr>
  </w:style>
  <w:style w:type="character" w:customStyle="1" w:styleId="FootnoteTextChar">
    <w:name w:val="Footnote Text Char"/>
    <w:basedOn w:val="DefaultParagraphFont"/>
    <w:link w:val="FootnoteText"/>
    <w:rsid w:val="008C33DF"/>
  </w:style>
  <w:style w:type="character" w:styleId="FootnoteReference">
    <w:name w:val="footnote reference"/>
    <w:rsid w:val="008C33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464471">
      <w:bodyDiv w:val="1"/>
      <w:marLeft w:val="0"/>
      <w:marRight w:val="0"/>
      <w:marTop w:val="0"/>
      <w:marBottom w:val="0"/>
      <w:divBdr>
        <w:top w:val="none" w:sz="0" w:space="0" w:color="auto"/>
        <w:left w:val="none" w:sz="0" w:space="0" w:color="auto"/>
        <w:bottom w:val="none" w:sz="0" w:space="0" w:color="auto"/>
        <w:right w:val="none" w:sz="0" w:space="0" w:color="auto"/>
      </w:divBdr>
    </w:div>
    <w:div w:id="73393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51CA0-BFD8-40B5-B6AF-08DF056AA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1484</Words>
  <Characters>8464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9929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BORIM</dc:creator>
  <cp:lastModifiedBy> </cp:lastModifiedBy>
  <cp:revision>2</cp:revision>
  <cp:lastPrinted>2018-11-20T16:05:00Z</cp:lastPrinted>
  <dcterms:created xsi:type="dcterms:W3CDTF">2018-12-04T15:22:00Z</dcterms:created>
  <dcterms:modified xsi:type="dcterms:W3CDTF">2018-12-04T15:22:00Z</dcterms:modified>
</cp:coreProperties>
</file>