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520AF" w14:textId="77777777" w:rsidR="00C15ED1" w:rsidRDefault="00C15ED1">
      <w:pPr>
        <w:jc w:val="center"/>
        <w:rPr>
          <w:rFonts w:ascii="Arial"/>
          <w:sz w:val="14"/>
        </w:rPr>
        <w:sectPr w:rsidR="00C15ED1" w:rsidSect="00713D41">
          <w:footerReference w:type="default" r:id="rId8"/>
          <w:type w:val="continuous"/>
          <w:pgSz w:w="12240" w:h="15840"/>
          <w:pgMar w:top="560" w:right="260" w:bottom="1260" w:left="640" w:header="0" w:footer="1063" w:gutter="0"/>
          <w:pgNumType w:start="1"/>
          <w:cols w:num="3" w:space="720" w:equalWidth="0">
            <w:col w:w="1958" w:space="582"/>
            <w:col w:w="6226" w:space="39"/>
            <w:col w:w="2535"/>
          </w:cols>
        </w:sectPr>
      </w:pPr>
    </w:p>
    <w:p w14:paraId="5DFAD731" w14:textId="77777777" w:rsidR="00AE7757" w:rsidRDefault="00AE7757" w:rsidP="00AE7757">
      <w:pPr>
        <w:rPr>
          <w:rFonts w:ascii="Arial" w:hAnsi="Arial"/>
          <w:sz w:val="36"/>
        </w:rPr>
      </w:pPr>
      <w:r>
        <w:rPr>
          <w:rFonts w:ascii="LinePrinter" w:hAnsi="LinePrinter"/>
          <w:noProof/>
        </w:rPr>
        <w:drawing>
          <wp:inline distT="0" distB="0" distL="0" distR="0" wp14:anchorId="6DB47895" wp14:editId="3F82E477">
            <wp:extent cx="791110" cy="943790"/>
            <wp:effectExtent l="0" t="0" r="9525" b="8890"/>
            <wp:docPr id="933996720" name="Picture 933996720"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Pr>
          <w:rFonts w:ascii="Arial" w:hAnsi="Arial"/>
          <w:sz w:val="36"/>
        </w:rPr>
        <w:tab/>
        <w:t>The Commonwealth of Massachusetts</w:t>
      </w:r>
    </w:p>
    <w:p w14:paraId="7B1E4E6F" w14:textId="77777777" w:rsidR="00AE7757" w:rsidRDefault="00AE7757" w:rsidP="00AE7757">
      <w:pPr>
        <w:pStyle w:val="ExecOffice"/>
        <w:framePr w:w="0" w:hSpace="0" w:wrap="auto" w:vAnchor="margin" w:hAnchor="text" w:xAlign="left" w:yAlign="inline"/>
      </w:pPr>
      <w:r>
        <w:t>Executive Office of Health and Human Services</w:t>
      </w:r>
    </w:p>
    <w:p w14:paraId="54B3FE25" w14:textId="77777777" w:rsidR="00AE7757" w:rsidRDefault="00AE7757" w:rsidP="00AE7757">
      <w:pPr>
        <w:pStyle w:val="ExecOffice"/>
        <w:framePr w:w="0" w:hSpace="0" w:wrap="auto" w:vAnchor="margin" w:hAnchor="text" w:xAlign="left" w:yAlign="inline"/>
      </w:pPr>
      <w:r>
        <w:t>Department of Public Health</w:t>
      </w:r>
    </w:p>
    <w:p w14:paraId="1829BB2B" w14:textId="77777777" w:rsidR="00AE7757" w:rsidRDefault="00AE7757" w:rsidP="00AE7757">
      <w:pPr>
        <w:pStyle w:val="ExecOffice"/>
        <w:framePr w:w="0" w:hSpace="0" w:wrap="auto" w:vAnchor="margin" w:hAnchor="text" w:xAlign="left" w:yAlign="inline"/>
      </w:pPr>
      <w:r>
        <w:t>250 Washington Street, Boston, MA 02108-4619</w:t>
      </w:r>
    </w:p>
    <w:p w14:paraId="13FE1F6A" w14:textId="77777777" w:rsidR="00AE7757" w:rsidRDefault="00AE7757" w:rsidP="00AE7757">
      <w:pPr>
        <w:ind w:right="2340"/>
        <w:contextualSpacing/>
        <w:rPr>
          <w:rFonts w:ascii="Arial Rounded MT Bold" w:hAnsi="Arial Rounded MT Bold"/>
          <w:sz w:val="16"/>
        </w:rPr>
        <w:sectPr w:rsidR="00AE7757" w:rsidSect="00713D41">
          <w:headerReference w:type="even" r:id="rId10"/>
          <w:footerReference w:type="default" r:id="rId11"/>
          <w:headerReference w:type="first" r:id="rId12"/>
          <w:type w:val="continuous"/>
          <w:pgSz w:w="12240" w:h="15840"/>
          <w:pgMar w:top="540" w:right="260" w:bottom="1260" w:left="640" w:header="0" w:footer="1061" w:gutter="0"/>
          <w:cols w:space="720"/>
        </w:sectPr>
      </w:pPr>
    </w:p>
    <w:p w14:paraId="1707E13A" w14:textId="77777777" w:rsidR="00AE7757" w:rsidRPr="001D6D5B" w:rsidRDefault="00AE7757" w:rsidP="00AE7757">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24583EFF" w14:textId="77777777" w:rsidR="00AE7757" w:rsidRPr="001D6D5B" w:rsidRDefault="00AE7757" w:rsidP="00AE7757">
      <w:pPr>
        <w:pStyle w:val="Weld"/>
        <w:framePr w:hSpace="0" w:wrap="auto" w:vAnchor="margin" w:hAnchor="text" w:xAlign="left" w:yAlign="inline"/>
        <w:ind w:right="2340"/>
        <w:rPr>
          <w:sz w:val="14"/>
          <w:szCs w:val="18"/>
        </w:rPr>
      </w:pPr>
      <w:r w:rsidRPr="001D6D5B">
        <w:rPr>
          <w:sz w:val="14"/>
          <w:szCs w:val="18"/>
        </w:rPr>
        <w:t>Governor</w:t>
      </w:r>
    </w:p>
    <w:p w14:paraId="687576B4" w14:textId="77777777" w:rsidR="00AE7757" w:rsidRPr="001D6D5B" w:rsidRDefault="00AE7757" w:rsidP="00AE7757">
      <w:pPr>
        <w:ind w:right="2340"/>
        <w:contextualSpacing/>
        <w:jc w:val="center"/>
        <w:rPr>
          <w:sz w:val="14"/>
          <w:szCs w:val="18"/>
        </w:rPr>
      </w:pPr>
    </w:p>
    <w:p w14:paraId="7D57CED3" w14:textId="77777777" w:rsidR="00AE7757" w:rsidRPr="001D6D5B" w:rsidRDefault="00AE7757" w:rsidP="00AE775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2CA66306" w14:textId="77777777" w:rsidR="00AE7757" w:rsidRPr="001D6D5B" w:rsidRDefault="00AE7757" w:rsidP="00AE775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0631A617" w14:textId="77777777" w:rsidR="00AE7757" w:rsidRPr="001D6D5B" w:rsidRDefault="00AE7757" w:rsidP="00AE7757">
      <w:pPr>
        <w:pStyle w:val="Weld"/>
        <w:framePr w:hSpace="0" w:wrap="auto" w:vAnchor="margin" w:hAnchor="text" w:xAlign="left" w:yAlign="inline"/>
        <w:ind w:right="2340"/>
        <w:jc w:val="left"/>
        <w:rPr>
          <w:sz w:val="14"/>
          <w:szCs w:val="18"/>
        </w:rPr>
      </w:pPr>
    </w:p>
    <w:p w14:paraId="39BD69B7" w14:textId="77777777" w:rsidR="00AE7757" w:rsidRPr="001D6D5B" w:rsidRDefault="00AE7757" w:rsidP="00AE7757">
      <w:pPr>
        <w:pStyle w:val="Weld"/>
        <w:framePr w:hSpace="0" w:wrap="auto" w:vAnchor="margin" w:hAnchor="text" w:xAlign="left" w:yAlign="inline"/>
        <w:ind w:right="2340"/>
        <w:jc w:val="left"/>
        <w:rPr>
          <w:sz w:val="14"/>
          <w:szCs w:val="18"/>
        </w:rPr>
      </w:pPr>
    </w:p>
    <w:p w14:paraId="328D7583" w14:textId="77777777" w:rsidR="00AE7757" w:rsidRPr="001D6D5B" w:rsidRDefault="00AE7757" w:rsidP="00AE7757">
      <w:pPr>
        <w:pStyle w:val="Weld"/>
        <w:framePr w:hSpace="0" w:wrap="auto" w:vAnchor="margin" w:hAnchor="text" w:xAlign="left" w:yAlign="inline"/>
        <w:ind w:right="2340"/>
        <w:jc w:val="left"/>
        <w:rPr>
          <w:sz w:val="14"/>
          <w:szCs w:val="18"/>
        </w:rPr>
      </w:pPr>
    </w:p>
    <w:p w14:paraId="77E1E8DF" w14:textId="77777777" w:rsidR="00AE7757" w:rsidRDefault="00AE7757" w:rsidP="00AE7757">
      <w:pPr>
        <w:ind w:left="1980"/>
        <w:contextualSpacing/>
        <w:jc w:val="center"/>
        <w:rPr>
          <w:rFonts w:ascii="Arial Rounded MT Bold" w:hAnsi="Arial Rounded MT Bold"/>
          <w:sz w:val="16"/>
        </w:rPr>
      </w:pPr>
    </w:p>
    <w:p w14:paraId="30AF9B63" w14:textId="77777777" w:rsidR="00AE7757" w:rsidRPr="001D6D5B" w:rsidRDefault="00AE7757" w:rsidP="00AE775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5BE8FFDA" w14:textId="77777777" w:rsidR="00AE7757" w:rsidRPr="001D6D5B" w:rsidRDefault="00AE7757" w:rsidP="00AE7757">
      <w:pPr>
        <w:pStyle w:val="Weld"/>
        <w:framePr w:hSpace="0" w:wrap="auto" w:vAnchor="margin" w:hAnchor="text" w:xAlign="left" w:yAlign="inline"/>
        <w:ind w:left="1980"/>
        <w:rPr>
          <w:sz w:val="14"/>
          <w:szCs w:val="18"/>
        </w:rPr>
      </w:pPr>
      <w:r w:rsidRPr="001D6D5B">
        <w:rPr>
          <w:sz w:val="14"/>
          <w:szCs w:val="18"/>
        </w:rPr>
        <w:t>Secretary</w:t>
      </w:r>
    </w:p>
    <w:p w14:paraId="14AC34B3" w14:textId="77777777" w:rsidR="00AE7757" w:rsidRPr="001D6D5B" w:rsidRDefault="00AE7757" w:rsidP="00AE7757">
      <w:pPr>
        <w:pStyle w:val="Weld"/>
        <w:framePr w:hSpace="0" w:wrap="auto" w:vAnchor="margin" w:hAnchor="text" w:xAlign="left" w:yAlign="inline"/>
        <w:ind w:left="1980"/>
        <w:rPr>
          <w:sz w:val="14"/>
          <w:szCs w:val="18"/>
        </w:rPr>
      </w:pPr>
    </w:p>
    <w:p w14:paraId="2D6E7D16" w14:textId="77777777" w:rsidR="00AE7757" w:rsidRPr="001D6D5B" w:rsidRDefault="00AE7757" w:rsidP="00AE7757">
      <w:pPr>
        <w:pStyle w:val="Weld"/>
        <w:framePr w:hSpace="0" w:wrap="auto" w:vAnchor="margin" w:hAnchor="text" w:xAlign="left" w:yAlign="inline"/>
        <w:ind w:left="1980"/>
        <w:rPr>
          <w:sz w:val="12"/>
          <w:szCs w:val="16"/>
        </w:rPr>
      </w:pPr>
      <w:r w:rsidRPr="001D6D5B">
        <w:rPr>
          <w:sz w:val="12"/>
          <w:szCs w:val="16"/>
        </w:rPr>
        <w:t>ROBERT GOLDSTEIN, MD, PhD</w:t>
      </w:r>
    </w:p>
    <w:p w14:paraId="02C18877" w14:textId="77777777" w:rsidR="00AE7757" w:rsidRPr="00C2477D" w:rsidRDefault="00AE7757" w:rsidP="00AE7757">
      <w:pPr>
        <w:pStyle w:val="Weld"/>
        <w:framePr w:hSpace="0" w:wrap="auto" w:vAnchor="margin" w:hAnchor="text" w:xAlign="left" w:yAlign="inline"/>
        <w:ind w:left="1980"/>
      </w:pPr>
      <w:r w:rsidRPr="001D6D5B">
        <w:rPr>
          <w:sz w:val="14"/>
          <w:szCs w:val="12"/>
        </w:rPr>
        <w:t>Commissioner</w:t>
      </w:r>
    </w:p>
    <w:p w14:paraId="559CFE0B" w14:textId="77777777" w:rsidR="00AE7757" w:rsidRDefault="00AE7757" w:rsidP="00AE7757">
      <w:pPr>
        <w:pStyle w:val="Governor"/>
        <w:framePr w:hSpace="0" w:wrap="auto" w:vAnchor="margin" w:hAnchor="text" w:xAlign="left" w:yAlign="inline"/>
        <w:spacing w:after="0"/>
        <w:ind w:left="1980"/>
        <w:rPr>
          <w:rFonts w:ascii="Arial" w:hAnsi="Arial" w:cs="Arial"/>
          <w:b/>
          <w:szCs w:val="14"/>
        </w:rPr>
      </w:pPr>
    </w:p>
    <w:p w14:paraId="02CACA6A" w14:textId="77777777" w:rsidR="00AE7757" w:rsidRDefault="00AE7757" w:rsidP="00AE775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38C3E387" w14:textId="77777777" w:rsidR="00AE7757" w:rsidRPr="00A763BA" w:rsidRDefault="00AE7757" w:rsidP="00AE7757">
      <w:pPr>
        <w:pStyle w:val="Governor"/>
        <w:framePr w:hSpace="0" w:wrap="auto" w:vAnchor="margin" w:hAnchor="text" w:xAlign="left" w:yAlign="inline"/>
        <w:spacing w:after="0"/>
        <w:ind w:left="1980"/>
        <w:rPr>
          <w:sz w:val="16"/>
        </w:rPr>
      </w:pPr>
      <w:hyperlink r:id="rId13" w:history="1">
        <w:r w:rsidRPr="00A51A30">
          <w:rPr>
            <w:rStyle w:val="Hyperlink"/>
            <w:rFonts w:ascii="Arial" w:hAnsi="Arial" w:cs="Arial"/>
            <w:b/>
            <w:szCs w:val="14"/>
            <w:lang w:val="fr-FR"/>
          </w:rPr>
          <w:t>www.mass.gov/dph</w:t>
        </w:r>
      </w:hyperlink>
    </w:p>
    <w:p w14:paraId="4DFC9387" w14:textId="77777777" w:rsidR="00AE7757" w:rsidRDefault="00AE7757" w:rsidP="00AE7757">
      <w:pPr>
        <w:rPr>
          <w:szCs w:val="24"/>
        </w:rPr>
        <w:sectPr w:rsidR="00AE7757" w:rsidSect="00713D41">
          <w:type w:val="continuous"/>
          <w:pgSz w:w="12240" w:h="15840"/>
          <w:pgMar w:top="1380" w:right="260" w:bottom="1260" w:left="640" w:header="0" w:footer="1061" w:gutter="0"/>
          <w:cols w:num="2" w:space="720"/>
        </w:sectPr>
      </w:pPr>
    </w:p>
    <w:p w14:paraId="47D520B1" w14:textId="77777777" w:rsidR="00C15ED1" w:rsidRDefault="00000000">
      <w:pPr>
        <w:pStyle w:val="BodyText"/>
        <w:ind w:left="800"/>
      </w:pPr>
      <w:r>
        <w:t>DATE:</w:t>
      </w:r>
      <w:r>
        <w:rPr>
          <w:spacing w:val="-3"/>
        </w:rPr>
        <w:t xml:space="preserve"> </w:t>
      </w:r>
      <w:r>
        <w:t>March</w:t>
      </w:r>
      <w:r>
        <w:rPr>
          <w:spacing w:val="-2"/>
        </w:rPr>
        <w:t xml:space="preserve"> </w:t>
      </w:r>
      <w:r>
        <w:t>15,</w:t>
      </w:r>
      <w:r>
        <w:rPr>
          <w:spacing w:val="-2"/>
        </w:rPr>
        <w:t xml:space="preserve"> </w:t>
      </w:r>
      <w:r>
        <w:rPr>
          <w:spacing w:val="-4"/>
        </w:rPr>
        <w:t>2024</w:t>
      </w:r>
    </w:p>
    <w:p w14:paraId="47D520B2" w14:textId="77777777" w:rsidR="00C15ED1" w:rsidRDefault="00C15ED1">
      <w:pPr>
        <w:pStyle w:val="BodyText"/>
      </w:pPr>
    </w:p>
    <w:p w14:paraId="47D520B3" w14:textId="77777777" w:rsidR="00C15ED1" w:rsidRDefault="00000000">
      <w:pPr>
        <w:pStyle w:val="BodyText"/>
        <w:ind w:left="800" w:right="8183"/>
      </w:pPr>
      <w:r>
        <w:t>Susan</w:t>
      </w:r>
      <w:r>
        <w:rPr>
          <w:spacing w:val="-15"/>
        </w:rPr>
        <w:t xml:space="preserve"> </w:t>
      </w:r>
      <w:r>
        <w:t>R.</w:t>
      </w:r>
      <w:r>
        <w:rPr>
          <w:spacing w:val="-15"/>
        </w:rPr>
        <w:t xml:space="preserve"> </w:t>
      </w:r>
      <w:r>
        <w:t>Huntington Day Pitney LLP</w:t>
      </w:r>
    </w:p>
    <w:p w14:paraId="47D520B4" w14:textId="77777777" w:rsidR="00C15ED1" w:rsidRDefault="00000000">
      <w:pPr>
        <w:pStyle w:val="BodyText"/>
        <w:ind w:left="800" w:right="6995"/>
      </w:pPr>
      <w:r>
        <w:t>One</w:t>
      </w:r>
      <w:r>
        <w:rPr>
          <w:spacing w:val="-10"/>
        </w:rPr>
        <w:t xml:space="preserve"> </w:t>
      </w:r>
      <w:r>
        <w:t>Federal</w:t>
      </w:r>
      <w:r>
        <w:rPr>
          <w:spacing w:val="-10"/>
        </w:rPr>
        <w:t xml:space="preserve"> </w:t>
      </w:r>
      <w:r>
        <w:t>Street,</w:t>
      </w:r>
      <w:r>
        <w:rPr>
          <w:spacing w:val="-10"/>
        </w:rPr>
        <w:t xml:space="preserve"> </w:t>
      </w:r>
      <w:r>
        <w:t>29</w:t>
      </w:r>
      <w:r>
        <w:rPr>
          <w:vertAlign w:val="superscript"/>
        </w:rPr>
        <w:t>th</w:t>
      </w:r>
      <w:r>
        <w:rPr>
          <w:spacing w:val="-9"/>
        </w:rPr>
        <w:t xml:space="preserve"> </w:t>
      </w:r>
      <w:r>
        <w:t>Floor Boston, MA 02110</w:t>
      </w:r>
    </w:p>
    <w:p w14:paraId="47D520B5" w14:textId="77777777" w:rsidR="00C15ED1" w:rsidRDefault="00C15ED1">
      <w:pPr>
        <w:pStyle w:val="BodyText"/>
      </w:pPr>
    </w:p>
    <w:p w14:paraId="47D520B6" w14:textId="77777777" w:rsidR="00C15ED1" w:rsidRDefault="00000000">
      <w:pPr>
        <w:pStyle w:val="BodyText"/>
        <w:ind w:left="800"/>
      </w:pPr>
      <w:r>
        <w:t>VIA</w:t>
      </w:r>
      <w:r>
        <w:rPr>
          <w:spacing w:val="-4"/>
        </w:rPr>
        <w:t xml:space="preserve"> </w:t>
      </w:r>
      <w:r>
        <w:t>electronic</w:t>
      </w:r>
      <w:r>
        <w:rPr>
          <w:spacing w:val="-4"/>
        </w:rPr>
        <w:t xml:space="preserve"> </w:t>
      </w:r>
      <w:r>
        <w:t>mail:</w:t>
      </w:r>
      <w:r>
        <w:rPr>
          <w:spacing w:val="-2"/>
        </w:rPr>
        <w:t xml:space="preserve"> </w:t>
      </w:r>
      <w:hyperlink r:id="rId14">
        <w:r>
          <w:rPr>
            <w:color w:val="0000FF"/>
            <w:spacing w:val="-2"/>
            <w:u w:val="single" w:color="0000FF"/>
          </w:rPr>
          <w:t>shuntington@daypitney.com</w:t>
        </w:r>
      </w:hyperlink>
    </w:p>
    <w:p w14:paraId="47D520B7" w14:textId="77777777" w:rsidR="00C15ED1" w:rsidRDefault="00C15ED1">
      <w:pPr>
        <w:pStyle w:val="BodyText"/>
      </w:pPr>
    </w:p>
    <w:p w14:paraId="47D520B8" w14:textId="77777777" w:rsidR="00C15ED1" w:rsidRDefault="00000000">
      <w:pPr>
        <w:pStyle w:val="BodyText"/>
        <w:spacing w:line="480" w:lineRule="auto"/>
        <w:ind w:left="799" w:right="4051"/>
      </w:pPr>
      <w:r>
        <w:t>RE:</w:t>
      </w:r>
      <w:r>
        <w:rPr>
          <w:spacing w:val="-5"/>
        </w:rPr>
        <w:t xml:space="preserve"> </w:t>
      </w:r>
      <w:r>
        <w:t>Notice</w:t>
      </w:r>
      <w:r>
        <w:rPr>
          <w:spacing w:val="-6"/>
        </w:rPr>
        <w:t xml:space="preserve"> </w:t>
      </w:r>
      <w:r>
        <w:t>of</w:t>
      </w:r>
      <w:r>
        <w:rPr>
          <w:spacing w:val="-7"/>
        </w:rPr>
        <w:t xml:space="preserve"> </w:t>
      </w:r>
      <w:r>
        <w:t>Transfer</w:t>
      </w:r>
      <w:r>
        <w:rPr>
          <w:spacing w:val="-6"/>
        </w:rPr>
        <w:t xml:space="preserve"> </w:t>
      </w:r>
      <w:r>
        <w:t>of</w:t>
      </w:r>
      <w:r>
        <w:rPr>
          <w:spacing w:val="-6"/>
        </w:rPr>
        <w:t xml:space="preserve"> </w:t>
      </w:r>
      <w:r>
        <w:t>Site</w:t>
      </w:r>
      <w:r>
        <w:rPr>
          <w:spacing w:val="-6"/>
        </w:rPr>
        <w:t xml:space="preserve"> </w:t>
      </w:r>
      <w:r>
        <w:t>Application</w:t>
      </w:r>
      <w:r>
        <w:rPr>
          <w:spacing w:val="-6"/>
        </w:rPr>
        <w:t xml:space="preserve"> </w:t>
      </w:r>
      <w:r>
        <w:t>#N/A-23102710-TS Dear Attorney Huntington,</w:t>
      </w:r>
    </w:p>
    <w:p w14:paraId="47D520B9" w14:textId="007DD273" w:rsidR="00C15ED1" w:rsidRDefault="00000000">
      <w:pPr>
        <w:pStyle w:val="BodyText"/>
        <w:spacing w:before="1"/>
        <w:ind w:left="799" w:right="1206"/>
      </w:pPr>
      <w:r>
        <w:t>We are in receipt of the above-referenced Notice and its accompanying attachments, dated December 6, 2023, wherein Reliant Medical Group, Inc. (Reliant) provided notice to the Department of Public Health (the Department) in accordance with 105 CMR 100.745 for a proposed</w:t>
      </w:r>
      <w:r>
        <w:rPr>
          <w:spacing w:val="-3"/>
        </w:rPr>
        <w:t xml:space="preserve"> </w:t>
      </w:r>
      <w:r>
        <w:t>transfer</w:t>
      </w:r>
      <w:r>
        <w:rPr>
          <w:spacing w:val="-4"/>
        </w:rPr>
        <w:t xml:space="preserve"> </w:t>
      </w:r>
      <w:r>
        <w:t>of</w:t>
      </w:r>
      <w:r>
        <w:rPr>
          <w:spacing w:val="-4"/>
        </w:rPr>
        <w:t xml:space="preserve"> </w:t>
      </w:r>
      <w:r>
        <w:t>site</w:t>
      </w:r>
      <w:r>
        <w:rPr>
          <w:spacing w:val="-2"/>
        </w:rPr>
        <w:t xml:space="preserve"> </w:t>
      </w:r>
      <w:r>
        <w:t>of</w:t>
      </w:r>
      <w:r>
        <w:rPr>
          <w:spacing w:val="-4"/>
        </w:rPr>
        <w:t xml:space="preserve"> </w:t>
      </w:r>
      <w:r>
        <w:t>one</w:t>
      </w:r>
      <w:r>
        <w:rPr>
          <w:spacing w:val="-5"/>
        </w:rPr>
        <w:t xml:space="preserve"> </w:t>
      </w:r>
      <w:r>
        <w:t>computed</w:t>
      </w:r>
      <w:r>
        <w:rPr>
          <w:spacing w:val="-4"/>
        </w:rPr>
        <w:t xml:space="preserve"> </w:t>
      </w:r>
      <w:r>
        <w:t>tomography</w:t>
      </w:r>
      <w:r>
        <w:rPr>
          <w:spacing w:val="-4"/>
        </w:rPr>
        <w:t xml:space="preserve"> </w:t>
      </w:r>
      <w:r>
        <w:t>(CT)</w:t>
      </w:r>
      <w:r>
        <w:rPr>
          <w:spacing w:val="-2"/>
        </w:rPr>
        <w:t xml:space="preserve"> </w:t>
      </w:r>
      <w:r>
        <w:t>unit</w:t>
      </w:r>
      <w:r>
        <w:rPr>
          <w:spacing w:val="-3"/>
        </w:rPr>
        <w:t xml:space="preserve"> </w:t>
      </w:r>
      <w:r>
        <w:t>from</w:t>
      </w:r>
      <w:r>
        <w:rPr>
          <w:spacing w:val="-3"/>
        </w:rPr>
        <w:t xml:space="preserve"> </w:t>
      </w:r>
      <w:r>
        <w:t>its</w:t>
      </w:r>
      <w:r>
        <w:rPr>
          <w:spacing w:val="-3"/>
        </w:rPr>
        <w:t xml:space="preserve"> </w:t>
      </w:r>
      <w:r>
        <w:t>existing</w:t>
      </w:r>
      <w:r>
        <w:rPr>
          <w:spacing w:val="-3"/>
        </w:rPr>
        <w:t xml:space="preserve"> </w:t>
      </w:r>
      <w:r>
        <w:t>location</w:t>
      </w:r>
      <w:r>
        <w:rPr>
          <w:spacing w:val="-3"/>
        </w:rPr>
        <w:t xml:space="preserve"> </w:t>
      </w:r>
      <w:r>
        <w:t>at</w:t>
      </w:r>
      <w:r>
        <w:rPr>
          <w:spacing w:val="-4"/>
        </w:rPr>
        <w:t xml:space="preserve"> </w:t>
      </w:r>
      <w:r>
        <w:t>24 Newton Street, Southborough, MA</w:t>
      </w:r>
      <w:r>
        <w:rPr>
          <w:spacing w:val="-1"/>
        </w:rPr>
        <w:t xml:space="preserve"> </w:t>
      </w:r>
      <w:r>
        <w:t>to</w:t>
      </w:r>
      <w:r>
        <w:rPr>
          <w:spacing w:val="-1"/>
        </w:rPr>
        <w:t xml:space="preserve"> </w:t>
      </w:r>
      <w:r>
        <w:t>the</w:t>
      </w:r>
      <w:r>
        <w:rPr>
          <w:spacing w:val="-1"/>
        </w:rPr>
        <w:t xml:space="preserve"> </w:t>
      </w:r>
      <w:r>
        <w:t>Applicant’s facility located at</w:t>
      </w:r>
      <w:r>
        <w:rPr>
          <w:spacing w:val="-1"/>
        </w:rPr>
        <w:t xml:space="preserve"> </w:t>
      </w:r>
      <w:r>
        <w:t>1400 Worcester</w:t>
      </w:r>
      <w:r>
        <w:rPr>
          <w:spacing w:val="-2"/>
        </w:rPr>
        <w:t xml:space="preserve"> </w:t>
      </w:r>
      <w:r>
        <w:t>Street, Natick, MA as described below.</w:t>
      </w:r>
      <w:r w:rsidR="0040052B">
        <w:rPr>
          <w:rStyle w:val="FootnoteReference"/>
        </w:rPr>
        <w:footnoteReference w:id="1"/>
      </w:r>
      <w:r w:rsidR="0040052B">
        <w:t xml:space="preserve"> </w:t>
      </w:r>
    </w:p>
    <w:p w14:paraId="47D520BA" w14:textId="77777777" w:rsidR="00C15ED1" w:rsidRDefault="00000000">
      <w:pPr>
        <w:pStyle w:val="BodyText"/>
        <w:spacing w:before="158"/>
        <w:ind w:left="799" w:right="1206"/>
      </w:pPr>
      <w:r>
        <w:t>Reliant has complied with the</w:t>
      </w:r>
      <w:r>
        <w:rPr>
          <w:spacing w:val="-1"/>
        </w:rPr>
        <w:t xml:space="preserve"> </w:t>
      </w:r>
      <w:r>
        <w:t>requirements of Notice and has provided information sufficient to allow the Department to make a finding that the proposed transaction will neither result in a Substantial</w:t>
      </w:r>
      <w:r>
        <w:rPr>
          <w:spacing w:val="-3"/>
        </w:rPr>
        <w:t xml:space="preserve"> </w:t>
      </w:r>
      <w:r>
        <w:t>Capital</w:t>
      </w:r>
      <w:r>
        <w:rPr>
          <w:spacing w:val="-3"/>
        </w:rPr>
        <w:t xml:space="preserve"> </w:t>
      </w:r>
      <w:r>
        <w:t>Expenditure</w:t>
      </w:r>
      <w:r>
        <w:rPr>
          <w:spacing w:val="-5"/>
        </w:rPr>
        <w:t xml:space="preserve"> </w:t>
      </w:r>
      <w:r>
        <w:t>nor</w:t>
      </w:r>
      <w:r>
        <w:rPr>
          <w:spacing w:val="-4"/>
        </w:rPr>
        <w:t xml:space="preserve"> </w:t>
      </w:r>
      <w:r>
        <w:t>Substantial</w:t>
      </w:r>
      <w:r>
        <w:rPr>
          <w:spacing w:val="-3"/>
        </w:rPr>
        <w:t xml:space="preserve"> </w:t>
      </w:r>
      <w:r>
        <w:t>Change</w:t>
      </w:r>
      <w:r>
        <w:rPr>
          <w:spacing w:val="-5"/>
        </w:rPr>
        <w:t xml:space="preserve"> </w:t>
      </w:r>
      <w:r>
        <w:t>in</w:t>
      </w:r>
      <w:r>
        <w:rPr>
          <w:spacing w:val="-3"/>
        </w:rPr>
        <w:t xml:space="preserve"> </w:t>
      </w:r>
      <w:r>
        <w:t>Service,</w:t>
      </w:r>
      <w:r>
        <w:rPr>
          <w:spacing w:val="-1"/>
        </w:rPr>
        <w:t xml:space="preserve"> </w:t>
      </w:r>
      <w:r>
        <w:t>and</w:t>
      </w:r>
      <w:r>
        <w:rPr>
          <w:spacing w:val="-4"/>
        </w:rPr>
        <w:t xml:space="preserve"> </w:t>
      </w:r>
      <w:r>
        <w:t>thus</w:t>
      </w:r>
      <w:r>
        <w:rPr>
          <w:spacing w:val="-3"/>
        </w:rPr>
        <w:t xml:space="preserve"> </w:t>
      </w:r>
      <w:r>
        <w:t>will</w:t>
      </w:r>
      <w:r>
        <w:rPr>
          <w:spacing w:val="-3"/>
        </w:rPr>
        <w:t xml:space="preserve"> </w:t>
      </w:r>
      <w:r>
        <w:t>not</w:t>
      </w:r>
      <w:r>
        <w:rPr>
          <w:spacing w:val="-4"/>
        </w:rPr>
        <w:t xml:space="preserve"> </w:t>
      </w:r>
      <w:r>
        <w:t>first</w:t>
      </w:r>
      <w:r>
        <w:rPr>
          <w:spacing w:val="-3"/>
        </w:rPr>
        <w:t xml:space="preserve"> </w:t>
      </w:r>
      <w:r>
        <w:t>require a Notice of Determination of Need (DoN).</w:t>
      </w:r>
    </w:p>
    <w:p w14:paraId="47D520BB" w14:textId="77777777" w:rsidR="00C15ED1" w:rsidRDefault="00C15ED1">
      <w:pPr>
        <w:pStyle w:val="BodyText"/>
        <w:spacing w:before="161"/>
      </w:pPr>
    </w:p>
    <w:p w14:paraId="47D520BC" w14:textId="77777777" w:rsidR="00C15ED1" w:rsidRDefault="00000000">
      <w:pPr>
        <w:pStyle w:val="Heading1"/>
      </w:pPr>
      <w:r>
        <w:t>Reason</w:t>
      </w:r>
      <w:r>
        <w:rPr>
          <w:spacing w:val="-3"/>
        </w:rPr>
        <w:t xml:space="preserve"> </w:t>
      </w:r>
      <w:r>
        <w:t>for</w:t>
      </w:r>
      <w:r>
        <w:rPr>
          <w:spacing w:val="-2"/>
        </w:rPr>
        <w:t xml:space="preserve"> Request</w:t>
      </w:r>
    </w:p>
    <w:p w14:paraId="47D520BD" w14:textId="77777777" w:rsidR="00C15ED1" w:rsidRDefault="00000000">
      <w:pPr>
        <w:pStyle w:val="BodyText"/>
        <w:ind w:left="800" w:right="1301"/>
      </w:pPr>
      <w:r>
        <w:t>To meet increased demand for CT services, and provide easier access to same-day scanning, Reliant will relocate its CT scanning services from its location in Southborough, MA to its facility</w:t>
      </w:r>
      <w:r>
        <w:rPr>
          <w:spacing w:val="-3"/>
        </w:rPr>
        <w:t xml:space="preserve"> </w:t>
      </w:r>
      <w:r>
        <w:t>in</w:t>
      </w:r>
      <w:r>
        <w:rPr>
          <w:spacing w:val="-3"/>
        </w:rPr>
        <w:t xml:space="preserve"> </w:t>
      </w:r>
      <w:r>
        <w:t>Natick,</w:t>
      </w:r>
      <w:r>
        <w:rPr>
          <w:spacing w:val="-4"/>
        </w:rPr>
        <w:t xml:space="preserve"> </w:t>
      </w:r>
      <w:r>
        <w:t>MA,</w:t>
      </w:r>
      <w:r>
        <w:rPr>
          <w:spacing w:val="-3"/>
        </w:rPr>
        <w:t xml:space="preserve"> </w:t>
      </w:r>
      <w:r>
        <w:t>which</w:t>
      </w:r>
      <w:r>
        <w:rPr>
          <w:spacing w:val="-3"/>
        </w:rPr>
        <w:t xml:space="preserve"> </w:t>
      </w:r>
      <w:r>
        <w:t>is</w:t>
      </w:r>
      <w:r>
        <w:rPr>
          <w:spacing w:val="-3"/>
        </w:rPr>
        <w:t xml:space="preserve"> </w:t>
      </w:r>
      <w:r>
        <w:t>approximately</w:t>
      </w:r>
      <w:r>
        <w:rPr>
          <w:spacing w:val="-3"/>
        </w:rPr>
        <w:t xml:space="preserve"> </w:t>
      </w:r>
      <w:r>
        <w:t>7.8</w:t>
      </w:r>
      <w:r>
        <w:rPr>
          <w:spacing w:val="-2"/>
        </w:rPr>
        <w:t xml:space="preserve"> </w:t>
      </w:r>
      <w:r>
        <w:t>miles</w:t>
      </w:r>
      <w:r>
        <w:rPr>
          <w:spacing w:val="-3"/>
        </w:rPr>
        <w:t xml:space="preserve"> </w:t>
      </w:r>
      <w:r>
        <w:t>from</w:t>
      </w:r>
      <w:r>
        <w:rPr>
          <w:spacing w:val="-3"/>
        </w:rPr>
        <w:t xml:space="preserve"> </w:t>
      </w:r>
      <w:r>
        <w:t>the</w:t>
      </w:r>
      <w:r>
        <w:rPr>
          <w:spacing w:val="-5"/>
        </w:rPr>
        <w:t xml:space="preserve"> </w:t>
      </w:r>
      <w:r>
        <w:t>current</w:t>
      </w:r>
      <w:r>
        <w:rPr>
          <w:spacing w:val="-3"/>
        </w:rPr>
        <w:t xml:space="preserve"> </w:t>
      </w:r>
      <w:r>
        <w:t>location,</w:t>
      </w:r>
      <w:r>
        <w:rPr>
          <w:spacing w:val="-3"/>
        </w:rPr>
        <w:t xml:space="preserve"> </w:t>
      </w:r>
      <w:r>
        <w:t>and</w:t>
      </w:r>
      <w:r>
        <w:rPr>
          <w:spacing w:val="-3"/>
        </w:rPr>
        <w:t xml:space="preserve"> </w:t>
      </w:r>
      <w:r>
        <w:t>which has a larger patient service area.</w:t>
      </w:r>
    </w:p>
    <w:p w14:paraId="47D520BE" w14:textId="77777777" w:rsidR="00C15ED1" w:rsidRDefault="00C15ED1">
      <w:pPr>
        <w:pStyle w:val="BodyText"/>
        <w:rPr>
          <w:sz w:val="20"/>
        </w:rPr>
      </w:pPr>
    </w:p>
    <w:p w14:paraId="47D520BF" w14:textId="77777777" w:rsidR="00C15ED1" w:rsidRDefault="00C15ED1">
      <w:pPr>
        <w:pStyle w:val="BodyText"/>
        <w:rPr>
          <w:sz w:val="20"/>
        </w:rPr>
      </w:pPr>
    </w:p>
    <w:p w14:paraId="47D520C0" w14:textId="77777777" w:rsidR="00C15ED1" w:rsidRDefault="00C15ED1">
      <w:pPr>
        <w:pStyle w:val="BodyText"/>
        <w:rPr>
          <w:sz w:val="20"/>
        </w:rPr>
      </w:pPr>
    </w:p>
    <w:p w14:paraId="47D520C4" w14:textId="77777777" w:rsidR="00C15ED1" w:rsidRDefault="00C15ED1">
      <w:pPr>
        <w:rPr>
          <w:sz w:val="20"/>
        </w:rPr>
        <w:sectPr w:rsidR="00C15ED1" w:rsidSect="00713D41">
          <w:type w:val="continuous"/>
          <w:pgSz w:w="12240" w:h="15840"/>
          <w:pgMar w:top="560" w:right="260" w:bottom="1260" w:left="640" w:header="0" w:footer="1063" w:gutter="0"/>
          <w:cols w:space="720"/>
        </w:sectPr>
      </w:pPr>
    </w:p>
    <w:p w14:paraId="47D520C5" w14:textId="77777777" w:rsidR="00C15ED1" w:rsidRDefault="00000000">
      <w:pPr>
        <w:pStyle w:val="Heading2"/>
        <w:numPr>
          <w:ilvl w:val="0"/>
          <w:numId w:val="1"/>
        </w:numPr>
        <w:tabs>
          <w:tab w:val="left" w:pos="1071"/>
        </w:tabs>
        <w:spacing w:before="79"/>
        <w:ind w:hanging="271"/>
        <w:rPr>
          <w:i w:val="0"/>
        </w:rPr>
      </w:pPr>
      <w:r>
        <w:rPr>
          <w:spacing w:val="-2"/>
        </w:rPr>
        <w:lastRenderedPageBreak/>
        <w:t>Description</w:t>
      </w:r>
    </w:p>
    <w:p w14:paraId="47D520C6" w14:textId="77777777" w:rsidR="00C15ED1" w:rsidRDefault="00000000">
      <w:pPr>
        <w:pStyle w:val="BodyText"/>
        <w:spacing w:before="182"/>
        <w:ind w:left="800" w:right="1193"/>
      </w:pPr>
      <w:r>
        <w:t>The</w:t>
      </w:r>
      <w:r>
        <w:rPr>
          <w:spacing w:val="-4"/>
        </w:rPr>
        <w:t xml:space="preserve"> </w:t>
      </w:r>
      <w:r>
        <w:t>Applicant</w:t>
      </w:r>
      <w:r>
        <w:rPr>
          <w:spacing w:val="-3"/>
        </w:rPr>
        <w:t xml:space="preserve"> </w:t>
      </w:r>
      <w:r>
        <w:t>is</w:t>
      </w:r>
      <w:r>
        <w:rPr>
          <w:spacing w:val="-3"/>
        </w:rPr>
        <w:t xml:space="preserve"> </w:t>
      </w:r>
      <w:r>
        <w:t>a</w:t>
      </w:r>
      <w:r>
        <w:rPr>
          <w:spacing w:val="-4"/>
        </w:rPr>
        <w:t xml:space="preserve"> </w:t>
      </w:r>
      <w:r>
        <w:t>physician</w:t>
      </w:r>
      <w:r>
        <w:rPr>
          <w:spacing w:val="-3"/>
        </w:rPr>
        <w:t xml:space="preserve"> </w:t>
      </w:r>
      <w:r>
        <w:t>practice</w:t>
      </w:r>
      <w:r>
        <w:rPr>
          <w:spacing w:val="-4"/>
        </w:rPr>
        <w:t xml:space="preserve"> </w:t>
      </w:r>
      <w:r>
        <w:t>with</w:t>
      </w:r>
      <w:r>
        <w:rPr>
          <w:spacing w:val="-3"/>
        </w:rPr>
        <w:t xml:space="preserve"> </w:t>
      </w:r>
      <w:r>
        <w:t>20</w:t>
      </w:r>
      <w:r>
        <w:rPr>
          <w:spacing w:val="-3"/>
        </w:rPr>
        <w:t xml:space="preserve"> </w:t>
      </w:r>
      <w:r>
        <w:t>locations</w:t>
      </w:r>
      <w:r>
        <w:rPr>
          <w:spacing w:val="-3"/>
        </w:rPr>
        <w:t xml:space="preserve"> </w:t>
      </w:r>
      <w:r>
        <w:t>in</w:t>
      </w:r>
      <w:r>
        <w:rPr>
          <w:spacing w:val="-3"/>
        </w:rPr>
        <w:t xml:space="preserve"> </w:t>
      </w:r>
      <w:r>
        <w:t>Central</w:t>
      </w:r>
      <w:r>
        <w:rPr>
          <w:spacing w:val="-3"/>
        </w:rPr>
        <w:t xml:space="preserve"> </w:t>
      </w:r>
      <w:r>
        <w:t>and</w:t>
      </w:r>
      <w:r>
        <w:rPr>
          <w:spacing w:val="-3"/>
        </w:rPr>
        <w:t xml:space="preserve"> </w:t>
      </w:r>
      <w:r>
        <w:t>MetroWest</w:t>
      </w:r>
      <w:r>
        <w:rPr>
          <w:spacing w:val="-3"/>
        </w:rPr>
        <w:t xml:space="preserve"> </w:t>
      </w:r>
      <w:r>
        <w:t>Massachusetts. Reliant currently provides CT scanning imaging services Monday through Friday at its location in Southborough, MA, in Worcester County. The Southborough and Framingham Reliant locations both refer patient to the current CT scanner located in Southborough, therefore contribute to its patient population.</w:t>
      </w:r>
    </w:p>
    <w:p w14:paraId="47D520C7" w14:textId="77777777" w:rsidR="00C15ED1" w:rsidRDefault="00C15ED1">
      <w:pPr>
        <w:pStyle w:val="BodyText"/>
      </w:pPr>
    </w:p>
    <w:p w14:paraId="47D520C8" w14:textId="77777777" w:rsidR="00C15ED1" w:rsidRDefault="00000000">
      <w:pPr>
        <w:pStyle w:val="BodyText"/>
        <w:ind w:left="800" w:right="1201"/>
      </w:pPr>
      <w:r>
        <w:t>The primary towns serviced by the Southborough location are Framingham and Marlborough, MA, both of which are located in Middlesex County. The Applicant is proposing to relocate the CT unit in Southborough to its location in Natick, MA, located in Middlesex County. Currently, the Reliant location in Southborough is not open on weekends for patient care. In addition, Reliant does not have physician coverage for contrast reaction monitoring on the weekends in Southborough and therefore, does not provide weekend CT service. With the relocation of the</w:t>
      </w:r>
      <w:r>
        <w:rPr>
          <w:spacing w:val="40"/>
        </w:rPr>
        <w:t xml:space="preserve"> </w:t>
      </w:r>
      <w:r>
        <w:t>CT unit from Southborough to Natick, the Applicant will offer same day appointments and weekend availability. Patient</w:t>
      </w:r>
      <w:r>
        <w:rPr>
          <w:spacing w:val="-3"/>
        </w:rPr>
        <w:t xml:space="preserve"> </w:t>
      </w:r>
      <w:r>
        <w:t>care and physician supervision/coverage</w:t>
      </w:r>
      <w:r>
        <w:rPr>
          <w:spacing w:val="-2"/>
        </w:rPr>
        <w:t xml:space="preserve"> </w:t>
      </w:r>
      <w:r>
        <w:t>is already provided 7 days a</w:t>
      </w:r>
      <w:r>
        <w:rPr>
          <w:spacing w:val="-2"/>
        </w:rPr>
        <w:t xml:space="preserve"> </w:t>
      </w:r>
      <w:r>
        <w:t>week</w:t>
      </w:r>
      <w:r>
        <w:rPr>
          <w:spacing w:val="-2"/>
        </w:rPr>
        <w:t xml:space="preserve"> </w:t>
      </w:r>
      <w:r>
        <w:t>in</w:t>
      </w:r>
      <w:r>
        <w:rPr>
          <w:spacing w:val="-2"/>
        </w:rPr>
        <w:t xml:space="preserve"> </w:t>
      </w:r>
      <w:r>
        <w:t>the Natick</w:t>
      </w:r>
      <w:r>
        <w:rPr>
          <w:spacing w:val="-1"/>
        </w:rPr>
        <w:t xml:space="preserve"> </w:t>
      </w:r>
      <w:r>
        <w:t>location.</w:t>
      </w:r>
      <w:r>
        <w:rPr>
          <w:spacing w:val="-1"/>
        </w:rPr>
        <w:t xml:space="preserve"> </w:t>
      </w:r>
      <w:r>
        <w:t>The</w:t>
      </w:r>
      <w:r>
        <w:rPr>
          <w:spacing w:val="-2"/>
        </w:rPr>
        <w:t xml:space="preserve"> </w:t>
      </w:r>
      <w:r>
        <w:t>Applicant</w:t>
      </w:r>
      <w:r>
        <w:rPr>
          <w:spacing w:val="-1"/>
        </w:rPr>
        <w:t xml:space="preserve"> </w:t>
      </w:r>
      <w:r>
        <w:t>states</w:t>
      </w:r>
      <w:r>
        <w:rPr>
          <w:spacing w:val="-1"/>
        </w:rPr>
        <w:t xml:space="preserve"> </w:t>
      </w:r>
      <w:r>
        <w:t>that</w:t>
      </w:r>
      <w:r>
        <w:rPr>
          <w:spacing w:val="-1"/>
        </w:rPr>
        <w:t xml:space="preserve"> </w:t>
      </w:r>
      <w:r>
        <w:t>this</w:t>
      </w:r>
      <w:r>
        <w:rPr>
          <w:spacing w:val="-1"/>
        </w:rPr>
        <w:t xml:space="preserve"> </w:t>
      </w:r>
      <w:r>
        <w:t>will</w:t>
      </w:r>
      <w:r>
        <w:rPr>
          <w:spacing w:val="-1"/>
        </w:rPr>
        <w:t xml:space="preserve"> </w:t>
      </w:r>
      <w:r>
        <w:t>increase</w:t>
      </w:r>
      <w:r>
        <w:rPr>
          <w:spacing w:val="-2"/>
        </w:rPr>
        <w:t xml:space="preserve"> </w:t>
      </w:r>
      <w:r>
        <w:t>availability</w:t>
      </w:r>
      <w:r>
        <w:rPr>
          <w:spacing w:val="-1"/>
        </w:rPr>
        <w:t xml:space="preserve"> </w:t>
      </w:r>
      <w:r>
        <w:t>of</w:t>
      </w:r>
      <w:r>
        <w:rPr>
          <w:spacing w:val="-2"/>
        </w:rPr>
        <w:t xml:space="preserve"> </w:t>
      </w:r>
      <w:r>
        <w:t>scanning services without making significant changes to its current operations. This, the Applicant states, will allow it to meet patient demand, which will increase at the proposed location, and will also decrease the need for patients to obtain hospital-based CT scanning services. The Applicant is anticipating</w:t>
      </w:r>
      <w:r>
        <w:rPr>
          <w:spacing w:val="-1"/>
        </w:rPr>
        <w:t xml:space="preserve"> </w:t>
      </w:r>
      <w:r>
        <w:t>that</w:t>
      </w:r>
      <w:r>
        <w:rPr>
          <w:spacing w:val="-1"/>
        </w:rPr>
        <w:t xml:space="preserve"> </w:t>
      </w:r>
      <w:r>
        <w:t>relocating</w:t>
      </w:r>
      <w:r>
        <w:rPr>
          <w:spacing w:val="-1"/>
        </w:rPr>
        <w:t xml:space="preserve"> </w:t>
      </w:r>
      <w:r>
        <w:t>the</w:t>
      </w:r>
      <w:r>
        <w:rPr>
          <w:spacing w:val="-3"/>
        </w:rPr>
        <w:t xml:space="preserve"> </w:t>
      </w:r>
      <w:r>
        <w:t>CT</w:t>
      </w:r>
      <w:r>
        <w:rPr>
          <w:spacing w:val="-2"/>
        </w:rPr>
        <w:t xml:space="preserve"> </w:t>
      </w:r>
      <w:r>
        <w:t>unit</w:t>
      </w:r>
      <w:r>
        <w:rPr>
          <w:spacing w:val="-1"/>
        </w:rPr>
        <w:t xml:space="preserve"> </w:t>
      </w:r>
      <w:r>
        <w:t>to</w:t>
      </w:r>
      <w:r>
        <w:rPr>
          <w:spacing w:val="-1"/>
        </w:rPr>
        <w:t xml:space="preserve"> </w:t>
      </w:r>
      <w:r>
        <w:t>the</w:t>
      </w:r>
      <w:r>
        <w:rPr>
          <w:spacing w:val="-3"/>
        </w:rPr>
        <w:t xml:space="preserve"> </w:t>
      </w:r>
      <w:r>
        <w:t>new</w:t>
      </w:r>
      <w:r>
        <w:rPr>
          <w:spacing w:val="-2"/>
        </w:rPr>
        <w:t xml:space="preserve"> </w:t>
      </w:r>
      <w:r>
        <w:t>space</w:t>
      </w:r>
      <w:r>
        <w:rPr>
          <w:spacing w:val="-3"/>
        </w:rPr>
        <w:t xml:space="preserve"> </w:t>
      </w:r>
      <w:r>
        <w:t>with</w:t>
      </w:r>
      <w:r>
        <w:rPr>
          <w:spacing w:val="-2"/>
        </w:rPr>
        <w:t xml:space="preserve"> </w:t>
      </w:r>
      <w:r>
        <w:t>take effect</w:t>
      </w:r>
      <w:r>
        <w:rPr>
          <w:spacing w:val="-1"/>
        </w:rPr>
        <w:t xml:space="preserve"> </w:t>
      </w:r>
      <w:r>
        <w:t>in July</w:t>
      </w:r>
      <w:r>
        <w:rPr>
          <w:spacing w:val="-1"/>
        </w:rPr>
        <w:t xml:space="preserve"> </w:t>
      </w:r>
      <w:r>
        <w:t>2024,</w:t>
      </w:r>
      <w:r>
        <w:rPr>
          <w:spacing w:val="-1"/>
        </w:rPr>
        <w:t xml:space="preserve"> </w:t>
      </w:r>
      <w:r>
        <w:t>contingent on DoN approval. If the transfer of site is approved, the Applicant will consider using the available space in Southborough to add new lines of service, subject to DoN approval.</w:t>
      </w:r>
    </w:p>
    <w:p w14:paraId="47D520C9" w14:textId="77777777" w:rsidR="00C15ED1" w:rsidRDefault="00C15ED1">
      <w:pPr>
        <w:pStyle w:val="BodyText"/>
      </w:pPr>
    </w:p>
    <w:p w14:paraId="47D520CA" w14:textId="77777777" w:rsidR="00C15ED1" w:rsidRDefault="00C15ED1">
      <w:pPr>
        <w:pStyle w:val="BodyText"/>
        <w:spacing w:before="1"/>
      </w:pPr>
    </w:p>
    <w:p w14:paraId="47D520CB" w14:textId="77777777" w:rsidR="00C15ED1" w:rsidRDefault="00000000">
      <w:pPr>
        <w:pStyle w:val="Heading2"/>
        <w:numPr>
          <w:ilvl w:val="0"/>
          <w:numId w:val="1"/>
        </w:numPr>
        <w:tabs>
          <w:tab w:val="left" w:pos="1160"/>
        </w:tabs>
        <w:ind w:left="1160" w:hanging="360"/>
        <w:rPr>
          <w:i w:val="0"/>
        </w:rPr>
      </w:pPr>
      <w:r>
        <w:t>Gross Square</w:t>
      </w:r>
      <w:r>
        <w:rPr>
          <w:spacing w:val="-1"/>
        </w:rPr>
        <w:t xml:space="preserve"> </w:t>
      </w:r>
      <w:r>
        <w:t xml:space="preserve">Feet </w:t>
      </w:r>
      <w:r>
        <w:rPr>
          <w:spacing w:val="-2"/>
        </w:rPr>
        <w:t>(GSF)</w:t>
      </w:r>
    </w:p>
    <w:p w14:paraId="47D520CC" w14:textId="77777777" w:rsidR="00C15ED1" w:rsidRDefault="00C15ED1">
      <w:pPr>
        <w:pStyle w:val="BodyText"/>
        <w:rPr>
          <w:b/>
          <w:i/>
        </w:rPr>
      </w:pPr>
    </w:p>
    <w:p w14:paraId="47D520CD" w14:textId="77777777" w:rsidR="00C15ED1" w:rsidRDefault="00C15ED1">
      <w:pPr>
        <w:pStyle w:val="BodyText"/>
        <w:spacing w:before="4"/>
        <w:rPr>
          <w:b/>
          <w:i/>
        </w:rPr>
      </w:pPr>
    </w:p>
    <w:p w14:paraId="47D520CE" w14:textId="77777777" w:rsidR="00C15ED1" w:rsidRDefault="00000000">
      <w:pPr>
        <w:pStyle w:val="BodyText"/>
        <w:spacing w:before="1" w:line="256" w:lineRule="auto"/>
        <w:ind w:left="800" w:right="1206"/>
      </w:pPr>
      <w:r>
        <w:t>The CT unit in Southborough, MA occupies 656 square feet. The proposed location will occupy 906</w:t>
      </w:r>
      <w:r>
        <w:rPr>
          <w:spacing w:val="-3"/>
        </w:rPr>
        <w:t xml:space="preserve"> </w:t>
      </w:r>
      <w:r>
        <w:t>square</w:t>
      </w:r>
      <w:r>
        <w:rPr>
          <w:spacing w:val="-3"/>
        </w:rPr>
        <w:t xml:space="preserve"> </w:t>
      </w:r>
      <w:r>
        <w:t>feet,</w:t>
      </w:r>
      <w:r>
        <w:rPr>
          <w:spacing w:val="-3"/>
        </w:rPr>
        <w:t xml:space="preserve"> </w:t>
      </w:r>
      <w:r>
        <w:t>if</w:t>
      </w:r>
      <w:r>
        <w:rPr>
          <w:spacing w:val="-3"/>
        </w:rPr>
        <w:t xml:space="preserve"> </w:t>
      </w:r>
      <w:r>
        <w:t>approved.</w:t>
      </w:r>
      <w:r>
        <w:rPr>
          <w:spacing w:val="-3"/>
        </w:rPr>
        <w:t xml:space="preserve"> </w:t>
      </w:r>
      <w:r>
        <w:t>The</w:t>
      </w:r>
      <w:r>
        <w:rPr>
          <w:spacing w:val="-3"/>
        </w:rPr>
        <w:t xml:space="preserve"> </w:t>
      </w:r>
      <w:r>
        <w:t>Applicant</w:t>
      </w:r>
      <w:r>
        <w:rPr>
          <w:spacing w:val="-3"/>
        </w:rPr>
        <w:t xml:space="preserve"> </w:t>
      </w:r>
      <w:r>
        <w:t>states</w:t>
      </w:r>
      <w:r>
        <w:rPr>
          <w:spacing w:val="-3"/>
        </w:rPr>
        <w:t xml:space="preserve"> </w:t>
      </w:r>
      <w:r>
        <w:t>that</w:t>
      </w:r>
      <w:r>
        <w:rPr>
          <w:spacing w:val="-3"/>
        </w:rPr>
        <w:t xml:space="preserve"> </w:t>
      </w:r>
      <w:r>
        <w:t>it</w:t>
      </w:r>
      <w:r>
        <w:rPr>
          <w:spacing w:val="-3"/>
        </w:rPr>
        <w:t xml:space="preserve"> </w:t>
      </w:r>
      <w:r>
        <w:t>will</w:t>
      </w:r>
      <w:r>
        <w:rPr>
          <w:spacing w:val="-3"/>
        </w:rPr>
        <w:t xml:space="preserve"> </w:t>
      </w:r>
      <w:r>
        <w:t>use</w:t>
      </w:r>
      <w:r>
        <w:rPr>
          <w:spacing w:val="-3"/>
        </w:rPr>
        <w:t xml:space="preserve"> </w:t>
      </w:r>
      <w:r>
        <w:t>the</w:t>
      </w:r>
      <w:r>
        <w:rPr>
          <w:spacing w:val="-3"/>
        </w:rPr>
        <w:t xml:space="preserve"> </w:t>
      </w:r>
      <w:r>
        <w:t>same</w:t>
      </w:r>
      <w:r>
        <w:rPr>
          <w:spacing w:val="-3"/>
        </w:rPr>
        <w:t xml:space="preserve"> </w:t>
      </w:r>
      <w:r>
        <w:t>set-up</w:t>
      </w:r>
      <w:r>
        <w:rPr>
          <w:spacing w:val="-3"/>
        </w:rPr>
        <w:t xml:space="preserve"> </w:t>
      </w:r>
      <w:r>
        <w:t>that</w:t>
      </w:r>
      <w:r>
        <w:rPr>
          <w:spacing w:val="-3"/>
        </w:rPr>
        <w:t xml:space="preserve"> </w:t>
      </w:r>
      <w:r>
        <w:t>is</w:t>
      </w:r>
      <w:r>
        <w:rPr>
          <w:spacing w:val="-3"/>
        </w:rPr>
        <w:t xml:space="preserve"> </w:t>
      </w:r>
      <w:r>
        <w:t>currently in place in Southborough.</w:t>
      </w:r>
    </w:p>
    <w:p w14:paraId="47D520CF" w14:textId="77777777" w:rsidR="00C15ED1" w:rsidRDefault="00000000">
      <w:pPr>
        <w:pStyle w:val="Heading2"/>
        <w:numPr>
          <w:ilvl w:val="0"/>
          <w:numId w:val="1"/>
        </w:numPr>
        <w:tabs>
          <w:tab w:val="left" w:pos="1160"/>
        </w:tabs>
        <w:spacing w:before="244"/>
        <w:ind w:left="1160" w:hanging="360"/>
        <w:rPr>
          <w:i w:val="0"/>
        </w:rPr>
      </w:pPr>
      <w:r>
        <w:t>Demographics</w:t>
      </w:r>
      <w:r>
        <w:rPr>
          <w:spacing w:val="-4"/>
        </w:rPr>
        <w:t xml:space="preserve"> </w:t>
      </w:r>
      <w:r>
        <w:t>and</w:t>
      </w:r>
      <w:r>
        <w:rPr>
          <w:spacing w:val="-2"/>
        </w:rPr>
        <w:t xml:space="preserve"> </w:t>
      </w:r>
      <w:r>
        <w:t>Primary</w:t>
      </w:r>
      <w:r>
        <w:rPr>
          <w:spacing w:val="-3"/>
        </w:rPr>
        <w:t xml:space="preserve"> </w:t>
      </w:r>
      <w:r>
        <w:t>Service</w:t>
      </w:r>
      <w:r>
        <w:rPr>
          <w:spacing w:val="-3"/>
        </w:rPr>
        <w:t xml:space="preserve"> </w:t>
      </w:r>
      <w:r>
        <w:t xml:space="preserve">Area </w:t>
      </w:r>
      <w:r>
        <w:rPr>
          <w:spacing w:val="-2"/>
        </w:rPr>
        <w:t>(PSA)</w:t>
      </w:r>
    </w:p>
    <w:p w14:paraId="47D520D0" w14:textId="77777777" w:rsidR="00C15ED1" w:rsidRDefault="00000000">
      <w:pPr>
        <w:pStyle w:val="BodyText"/>
        <w:spacing w:before="183"/>
        <w:ind w:left="800" w:right="1206"/>
      </w:pPr>
      <w:r>
        <w:t>The</w:t>
      </w:r>
      <w:r>
        <w:rPr>
          <w:spacing w:val="-3"/>
        </w:rPr>
        <w:t xml:space="preserve"> </w:t>
      </w:r>
      <w:r>
        <w:t>Applicant</w:t>
      </w:r>
      <w:r>
        <w:rPr>
          <w:spacing w:val="-2"/>
        </w:rPr>
        <w:t xml:space="preserve"> </w:t>
      </w:r>
      <w:r>
        <w:t>does</w:t>
      </w:r>
      <w:r>
        <w:rPr>
          <w:spacing w:val="-2"/>
        </w:rPr>
        <w:t xml:space="preserve"> </w:t>
      </w:r>
      <w:r>
        <w:t>not</w:t>
      </w:r>
      <w:r>
        <w:rPr>
          <w:spacing w:val="-2"/>
        </w:rPr>
        <w:t xml:space="preserve"> </w:t>
      </w:r>
      <w:r>
        <w:t>anticipate</w:t>
      </w:r>
      <w:r>
        <w:rPr>
          <w:spacing w:val="-3"/>
        </w:rPr>
        <w:t xml:space="preserve"> </w:t>
      </w:r>
      <w:r>
        <w:t>any</w:t>
      </w:r>
      <w:r>
        <w:rPr>
          <w:spacing w:val="-2"/>
        </w:rPr>
        <w:t xml:space="preserve"> </w:t>
      </w:r>
      <w:r>
        <w:t>change</w:t>
      </w:r>
      <w:r>
        <w:rPr>
          <w:spacing w:val="-3"/>
        </w:rPr>
        <w:t xml:space="preserve"> </w:t>
      </w:r>
      <w:r>
        <w:t>in</w:t>
      </w:r>
      <w:r>
        <w:rPr>
          <w:spacing w:val="-2"/>
        </w:rPr>
        <w:t xml:space="preserve"> </w:t>
      </w:r>
      <w:r>
        <w:t>the</w:t>
      </w:r>
      <w:r>
        <w:rPr>
          <w:spacing w:val="-3"/>
        </w:rPr>
        <w:t xml:space="preserve"> </w:t>
      </w:r>
      <w:r>
        <w:t>primary</w:t>
      </w:r>
      <w:r>
        <w:rPr>
          <w:spacing w:val="-2"/>
        </w:rPr>
        <w:t xml:space="preserve"> </w:t>
      </w:r>
      <w:r>
        <w:t>service</w:t>
      </w:r>
      <w:r>
        <w:rPr>
          <w:spacing w:val="-1"/>
        </w:rPr>
        <w:t xml:space="preserve"> </w:t>
      </w:r>
      <w:r>
        <w:t>area</w:t>
      </w:r>
      <w:r>
        <w:rPr>
          <w:spacing w:val="-3"/>
        </w:rPr>
        <w:t xml:space="preserve"> </w:t>
      </w:r>
      <w:r>
        <w:t>(PSA)</w:t>
      </w:r>
      <w:r>
        <w:rPr>
          <w:spacing w:val="-3"/>
        </w:rPr>
        <w:t xml:space="preserve"> </w:t>
      </w:r>
      <w:r>
        <w:t>as</w:t>
      </w:r>
      <w:r>
        <w:rPr>
          <w:spacing w:val="-2"/>
        </w:rPr>
        <w:t xml:space="preserve"> </w:t>
      </w:r>
      <w:r>
        <w:t>a</w:t>
      </w:r>
      <w:r>
        <w:rPr>
          <w:spacing w:val="-3"/>
        </w:rPr>
        <w:t xml:space="preserve"> </w:t>
      </w:r>
      <w:r>
        <w:t>result</w:t>
      </w:r>
      <w:r>
        <w:rPr>
          <w:spacing w:val="-2"/>
        </w:rPr>
        <w:t xml:space="preserve"> </w:t>
      </w:r>
      <w:r>
        <w:t>of</w:t>
      </w:r>
      <w:r>
        <w:rPr>
          <w:spacing w:val="-3"/>
        </w:rPr>
        <w:t xml:space="preserve"> </w:t>
      </w:r>
      <w:r>
        <w:t>the transfer</w:t>
      </w:r>
      <w:r>
        <w:rPr>
          <w:spacing w:val="-4"/>
        </w:rPr>
        <w:t xml:space="preserve"> </w:t>
      </w:r>
      <w:r>
        <w:t>of</w:t>
      </w:r>
      <w:r>
        <w:rPr>
          <w:spacing w:val="-4"/>
        </w:rPr>
        <w:t xml:space="preserve"> </w:t>
      </w:r>
      <w:r>
        <w:t>site</w:t>
      </w:r>
      <w:r>
        <w:rPr>
          <w:spacing w:val="-4"/>
        </w:rPr>
        <w:t xml:space="preserve"> </w:t>
      </w:r>
      <w:r>
        <w:t>because</w:t>
      </w:r>
      <w:r>
        <w:rPr>
          <w:spacing w:val="-4"/>
        </w:rPr>
        <w:t xml:space="preserve"> </w:t>
      </w:r>
      <w:r>
        <w:t>the</w:t>
      </w:r>
      <w:r>
        <w:rPr>
          <w:spacing w:val="-4"/>
        </w:rPr>
        <w:t xml:space="preserve"> </w:t>
      </w:r>
      <w:r>
        <w:t>leading</w:t>
      </w:r>
      <w:r>
        <w:rPr>
          <w:spacing w:val="-3"/>
        </w:rPr>
        <w:t xml:space="preserve"> </w:t>
      </w:r>
      <w:r>
        <w:t>towns</w:t>
      </w:r>
      <w:r>
        <w:rPr>
          <w:spacing w:val="-3"/>
        </w:rPr>
        <w:t xml:space="preserve"> </w:t>
      </w:r>
      <w:r>
        <w:t>served</w:t>
      </w:r>
      <w:r>
        <w:rPr>
          <w:spacing w:val="-3"/>
        </w:rPr>
        <w:t xml:space="preserve"> </w:t>
      </w:r>
      <w:r>
        <w:t>by</w:t>
      </w:r>
      <w:r>
        <w:rPr>
          <w:spacing w:val="-3"/>
        </w:rPr>
        <w:t xml:space="preserve"> </w:t>
      </w:r>
      <w:r>
        <w:t>the</w:t>
      </w:r>
      <w:r>
        <w:rPr>
          <w:spacing w:val="-4"/>
        </w:rPr>
        <w:t xml:space="preserve"> </w:t>
      </w:r>
      <w:r>
        <w:t>Southborough</w:t>
      </w:r>
      <w:r>
        <w:rPr>
          <w:spacing w:val="-3"/>
        </w:rPr>
        <w:t xml:space="preserve"> </w:t>
      </w:r>
      <w:r>
        <w:t>location,</w:t>
      </w:r>
      <w:r>
        <w:rPr>
          <w:spacing w:val="-3"/>
        </w:rPr>
        <w:t xml:space="preserve"> </w:t>
      </w:r>
      <w:r>
        <w:t>Framingham</w:t>
      </w:r>
      <w:r>
        <w:rPr>
          <w:spacing w:val="-3"/>
        </w:rPr>
        <w:t xml:space="preserve"> </w:t>
      </w:r>
      <w:r>
        <w:t>and Marlborough, are located in Middlesex County, the location of the proposed site and where over half</w:t>
      </w:r>
      <w:r>
        <w:rPr>
          <w:spacing w:val="-3"/>
        </w:rPr>
        <w:t xml:space="preserve"> </w:t>
      </w:r>
      <w:r>
        <w:t>of</w:t>
      </w:r>
      <w:r>
        <w:rPr>
          <w:spacing w:val="-3"/>
        </w:rPr>
        <w:t xml:space="preserve"> </w:t>
      </w:r>
      <w:r>
        <w:t>the</w:t>
      </w:r>
      <w:r>
        <w:rPr>
          <w:spacing w:val="-3"/>
        </w:rPr>
        <w:t xml:space="preserve"> </w:t>
      </w:r>
      <w:r>
        <w:t>patients</w:t>
      </w:r>
      <w:r>
        <w:rPr>
          <w:spacing w:val="-2"/>
        </w:rPr>
        <w:t xml:space="preserve"> </w:t>
      </w:r>
      <w:r>
        <w:t>who</w:t>
      </w:r>
      <w:r>
        <w:rPr>
          <w:spacing w:val="-2"/>
        </w:rPr>
        <w:t xml:space="preserve"> </w:t>
      </w:r>
      <w:r>
        <w:t>utilize</w:t>
      </w:r>
      <w:r>
        <w:rPr>
          <w:spacing w:val="-3"/>
        </w:rPr>
        <w:t xml:space="preserve"> </w:t>
      </w:r>
      <w:r>
        <w:t>the</w:t>
      </w:r>
      <w:r>
        <w:rPr>
          <w:spacing w:val="-3"/>
        </w:rPr>
        <w:t xml:space="preserve"> </w:t>
      </w:r>
      <w:r>
        <w:t>CT</w:t>
      </w:r>
      <w:r>
        <w:rPr>
          <w:spacing w:val="-3"/>
        </w:rPr>
        <w:t xml:space="preserve"> </w:t>
      </w:r>
      <w:r>
        <w:t>services</w:t>
      </w:r>
      <w:r>
        <w:rPr>
          <w:spacing w:val="-2"/>
        </w:rPr>
        <w:t xml:space="preserve"> </w:t>
      </w:r>
      <w:r>
        <w:t>in Southborough</w:t>
      </w:r>
      <w:r>
        <w:rPr>
          <w:spacing w:val="-2"/>
        </w:rPr>
        <w:t xml:space="preserve"> </w:t>
      </w:r>
      <w:r>
        <w:t>reside.</w:t>
      </w:r>
      <w:r>
        <w:rPr>
          <w:spacing w:val="-2"/>
        </w:rPr>
        <w:t xml:space="preserve"> </w:t>
      </w:r>
      <w:r>
        <w:t>The</w:t>
      </w:r>
      <w:r>
        <w:rPr>
          <w:spacing w:val="-3"/>
        </w:rPr>
        <w:t xml:space="preserve"> </w:t>
      </w:r>
      <w:r>
        <w:t>Applicant</w:t>
      </w:r>
      <w:r>
        <w:rPr>
          <w:spacing w:val="-2"/>
        </w:rPr>
        <w:t xml:space="preserve"> </w:t>
      </w:r>
      <w:r>
        <w:t>states</w:t>
      </w:r>
      <w:r>
        <w:rPr>
          <w:spacing w:val="-2"/>
        </w:rPr>
        <w:t xml:space="preserve"> </w:t>
      </w:r>
      <w:r>
        <w:t>that patients</w:t>
      </w:r>
      <w:r>
        <w:rPr>
          <w:spacing w:val="-3"/>
        </w:rPr>
        <w:t xml:space="preserve"> </w:t>
      </w:r>
      <w:r>
        <w:t>located</w:t>
      </w:r>
      <w:r>
        <w:rPr>
          <w:spacing w:val="-3"/>
        </w:rPr>
        <w:t xml:space="preserve"> </w:t>
      </w:r>
      <w:r>
        <w:t>in</w:t>
      </w:r>
      <w:r>
        <w:rPr>
          <w:spacing w:val="-3"/>
        </w:rPr>
        <w:t xml:space="preserve"> </w:t>
      </w:r>
      <w:r>
        <w:t>Worcester</w:t>
      </w:r>
      <w:r>
        <w:rPr>
          <w:spacing w:val="-3"/>
        </w:rPr>
        <w:t xml:space="preserve"> </w:t>
      </w:r>
      <w:r>
        <w:t>County</w:t>
      </w:r>
      <w:r>
        <w:rPr>
          <w:spacing w:val="-3"/>
        </w:rPr>
        <w:t xml:space="preserve"> </w:t>
      </w:r>
      <w:r>
        <w:t>will</w:t>
      </w:r>
      <w:r>
        <w:rPr>
          <w:spacing w:val="-3"/>
        </w:rPr>
        <w:t xml:space="preserve"> </w:t>
      </w:r>
      <w:r>
        <w:t>have</w:t>
      </w:r>
      <w:r>
        <w:rPr>
          <w:spacing w:val="-3"/>
        </w:rPr>
        <w:t xml:space="preserve"> </w:t>
      </w:r>
      <w:r>
        <w:t>easy</w:t>
      </w:r>
      <w:r>
        <w:rPr>
          <w:spacing w:val="-3"/>
        </w:rPr>
        <w:t xml:space="preserve"> </w:t>
      </w:r>
      <w:r>
        <w:t>access</w:t>
      </w:r>
      <w:r>
        <w:rPr>
          <w:spacing w:val="-3"/>
        </w:rPr>
        <w:t xml:space="preserve"> </w:t>
      </w:r>
      <w:r>
        <w:t>to</w:t>
      </w:r>
      <w:r>
        <w:rPr>
          <w:spacing w:val="-3"/>
        </w:rPr>
        <w:t xml:space="preserve"> </w:t>
      </w:r>
      <w:r>
        <w:t>the</w:t>
      </w:r>
      <w:r>
        <w:rPr>
          <w:spacing w:val="-3"/>
        </w:rPr>
        <w:t xml:space="preserve"> </w:t>
      </w:r>
      <w:r>
        <w:t>Natick</w:t>
      </w:r>
      <w:r>
        <w:rPr>
          <w:spacing w:val="-3"/>
        </w:rPr>
        <w:t xml:space="preserve"> </w:t>
      </w:r>
      <w:r>
        <w:t>location.</w:t>
      </w:r>
      <w:r>
        <w:rPr>
          <w:spacing w:val="-3"/>
        </w:rPr>
        <w:t xml:space="preserve"> </w:t>
      </w:r>
      <w:r>
        <w:t>The</w:t>
      </w:r>
      <w:r>
        <w:rPr>
          <w:spacing w:val="-3"/>
        </w:rPr>
        <w:t xml:space="preserve"> </w:t>
      </w:r>
      <w:r>
        <w:t>Applicant provided</w:t>
      </w:r>
      <w:r>
        <w:rPr>
          <w:spacing w:val="-1"/>
        </w:rPr>
        <w:t xml:space="preserve"> </w:t>
      </w:r>
      <w:r>
        <w:t>the</w:t>
      </w:r>
      <w:r>
        <w:rPr>
          <w:spacing w:val="-2"/>
        </w:rPr>
        <w:t xml:space="preserve"> </w:t>
      </w:r>
      <w:r>
        <w:t>cities/towns</w:t>
      </w:r>
      <w:r>
        <w:rPr>
          <w:spacing w:val="-1"/>
        </w:rPr>
        <w:t xml:space="preserve"> </w:t>
      </w:r>
      <w:r>
        <w:t>that</w:t>
      </w:r>
      <w:r>
        <w:rPr>
          <w:spacing w:val="-1"/>
        </w:rPr>
        <w:t xml:space="preserve"> </w:t>
      </w:r>
      <w:r>
        <w:t>make</w:t>
      </w:r>
      <w:r>
        <w:rPr>
          <w:spacing w:val="-2"/>
        </w:rPr>
        <w:t xml:space="preserve"> </w:t>
      </w:r>
      <w:r>
        <w:t>up</w:t>
      </w:r>
      <w:r>
        <w:rPr>
          <w:spacing w:val="-1"/>
        </w:rPr>
        <w:t xml:space="preserve"> </w:t>
      </w:r>
      <w:r>
        <w:t>the</w:t>
      </w:r>
      <w:r>
        <w:rPr>
          <w:spacing w:val="-2"/>
        </w:rPr>
        <w:t xml:space="preserve"> </w:t>
      </w:r>
      <w:r>
        <w:t>2023</w:t>
      </w:r>
      <w:r>
        <w:rPr>
          <w:spacing w:val="-1"/>
        </w:rPr>
        <w:t xml:space="preserve"> </w:t>
      </w:r>
      <w:r>
        <w:t>patient</w:t>
      </w:r>
      <w:r>
        <w:rPr>
          <w:spacing w:val="-1"/>
        </w:rPr>
        <w:t xml:space="preserve"> </w:t>
      </w:r>
      <w:r>
        <w:t>population</w:t>
      </w:r>
      <w:r>
        <w:rPr>
          <w:spacing w:val="-1"/>
        </w:rPr>
        <w:t xml:space="preserve"> </w:t>
      </w:r>
      <w:r>
        <w:t>of</w:t>
      </w:r>
      <w:r>
        <w:rPr>
          <w:spacing w:val="-2"/>
        </w:rPr>
        <w:t xml:space="preserve"> </w:t>
      </w:r>
      <w:r>
        <w:t>the</w:t>
      </w:r>
      <w:r>
        <w:rPr>
          <w:spacing w:val="-2"/>
        </w:rPr>
        <w:t xml:space="preserve"> </w:t>
      </w:r>
      <w:r>
        <w:t>Southborough</w:t>
      </w:r>
      <w:r>
        <w:rPr>
          <w:spacing w:val="-1"/>
        </w:rPr>
        <w:t xml:space="preserve"> </w:t>
      </w:r>
      <w:r>
        <w:t>location and their respective patient volume. This is shown in Table 1. The Applicant notes that Reliant collects</w:t>
      </w:r>
      <w:r>
        <w:rPr>
          <w:spacing w:val="-1"/>
        </w:rPr>
        <w:t xml:space="preserve"> </w:t>
      </w:r>
      <w:r>
        <w:t>demographic</w:t>
      </w:r>
      <w:r>
        <w:rPr>
          <w:spacing w:val="-2"/>
        </w:rPr>
        <w:t xml:space="preserve"> </w:t>
      </w:r>
      <w:r>
        <w:t>information</w:t>
      </w:r>
      <w:r>
        <w:rPr>
          <w:spacing w:val="-1"/>
        </w:rPr>
        <w:t xml:space="preserve"> </w:t>
      </w:r>
      <w:r>
        <w:t>on</w:t>
      </w:r>
      <w:r>
        <w:rPr>
          <w:spacing w:val="-1"/>
        </w:rPr>
        <w:t xml:space="preserve"> </w:t>
      </w:r>
      <w:r>
        <w:t>a</w:t>
      </w:r>
      <w:r>
        <w:rPr>
          <w:spacing w:val="-2"/>
        </w:rPr>
        <w:t xml:space="preserve"> </w:t>
      </w:r>
      <w:r>
        <w:t>patient</w:t>
      </w:r>
      <w:r>
        <w:rPr>
          <w:spacing w:val="-1"/>
        </w:rPr>
        <w:t xml:space="preserve"> </w:t>
      </w:r>
      <w:r>
        <w:t>basis</w:t>
      </w:r>
      <w:r>
        <w:rPr>
          <w:spacing w:val="-1"/>
        </w:rPr>
        <w:t xml:space="preserve"> </w:t>
      </w:r>
      <w:r>
        <w:t>and</w:t>
      </w:r>
      <w:r>
        <w:rPr>
          <w:spacing w:val="-1"/>
        </w:rPr>
        <w:t xml:space="preserve"> </w:t>
      </w:r>
      <w:r>
        <w:t>does</w:t>
      </w:r>
      <w:r>
        <w:rPr>
          <w:spacing w:val="-1"/>
        </w:rPr>
        <w:t xml:space="preserve"> </w:t>
      </w:r>
      <w:r>
        <w:t>not</w:t>
      </w:r>
      <w:r>
        <w:rPr>
          <w:spacing w:val="-1"/>
        </w:rPr>
        <w:t xml:space="preserve"> </w:t>
      </w:r>
      <w:r>
        <w:t>maintain</w:t>
      </w:r>
      <w:r>
        <w:rPr>
          <w:spacing w:val="-1"/>
        </w:rPr>
        <w:t xml:space="preserve"> </w:t>
      </w:r>
      <w:r>
        <w:t>identifiers</w:t>
      </w:r>
      <w:r>
        <w:rPr>
          <w:spacing w:val="-1"/>
        </w:rPr>
        <w:t xml:space="preserve"> </w:t>
      </w:r>
      <w:r>
        <w:t>at</w:t>
      </w:r>
      <w:r>
        <w:rPr>
          <w:spacing w:val="-1"/>
        </w:rPr>
        <w:t xml:space="preserve"> </w:t>
      </w:r>
      <w:r>
        <w:t>the</w:t>
      </w:r>
      <w:r>
        <w:rPr>
          <w:spacing w:val="-2"/>
        </w:rPr>
        <w:t xml:space="preserve"> </w:t>
      </w:r>
      <w:r>
        <w:t>level of a procedure like CT .</w:t>
      </w:r>
    </w:p>
    <w:p w14:paraId="47D520D1" w14:textId="77777777" w:rsidR="00C15ED1" w:rsidRDefault="00C15ED1">
      <w:pPr>
        <w:pStyle w:val="BodyText"/>
      </w:pPr>
    </w:p>
    <w:p w14:paraId="47D520D2" w14:textId="77777777" w:rsidR="00C15ED1" w:rsidRDefault="00000000">
      <w:pPr>
        <w:pStyle w:val="BodyText"/>
        <w:ind w:left="800" w:right="1206"/>
      </w:pPr>
      <w:r>
        <w:t>In</w:t>
      </w:r>
      <w:r>
        <w:rPr>
          <w:spacing w:val="-3"/>
        </w:rPr>
        <w:t xml:space="preserve"> </w:t>
      </w:r>
      <w:r>
        <w:t>2023,</w:t>
      </w:r>
      <w:r>
        <w:rPr>
          <w:spacing w:val="-1"/>
        </w:rPr>
        <w:t xml:space="preserve"> </w:t>
      </w:r>
      <w:r>
        <w:t>at</w:t>
      </w:r>
      <w:r>
        <w:rPr>
          <w:spacing w:val="-3"/>
        </w:rPr>
        <w:t xml:space="preserve"> </w:t>
      </w:r>
      <w:r>
        <w:t>the</w:t>
      </w:r>
      <w:r>
        <w:rPr>
          <w:spacing w:val="-4"/>
        </w:rPr>
        <w:t xml:space="preserve"> </w:t>
      </w:r>
      <w:r>
        <w:t>Southborough</w:t>
      </w:r>
      <w:r>
        <w:rPr>
          <w:spacing w:val="-3"/>
        </w:rPr>
        <w:t xml:space="preserve"> </w:t>
      </w:r>
      <w:r>
        <w:t>location</w:t>
      </w:r>
      <w:r>
        <w:rPr>
          <w:spacing w:val="-3"/>
        </w:rPr>
        <w:t xml:space="preserve"> </w:t>
      </w:r>
      <w:r>
        <w:t>there</w:t>
      </w:r>
      <w:r>
        <w:rPr>
          <w:spacing w:val="-4"/>
        </w:rPr>
        <w:t xml:space="preserve"> </w:t>
      </w:r>
      <w:r>
        <w:t>were</w:t>
      </w:r>
      <w:r>
        <w:rPr>
          <w:spacing w:val="-4"/>
        </w:rPr>
        <w:t xml:space="preserve"> </w:t>
      </w:r>
      <w:r>
        <w:t>32,443</w:t>
      </w:r>
      <w:r>
        <w:rPr>
          <w:spacing w:val="-3"/>
        </w:rPr>
        <w:t xml:space="preserve"> </w:t>
      </w:r>
      <w:r>
        <w:t>patient</w:t>
      </w:r>
      <w:r>
        <w:rPr>
          <w:spacing w:val="-3"/>
        </w:rPr>
        <w:t xml:space="preserve"> </w:t>
      </w:r>
      <w:r>
        <w:t>visits,</w:t>
      </w:r>
      <w:r>
        <w:rPr>
          <w:spacing w:val="-3"/>
        </w:rPr>
        <w:t xml:space="preserve"> </w:t>
      </w:r>
      <w:r>
        <w:t>which</w:t>
      </w:r>
      <w:r>
        <w:rPr>
          <w:spacing w:val="-3"/>
        </w:rPr>
        <w:t xml:space="preserve"> </w:t>
      </w:r>
      <w:r>
        <w:t>included</w:t>
      </w:r>
      <w:r>
        <w:rPr>
          <w:spacing w:val="-3"/>
        </w:rPr>
        <w:t xml:space="preserve"> </w:t>
      </w:r>
      <w:r>
        <w:t>1,242</w:t>
      </w:r>
      <w:r>
        <w:rPr>
          <w:spacing w:val="-3"/>
        </w:rPr>
        <w:t xml:space="preserve"> </w:t>
      </w:r>
      <w:r>
        <w:t>CT scans, a decrease from the number of scans in 2022 (1,717) which the Applicant attributes to staffing shortages experienced by Reliant in 2023. The Applicant believes that with the</w:t>
      </w:r>
    </w:p>
    <w:p w14:paraId="47D520D3" w14:textId="77777777" w:rsidR="00C15ED1" w:rsidRDefault="00C15ED1">
      <w:pPr>
        <w:sectPr w:rsidR="00C15ED1" w:rsidSect="00713D41">
          <w:pgSz w:w="12240" w:h="15840"/>
          <w:pgMar w:top="810" w:right="260" w:bottom="1260" w:left="640" w:header="0" w:footer="1063" w:gutter="0"/>
          <w:cols w:space="720"/>
        </w:sectPr>
      </w:pPr>
    </w:p>
    <w:p w14:paraId="47D520D4" w14:textId="77777777" w:rsidR="00C15ED1" w:rsidRDefault="00000000">
      <w:pPr>
        <w:pStyle w:val="BodyText"/>
        <w:spacing w:before="79"/>
        <w:ind w:left="800" w:right="1206"/>
      </w:pPr>
      <w:r>
        <w:lastRenderedPageBreak/>
        <w:t>relocation</w:t>
      </w:r>
      <w:r>
        <w:rPr>
          <w:spacing w:val="-3"/>
        </w:rPr>
        <w:t xml:space="preserve"> </w:t>
      </w:r>
      <w:r>
        <w:t>of</w:t>
      </w:r>
      <w:r>
        <w:rPr>
          <w:spacing w:val="-4"/>
        </w:rPr>
        <w:t xml:space="preserve"> </w:t>
      </w:r>
      <w:r>
        <w:t>the</w:t>
      </w:r>
      <w:r>
        <w:rPr>
          <w:spacing w:val="-4"/>
        </w:rPr>
        <w:t xml:space="preserve"> </w:t>
      </w:r>
      <w:r>
        <w:t>CT</w:t>
      </w:r>
      <w:r>
        <w:rPr>
          <w:spacing w:val="-4"/>
        </w:rPr>
        <w:t xml:space="preserve"> </w:t>
      </w:r>
      <w:r>
        <w:t>unit</w:t>
      </w:r>
      <w:r>
        <w:rPr>
          <w:spacing w:val="-1"/>
        </w:rPr>
        <w:t xml:space="preserve"> </w:t>
      </w:r>
      <w:r>
        <w:t>to</w:t>
      </w:r>
      <w:r>
        <w:rPr>
          <w:spacing w:val="-3"/>
        </w:rPr>
        <w:t xml:space="preserve"> </w:t>
      </w:r>
      <w:r>
        <w:t>Natick</w:t>
      </w:r>
      <w:r>
        <w:rPr>
          <w:spacing w:val="-3"/>
        </w:rPr>
        <w:t xml:space="preserve"> </w:t>
      </w:r>
      <w:r>
        <w:t>and</w:t>
      </w:r>
      <w:r>
        <w:rPr>
          <w:spacing w:val="-3"/>
        </w:rPr>
        <w:t xml:space="preserve"> </w:t>
      </w:r>
      <w:r>
        <w:t>subsequent</w:t>
      </w:r>
      <w:r>
        <w:rPr>
          <w:spacing w:val="-1"/>
        </w:rPr>
        <w:t xml:space="preserve"> </w:t>
      </w:r>
      <w:r>
        <w:t>staff</w:t>
      </w:r>
      <w:r>
        <w:rPr>
          <w:spacing w:val="-4"/>
        </w:rPr>
        <w:t xml:space="preserve"> </w:t>
      </w:r>
      <w:r>
        <w:t>hires,</w:t>
      </w:r>
      <w:r>
        <w:rPr>
          <w:spacing w:val="-3"/>
        </w:rPr>
        <w:t xml:space="preserve"> </w:t>
      </w:r>
      <w:r>
        <w:t>CT</w:t>
      </w:r>
      <w:r>
        <w:rPr>
          <w:spacing w:val="-4"/>
        </w:rPr>
        <w:t xml:space="preserve"> </w:t>
      </w:r>
      <w:r>
        <w:t>volume</w:t>
      </w:r>
      <w:r>
        <w:rPr>
          <w:spacing w:val="-4"/>
        </w:rPr>
        <w:t xml:space="preserve"> </w:t>
      </w:r>
      <w:r>
        <w:t>will</w:t>
      </w:r>
      <w:r>
        <w:rPr>
          <w:spacing w:val="-3"/>
        </w:rPr>
        <w:t xml:space="preserve"> </w:t>
      </w:r>
      <w:r>
        <w:t>return</w:t>
      </w:r>
      <w:r>
        <w:rPr>
          <w:spacing w:val="-3"/>
        </w:rPr>
        <w:t xml:space="preserve"> </w:t>
      </w:r>
      <w:r>
        <w:t>to</w:t>
      </w:r>
      <w:r>
        <w:rPr>
          <w:spacing w:val="-3"/>
        </w:rPr>
        <w:t xml:space="preserve"> </w:t>
      </w:r>
      <w:r>
        <w:t>the volume seen in 2022.</w:t>
      </w:r>
    </w:p>
    <w:p w14:paraId="47D520D5" w14:textId="77777777" w:rsidR="00C15ED1" w:rsidRDefault="00C15ED1">
      <w:pPr>
        <w:pStyle w:val="BodyText"/>
      </w:pPr>
    </w:p>
    <w:p w14:paraId="47D520D6" w14:textId="77777777" w:rsidR="00C15ED1" w:rsidRDefault="00000000">
      <w:pPr>
        <w:pStyle w:val="Heading1"/>
      </w:pPr>
      <w:r>
        <w:t>Table</w:t>
      </w:r>
      <w:r>
        <w:rPr>
          <w:spacing w:val="-2"/>
        </w:rPr>
        <w:t xml:space="preserve"> </w:t>
      </w:r>
      <w:r>
        <w:t>1:</w:t>
      </w:r>
      <w:r>
        <w:rPr>
          <w:spacing w:val="-2"/>
        </w:rPr>
        <w:t xml:space="preserve"> </w:t>
      </w:r>
      <w:r>
        <w:t>2023</w:t>
      </w:r>
      <w:r>
        <w:rPr>
          <w:spacing w:val="-1"/>
        </w:rPr>
        <w:t xml:space="preserve"> </w:t>
      </w:r>
      <w:r>
        <w:t>Patient</w:t>
      </w:r>
      <w:r>
        <w:rPr>
          <w:spacing w:val="-2"/>
        </w:rPr>
        <w:t xml:space="preserve"> </w:t>
      </w:r>
      <w:r>
        <w:t xml:space="preserve">Origin </w:t>
      </w:r>
      <w:r>
        <w:rPr>
          <w:spacing w:val="-2"/>
        </w:rPr>
        <w:t>Information</w:t>
      </w:r>
    </w:p>
    <w:tbl>
      <w:tblPr>
        <w:tblW w:w="0" w:type="auto"/>
        <w:tblInd w:w="810"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1469"/>
        <w:gridCol w:w="1145"/>
        <w:gridCol w:w="1757"/>
      </w:tblGrid>
      <w:tr w:rsidR="00C15ED1" w14:paraId="47D520DB" w14:textId="77777777" w:rsidTr="00835E7E">
        <w:trPr>
          <w:cantSplit/>
          <w:trHeight w:val="733"/>
          <w:tblHeader/>
        </w:trPr>
        <w:tc>
          <w:tcPr>
            <w:tcW w:w="1469" w:type="dxa"/>
            <w:tcBorders>
              <w:left w:val="single" w:sz="4" w:space="0" w:color="000000"/>
              <w:bottom w:val="single" w:sz="4" w:space="0" w:color="000000"/>
              <w:right w:val="single" w:sz="4" w:space="0" w:color="000000"/>
            </w:tcBorders>
            <w:shd w:val="clear" w:color="auto" w:fill="F1F1F1"/>
          </w:tcPr>
          <w:p w14:paraId="47D520D7" w14:textId="77777777" w:rsidR="00C15ED1" w:rsidRDefault="00000000">
            <w:pPr>
              <w:pStyle w:val="TableParagraph"/>
              <w:spacing w:line="220" w:lineRule="exact"/>
              <w:rPr>
                <w:b/>
              </w:rPr>
            </w:pPr>
            <w:r>
              <w:rPr>
                <w:b/>
                <w:spacing w:val="-2"/>
              </w:rPr>
              <w:t>Town/City</w:t>
            </w:r>
          </w:p>
        </w:tc>
        <w:tc>
          <w:tcPr>
            <w:tcW w:w="1145" w:type="dxa"/>
            <w:tcBorders>
              <w:top w:val="single" w:sz="4" w:space="0" w:color="000000"/>
              <w:left w:val="single" w:sz="4" w:space="0" w:color="000000"/>
              <w:bottom w:val="single" w:sz="4" w:space="0" w:color="000000"/>
              <w:right w:val="single" w:sz="4" w:space="0" w:color="000000"/>
            </w:tcBorders>
            <w:shd w:val="clear" w:color="auto" w:fill="F1F1F1"/>
          </w:tcPr>
          <w:p w14:paraId="47D520D8" w14:textId="77777777" w:rsidR="00C15ED1" w:rsidRDefault="00000000">
            <w:pPr>
              <w:pStyle w:val="TableParagraph"/>
              <w:spacing w:line="220" w:lineRule="exact"/>
              <w:rPr>
                <w:b/>
              </w:rPr>
            </w:pPr>
            <w:r>
              <w:rPr>
                <w:b/>
                <w:spacing w:val="-2"/>
              </w:rPr>
              <w:t>County</w:t>
            </w:r>
          </w:p>
        </w:tc>
        <w:tc>
          <w:tcPr>
            <w:tcW w:w="1757" w:type="dxa"/>
            <w:tcBorders>
              <w:top w:val="single" w:sz="4" w:space="0" w:color="000000"/>
              <w:left w:val="single" w:sz="4" w:space="0" w:color="000000"/>
              <w:bottom w:val="single" w:sz="4" w:space="0" w:color="000000"/>
              <w:right w:val="single" w:sz="4" w:space="0" w:color="000000"/>
            </w:tcBorders>
            <w:shd w:val="clear" w:color="auto" w:fill="F1F1F1"/>
          </w:tcPr>
          <w:p w14:paraId="47D520D9" w14:textId="77777777" w:rsidR="00C15ED1" w:rsidRDefault="00000000">
            <w:pPr>
              <w:pStyle w:val="TableParagraph"/>
              <w:spacing w:line="220" w:lineRule="exact"/>
              <w:rPr>
                <w:b/>
              </w:rPr>
            </w:pPr>
            <w:r>
              <w:rPr>
                <w:b/>
                <w:spacing w:val="-2"/>
              </w:rPr>
              <w:t>Percentage</w:t>
            </w:r>
          </w:p>
          <w:p w14:paraId="47D520DA" w14:textId="7D7C3144" w:rsidR="00C15ED1" w:rsidRDefault="00000000">
            <w:pPr>
              <w:pStyle w:val="TableParagraph"/>
              <w:spacing w:line="252" w:lineRule="exact"/>
              <w:rPr>
                <w:b/>
              </w:rPr>
            </w:pPr>
            <w:r>
              <w:rPr>
                <w:b/>
              </w:rPr>
              <w:t>of Current Patient</w:t>
            </w:r>
            <w:r>
              <w:rPr>
                <w:b/>
                <w:spacing w:val="-14"/>
              </w:rPr>
              <w:t xml:space="preserve"> </w:t>
            </w:r>
            <w:r>
              <w:rPr>
                <w:b/>
              </w:rPr>
              <w:t>Volume</w:t>
            </w:r>
            <w:r w:rsidR="00835E7E">
              <w:rPr>
                <w:rStyle w:val="FootnoteReference"/>
                <w:b/>
              </w:rPr>
              <w:footnoteReference w:id="2"/>
            </w:r>
          </w:p>
        </w:tc>
      </w:tr>
      <w:tr w:rsidR="00C15ED1" w14:paraId="47D520DF" w14:textId="77777777" w:rsidTr="00835E7E">
        <w:trPr>
          <w:cantSplit/>
          <w:trHeight w:val="253"/>
        </w:trPr>
        <w:tc>
          <w:tcPr>
            <w:tcW w:w="1469" w:type="dxa"/>
            <w:tcBorders>
              <w:top w:val="single" w:sz="4" w:space="0" w:color="000000"/>
              <w:left w:val="single" w:sz="4" w:space="0" w:color="000000"/>
              <w:bottom w:val="single" w:sz="4" w:space="0" w:color="000000"/>
              <w:right w:val="single" w:sz="4" w:space="0" w:color="000000"/>
            </w:tcBorders>
          </w:tcPr>
          <w:p w14:paraId="47D520DC" w14:textId="77777777" w:rsidR="00C15ED1" w:rsidRDefault="00000000">
            <w:pPr>
              <w:pStyle w:val="TableParagraph"/>
            </w:pPr>
            <w:r>
              <w:rPr>
                <w:spacing w:val="-2"/>
              </w:rPr>
              <w:t>Framingham</w:t>
            </w:r>
          </w:p>
        </w:tc>
        <w:tc>
          <w:tcPr>
            <w:tcW w:w="1145" w:type="dxa"/>
            <w:tcBorders>
              <w:top w:val="single" w:sz="4" w:space="0" w:color="000000"/>
              <w:left w:val="single" w:sz="4" w:space="0" w:color="000000"/>
              <w:bottom w:val="single" w:sz="4" w:space="0" w:color="000000"/>
              <w:right w:val="single" w:sz="4" w:space="0" w:color="000000"/>
            </w:tcBorders>
          </w:tcPr>
          <w:p w14:paraId="47D520DD" w14:textId="77777777" w:rsidR="00C15ED1" w:rsidRDefault="00000000">
            <w:pPr>
              <w:pStyle w:val="TableParagraph"/>
            </w:pPr>
            <w:r>
              <w:rPr>
                <w:spacing w:val="-2"/>
              </w:rPr>
              <w:t>Middlesex</w:t>
            </w:r>
          </w:p>
        </w:tc>
        <w:tc>
          <w:tcPr>
            <w:tcW w:w="1757" w:type="dxa"/>
            <w:tcBorders>
              <w:top w:val="single" w:sz="4" w:space="0" w:color="000000"/>
              <w:left w:val="single" w:sz="4" w:space="0" w:color="000000"/>
              <w:bottom w:val="single" w:sz="4" w:space="0" w:color="000000"/>
              <w:right w:val="single" w:sz="4" w:space="0" w:color="000000"/>
            </w:tcBorders>
          </w:tcPr>
          <w:p w14:paraId="47D520DE" w14:textId="77777777" w:rsidR="00C15ED1" w:rsidRDefault="00000000">
            <w:pPr>
              <w:pStyle w:val="TableParagraph"/>
            </w:pPr>
            <w:r>
              <w:rPr>
                <w:spacing w:val="-5"/>
              </w:rPr>
              <w:t>21%</w:t>
            </w:r>
          </w:p>
        </w:tc>
      </w:tr>
      <w:tr w:rsidR="00C15ED1" w14:paraId="47D520E3" w14:textId="77777777" w:rsidTr="00835E7E">
        <w:trPr>
          <w:cantSplit/>
          <w:trHeight w:val="251"/>
        </w:trPr>
        <w:tc>
          <w:tcPr>
            <w:tcW w:w="1469" w:type="dxa"/>
            <w:tcBorders>
              <w:top w:val="single" w:sz="4" w:space="0" w:color="000000"/>
              <w:left w:val="single" w:sz="4" w:space="0" w:color="000000"/>
              <w:bottom w:val="single" w:sz="4" w:space="0" w:color="000000"/>
              <w:right w:val="single" w:sz="4" w:space="0" w:color="000000"/>
            </w:tcBorders>
          </w:tcPr>
          <w:p w14:paraId="47D520E0" w14:textId="77777777" w:rsidR="00C15ED1" w:rsidRDefault="00000000">
            <w:pPr>
              <w:pStyle w:val="TableParagraph"/>
              <w:spacing w:line="232" w:lineRule="exact"/>
            </w:pPr>
            <w:r>
              <w:rPr>
                <w:spacing w:val="-2"/>
              </w:rPr>
              <w:t>Marlborough</w:t>
            </w:r>
          </w:p>
        </w:tc>
        <w:tc>
          <w:tcPr>
            <w:tcW w:w="1145" w:type="dxa"/>
            <w:tcBorders>
              <w:top w:val="single" w:sz="4" w:space="0" w:color="000000"/>
              <w:left w:val="single" w:sz="4" w:space="0" w:color="000000"/>
              <w:bottom w:val="single" w:sz="4" w:space="0" w:color="000000"/>
              <w:right w:val="single" w:sz="4" w:space="0" w:color="000000"/>
            </w:tcBorders>
          </w:tcPr>
          <w:p w14:paraId="47D520E1" w14:textId="77777777" w:rsidR="00C15ED1" w:rsidRDefault="00000000">
            <w:pPr>
              <w:pStyle w:val="TableParagraph"/>
              <w:spacing w:line="232" w:lineRule="exact"/>
            </w:pPr>
            <w:r>
              <w:rPr>
                <w:spacing w:val="-2"/>
              </w:rPr>
              <w:t>Middlesex</w:t>
            </w:r>
          </w:p>
        </w:tc>
        <w:tc>
          <w:tcPr>
            <w:tcW w:w="1757" w:type="dxa"/>
            <w:tcBorders>
              <w:top w:val="single" w:sz="4" w:space="0" w:color="000000"/>
              <w:left w:val="single" w:sz="4" w:space="0" w:color="000000"/>
              <w:bottom w:val="single" w:sz="4" w:space="0" w:color="000000"/>
              <w:right w:val="single" w:sz="4" w:space="0" w:color="000000"/>
            </w:tcBorders>
          </w:tcPr>
          <w:p w14:paraId="47D520E2" w14:textId="77777777" w:rsidR="00C15ED1" w:rsidRDefault="00000000">
            <w:pPr>
              <w:pStyle w:val="TableParagraph"/>
              <w:spacing w:line="232" w:lineRule="exact"/>
            </w:pPr>
            <w:r>
              <w:rPr>
                <w:spacing w:val="-5"/>
              </w:rPr>
              <w:t>15%</w:t>
            </w:r>
          </w:p>
        </w:tc>
      </w:tr>
      <w:tr w:rsidR="00C15ED1" w14:paraId="47D520E7" w14:textId="77777777" w:rsidTr="00835E7E">
        <w:trPr>
          <w:cantSplit/>
          <w:trHeight w:val="253"/>
        </w:trPr>
        <w:tc>
          <w:tcPr>
            <w:tcW w:w="1469" w:type="dxa"/>
            <w:tcBorders>
              <w:top w:val="single" w:sz="4" w:space="0" w:color="000000"/>
              <w:left w:val="single" w:sz="4" w:space="0" w:color="000000"/>
              <w:bottom w:val="single" w:sz="4" w:space="0" w:color="000000"/>
              <w:right w:val="single" w:sz="4" w:space="0" w:color="000000"/>
            </w:tcBorders>
          </w:tcPr>
          <w:p w14:paraId="47D520E4" w14:textId="77777777" w:rsidR="00C15ED1" w:rsidRDefault="00000000">
            <w:pPr>
              <w:pStyle w:val="TableParagraph"/>
            </w:pPr>
            <w:r>
              <w:rPr>
                <w:spacing w:val="-2"/>
              </w:rPr>
              <w:t>Southborough</w:t>
            </w:r>
          </w:p>
        </w:tc>
        <w:tc>
          <w:tcPr>
            <w:tcW w:w="1145" w:type="dxa"/>
            <w:tcBorders>
              <w:top w:val="single" w:sz="4" w:space="0" w:color="000000"/>
              <w:left w:val="single" w:sz="4" w:space="0" w:color="000000"/>
              <w:bottom w:val="single" w:sz="4" w:space="0" w:color="000000"/>
              <w:right w:val="single" w:sz="4" w:space="0" w:color="000000"/>
            </w:tcBorders>
          </w:tcPr>
          <w:p w14:paraId="47D520E5" w14:textId="77777777" w:rsidR="00C15ED1" w:rsidRDefault="00000000">
            <w:pPr>
              <w:pStyle w:val="TableParagraph"/>
            </w:pPr>
            <w:r>
              <w:rPr>
                <w:spacing w:val="-2"/>
              </w:rPr>
              <w:t>Worcester</w:t>
            </w:r>
          </w:p>
        </w:tc>
        <w:tc>
          <w:tcPr>
            <w:tcW w:w="1757" w:type="dxa"/>
            <w:tcBorders>
              <w:top w:val="single" w:sz="4" w:space="0" w:color="000000"/>
              <w:left w:val="single" w:sz="4" w:space="0" w:color="000000"/>
              <w:bottom w:val="single" w:sz="4" w:space="0" w:color="000000"/>
              <w:right w:val="single" w:sz="4" w:space="0" w:color="000000"/>
            </w:tcBorders>
          </w:tcPr>
          <w:p w14:paraId="47D520E6" w14:textId="77777777" w:rsidR="00C15ED1" w:rsidRDefault="00000000">
            <w:pPr>
              <w:pStyle w:val="TableParagraph"/>
            </w:pPr>
            <w:r>
              <w:rPr>
                <w:spacing w:val="-5"/>
              </w:rPr>
              <w:t>8%</w:t>
            </w:r>
          </w:p>
        </w:tc>
      </w:tr>
      <w:tr w:rsidR="00C15ED1" w14:paraId="47D520EB" w14:textId="77777777" w:rsidTr="00835E7E">
        <w:trPr>
          <w:cantSplit/>
          <w:trHeight w:val="253"/>
        </w:trPr>
        <w:tc>
          <w:tcPr>
            <w:tcW w:w="1469" w:type="dxa"/>
            <w:tcBorders>
              <w:top w:val="single" w:sz="4" w:space="0" w:color="000000"/>
              <w:left w:val="single" w:sz="4" w:space="0" w:color="000000"/>
              <w:bottom w:val="single" w:sz="4" w:space="0" w:color="000000"/>
              <w:right w:val="single" w:sz="4" w:space="0" w:color="000000"/>
            </w:tcBorders>
          </w:tcPr>
          <w:p w14:paraId="47D520E8" w14:textId="77777777" w:rsidR="00C15ED1" w:rsidRDefault="00000000">
            <w:pPr>
              <w:pStyle w:val="TableParagraph"/>
            </w:pPr>
            <w:r>
              <w:rPr>
                <w:spacing w:val="-2"/>
              </w:rPr>
              <w:t>Hudson</w:t>
            </w:r>
          </w:p>
        </w:tc>
        <w:tc>
          <w:tcPr>
            <w:tcW w:w="1145" w:type="dxa"/>
            <w:tcBorders>
              <w:top w:val="single" w:sz="4" w:space="0" w:color="000000"/>
              <w:left w:val="single" w:sz="4" w:space="0" w:color="000000"/>
              <w:bottom w:val="single" w:sz="4" w:space="0" w:color="000000"/>
              <w:right w:val="single" w:sz="4" w:space="0" w:color="000000"/>
            </w:tcBorders>
          </w:tcPr>
          <w:p w14:paraId="47D520E9" w14:textId="77777777" w:rsidR="00C15ED1" w:rsidRDefault="00000000">
            <w:pPr>
              <w:pStyle w:val="TableParagraph"/>
            </w:pPr>
            <w:r>
              <w:rPr>
                <w:spacing w:val="-2"/>
              </w:rPr>
              <w:t>Middlesex</w:t>
            </w:r>
          </w:p>
        </w:tc>
        <w:tc>
          <w:tcPr>
            <w:tcW w:w="1757" w:type="dxa"/>
            <w:tcBorders>
              <w:top w:val="single" w:sz="4" w:space="0" w:color="000000"/>
              <w:left w:val="single" w:sz="4" w:space="0" w:color="000000"/>
              <w:bottom w:val="single" w:sz="4" w:space="0" w:color="000000"/>
              <w:right w:val="single" w:sz="4" w:space="0" w:color="000000"/>
            </w:tcBorders>
          </w:tcPr>
          <w:p w14:paraId="47D520EA" w14:textId="77777777" w:rsidR="00C15ED1" w:rsidRDefault="00000000">
            <w:pPr>
              <w:pStyle w:val="TableParagraph"/>
            </w:pPr>
            <w:r>
              <w:rPr>
                <w:spacing w:val="-5"/>
              </w:rPr>
              <w:t>6%</w:t>
            </w:r>
          </w:p>
        </w:tc>
      </w:tr>
      <w:tr w:rsidR="00C15ED1" w14:paraId="47D520EF" w14:textId="77777777" w:rsidTr="00835E7E">
        <w:trPr>
          <w:cantSplit/>
          <w:trHeight w:val="251"/>
        </w:trPr>
        <w:tc>
          <w:tcPr>
            <w:tcW w:w="1469" w:type="dxa"/>
            <w:tcBorders>
              <w:top w:val="single" w:sz="4" w:space="0" w:color="000000"/>
              <w:left w:val="single" w:sz="4" w:space="0" w:color="000000"/>
              <w:bottom w:val="single" w:sz="4" w:space="0" w:color="000000"/>
              <w:right w:val="single" w:sz="4" w:space="0" w:color="000000"/>
            </w:tcBorders>
          </w:tcPr>
          <w:p w14:paraId="47D520EC" w14:textId="77777777" w:rsidR="00C15ED1" w:rsidRDefault="00000000">
            <w:pPr>
              <w:pStyle w:val="TableParagraph"/>
              <w:spacing w:line="232" w:lineRule="exact"/>
            </w:pPr>
            <w:r>
              <w:rPr>
                <w:spacing w:val="-2"/>
              </w:rPr>
              <w:t>Ashland</w:t>
            </w:r>
          </w:p>
        </w:tc>
        <w:tc>
          <w:tcPr>
            <w:tcW w:w="1145" w:type="dxa"/>
            <w:tcBorders>
              <w:top w:val="single" w:sz="4" w:space="0" w:color="000000"/>
              <w:left w:val="single" w:sz="4" w:space="0" w:color="000000"/>
              <w:bottom w:val="single" w:sz="4" w:space="0" w:color="000000"/>
              <w:right w:val="single" w:sz="4" w:space="0" w:color="000000"/>
            </w:tcBorders>
          </w:tcPr>
          <w:p w14:paraId="47D520ED" w14:textId="77777777" w:rsidR="00C15ED1" w:rsidRDefault="00000000">
            <w:pPr>
              <w:pStyle w:val="TableParagraph"/>
              <w:spacing w:line="232" w:lineRule="exact"/>
            </w:pPr>
            <w:r>
              <w:rPr>
                <w:spacing w:val="-2"/>
              </w:rPr>
              <w:t>Middlesex</w:t>
            </w:r>
          </w:p>
        </w:tc>
        <w:tc>
          <w:tcPr>
            <w:tcW w:w="1757" w:type="dxa"/>
            <w:tcBorders>
              <w:top w:val="single" w:sz="4" w:space="0" w:color="000000"/>
              <w:left w:val="single" w:sz="4" w:space="0" w:color="000000"/>
              <w:bottom w:val="single" w:sz="4" w:space="0" w:color="000000"/>
              <w:right w:val="single" w:sz="4" w:space="0" w:color="000000"/>
            </w:tcBorders>
          </w:tcPr>
          <w:p w14:paraId="47D520EE" w14:textId="77777777" w:rsidR="00C15ED1" w:rsidRDefault="00000000">
            <w:pPr>
              <w:pStyle w:val="TableParagraph"/>
              <w:spacing w:line="232" w:lineRule="exact"/>
            </w:pPr>
            <w:r>
              <w:rPr>
                <w:spacing w:val="-5"/>
              </w:rPr>
              <w:t>6%</w:t>
            </w:r>
          </w:p>
        </w:tc>
      </w:tr>
      <w:tr w:rsidR="00C15ED1" w14:paraId="47D520F3" w14:textId="77777777" w:rsidTr="00835E7E">
        <w:trPr>
          <w:cantSplit/>
          <w:trHeight w:val="253"/>
        </w:trPr>
        <w:tc>
          <w:tcPr>
            <w:tcW w:w="1469" w:type="dxa"/>
            <w:tcBorders>
              <w:top w:val="single" w:sz="4" w:space="0" w:color="000000"/>
              <w:left w:val="single" w:sz="4" w:space="0" w:color="000000"/>
              <w:bottom w:val="single" w:sz="4" w:space="0" w:color="000000"/>
              <w:right w:val="single" w:sz="4" w:space="0" w:color="000000"/>
            </w:tcBorders>
          </w:tcPr>
          <w:p w14:paraId="47D520F0" w14:textId="77777777" w:rsidR="00C15ED1" w:rsidRDefault="00000000">
            <w:pPr>
              <w:pStyle w:val="TableParagraph"/>
            </w:pPr>
            <w:r>
              <w:rPr>
                <w:spacing w:val="-2"/>
              </w:rPr>
              <w:t>Hopkinton</w:t>
            </w:r>
          </w:p>
        </w:tc>
        <w:tc>
          <w:tcPr>
            <w:tcW w:w="1145" w:type="dxa"/>
            <w:tcBorders>
              <w:top w:val="single" w:sz="4" w:space="0" w:color="000000"/>
              <w:left w:val="single" w:sz="4" w:space="0" w:color="000000"/>
              <w:bottom w:val="single" w:sz="4" w:space="0" w:color="000000"/>
              <w:right w:val="single" w:sz="4" w:space="0" w:color="000000"/>
            </w:tcBorders>
          </w:tcPr>
          <w:p w14:paraId="47D520F1" w14:textId="77777777" w:rsidR="00C15ED1" w:rsidRDefault="00000000">
            <w:pPr>
              <w:pStyle w:val="TableParagraph"/>
            </w:pPr>
            <w:r>
              <w:rPr>
                <w:spacing w:val="-2"/>
              </w:rPr>
              <w:t>Middlesex</w:t>
            </w:r>
          </w:p>
        </w:tc>
        <w:tc>
          <w:tcPr>
            <w:tcW w:w="1757" w:type="dxa"/>
            <w:tcBorders>
              <w:top w:val="single" w:sz="4" w:space="0" w:color="000000"/>
              <w:left w:val="single" w:sz="4" w:space="0" w:color="000000"/>
              <w:bottom w:val="single" w:sz="4" w:space="0" w:color="000000"/>
              <w:right w:val="single" w:sz="4" w:space="0" w:color="000000"/>
            </w:tcBorders>
          </w:tcPr>
          <w:p w14:paraId="47D520F2" w14:textId="77777777" w:rsidR="00C15ED1" w:rsidRDefault="00000000">
            <w:pPr>
              <w:pStyle w:val="TableParagraph"/>
            </w:pPr>
            <w:r>
              <w:rPr>
                <w:spacing w:val="-5"/>
              </w:rPr>
              <w:t>5%</w:t>
            </w:r>
          </w:p>
        </w:tc>
      </w:tr>
      <w:tr w:rsidR="00C15ED1" w14:paraId="47D520F7" w14:textId="77777777" w:rsidTr="00835E7E">
        <w:trPr>
          <w:cantSplit/>
          <w:trHeight w:val="251"/>
        </w:trPr>
        <w:tc>
          <w:tcPr>
            <w:tcW w:w="1469" w:type="dxa"/>
            <w:tcBorders>
              <w:top w:val="single" w:sz="4" w:space="0" w:color="000000"/>
              <w:left w:val="single" w:sz="4" w:space="0" w:color="000000"/>
              <w:bottom w:val="single" w:sz="4" w:space="0" w:color="000000"/>
              <w:right w:val="single" w:sz="4" w:space="0" w:color="000000"/>
            </w:tcBorders>
          </w:tcPr>
          <w:p w14:paraId="47D520F4" w14:textId="77777777" w:rsidR="00C15ED1" w:rsidRDefault="00000000">
            <w:pPr>
              <w:pStyle w:val="TableParagraph"/>
              <w:spacing w:line="232" w:lineRule="exact"/>
            </w:pPr>
            <w:r>
              <w:rPr>
                <w:spacing w:val="-2"/>
              </w:rPr>
              <w:t>Northborough</w:t>
            </w:r>
          </w:p>
        </w:tc>
        <w:tc>
          <w:tcPr>
            <w:tcW w:w="1145" w:type="dxa"/>
            <w:tcBorders>
              <w:top w:val="single" w:sz="4" w:space="0" w:color="000000"/>
              <w:left w:val="single" w:sz="4" w:space="0" w:color="000000"/>
              <w:bottom w:val="single" w:sz="4" w:space="0" w:color="000000"/>
              <w:right w:val="single" w:sz="4" w:space="0" w:color="000000"/>
            </w:tcBorders>
          </w:tcPr>
          <w:p w14:paraId="47D520F5" w14:textId="77777777" w:rsidR="00C15ED1" w:rsidRDefault="00000000">
            <w:pPr>
              <w:pStyle w:val="TableParagraph"/>
              <w:spacing w:line="232" w:lineRule="exact"/>
            </w:pPr>
            <w:r>
              <w:rPr>
                <w:spacing w:val="-2"/>
              </w:rPr>
              <w:t>Worcester</w:t>
            </w:r>
          </w:p>
        </w:tc>
        <w:tc>
          <w:tcPr>
            <w:tcW w:w="1757" w:type="dxa"/>
            <w:tcBorders>
              <w:top w:val="single" w:sz="4" w:space="0" w:color="000000"/>
              <w:left w:val="single" w:sz="4" w:space="0" w:color="000000"/>
              <w:bottom w:val="single" w:sz="4" w:space="0" w:color="000000"/>
              <w:right w:val="single" w:sz="4" w:space="0" w:color="000000"/>
            </w:tcBorders>
          </w:tcPr>
          <w:p w14:paraId="47D520F6" w14:textId="77777777" w:rsidR="00C15ED1" w:rsidRDefault="00000000">
            <w:pPr>
              <w:pStyle w:val="TableParagraph"/>
              <w:spacing w:line="232" w:lineRule="exact"/>
            </w:pPr>
            <w:r>
              <w:rPr>
                <w:spacing w:val="-5"/>
              </w:rPr>
              <w:t>4%</w:t>
            </w:r>
          </w:p>
        </w:tc>
      </w:tr>
      <w:tr w:rsidR="00C15ED1" w14:paraId="47D520FB" w14:textId="77777777" w:rsidTr="00835E7E">
        <w:trPr>
          <w:cantSplit/>
          <w:trHeight w:val="253"/>
        </w:trPr>
        <w:tc>
          <w:tcPr>
            <w:tcW w:w="1469" w:type="dxa"/>
            <w:tcBorders>
              <w:top w:val="single" w:sz="4" w:space="0" w:color="000000"/>
              <w:left w:val="single" w:sz="4" w:space="0" w:color="000000"/>
              <w:bottom w:val="single" w:sz="4" w:space="0" w:color="000000"/>
              <w:right w:val="single" w:sz="4" w:space="0" w:color="000000"/>
            </w:tcBorders>
          </w:tcPr>
          <w:p w14:paraId="47D520F8" w14:textId="77777777" w:rsidR="00C15ED1" w:rsidRDefault="00000000">
            <w:pPr>
              <w:pStyle w:val="TableParagraph"/>
            </w:pPr>
            <w:r>
              <w:rPr>
                <w:spacing w:val="-2"/>
              </w:rPr>
              <w:t>Westborough</w:t>
            </w:r>
          </w:p>
        </w:tc>
        <w:tc>
          <w:tcPr>
            <w:tcW w:w="1145" w:type="dxa"/>
            <w:tcBorders>
              <w:top w:val="single" w:sz="4" w:space="0" w:color="000000"/>
              <w:left w:val="single" w:sz="4" w:space="0" w:color="000000"/>
              <w:bottom w:val="single" w:sz="4" w:space="0" w:color="000000"/>
              <w:right w:val="single" w:sz="4" w:space="0" w:color="000000"/>
            </w:tcBorders>
          </w:tcPr>
          <w:p w14:paraId="47D520F9" w14:textId="77777777" w:rsidR="00C15ED1" w:rsidRDefault="00000000">
            <w:pPr>
              <w:pStyle w:val="TableParagraph"/>
            </w:pPr>
            <w:r>
              <w:rPr>
                <w:spacing w:val="-2"/>
              </w:rPr>
              <w:t>Worcester</w:t>
            </w:r>
          </w:p>
        </w:tc>
        <w:tc>
          <w:tcPr>
            <w:tcW w:w="1757" w:type="dxa"/>
            <w:tcBorders>
              <w:top w:val="single" w:sz="4" w:space="0" w:color="000000"/>
              <w:left w:val="single" w:sz="4" w:space="0" w:color="000000"/>
              <w:bottom w:val="single" w:sz="4" w:space="0" w:color="000000"/>
              <w:right w:val="single" w:sz="4" w:space="0" w:color="000000"/>
            </w:tcBorders>
          </w:tcPr>
          <w:p w14:paraId="47D520FA" w14:textId="77777777" w:rsidR="00C15ED1" w:rsidRDefault="00000000">
            <w:pPr>
              <w:pStyle w:val="TableParagraph"/>
            </w:pPr>
            <w:r>
              <w:rPr>
                <w:spacing w:val="-5"/>
              </w:rPr>
              <w:t>4%</w:t>
            </w:r>
          </w:p>
        </w:tc>
      </w:tr>
      <w:tr w:rsidR="00C15ED1" w14:paraId="47D520FF" w14:textId="77777777" w:rsidTr="00835E7E">
        <w:trPr>
          <w:cantSplit/>
          <w:trHeight w:val="254"/>
        </w:trPr>
        <w:tc>
          <w:tcPr>
            <w:tcW w:w="1469" w:type="dxa"/>
            <w:tcBorders>
              <w:top w:val="single" w:sz="4" w:space="0" w:color="000000"/>
              <w:left w:val="single" w:sz="4" w:space="0" w:color="000000"/>
              <w:bottom w:val="single" w:sz="4" w:space="0" w:color="000000"/>
              <w:right w:val="single" w:sz="4" w:space="0" w:color="000000"/>
            </w:tcBorders>
          </w:tcPr>
          <w:p w14:paraId="47D520FC" w14:textId="77777777" w:rsidR="00C15ED1" w:rsidRDefault="00000000">
            <w:pPr>
              <w:pStyle w:val="TableParagraph"/>
            </w:pPr>
            <w:r>
              <w:rPr>
                <w:spacing w:val="-2"/>
              </w:rPr>
              <w:t>Shrewsbury</w:t>
            </w:r>
          </w:p>
        </w:tc>
        <w:tc>
          <w:tcPr>
            <w:tcW w:w="1145" w:type="dxa"/>
            <w:tcBorders>
              <w:top w:val="single" w:sz="4" w:space="0" w:color="000000"/>
              <w:left w:val="single" w:sz="4" w:space="0" w:color="000000"/>
              <w:bottom w:val="single" w:sz="4" w:space="0" w:color="000000"/>
              <w:right w:val="single" w:sz="4" w:space="0" w:color="000000"/>
            </w:tcBorders>
          </w:tcPr>
          <w:p w14:paraId="47D520FD" w14:textId="77777777" w:rsidR="00C15ED1" w:rsidRDefault="00000000">
            <w:pPr>
              <w:pStyle w:val="TableParagraph"/>
            </w:pPr>
            <w:r>
              <w:rPr>
                <w:spacing w:val="-2"/>
              </w:rPr>
              <w:t>Worcester</w:t>
            </w:r>
          </w:p>
        </w:tc>
        <w:tc>
          <w:tcPr>
            <w:tcW w:w="1757" w:type="dxa"/>
            <w:tcBorders>
              <w:top w:val="single" w:sz="4" w:space="0" w:color="000000"/>
              <w:left w:val="single" w:sz="4" w:space="0" w:color="000000"/>
              <w:bottom w:val="single" w:sz="4" w:space="0" w:color="000000"/>
              <w:right w:val="single" w:sz="4" w:space="0" w:color="000000"/>
            </w:tcBorders>
          </w:tcPr>
          <w:p w14:paraId="47D520FE" w14:textId="77777777" w:rsidR="00C15ED1" w:rsidRDefault="00000000">
            <w:pPr>
              <w:pStyle w:val="TableParagraph"/>
            </w:pPr>
            <w:r>
              <w:rPr>
                <w:spacing w:val="-5"/>
              </w:rPr>
              <w:t>3%</w:t>
            </w:r>
          </w:p>
        </w:tc>
      </w:tr>
      <w:tr w:rsidR="00C15ED1" w14:paraId="47D52103" w14:textId="77777777" w:rsidTr="00835E7E">
        <w:trPr>
          <w:cantSplit/>
          <w:trHeight w:val="251"/>
        </w:trPr>
        <w:tc>
          <w:tcPr>
            <w:tcW w:w="1469" w:type="dxa"/>
            <w:tcBorders>
              <w:top w:val="single" w:sz="4" w:space="0" w:color="000000"/>
              <w:left w:val="single" w:sz="4" w:space="0" w:color="000000"/>
              <w:bottom w:val="single" w:sz="4" w:space="0" w:color="000000"/>
              <w:right w:val="single" w:sz="4" w:space="0" w:color="000000"/>
            </w:tcBorders>
          </w:tcPr>
          <w:p w14:paraId="47D52100" w14:textId="77777777" w:rsidR="00C15ED1" w:rsidRDefault="00000000">
            <w:pPr>
              <w:pStyle w:val="TableParagraph"/>
              <w:spacing w:line="232" w:lineRule="exact"/>
            </w:pPr>
            <w:r>
              <w:rPr>
                <w:spacing w:val="-2"/>
              </w:rPr>
              <w:t>Milford</w:t>
            </w:r>
          </w:p>
        </w:tc>
        <w:tc>
          <w:tcPr>
            <w:tcW w:w="1145" w:type="dxa"/>
            <w:tcBorders>
              <w:top w:val="single" w:sz="4" w:space="0" w:color="000000"/>
              <w:left w:val="single" w:sz="4" w:space="0" w:color="000000"/>
              <w:bottom w:val="single" w:sz="4" w:space="0" w:color="000000"/>
              <w:right w:val="single" w:sz="4" w:space="0" w:color="000000"/>
            </w:tcBorders>
          </w:tcPr>
          <w:p w14:paraId="47D52101" w14:textId="77777777" w:rsidR="00C15ED1" w:rsidRDefault="00000000">
            <w:pPr>
              <w:pStyle w:val="TableParagraph"/>
              <w:spacing w:line="232" w:lineRule="exact"/>
            </w:pPr>
            <w:r>
              <w:rPr>
                <w:spacing w:val="-2"/>
              </w:rPr>
              <w:t>Worcester</w:t>
            </w:r>
          </w:p>
        </w:tc>
        <w:tc>
          <w:tcPr>
            <w:tcW w:w="1757" w:type="dxa"/>
            <w:tcBorders>
              <w:top w:val="single" w:sz="4" w:space="0" w:color="000000"/>
              <w:left w:val="single" w:sz="4" w:space="0" w:color="000000"/>
              <w:bottom w:val="single" w:sz="4" w:space="0" w:color="000000"/>
              <w:right w:val="single" w:sz="4" w:space="0" w:color="000000"/>
            </w:tcBorders>
          </w:tcPr>
          <w:p w14:paraId="47D52102" w14:textId="77777777" w:rsidR="00C15ED1" w:rsidRDefault="00000000">
            <w:pPr>
              <w:pStyle w:val="TableParagraph"/>
              <w:spacing w:line="232" w:lineRule="exact"/>
            </w:pPr>
            <w:r>
              <w:rPr>
                <w:spacing w:val="-5"/>
              </w:rPr>
              <w:t>2%</w:t>
            </w:r>
          </w:p>
        </w:tc>
      </w:tr>
      <w:tr w:rsidR="00C15ED1" w14:paraId="47D52107" w14:textId="77777777" w:rsidTr="00835E7E">
        <w:trPr>
          <w:cantSplit/>
          <w:trHeight w:val="254"/>
        </w:trPr>
        <w:tc>
          <w:tcPr>
            <w:tcW w:w="1469" w:type="dxa"/>
            <w:tcBorders>
              <w:top w:val="single" w:sz="4" w:space="0" w:color="000000"/>
              <w:left w:val="single" w:sz="4" w:space="0" w:color="000000"/>
              <w:bottom w:val="single" w:sz="4" w:space="0" w:color="000000"/>
              <w:right w:val="single" w:sz="4" w:space="0" w:color="000000"/>
            </w:tcBorders>
          </w:tcPr>
          <w:p w14:paraId="47D52104" w14:textId="77777777" w:rsidR="00C15ED1" w:rsidRDefault="00000000">
            <w:pPr>
              <w:pStyle w:val="TableParagraph"/>
            </w:pPr>
            <w:r>
              <w:rPr>
                <w:spacing w:val="-2"/>
              </w:rPr>
              <w:t>Natick</w:t>
            </w:r>
          </w:p>
        </w:tc>
        <w:tc>
          <w:tcPr>
            <w:tcW w:w="1145" w:type="dxa"/>
            <w:tcBorders>
              <w:top w:val="single" w:sz="4" w:space="0" w:color="000000"/>
              <w:left w:val="single" w:sz="4" w:space="0" w:color="000000"/>
              <w:bottom w:val="single" w:sz="4" w:space="0" w:color="000000"/>
              <w:right w:val="single" w:sz="4" w:space="0" w:color="000000"/>
            </w:tcBorders>
          </w:tcPr>
          <w:p w14:paraId="47D52105" w14:textId="77777777" w:rsidR="00C15ED1" w:rsidRDefault="00000000">
            <w:pPr>
              <w:pStyle w:val="TableParagraph"/>
            </w:pPr>
            <w:r>
              <w:rPr>
                <w:spacing w:val="-2"/>
              </w:rPr>
              <w:t>Middlesex</w:t>
            </w:r>
          </w:p>
        </w:tc>
        <w:tc>
          <w:tcPr>
            <w:tcW w:w="1757" w:type="dxa"/>
            <w:tcBorders>
              <w:top w:val="single" w:sz="4" w:space="0" w:color="000000"/>
              <w:left w:val="single" w:sz="4" w:space="0" w:color="000000"/>
              <w:bottom w:val="single" w:sz="4" w:space="0" w:color="000000"/>
              <w:right w:val="single" w:sz="4" w:space="0" w:color="000000"/>
            </w:tcBorders>
          </w:tcPr>
          <w:p w14:paraId="47D52106" w14:textId="77777777" w:rsidR="00C15ED1" w:rsidRDefault="00000000">
            <w:pPr>
              <w:pStyle w:val="TableParagraph"/>
            </w:pPr>
            <w:r>
              <w:rPr>
                <w:spacing w:val="-5"/>
              </w:rPr>
              <w:t>2%</w:t>
            </w:r>
          </w:p>
        </w:tc>
      </w:tr>
      <w:tr w:rsidR="00C15ED1" w14:paraId="47D5210B" w14:textId="77777777" w:rsidTr="00835E7E">
        <w:trPr>
          <w:cantSplit/>
          <w:trHeight w:val="251"/>
        </w:trPr>
        <w:tc>
          <w:tcPr>
            <w:tcW w:w="1469" w:type="dxa"/>
            <w:tcBorders>
              <w:top w:val="single" w:sz="4" w:space="0" w:color="000000"/>
              <w:left w:val="single" w:sz="4" w:space="0" w:color="000000"/>
              <w:bottom w:val="single" w:sz="4" w:space="0" w:color="000000"/>
              <w:right w:val="single" w:sz="4" w:space="0" w:color="000000"/>
            </w:tcBorders>
          </w:tcPr>
          <w:p w14:paraId="47D52108" w14:textId="77777777" w:rsidR="00C15ED1" w:rsidRDefault="00000000">
            <w:pPr>
              <w:pStyle w:val="TableParagraph"/>
              <w:spacing w:line="232" w:lineRule="exact"/>
            </w:pPr>
            <w:r>
              <w:rPr>
                <w:spacing w:val="-2"/>
              </w:rPr>
              <w:t>Worcester</w:t>
            </w:r>
          </w:p>
        </w:tc>
        <w:tc>
          <w:tcPr>
            <w:tcW w:w="1145" w:type="dxa"/>
            <w:tcBorders>
              <w:top w:val="single" w:sz="4" w:space="0" w:color="000000"/>
              <w:left w:val="single" w:sz="4" w:space="0" w:color="000000"/>
              <w:bottom w:val="single" w:sz="4" w:space="0" w:color="000000"/>
              <w:right w:val="single" w:sz="4" w:space="0" w:color="000000"/>
            </w:tcBorders>
          </w:tcPr>
          <w:p w14:paraId="47D52109" w14:textId="77777777" w:rsidR="00C15ED1" w:rsidRDefault="00000000">
            <w:pPr>
              <w:pStyle w:val="TableParagraph"/>
              <w:spacing w:line="232" w:lineRule="exact"/>
            </w:pPr>
            <w:r>
              <w:rPr>
                <w:spacing w:val="-2"/>
              </w:rPr>
              <w:t>Worcester</w:t>
            </w:r>
          </w:p>
        </w:tc>
        <w:tc>
          <w:tcPr>
            <w:tcW w:w="1757" w:type="dxa"/>
            <w:tcBorders>
              <w:top w:val="single" w:sz="4" w:space="0" w:color="000000"/>
              <w:left w:val="single" w:sz="4" w:space="0" w:color="000000"/>
              <w:bottom w:val="single" w:sz="4" w:space="0" w:color="000000"/>
              <w:right w:val="single" w:sz="4" w:space="0" w:color="000000"/>
            </w:tcBorders>
          </w:tcPr>
          <w:p w14:paraId="47D5210A" w14:textId="77777777" w:rsidR="00C15ED1" w:rsidRDefault="00000000">
            <w:pPr>
              <w:pStyle w:val="TableParagraph"/>
              <w:spacing w:line="232" w:lineRule="exact"/>
            </w:pPr>
            <w:r>
              <w:rPr>
                <w:spacing w:val="-5"/>
              </w:rPr>
              <w:t>2%</w:t>
            </w:r>
          </w:p>
        </w:tc>
      </w:tr>
      <w:tr w:rsidR="00C15ED1" w14:paraId="47D5210F" w14:textId="77777777" w:rsidTr="00835E7E">
        <w:trPr>
          <w:cantSplit/>
          <w:trHeight w:val="254"/>
        </w:trPr>
        <w:tc>
          <w:tcPr>
            <w:tcW w:w="1469" w:type="dxa"/>
            <w:tcBorders>
              <w:top w:val="single" w:sz="4" w:space="0" w:color="000000"/>
              <w:left w:val="single" w:sz="4" w:space="0" w:color="000000"/>
              <w:bottom w:val="single" w:sz="4" w:space="0" w:color="000000"/>
              <w:right w:val="single" w:sz="4" w:space="0" w:color="000000"/>
            </w:tcBorders>
          </w:tcPr>
          <w:p w14:paraId="47D5210C" w14:textId="77777777" w:rsidR="00C15ED1" w:rsidRDefault="00000000">
            <w:pPr>
              <w:pStyle w:val="TableParagraph"/>
            </w:pPr>
            <w:r>
              <w:rPr>
                <w:spacing w:val="-2"/>
              </w:rPr>
              <w:t>Holliston</w:t>
            </w:r>
          </w:p>
        </w:tc>
        <w:tc>
          <w:tcPr>
            <w:tcW w:w="1145" w:type="dxa"/>
            <w:tcBorders>
              <w:top w:val="single" w:sz="4" w:space="0" w:color="000000"/>
              <w:left w:val="single" w:sz="4" w:space="0" w:color="000000"/>
              <w:bottom w:val="single" w:sz="4" w:space="0" w:color="000000"/>
              <w:right w:val="single" w:sz="4" w:space="0" w:color="000000"/>
            </w:tcBorders>
          </w:tcPr>
          <w:p w14:paraId="47D5210D" w14:textId="77777777" w:rsidR="00C15ED1" w:rsidRDefault="00000000">
            <w:pPr>
              <w:pStyle w:val="TableParagraph"/>
            </w:pPr>
            <w:r>
              <w:rPr>
                <w:spacing w:val="-2"/>
              </w:rPr>
              <w:t>Middlesex</w:t>
            </w:r>
          </w:p>
        </w:tc>
        <w:tc>
          <w:tcPr>
            <w:tcW w:w="1757" w:type="dxa"/>
            <w:tcBorders>
              <w:top w:val="single" w:sz="4" w:space="0" w:color="000000"/>
              <w:left w:val="single" w:sz="4" w:space="0" w:color="000000"/>
              <w:bottom w:val="single" w:sz="4" w:space="0" w:color="000000"/>
              <w:right w:val="single" w:sz="4" w:space="0" w:color="000000"/>
            </w:tcBorders>
          </w:tcPr>
          <w:p w14:paraId="47D5210E" w14:textId="77777777" w:rsidR="00C15ED1" w:rsidRDefault="00000000">
            <w:pPr>
              <w:pStyle w:val="TableParagraph"/>
            </w:pPr>
            <w:r>
              <w:rPr>
                <w:spacing w:val="-5"/>
              </w:rPr>
              <w:t>2%</w:t>
            </w:r>
          </w:p>
        </w:tc>
      </w:tr>
      <w:tr w:rsidR="00C15ED1" w14:paraId="47D52113" w14:textId="77777777" w:rsidTr="00835E7E">
        <w:trPr>
          <w:cantSplit/>
          <w:trHeight w:val="251"/>
        </w:trPr>
        <w:tc>
          <w:tcPr>
            <w:tcW w:w="1469" w:type="dxa"/>
            <w:tcBorders>
              <w:top w:val="single" w:sz="4" w:space="0" w:color="000000"/>
              <w:left w:val="single" w:sz="4" w:space="0" w:color="000000"/>
              <w:bottom w:val="single" w:sz="4" w:space="0" w:color="000000"/>
              <w:right w:val="single" w:sz="4" w:space="0" w:color="000000"/>
            </w:tcBorders>
          </w:tcPr>
          <w:p w14:paraId="47D52110" w14:textId="77777777" w:rsidR="00C15ED1" w:rsidRDefault="00000000">
            <w:pPr>
              <w:pStyle w:val="TableParagraph"/>
              <w:spacing w:line="232" w:lineRule="exact"/>
            </w:pPr>
            <w:r>
              <w:rPr>
                <w:spacing w:val="-2"/>
              </w:rPr>
              <w:t>Clinton</w:t>
            </w:r>
          </w:p>
        </w:tc>
        <w:tc>
          <w:tcPr>
            <w:tcW w:w="1145" w:type="dxa"/>
            <w:tcBorders>
              <w:top w:val="single" w:sz="4" w:space="0" w:color="000000"/>
              <w:left w:val="single" w:sz="4" w:space="0" w:color="000000"/>
              <w:bottom w:val="single" w:sz="4" w:space="0" w:color="000000"/>
              <w:right w:val="single" w:sz="4" w:space="0" w:color="000000"/>
            </w:tcBorders>
          </w:tcPr>
          <w:p w14:paraId="47D52111" w14:textId="77777777" w:rsidR="00C15ED1" w:rsidRDefault="00000000">
            <w:pPr>
              <w:pStyle w:val="TableParagraph"/>
              <w:spacing w:line="232" w:lineRule="exact"/>
            </w:pPr>
            <w:r>
              <w:rPr>
                <w:spacing w:val="-2"/>
              </w:rPr>
              <w:t>Worcester</w:t>
            </w:r>
          </w:p>
        </w:tc>
        <w:tc>
          <w:tcPr>
            <w:tcW w:w="1757" w:type="dxa"/>
            <w:tcBorders>
              <w:top w:val="single" w:sz="4" w:space="0" w:color="000000"/>
              <w:left w:val="single" w:sz="4" w:space="0" w:color="000000"/>
              <w:bottom w:val="single" w:sz="4" w:space="0" w:color="000000"/>
              <w:right w:val="single" w:sz="4" w:space="0" w:color="000000"/>
            </w:tcBorders>
          </w:tcPr>
          <w:p w14:paraId="47D52112" w14:textId="77777777" w:rsidR="00C15ED1" w:rsidRDefault="00000000">
            <w:pPr>
              <w:pStyle w:val="TableParagraph"/>
              <w:spacing w:line="232" w:lineRule="exact"/>
            </w:pPr>
            <w:r>
              <w:rPr>
                <w:spacing w:val="-5"/>
              </w:rPr>
              <w:t>1%</w:t>
            </w:r>
          </w:p>
        </w:tc>
      </w:tr>
      <w:tr w:rsidR="00C15ED1" w14:paraId="47D52117" w14:textId="77777777" w:rsidTr="00835E7E">
        <w:trPr>
          <w:cantSplit/>
          <w:trHeight w:val="254"/>
        </w:trPr>
        <w:tc>
          <w:tcPr>
            <w:tcW w:w="1469" w:type="dxa"/>
            <w:tcBorders>
              <w:top w:val="single" w:sz="4" w:space="0" w:color="000000"/>
              <w:left w:val="single" w:sz="4" w:space="0" w:color="000000"/>
              <w:bottom w:val="single" w:sz="4" w:space="0" w:color="000000"/>
              <w:right w:val="single" w:sz="4" w:space="0" w:color="000000"/>
            </w:tcBorders>
          </w:tcPr>
          <w:p w14:paraId="47D52114" w14:textId="77777777" w:rsidR="00C15ED1" w:rsidRDefault="00000000">
            <w:pPr>
              <w:pStyle w:val="TableParagraph"/>
            </w:pPr>
            <w:r>
              <w:rPr>
                <w:spacing w:val="-2"/>
              </w:rPr>
              <w:t>Upton</w:t>
            </w:r>
          </w:p>
        </w:tc>
        <w:tc>
          <w:tcPr>
            <w:tcW w:w="1145" w:type="dxa"/>
            <w:tcBorders>
              <w:top w:val="single" w:sz="4" w:space="0" w:color="000000"/>
              <w:left w:val="single" w:sz="4" w:space="0" w:color="000000"/>
              <w:bottom w:val="single" w:sz="4" w:space="0" w:color="000000"/>
              <w:right w:val="single" w:sz="4" w:space="0" w:color="000000"/>
            </w:tcBorders>
          </w:tcPr>
          <w:p w14:paraId="47D52115" w14:textId="77777777" w:rsidR="00C15ED1" w:rsidRDefault="00000000">
            <w:pPr>
              <w:pStyle w:val="TableParagraph"/>
            </w:pPr>
            <w:r>
              <w:rPr>
                <w:spacing w:val="-2"/>
              </w:rPr>
              <w:t>Worcester</w:t>
            </w:r>
          </w:p>
        </w:tc>
        <w:tc>
          <w:tcPr>
            <w:tcW w:w="1757" w:type="dxa"/>
            <w:tcBorders>
              <w:top w:val="single" w:sz="4" w:space="0" w:color="000000"/>
              <w:left w:val="single" w:sz="4" w:space="0" w:color="000000"/>
              <w:bottom w:val="single" w:sz="4" w:space="0" w:color="000000"/>
              <w:right w:val="single" w:sz="4" w:space="0" w:color="000000"/>
            </w:tcBorders>
          </w:tcPr>
          <w:p w14:paraId="47D52116" w14:textId="77777777" w:rsidR="00C15ED1" w:rsidRDefault="00000000">
            <w:pPr>
              <w:pStyle w:val="TableParagraph"/>
            </w:pPr>
            <w:r>
              <w:rPr>
                <w:spacing w:val="-5"/>
              </w:rPr>
              <w:t>1%</w:t>
            </w:r>
          </w:p>
        </w:tc>
      </w:tr>
      <w:tr w:rsidR="00C15ED1" w14:paraId="47D5211B" w14:textId="77777777" w:rsidTr="00835E7E">
        <w:trPr>
          <w:cantSplit/>
          <w:trHeight w:val="253"/>
        </w:trPr>
        <w:tc>
          <w:tcPr>
            <w:tcW w:w="1469" w:type="dxa"/>
            <w:tcBorders>
              <w:top w:val="single" w:sz="4" w:space="0" w:color="000000"/>
              <w:left w:val="single" w:sz="4" w:space="0" w:color="000000"/>
              <w:bottom w:val="single" w:sz="4" w:space="0" w:color="000000"/>
              <w:right w:val="single" w:sz="4" w:space="0" w:color="000000"/>
            </w:tcBorders>
          </w:tcPr>
          <w:p w14:paraId="47D52118" w14:textId="77777777" w:rsidR="00C15ED1" w:rsidRDefault="00000000">
            <w:pPr>
              <w:pStyle w:val="TableParagraph"/>
            </w:pPr>
            <w:r>
              <w:rPr>
                <w:spacing w:val="-2"/>
              </w:rPr>
              <w:t>Berlin</w:t>
            </w:r>
          </w:p>
        </w:tc>
        <w:tc>
          <w:tcPr>
            <w:tcW w:w="1145" w:type="dxa"/>
            <w:tcBorders>
              <w:top w:val="single" w:sz="4" w:space="0" w:color="000000"/>
              <w:left w:val="single" w:sz="4" w:space="0" w:color="000000"/>
              <w:bottom w:val="single" w:sz="4" w:space="0" w:color="000000"/>
              <w:right w:val="single" w:sz="4" w:space="0" w:color="000000"/>
            </w:tcBorders>
          </w:tcPr>
          <w:p w14:paraId="47D52119" w14:textId="77777777" w:rsidR="00C15ED1" w:rsidRDefault="00000000">
            <w:pPr>
              <w:pStyle w:val="TableParagraph"/>
            </w:pPr>
            <w:r>
              <w:rPr>
                <w:spacing w:val="-2"/>
              </w:rPr>
              <w:t>Worcester</w:t>
            </w:r>
          </w:p>
        </w:tc>
        <w:tc>
          <w:tcPr>
            <w:tcW w:w="1757" w:type="dxa"/>
            <w:tcBorders>
              <w:top w:val="single" w:sz="4" w:space="0" w:color="000000"/>
              <w:left w:val="single" w:sz="4" w:space="0" w:color="000000"/>
              <w:bottom w:val="single" w:sz="4" w:space="0" w:color="000000"/>
              <w:right w:val="single" w:sz="4" w:space="0" w:color="000000"/>
            </w:tcBorders>
          </w:tcPr>
          <w:p w14:paraId="47D5211A" w14:textId="77777777" w:rsidR="00C15ED1" w:rsidRDefault="00000000">
            <w:pPr>
              <w:pStyle w:val="TableParagraph"/>
            </w:pPr>
            <w:r>
              <w:rPr>
                <w:spacing w:val="-5"/>
              </w:rPr>
              <w:t>1%</w:t>
            </w:r>
          </w:p>
        </w:tc>
      </w:tr>
      <w:tr w:rsidR="00C15ED1" w14:paraId="47D5211F" w14:textId="77777777" w:rsidTr="00835E7E">
        <w:trPr>
          <w:cantSplit/>
          <w:trHeight w:val="251"/>
        </w:trPr>
        <w:tc>
          <w:tcPr>
            <w:tcW w:w="1469" w:type="dxa"/>
            <w:tcBorders>
              <w:top w:val="single" w:sz="4" w:space="0" w:color="000000"/>
              <w:left w:val="single" w:sz="4" w:space="0" w:color="000000"/>
              <w:bottom w:val="single" w:sz="4" w:space="0" w:color="000000"/>
              <w:right w:val="single" w:sz="4" w:space="0" w:color="000000"/>
            </w:tcBorders>
          </w:tcPr>
          <w:p w14:paraId="47D5211C" w14:textId="77777777" w:rsidR="00C15ED1" w:rsidRDefault="00000000">
            <w:pPr>
              <w:pStyle w:val="TableParagraph"/>
              <w:spacing w:line="232" w:lineRule="exact"/>
            </w:pPr>
            <w:r>
              <w:t>North</w:t>
            </w:r>
            <w:r>
              <w:rPr>
                <w:spacing w:val="-1"/>
              </w:rPr>
              <w:t xml:space="preserve"> </w:t>
            </w:r>
            <w:r>
              <w:rPr>
                <w:spacing w:val="-2"/>
              </w:rPr>
              <w:t>Grafton</w:t>
            </w:r>
          </w:p>
        </w:tc>
        <w:tc>
          <w:tcPr>
            <w:tcW w:w="1145" w:type="dxa"/>
            <w:tcBorders>
              <w:top w:val="single" w:sz="4" w:space="0" w:color="000000"/>
              <w:left w:val="single" w:sz="4" w:space="0" w:color="000000"/>
              <w:bottom w:val="single" w:sz="4" w:space="0" w:color="000000"/>
              <w:right w:val="single" w:sz="4" w:space="0" w:color="000000"/>
            </w:tcBorders>
          </w:tcPr>
          <w:p w14:paraId="47D5211D" w14:textId="77777777" w:rsidR="00C15ED1" w:rsidRDefault="00000000">
            <w:pPr>
              <w:pStyle w:val="TableParagraph"/>
              <w:spacing w:line="232" w:lineRule="exact"/>
            </w:pPr>
            <w:r>
              <w:rPr>
                <w:spacing w:val="-2"/>
              </w:rPr>
              <w:t>Worcester</w:t>
            </w:r>
          </w:p>
        </w:tc>
        <w:tc>
          <w:tcPr>
            <w:tcW w:w="1757" w:type="dxa"/>
            <w:tcBorders>
              <w:top w:val="single" w:sz="4" w:space="0" w:color="000000"/>
              <w:left w:val="single" w:sz="4" w:space="0" w:color="000000"/>
              <w:bottom w:val="single" w:sz="4" w:space="0" w:color="000000"/>
              <w:right w:val="single" w:sz="4" w:space="0" w:color="000000"/>
            </w:tcBorders>
          </w:tcPr>
          <w:p w14:paraId="47D5211E" w14:textId="77777777" w:rsidR="00C15ED1" w:rsidRDefault="00000000">
            <w:pPr>
              <w:pStyle w:val="TableParagraph"/>
              <w:spacing w:line="232" w:lineRule="exact"/>
            </w:pPr>
            <w:r>
              <w:rPr>
                <w:spacing w:val="-5"/>
              </w:rPr>
              <w:t>1%</w:t>
            </w:r>
          </w:p>
        </w:tc>
      </w:tr>
      <w:tr w:rsidR="00C15ED1" w14:paraId="47D52123" w14:textId="77777777" w:rsidTr="00835E7E">
        <w:trPr>
          <w:cantSplit/>
          <w:trHeight w:val="253"/>
        </w:trPr>
        <w:tc>
          <w:tcPr>
            <w:tcW w:w="1469" w:type="dxa"/>
            <w:tcBorders>
              <w:top w:val="single" w:sz="4" w:space="0" w:color="000000"/>
              <w:left w:val="single" w:sz="4" w:space="0" w:color="000000"/>
              <w:bottom w:val="single" w:sz="4" w:space="0" w:color="000000"/>
              <w:right w:val="single" w:sz="4" w:space="0" w:color="000000"/>
            </w:tcBorders>
          </w:tcPr>
          <w:p w14:paraId="47D52120" w14:textId="77777777" w:rsidR="00C15ED1" w:rsidRDefault="00000000">
            <w:pPr>
              <w:pStyle w:val="TableParagraph"/>
            </w:pPr>
            <w:r>
              <w:rPr>
                <w:spacing w:val="-2"/>
              </w:rPr>
              <w:t>Grafton</w:t>
            </w:r>
          </w:p>
        </w:tc>
        <w:tc>
          <w:tcPr>
            <w:tcW w:w="1145" w:type="dxa"/>
            <w:tcBorders>
              <w:top w:val="single" w:sz="4" w:space="0" w:color="000000"/>
              <w:left w:val="single" w:sz="4" w:space="0" w:color="000000"/>
              <w:bottom w:val="single" w:sz="4" w:space="0" w:color="000000"/>
              <w:right w:val="single" w:sz="4" w:space="0" w:color="000000"/>
            </w:tcBorders>
          </w:tcPr>
          <w:p w14:paraId="47D52121" w14:textId="77777777" w:rsidR="00C15ED1" w:rsidRDefault="00000000">
            <w:pPr>
              <w:pStyle w:val="TableParagraph"/>
            </w:pPr>
            <w:r>
              <w:rPr>
                <w:spacing w:val="-2"/>
              </w:rPr>
              <w:t>Worcester</w:t>
            </w:r>
          </w:p>
        </w:tc>
        <w:tc>
          <w:tcPr>
            <w:tcW w:w="1757" w:type="dxa"/>
            <w:tcBorders>
              <w:top w:val="single" w:sz="4" w:space="0" w:color="000000"/>
              <w:left w:val="single" w:sz="4" w:space="0" w:color="000000"/>
              <w:bottom w:val="single" w:sz="4" w:space="0" w:color="000000"/>
              <w:right w:val="single" w:sz="4" w:space="0" w:color="000000"/>
            </w:tcBorders>
          </w:tcPr>
          <w:p w14:paraId="47D52122" w14:textId="77777777" w:rsidR="00C15ED1" w:rsidRDefault="00000000">
            <w:pPr>
              <w:pStyle w:val="TableParagraph"/>
            </w:pPr>
            <w:r>
              <w:rPr>
                <w:spacing w:val="-5"/>
              </w:rPr>
              <w:t>1%</w:t>
            </w:r>
          </w:p>
        </w:tc>
      </w:tr>
      <w:tr w:rsidR="00C15ED1" w14:paraId="47D52127" w14:textId="77777777" w:rsidTr="00835E7E">
        <w:trPr>
          <w:cantSplit/>
          <w:trHeight w:val="251"/>
        </w:trPr>
        <w:tc>
          <w:tcPr>
            <w:tcW w:w="1469" w:type="dxa"/>
            <w:tcBorders>
              <w:top w:val="single" w:sz="4" w:space="0" w:color="000000"/>
              <w:left w:val="single" w:sz="4" w:space="0" w:color="000000"/>
              <w:bottom w:val="single" w:sz="4" w:space="0" w:color="000000"/>
              <w:right w:val="single" w:sz="4" w:space="0" w:color="000000"/>
            </w:tcBorders>
          </w:tcPr>
          <w:p w14:paraId="47D52124" w14:textId="77777777" w:rsidR="00C15ED1" w:rsidRDefault="00000000">
            <w:pPr>
              <w:pStyle w:val="TableParagraph"/>
              <w:spacing w:line="232" w:lineRule="exact"/>
            </w:pPr>
            <w:r>
              <w:rPr>
                <w:spacing w:val="-2"/>
              </w:rPr>
              <w:t>Bellingham</w:t>
            </w:r>
          </w:p>
        </w:tc>
        <w:tc>
          <w:tcPr>
            <w:tcW w:w="1145" w:type="dxa"/>
            <w:tcBorders>
              <w:top w:val="single" w:sz="4" w:space="0" w:color="000000"/>
              <w:left w:val="single" w:sz="4" w:space="0" w:color="000000"/>
              <w:bottom w:val="single" w:sz="4" w:space="0" w:color="000000"/>
              <w:right w:val="single" w:sz="4" w:space="0" w:color="000000"/>
            </w:tcBorders>
          </w:tcPr>
          <w:p w14:paraId="47D52125" w14:textId="77777777" w:rsidR="00C15ED1" w:rsidRDefault="00000000">
            <w:pPr>
              <w:pStyle w:val="TableParagraph"/>
              <w:spacing w:line="232" w:lineRule="exact"/>
            </w:pPr>
            <w:r>
              <w:rPr>
                <w:spacing w:val="-2"/>
              </w:rPr>
              <w:t>Norfolk</w:t>
            </w:r>
          </w:p>
        </w:tc>
        <w:tc>
          <w:tcPr>
            <w:tcW w:w="1757" w:type="dxa"/>
            <w:tcBorders>
              <w:top w:val="single" w:sz="4" w:space="0" w:color="000000"/>
              <w:left w:val="single" w:sz="4" w:space="0" w:color="000000"/>
              <w:bottom w:val="single" w:sz="4" w:space="0" w:color="000000"/>
              <w:right w:val="single" w:sz="4" w:space="0" w:color="000000"/>
            </w:tcBorders>
          </w:tcPr>
          <w:p w14:paraId="47D52126" w14:textId="77777777" w:rsidR="00C15ED1" w:rsidRDefault="00000000">
            <w:pPr>
              <w:pStyle w:val="TableParagraph"/>
              <w:spacing w:line="232" w:lineRule="exact"/>
            </w:pPr>
            <w:r>
              <w:rPr>
                <w:spacing w:val="-5"/>
              </w:rPr>
              <w:t>1%</w:t>
            </w:r>
          </w:p>
        </w:tc>
      </w:tr>
      <w:tr w:rsidR="00C15ED1" w14:paraId="47D5212B" w14:textId="77777777" w:rsidTr="00835E7E">
        <w:trPr>
          <w:cantSplit/>
          <w:trHeight w:val="253"/>
        </w:trPr>
        <w:tc>
          <w:tcPr>
            <w:tcW w:w="1469" w:type="dxa"/>
            <w:tcBorders>
              <w:top w:val="single" w:sz="4" w:space="0" w:color="000000"/>
              <w:left w:val="single" w:sz="4" w:space="0" w:color="000000"/>
              <w:bottom w:val="single" w:sz="4" w:space="0" w:color="000000"/>
              <w:right w:val="single" w:sz="4" w:space="0" w:color="000000"/>
            </w:tcBorders>
          </w:tcPr>
          <w:p w14:paraId="47D52128" w14:textId="77777777" w:rsidR="00C15ED1" w:rsidRDefault="00000000">
            <w:pPr>
              <w:pStyle w:val="TableParagraph"/>
            </w:pPr>
            <w:r>
              <w:rPr>
                <w:spacing w:val="-2"/>
              </w:rPr>
              <w:t>Sudbury</w:t>
            </w:r>
          </w:p>
        </w:tc>
        <w:tc>
          <w:tcPr>
            <w:tcW w:w="1145" w:type="dxa"/>
            <w:tcBorders>
              <w:top w:val="single" w:sz="4" w:space="0" w:color="000000"/>
              <w:left w:val="single" w:sz="4" w:space="0" w:color="000000"/>
              <w:bottom w:val="single" w:sz="4" w:space="0" w:color="000000"/>
              <w:right w:val="single" w:sz="4" w:space="0" w:color="000000"/>
            </w:tcBorders>
          </w:tcPr>
          <w:p w14:paraId="47D52129" w14:textId="77777777" w:rsidR="00C15ED1" w:rsidRDefault="00000000">
            <w:pPr>
              <w:pStyle w:val="TableParagraph"/>
            </w:pPr>
            <w:r>
              <w:rPr>
                <w:spacing w:val="-2"/>
              </w:rPr>
              <w:t>Middlesex</w:t>
            </w:r>
          </w:p>
        </w:tc>
        <w:tc>
          <w:tcPr>
            <w:tcW w:w="1757" w:type="dxa"/>
            <w:tcBorders>
              <w:top w:val="single" w:sz="4" w:space="0" w:color="000000"/>
              <w:left w:val="single" w:sz="4" w:space="0" w:color="000000"/>
              <w:bottom w:val="single" w:sz="4" w:space="0" w:color="000000"/>
              <w:right w:val="single" w:sz="4" w:space="0" w:color="000000"/>
            </w:tcBorders>
          </w:tcPr>
          <w:p w14:paraId="47D5212A" w14:textId="77777777" w:rsidR="00C15ED1" w:rsidRDefault="00000000">
            <w:pPr>
              <w:pStyle w:val="TableParagraph"/>
            </w:pPr>
            <w:r>
              <w:rPr>
                <w:spacing w:val="-5"/>
              </w:rPr>
              <w:t>1%</w:t>
            </w:r>
          </w:p>
        </w:tc>
      </w:tr>
      <w:tr w:rsidR="00C15ED1" w14:paraId="47D5212F" w14:textId="77777777" w:rsidTr="00835E7E">
        <w:trPr>
          <w:cantSplit/>
          <w:trHeight w:val="251"/>
        </w:trPr>
        <w:tc>
          <w:tcPr>
            <w:tcW w:w="1469" w:type="dxa"/>
            <w:tcBorders>
              <w:top w:val="single" w:sz="4" w:space="0" w:color="000000"/>
              <w:left w:val="single" w:sz="4" w:space="0" w:color="000000"/>
              <w:bottom w:val="single" w:sz="4" w:space="0" w:color="000000"/>
              <w:right w:val="single" w:sz="4" w:space="0" w:color="000000"/>
            </w:tcBorders>
          </w:tcPr>
          <w:p w14:paraId="47D5212C" w14:textId="77777777" w:rsidR="00C15ED1" w:rsidRDefault="00000000">
            <w:pPr>
              <w:pStyle w:val="TableParagraph"/>
              <w:spacing w:line="232" w:lineRule="exact"/>
            </w:pPr>
            <w:r>
              <w:rPr>
                <w:spacing w:val="-2"/>
              </w:rPr>
              <w:t>Medway</w:t>
            </w:r>
          </w:p>
        </w:tc>
        <w:tc>
          <w:tcPr>
            <w:tcW w:w="1145" w:type="dxa"/>
            <w:tcBorders>
              <w:top w:val="single" w:sz="4" w:space="0" w:color="000000"/>
              <w:left w:val="single" w:sz="4" w:space="0" w:color="000000"/>
              <w:bottom w:val="single" w:sz="4" w:space="0" w:color="000000"/>
              <w:right w:val="single" w:sz="4" w:space="0" w:color="000000"/>
            </w:tcBorders>
          </w:tcPr>
          <w:p w14:paraId="47D5212D" w14:textId="77777777" w:rsidR="00C15ED1" w:rsidRDefault="00000000">
            <w:pPr>
              <w:pStyle w:val="TableParagraph"/>
              <w:spacing w:line="232" w:lineRule="exact"/>
            </w:pPr>
            <w:r>
              <w:rPr>
                <w:spacing w:val="-2"/>
              </w:rPr>
              <w:t>Norfolk</w:t>
            </w:r>
          </w:p>
        </w:tc>
        <w:tc>
          <w:tcPr>
            <w:tcW w:w="1757" w:type="dxa"/>
            <w:tcBorders>
              <w:top w:val="single" w:sz="4" w:space="0" w:color="000000"/>
              <w:left w:val="single" w:sz="4" w:space="0" w:color="000000"/>
              <w:bottom w:val="single" w:sz="4" w:space="0" w:color="000000"/>
              <w:right w:val="single" w:sz="4" w:space="0" w:color="000000"/>
            </w:tcBorders>
          </w:tcPr>
          <w:p w14:paraId="47D5212E" w14:textId="77777777" w:rsidR="00C15ED1" w:rsidRDefault="00000000">
            <w:pPr>
              <w:pStyle w:val="TableParagraph"/>
              <w:spacing w:line="232" w:lineRule="exact"/>
            </w:pPr>
            <w:r>
              <w:rPr>
                <w:spacing w:val="-5"/>
              </w:rPr>
              <w:t>1%</w:t>
            </w:r>
          </w:p>
        </w:tc>
      </w:tr>
      <w:tr w:rsidR="00C15ED1" w14:paraId="47D52133" w14:textId="77777777" w:rsidTr="00835E7E">
        <w:trPr>
          <w:cantSplit/>
          <w:trHeight w:val="253"/>
        </w:trPr>
        <w:tc>
          <w:tcPr>
            <w:tcW w:w="1469" w:type="dxa"/>
            <w:tcBorders>
              <w:top w:val="single" w:sz="4" w:space="0" w:color="000000"/>
              <w:left w:val="single" w:sz="4" w:space="0" w:color="000000"/>
              <w:bottom w:val="single" w:sz="4" w:space="0" w:color="000000"/>
              <w:right w:val="single" w:sz="4" w:space="0" w:color="000000"/>
            </w:tcBorders>
          </w:tcPr>
          <w:p w14:paraId="47D52130" w14:textId="77777777" w:rsidR="00C15ED1" w:rsidRDefault="00000000">
            <w:pPr>
              <w:pStyle w:val="TableParagraph"/>
            </w:pPr>
            <w:r>
              <w:rPr>
                <w:spacing w:val="-2"/>
              </w:rPr>
              <w:t>Franklin</w:t>
            </w:r>
          </w:p>
        </w:tc>
        <w:tc>
          <w:tcPr>
            <w:tcW w:w="1145" w:type="dxa"/>
            <w:tcBorders>
              <w:top w:val="single" w:sz="4" w:space="0" w:color="000000"/>
              <w:left w:val="single" w:sz="4" w:space="0" w:color="000000"/>
              <w:bottom w:val="single" w:sz="4" w:space="0" w:color="000000"/>
              <w:right w:val="single" w:sz="4" w:space="0" w:color="000000"/>
            </w:tcBorders>
          </w:tcPr>
          <w:p w14:paraId="47D52131" w14:textId="77777777" w:rsidR="00C15ED1" w:rsidRDefault="00000000">
            <w:pPr>
              <w:pStyle w:val="TableParagraph"/>
            </w:pPr>
            <w:r>
              <w:rPr>
                <w:spacing w:val="-2"/>
              </w:rPr>
              <w:t>Norfolk</w:t>
            </w:r>
          </w:p>
        </w:tc>
        <w:tc>
          <w:tcPr>
            <w:tcW w:w="1757" w:type="dxa"/>
            <w:tcBorders>
              <w:top w:val="single" w:sz="4" w:space="0" w:color="000000"/>
              <w:left w:val="single" w:sz="4" w:space="0" w:color="000000"/>
              <w:bottom w:val="single" w:sz="4" w:space="0" w:color="000000"/>
              <w:right w:val="single" w:sz="4" w:space="0" w:color="000000"/>
            </w:tcBorders>
          </w:tcPr>
          <w:p w14:paraId="47D52132" w14:textId="77777777" w:rsidR="00C15ED1" w:rsidRDefault="00000000">
            <w:pPr>
              <w:pStyle w:val="TableParagraph"/>
            </w:pPr>
            <w:r>
              <w:rPr>
                <w:spacing w:val="-5"/>
              </w:rPr>
              <w:t>1%</w:t>
            </w:r>
          </w:p>
        </w:tc>
      </w:tr>
      <w:tr w:rsidR="00C15ED1" w14:paraId="47D52137" w14:textId="77777777" w:rsidTr="00835E7E">
        <w:trPr>
          <w:cantSplit/>
          <w:trHeight w:val="253"/>
        </w:trPr>
        <w:tc>
          <w:tcPr>
            <w:tcW w:w="1469" w:type="dxa"/>
            <w:tcBorders>
              <w:top w:val="single" w:sz="4" w:space="0" w:color="000000"/>
              <w:left w:val="single" w:sz="4" w:space="0" w:color="000000"/>
              <w:bottom w:val="single" w:sz="4" w:space="0" w:color="000000"/>
              <w:right w:val="single" w:sz="4" w:space="0" w:color="000000"/>
            </w:tcBorders>
          </w:tcPr>
          <w:p w14:paraId="47D52134" w14:textId="270F28EF" w:rsidR="00C15ED1" w:rsidRDefault="00000000">
            <w:pPr>
              <w:pStyle w:val="TableParagraph"/>
            </w:pPr>
            <w:r>
              <w:rPr>
                <w:spacing w:val="-2"/>
              </w:rPr>
              <w:t>Misc</w:t>
            </w:r>
            <w:r w:rsidR="00915E1A">
              <w:rPr>
                <w:rStyle w:val="FootnoteReference"/>
                <w:spacing w:val="-2"/>
              </w:rPr>
              <w:footnoteReference w:id="3"/>
            </w:r>
          </w:p>
        </w:tc>
        <w:tc>
          <w:tcPr>
            <w:tcW w:w="1145" w:type="dxa"/>
            <w:tcBorders>
              <w:top w:val="single" w:sz="4" w:space="0" w:color="000000"/>
              <w:left w:val="single" w:sz="4" w:space="0" w:color="000000"/>
              <w:bottom w:val="single" w:sz="4" w:space="0" w:color="000000"/>
              <w:right w:val="single" w:sz="4" w:space="0" w:color="000000"/>
            </w:tcBorders>
            <w:shd w:val="clear" w:color="auto" w:fill="F1F1F1"/>
          </w:tcPr>
          <w:p w14:paraId="47D52135" w14:textId="77777777" w:rsidR="00C15ED1" w:rsidRDefault="00C15ED1">
            <w:pPr>
              <w:pStyle w:val="TableParagraph"/>
              <w:spacing w:line="240" w:lineRule="auto"/>
              <w:ind w:left="0"/>
              <w:rPr>
                <w:sz w:val="18"/>
              </w:rPr>
            </w:pPr>
          </w:p>
        </w:tc>
        <w:tc>
          <w:tcPr>
            <w:tcW w:w="1757" w:type="dxa"/>
            <w:tcBorders>
              <w:top w:val="single" w:sz="4" w:space="0" w:color="000000"/>
              <w:left w:val="single" w:sz="4" w:space="0" w:color="000000"/>
              <w:bottom w:val="single" w:sz="4" w:space="0" w:color="000000"/>
              <w:right w:val="single" w:sz="4" w:space="0" w:color="000000"/>
            </w:tcBorders>
          </w:tcPr>
          <w:p w14:paraId="47D52136" w14:textId="77777777" w:rsidR="00C15ED1" w:rsidRDefault="00000000">
            <w:pPr>
              <w:pStyle w:val="TableParagraph"/>
            </w:pPr>
            <w:r>
              <w:rPr>
                <w:spacing w:val="-5"/>
              </w:rPr>
              <w:t>13%</w:t>
            </w:r>
          </w:p>
        </w:tc>
      </w:tr>
      <w:tr w:rsidR="00C15ED1" w14:paraId="47D5213B" w14:textId="77777777" w:rsidTr="00835E7E">
        <w:trPr>
          <w:cantSplit/>
          <w:trHeight w:val="251"/>
        </w:trPr>
        <w:tc>
          <w:tcPr>
            <w:tcW w:w="1469" w:type="dxa"/>
            <w:tcBorders>
              <w:top w:val="single" w:sz="4" w:space="0" w:color="000000"/>
              <w:left w:val="single" w:sz="4" w:space="0" w:color="000000"/>
              <w:bottom w:val="single" w:sz="4" w:space="0" w:color="000000"/>
              <w:right w:val="single" w:sz="4" w:space="0" w:color="000000"/>
            </w:tcBorders>
          </w:tcPr>
          <w:p w14:paraId="47D52138" w14:textId="77777777" w:rsidR="00C15ED1" w:rsidRDefault="00000000">
            <w:pPr>
              <w:pStyle w:val="TableParagraph"/>
              <w:spacing w:line="232" w:lineRule="exact"/>
            </w:pPr>
            <w:r>
              <w:rPr>
                <w:spacing w:val="-2"/>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F1F1F1"/>
          </w:tcPr>
          <w:p w14:paraId="47D52139" w14:textId="77777777" w:rsidR="00C15ED1" w:rsidRDefault="00C15ED1">
            <w:pPr>
              <w:pStyle w:val="TableParagraph"/>
              <w:spacing w:line="240" w:lineRule="auto"/>
              <w:ind w:left="0"/>
              <w:rPr>
                <w:sz w:val="18"/>
              </w:rPr>
            </w:pPr>
          </w:p>
        </w:tc>
        <w:tc>
          <w:tcPr>
            <w:tcW w:w="1757" w:type="dxa"/>
            <w:tcBorders>
              <w:top w:val="single" w:sz="4" w:space="0" w:color="000000"/>
              <w:left w:val="single" w:sz="4" w:space="0" w:color="000000"/>
              <w:bottom w:val="single" w:sz="4" w:space="0" w:color="000000"/>
              <w:right w:val="single" w:sz="4" w:space="0" w:color="000000"/>
            </w:tcBorders>
          </w:tcPr>
          <w:p w14:paraId="47D5213A" w14:textId="77777777" w:rsidR="00C15ED1" w:rsidRDefault="00000000">
            <w:pPr>
              <w:pStyle w:val="TableParagraph"/>
              <w:spacing w:line="232" w:lineRule="exact"/>
            </w:pPr>
            <w:r>
              <w:rPr>
                <w:spacing w:val="-4"/>
              </w:rPr>
              <w:t>102%</w:t>
            </w:r>
          </w:p>
        </w:tc>
      </w:tr>
    </w:tbl>
    <w:p w14:paraId="47D5213C" w14:textId="77777777" w:rsidR="00C15ED1" w:rsidRDefault="00000000">
      <w:pPr>
        <w:pStyle w:val="BodyText"/>
        <w:spacing w:before="267"/>
        <w:ind w:left="800" w:right="1206"/>
      </w:pPr>
      <w:r>
        <w:t>The</w:t>
      </w:r>
      <w:r>
        <w:rPr>
          <w:spacing w:val="-4"/>
        </w:rPr>
        <w:t xml:space="preserve"> </w:t>
      </w:r>
      <w:r>
        <w:t>Applicant</w:t>
      </w:r>
      <w:r>
        <w:rPr>
          <w:spacing w:val="-3"/>
        </w:rPr>
        <w:t xml:space="preserve"> </w:t>
      </w:r>
      <w:r>
        <w:t>states</w:t>
      </w:r>
      <w:r>
        <w:rPr>
          <w:spacing w:val="-3"/>
        </w:rPr>
        <w:t xml:space="preserve"> </w:t>
      </w:r>
      <w:r>
        <w:t>that</w:t>
      </w:r>
      <w:r>
        <w:rPr>
          <w:spacing w:val="-1"/>
        </w:rPr>
        <w:t xml:space="preserve"> </w:t>
      </w:r>
      <w:r>
        <w:t>Natick</w:t>
      </w:r>
      <w:r>
        <w:rPr>
          <w:spacing w:val="-3"/>
        </w:rPr>
        <w:t xml:space="preserve"> </w:t>
      </w:r>
      <w:r>
        <w:t>is</w:t>
      </w:r>
      <w:r>
        <w:rPr>
          <w:spacing w:val="-3"/>
        </w:rPr>
        <w:t xml:space="preserve"> </w:t>
      </w:r>
      <w:r>
        <w:t>accessible</w:t>
      </w:r>
      <w:r>
        <w:rPr>
          <w:spacing w:val="-4"/>
        </w:rPr>
        <w:t xml:space="preserve"> </w:t>
      </w:r>
      <w:r>
        <w:t>to</w:t>
      </w:r>
      <w:r>
        <w:rPr>
          <w:spacing w:val="-3"/>
        </w:rPr>
        <w:t xml:space="preserve"> </w:t>
      </w:r>
      <w:r>
        <w:t>all</w:t>
      </w:r>
      <w:r>
        <w:rPr>
          <w:spacing w:val="-3"/>
        </w:rPr>
        <w:t xml:space="preserve"> </w:t>
      </w:r>
      <w:r>
        <w:t>of</w:t>
      </w:r>
      <w:r>
        <w:rPr>
          <w:spacing w:val="-4"/>
        </w:rPr>
        <w:t xml:space="preserve"> </w:t>
      </w:r>
      <w:r>
        <w:t>the</w:t>
      </w:r>
      <w:r>
        <w:rPr>
          <w:spacing w:val="-4"/>
        </w:rPr>
        <w:t xml:space="preserve"> </w:t>
      </w:r>
      <w:r>
        <w:t>cities/towns</w:t>
      </w:r>
      <w:r>
        <w:rPr>
          <w:spacing w:val="-3"/>
        </w:rPr>
        <w:t xml:space="preserve"> </w:t>
      </w:r>
      <w:r>
        <w:t>listed</w:t>
      </w:r>
      <w:r>
        <w:rPr>
          <w:spacing w:val="-3"/>
        </w:rPr>
        <w:t xml:space="preserve"> </w:t>
      </w:r>
      <w:r>
        <w:t>in</w:t>
      </w:r>
      <w:r>
        <w:rPr>
          <w:spacing w:val="-3"/>
        </w:rPr>
        <w:t xml:space="preserve"> </w:t>
      </w:r>
      <w:r>
        <w:t>Table</w:t>
      </w:r>
      <w:r>
        <w:rPr>
          <w:spacing w:val="-4"/>
        </w:rPr>
        <w:t xml:space="preserve"> </w:t>
      </w:r>
      <w:r>
        <w:t>1,</w:t>
      </w:r>
      <w:r>
        <w:rPr>
          <w:spacing w:val="-3"/>
        </w:rPr>
        <w:t xml:space="preserve"> </w:t>
      </w:r>
      <w:r>
        <w:t>and therefore it anticipates that the CT unit will continue to serve all existing patients.</w:t>
      </w:r>
    </w:p>
    <w:p w14:paraId="47D5213D" w14:textId="77777777" w:rsidR="00C15ED1" w:rsidRDefault="00000000">
      <w:pPr>
        <w:pStyle w:val="BodyText"/>
        <w:spacing w:before="276"/>
        <w:ind w:left="800" w:right="1301"/>
      </w:pPr>
      <w:r>
        <w:t>The</w:t>
      </w:r>
      <w:r>
        <w:rPr>
          <w:spacing w:val="-6"/>
        </w:rPr>
        <w:t xml:space="preserve"> </w:t>
      </w:r>
      <w:r>
        <w:t>Applicant</w:t>
      </w:r>
      <w:r>
        <w:rPr>
          <w:spacing w:val="-5"/>
        </w:rPr>
        <w:t xml:space="preserve"> </w:t>
      </w:r>
      <w:r>
        <w:t>provided</w:t>
      </w:r>
      <w:r>
        <w:rPr>
          <w:spacing w:val="-3"/>
        </w:rPr>
        <w:t xml:space="preserve"> </w:t>
      </w:r>
      <w:r>
        <w:t>demographic</w:t>
      </w:r>
      <w:r>
        <w:rPr>
          <w:spacing w:val="-6"/>
        </w:rPr>
        <w:t xml:space="preserve"> </w:t>
      </w:r>
      <w:r>
        <w:t>information</w:t>
      </w:r>
      <w:r>
        <w:rPr>
          <w:spacing w:val="-5"/>
        </w:rPr>
        <w:t xml:space="preserve"> </w:t>
      </w:r>
      <w:r>
        <w:t>for</w:t>
      </w:r>
      <w:r>
        <w:rPr>
          <w:spacing w:val="-6"/>
        </w:rPr>
        <w:t xml:space="preserve"> </w:t>
      </w:r>
      <w:r>
        <w:t>patients</w:t>
      </w:r>
      <w:r>
        <w:rPr>
          <w:spacing w:val="-5"/>
        </w:rPr>
        <w:t xml:space="preserve"> </w:t>
      </w:r>
      <w:r>
        <w:t>utilizing</w:t>
      </w:r>
      <w:r>
        <w:rPr>
          <w:spacing w:val="-5"/>
        </w:rPr>
        <w:t xml:space="preserve"> </w:t>
      </w:r>
      <w:r>
        <w:t>services</w:t>
      </w:r>
      <w:r>
        <w:rPr>
          <w:spacing w:val="-5"/>
        </w:rPr>
        <w:t xml:space="preserve"> </w:t>
      </w:r>
      <w:r>
        <w:t>in Southborough. This is shown in Table 2.</w:t>
      </w:r>
    </w:p>
    <w:p w14:paraId="47D5213E" w14:textId="77777777" w:rsidR="00C15ED1" w:rsidRDefault="00000000">
      <w:pPr>
        <w:pStyle w:val="Heading1"/>
        <w:spacing w:before="276"/>
      </w:pPr>
      <w:r>
        <w:t>Table</w:t>
      </w:r>
      <w:r>
        <w:rPr>
          <w:spacing w:val="-2"/>
        </w:rPr>
        <w:t xml:space="preserve"> </w:t>
      </w:r>
      <w:r>
        <w:t>2:</w:t>
      </w:r>
      <w:r>
        <w:rPr>
          <w:spacing w:val="-2"/>
        </w:rPr>
        <w:t xml:space="preserve"> </w:t>
      </w:r>
      <w:r>
        <w:t>2023</w:t>
      </w:r>
      <w:r>
        <w:rPr>
          <w:spacing w:val="-1"/>
        </w:rPr>
        <w:t xml:space="preserve"> </w:t>
      </w:r>
      <w:r>
        <w:t>Patient</w:t>
      </w:r>
      <w:r>
        <w:rPr>
          <w:spacing w:val="-2"/>
        </w:rPr>
        <w:t xml:space="preserve"> </w:t>
      </w:r>
      <w:r>
        <w:t>Demographic</w:t>
      </w:r>
      <w:r>
        <w:rPr>
          <w:spacing w:val="-1"/>
        </w:rPr>
        <w:t xml:space="preserve"> </w:t>
      </w:r>
      <w:r>
        <w:rPr>
          <w:spacing w:val="-2"/>
        </w:rPr>
        <w:t>Information</w:t>
      </w:r>
    </w:p>
    <w:tbl>
      <w:tblPr>
        <w:tblW w:w="0" w:type="auto"/>
        <w:tblInd w:w="809"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2549"/>
        <w:gridCol w:w="895"/>
      </w:tblGrid>
      <w:tr w:rsidR="00C15ED1" w14:paraId="47D52141" w14:textId="77777777" w:rsidTr="003F0B5F">
        <w:trPr>
          <w:cantSplit/>
          <w:trHeight w:val="228"/>
          <w:tblHeader/>
        </w:trPr>
        <w:tc>
          <w:tcPr>
            <w:tcW w:w="2549" w:type="dxa"/>
            <w:tcBorders>
              <w:left w:val="single" w:sz="4" w:space="0" w:color="000000"/>
              <w:bottom w:val="single" w:sz="4" w:space="0" w:color="000000"/>
              <w:right w:val="single" w:sz="4" w:space="0" w:color="000000"/>
            </w:tcBorders>
          </w:tcPr>
          <w:p w14:paraId="47D5213F" w14:textId="77777777" w:rsidR="00C15ED1" w:rsidRDefault="00000000">
            <w:pPr>
              <w:pStyle w:val="TableParagraph"/>
              <w:spacing w:line="209" w:lineRule="exact"/>
            </w:pPr>
            <w:r>
              <w:t xml:space="preserve">32,443 </w:t>
            </w:r>
            <w:r>
              <w:rPr>
                <w:spacing w:val="-2"/>
              </w:rPr>
              <w:t>patients</w:t>
            </w:r>
          </w:p>
        </w:tc>
        <w:tc>
          <w:tcPr>
            <w:tcW w:w="895" w:type="dxa"/>
            <w:tcBorders>
              <w:top w:val="single" w:sz="4" w:space="0" w:color="000000"/>
              <w:left w:val="single" w:sz="4" w:space="0" w:color="000000"/>
              <w:bottom w:val="single" w:sz="4" w:space="0" w:color="000000"/>
              <w:right w:val="single" w:sz="4" w:space="0" w:color="000000"/>
            </w:tcBorders>
          </w:tcPr>
          <w:p w14:paraId="47D52140" w14:textId="77777777" w:rsidR="00C15ED1" w:rsidRDefault="00C15ED1">
            <w:pPr>
              <w:pStyle w:val="TableParagraph"/>
              <w:spacing w:line="240" w:lineRule="auto"/>
              <w:ind w:left="0"/>
              <w:rPr>
                <w:sz w:val="16"/>
              </w:rPr>
            </w:pPr>
          </w:p>
        </w:tc>
      </w:tr>
      <w:tr w:rsidR="00C15ED1" w14:paraId="47D52144" w14:textId="77777777" w:rsidTr="003F0B5F">
        <w:trPr>
          <w:cantSplit/>
          <w:trHeight w:val="251"/>
        </w:trPr>
        <w:tc>
          <w:tcPr>
            <w:tcW w:w="2549" w:type="dxa"/>
            <w:tcBorders>
              <w:top w:val="single" w:sz="4" w:space="0" w:color="000000"/>
              <w:left w:val="single" w:sz="4" w:space="0" w:color="000000"/>
              <w:bottom w:val="single" w:sz="4" w:space="0" w:color="000000"/>
              <w:right w:val="single" w:sz="4" w:space="0" w:color="000000"/>
            </w:tcBorders>
          </w:tcPr>
          <w:p w14:paraId="47D52142" w14:textId="77777777" w:rsidR="00C15ED1" w:rsidRDefault="00000000">
            <w:pPr>
              <w:pStyle w:val="TableParagraph"/>
              <w:spacing w:line="232" w:lineRule="exact"/>
              <w:rPr>
                <w:b/>
              </w:rPr>
            </w:pPr>
            <w:r>
              <w:rPr>
                <w:b/>
                <w:spacing w:val="-2"/>
              </w:rPr>
              <w:t>Gender</w:t>
            </w:r>
          </w:p>
        </w:tc>
        <w:tc>
          <w:tcPr>
            <w:tcW w:w="895" w:type="dxa"/>
            <w:tcBorders>
              <w:top w:val="single" w:sz="4" w:space="0" w:color="000000"/>
              <w:left w:val="single" w:sz="4" w:space="0" w:color="000000"/>
              <w:bottom w:val="single" w:sz="4" w:space="0" w:color="000000"/>
              <w:right w:val="single" w:sz="4" w:space="0" w:color="000000"/>
            </w:tcBorders>
          </w:tcPr>
          <w:p w14:paraId="47D52143" w14:textId="77777777" w:rsidR="00C15ED1" w:rsidRDefault="00C15ED1">
            <w:pPr>
              <w:pStyle w:val="TableParagraph"/>
              <w:spacing w:line="240" w:lineRule="auto"/>
              <w:ind w:left="0"/>
              <w:rPr>
                <w:sz w:val="18"/>
              </w:rPr>
            </w:pPr>
          </w:p>
        </w:tc>
      </w:tr>
      <w:tr w:rsidR="00C15ED1" w14:paraId="47D52147" w14:textId="77777777" w:rsidTr="003F0B5F">
        <w:trPr>
          <w:cantSplit/>
          <w:trHeight w:val="253"/>
        </w:trPr>
        <w:tc>
          <w:tcPr>
            <w:tcW w:w="2549" w:type="dxa"/>
            <w:tcBorders>
              <w:top w:val="single" w:sz="4" w:space="0" w:color="000000"/>
              <w:left w:val="single" w:sz="4" w:space="0" w:color="000000"/>
              <w:bottom w:val="single" w:sz="4" w:space="0" w:color="000000"/>
              <w:right w:val="single" w:sz="4" w:space="0" w:color="000000"/>
            </w:tcBorders>
          </w:tcPr>
          <w:p w14:paraId="47D52145" w14:textId="77777777" w:rsidR="00C15ED1" w:rsidRDefault="00000000">
            <w:pPr>
              <w:pStyle w:val="TableParagraph"/>
              <w:ind w:left="251"/>
            </w:pPr>
            <w:r>
              <w:rPr>
                <w:spacing w:val="-4"/>
              </w:rPr>
              <w:t>Male</w:t>
            </w:r>
          </w:p>
        </w:tc>
        <w:tc>
          <w:tcPr>
            <w:tcW w:w="895" w:type="dxa"/>
            <w:tcBorders>
              <w:top w:val="single" w:sz="4" w:space="0" w:color="000000"/>
              <w:left w:val="single" w:sz="4" w:space="0" w:color="000000"/>
              <w:bottom w:val="single" w:sz="4" w:space="0" w:color="000000"/>
              <w:right w:val="single" w:sz="4" w:space="0" w:color="000000"/>
            </w:tcBorders>
          </w:tcPr>
          <w:p w14:paraId="47D52146" w14:textId="77777777" w:rsidR="00C15ED1" w:rsidRDefault="00000000">
            <w:pPr>
              <w:pStyle w:val="TableParagraph"/>
              <w:ind w:left="10"/>
              <w:jc w:val="center"/>
            </w:pPr>
            <w:r>
              <w:rPr>
                <w:spacing w:val="-2"/>
              </w:rPr>
              <w:t>45.37%</w:t>
            </w:r>
          </w:p>
        </w:tc>
      </w:tr>
      <w:tr w:rsidR="00C15ED1" w14:paraId="47D5214A" w14:textId="77777777" w:rsidTr="003F0B5F">
        <w:trPr>
          <w:cantSplit/>
          <w:trHeight w:val="254"/>
        </w:trPr>
        <w:tc>
          <w:tcPr>
            <w:tcW w:w="2549" w:type="dxa"/>
            <w:tcBorders>
              <w:top w:val="single" w:sz="4" w:space="0" w:color="000000"/>
              <w:left w:val="single" w:sz="4" w:space="0" w:color="000000"/>
              <w:bottom w:val="single" w:sz="4" w:space="0" w:color="000000"/>
              <w:right w:val="single" w:sz="4" w:space="0" w:color="000000"/>
            </w:tcBorders>
          </w:tcPr>
          <w:p w14:paraId="47D52148" w14:textId="77777777" w:rsidR="00C15ED1" w:rsidRDefault="00000000">
            <w:pPr>
              <w:pStyle w:val="TableParagraph"/>
              <w:ind w:left="251"/>
            </w:pPr>
            <w:r>
              <w:rPr>
                <w:spacing w:val="-2"/>
              </w:rPr>
              <w:t>Female</w:t>
            </w:r>
          </w:p>
        </w:tc>
        <w:tc>
          <w:tcPr>
            <w:tcW w:w="895" w:type="dxa"/>
            <w:tcBorders>
              <w:top w:val="single" w:sz="4" w:space="0" w:color="000000"/>
              <w:left w:val="single" w:sz="4" w:space="0" w:color="000000"/>
              <w:bottom w:val="single" w:sz="4" w:space="0" w:color="000000"/>
              <w:right w:val="single" w:sz="4" w:space="0" w:color="000000"/>
            </w:tcBorders>
          </w:tcPr>
          <w:p w14:paraId="47D52149" w14:textId="77777777" w:rsidR="00C15ED1" w:rsidRDefault="00000000">
            <w:pPr>
              <w:pStyle w:val="TableParagraph"/>
              <w:ind w:left="10"/>
              <w:jc w:val="center"/>
            </w:pPr>
            <w:r>
              <w:rPr>
                <w:spacing w:val="-2"/>
              </w:rPr>
              <w:t>54.62%</w:t>
            </w:r>
          </w:p>
        </w:tc>
      </w:tr>
      <w:tr w:rsidR="00C15ED1" w14:paraId="47D52151"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3"/>
        </w:trPr>
        <w:tc>
          <w:tcPr>
            <w:tcW w:w="2549" w:type="dxa"/>
          </w:tcPr>
          <w:p w14:paraId="47D5214F" w14:textId="77777777" w:rsidR="00C15ED1" w:rsidRDefault="00000000">
            <w:pPr>
              <w:pStyle w:val="TableParagraph"/>
              <w:ind w:left="251"/>
            </w:pPr>
            <w:r>
              <w:rPr>
                <w:spacing w:val="-2"/>
              </w:rPr>
              <w:t>Non-Binary</w:t>
            </w:r>
          </w:p>
        </w:tc>
        <w:tc>
          <w:tcPr>
            <w:tcW w:w="895" w:type="dxa"/>
          </w:tcPr>
          <w:p w14:paraId="47D52150" w14:textId="77777777" w:rsidR="00C15ED1" w:rsidRDefault="00000000">
            <w:pPr>
              <w:pStyle w:val="TableParagraph"/>
            </w:pPr>
            <w:r>
              <w:rPr>
                <w:spacing w:val="-5"/>
              </w:rPr>
              <w:t>&lt;1%</w:t>
            </w:r>
          </w:p>
        </w:tc>
      </w:tr>
      <w:tr w:rsidR="00C15ED1" w14:paraId="47D52154"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1"/>
        </w:trPr>
        <w:tc>
          <w:tcPr>
            <w:tcW w:w="2549" w:type="dxa"/>
          </w:tcPr>
          <w:p w14:paraId="47D52152" w14:textId="77777777" w:rsidR="00C15ED1" w:rsidRDefault="00000000">
            <w:pPr>
              <w:pStyle w:val="TableParagraph"/>
              <w:spacing w:line="232" w:lineRule="exact"/>
            </w:pPr>
            <w:r>
              <w:rPr>
                <w:spacing w:val="-2"/>
              </w:rPr>
              <w:t>Total</w:t>
            </w:r>
          </w:p>
        </w:tc>
        <w:tc>
          <w:tcPr>
            <w:tcW w:w="895" w:type="dxa"/>
          </w:tcPr>
          <w:p w14:paraId="47D52153" w14:textId="77777777" w:rsidR="00C15ED1" w:rsidRDefault="00000000">
            <w:pPr>
              <w:pStyle w:val="TableParagraph"/>
              <w:spacing w:line="232" w:lineRule="exact"/>
            </w:pPr>
            <w:r>
              <w:rPr>
                <w:spacing w:val="-4"/>
              </w:rPr>
              <w:t>100%</w:t>
            </w:r>
          </w:p>
        </w:tc>
      </w:tr>
      <w:tr w:rsidR="00C15ED1" w14:paraId="47D52157"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4"/>
        </w:trPr>
        <w:tc>
          <w:tcPr>
            <w:tcW w:w="2549" w:type="dxa"/>
          </w:tcPr>
          <w:p w14:paraId="47D52155" w14:textId="77777777" w:rsidR="00C15ED1" w:rsidRDefault="00000000">
            <w:pPr>
              <w:pStyle w:val="TableParagraph"/>
              <w:rPr>
                <w:b/>
              </w:rPr>
            </w:pPr>
            <w:r>
              <w:rPr>
                <w:b/>
                <w:spacing w:val="-5"/>
              </w:rPr>
              <w:lastRenderedPageBreak/>
              <w:t>Age</w:t>
            </w:r>
          </w:p>
        </w:tc>
        <w:tc>
          <w:tcPr>
            <w:tcW w:w="895" w:type="dxa"/>
          </w:tcPr>
          <w:p w14:paraId="47D52156" w14:textId="77777777" w:rsidR="00C15ED1" w:rsidRDefault="00C15ED1">
            <w:pPr>
              <w:pStyle w:val="TableParagraph"/>
              <w:spacing w:line="240" w:lineRule="auto"/>
              <w:ind w:left="0"/>
              <w:rPr>
                <w:sz w:val="18"/>
              </w:rPr>
            </w:pPr>
          </w:p>
        </w:tc>
      </w:tr>
      <w:tr w:rsidR="00C15ED1" w14:paraId="47D5215A"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1"/>
        </w:trPr>
        <w:tc>
          <w:tcPr>
            <w:tcW w:w="2549" w:type="dxa"/>
          </w:tcPr>
          <w:p w14:paraId="47D52158" w14:textId="77777777" w:rsidR="00C15ED1" w:rsidRDefault="00000000">
            <w:pPr>
              <w:pStyle w:val="TableParagraph"/>
              <w:spacing w:line="232" w:lineRule="exact"/>
              <w:ind w:left="251"/>
            </w:pPr>
            <w:r>
              <w:rPr>
                <w:spacing w:val="-2"/>
              </w:rPr>
              <w:t>0-</w:t>
            </w:r>
            <w:r>
              <w:rPr>
                <w:spacing w:val="-5"/>
              </w:rPr>
              <w:t>20</w:t>
            </w:r>
          </w:p>
        </w:tc>
        <w:tc>
          <w:tcPr>
            <w:tcW w:w="895" w:type="dxa"/>
          </w:tcPr>
          <w:p w14:paraId="47D52159" w14:textId="77777777" w:rsidR="00C15ED1" w:rsidRDefault="00000000">
            <w:pPr>
              <w:pStyle w:val="TableParagraph"/>
              <w:spacing w:line="232" w:lineRule="exact"/>
            </w:pPr>
            <w:r>
              <w:rPr>
                <w:spacing w:val="-2"/>
              </w:rPr>
              <w:t>6.41%</w:t>
            </w:r>
          </w:p>
        </w:tc>
      </w:tr>
      <w:tr w:rsidR="00C15ED1" w14:paraId="47D5215D"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4"/>
        </w:trPr>
        <w:tc>
          <w:tcPr>
            <w:tcW w:w="2549" w:type="dxa"/>
          </w:tcPr>
          <w:p w14:paraId="47D5215B" w14:textId="77777777" w:rsidR="00C15ED1" w:rsidRDefault="00000000">
            <w:pPr>
              <w:pStyle w:val="TableParagraph"/>
              <w:ind w:left="251"/>
            </w:pPr>
            <w:r>
              <w:rPr>
                <w:spacing w:val="-2"/>
              </w:rPr>
              <w:t>21-</w:t>
            </w:r>
            <w:r>
              <w:rPr>
                <w:spacing w:val="-7"/>
              </w:rPr>
              <w:t>40</w:t>
            </w:r>
          </w:p>
        </w:tc>
        <w:tc>
          <w:tcPr>
            <w:tcW w:w="895" w:type="dxa"/>
          </w:tcPr>
          <w:p w14:paraId="47D5215C" w14:textId="77777777" w:rsidR="00C15ED1" w:rsidRDefault="00000000">
            <w:pPr>
              <w:pStyle w:val="TableParagraph"/>
            </w:pPr>
            <w:r>
              <w:rPr>
                <w:spacing w:val="-2"/>
              </w:rPr>
              <w:t>20.91%</w:t>
            </w:r>
          </w:p>
        </w:tc>
      </w:tr>
      <w:tr w:rsidR="00C15ED1" w14:paraId="47D52160"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1"/>
        </w:trPr>
        <w:tc>
          <w:tcPr>
            <w:tcW w:w="2549" w:type="dxa"/>
          </w:tcPr>
          <w:p w14:paraId="47D5215E" w14:textId="77777777" w:rsidR="00C15ED1" w:rsidRDefault="00000000">
            <w:pPr>
              <w:pStyle w:val="TableParagraph"/>
              <w:spacing w:line="232" w:lineRule="exact"/>
              <w:ind w:left="251"/>
            </w:pPr>
            <w:r>
              <w:rPr>
                <w:spacing w:val="-2"/>
              </w:rPr>
              <w:t>41-</w:t>
            </w:r>
            <w:r>
              <w:rPr>
                <w:spacing w:val="-7"/>
              </w:rPr>
              <w:t>60</w:t>
            </w:r>
          </w:p>
        </w:tc>
        <w:tc>
          <w:tcPr>
            <w:tcW w:w="895" w:type="dxa"/>
          </w:tcPr>
          <w:p w14:paraId="47D5215F" w14:textId="77777777" w:rsidR="00C15ED1" w:rsidRDefault="00000000">
            <w:pPr>
              <w:pStyle w:val="TableParagraph"/>
              <w:spacing w:line="232" w:lineRule="exact"/>
            </w:pPr>
            <w:r>
              <w:rPr>
                <w:spacing w:val="-2"/>
              </w:rPr>
              <w:t>32.45%</w:t>
            </w:r>
          </w:p>
        </w:tc>
      </w:tr>
      <w:tr w:rsidR="00C15ED1" w14:paraId="47D52163"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3"/>
        </w:trPr>
        <w:tc>
          <w:tcPr>
            <w:tcW w:w="2549" w:type="dxa"/>
          </w:tcPr>
          <w:p w14:paraId="47D52161" w14:textId="77777777" w:rsidR="00C15ED1" w:rsidRDefault="00000000">
            <w:pPr>
              <w:pStyle w:val="TableParagraph"/>
              <w:spacing w:before="1" w:line="233" w:lineRule="exact"/>
              <w:ind w:left="251"/>
            </w:pPr>
            <w:r>
              <w:rPr>
                <w:spacing w:val="-5"/>
              </w:rPr>
              <w:t>61+</w:t>
            </w:r>
          </w:p>
        </w:tc>
        <w:tc>
          <w:tcPr>
            <w:tcW w:w="895" w:type="dxa"/>
          </w:tcPr>
          <w:p w14:paraId="47D52162" w14:textId="77777777" w:rsidR="00C15ED1" w:rsidRDefault="00000000">
            <w:pPr>
              <w:pStyle w:val="TableParagraph"/>
              <w:spacing w:before="1" w:line="233" w:lineRule="exact"/>
            </w:pPr>
            <w:r>
              <w:rPr>
                <w:spacing w:val="-2"/>
              </w:rPr>
              <w:t>40.23%</w:t>
            </w:r>
          </w:p>
        </w:tc>
      </w:tr>
      <w:tr w:rsidR="00C15ED1" w14:paraId="47D52166"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3"/>
        </w:trPr>
        <w:tc>
          <w:tcPr>
            <w:tcW w:w="2549" w:type="dxa"/>
          </w:tcPr>
          <w:p w14:paraId="47D52164" w14:textId="77777777" w:rsidR="00C15ED1" w:rsidRDefault="00000000">
            <w:pPr>
              <w:pStyle w:val="TableParagraph"/>
            </w:pPr>
            <w:r>
              <w:rPr>
                <w:spacing w:val="-2"/>
              </w:rPr>
              <w:t>Total</w:t>
            </w:r>
          </w:p>
        </w:tc>
        <w:tc>
          <w:tcPr>
            <w:tcW w:w="895" w:type="dxa"/>
          </w:tcPr>
          <w:p w14:paraId="47D52165" w14:textId="77777777" w:rsidR="00C15ED1" w:rsidRDefault="00000000">
            <w:pPr>
              <w:pStyle w:val="TableParagraph"/>
            </w:pPr>
            <w:r>
              <w:rPr>
                <w:spacing w:val="-4"/>
              </w:rPr>
              <w:t>100%</w:t>
            </w:r>
          </w:p>
        </w:tc>
      </w:tr>
      <w:tr w:rsidR="00C15ED1" w14:paraId="47D52169"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1"/>
        </w:trPr>
        <w:tc>
          <w:tcPr>
            <w:tcW w:w="2549" w:type="dxa"/>
          </w:tcPr>
          <w:p w14:paraId="47D52167" w14:textId="77777777" w:rsidR="00C15ED1" w:rsidRDefault="00000000">
            <w:pPr>
              <w:pStyle w:val="TableParagraph"/>
              <w:spacing w:line="232" w:lineRule="exact"/>
              <w:rPr>
                <w:b/>
              </w:rPr>
            </w:pPr>
            <w:r>
              <w:rPr>
                <w:b/>
                <w:spacing w:val="-2"/>
              </w:rPr>
              <w:t>Race/Ethnicity</w:t>
            </w:r>
          </w:p>
        </w:tc>
        <w:tc>
          <w:tcPr>
            <w:tcW w:w="895" w:type="dxa"/>
          </w:tcPr>
          <w:p w14:paraId="47D52168" w14:textId="77777777" w:rsidR="00C15ED1" w:rsidRDefault="00C15ED1">
            <w:pPr>
              <w:pStyle w:val="TableParagraph"/>
              <w:spacing w:line="240" w:lineRule="auto"/>
              <w:ind w:left="0"/>
              <w:rPr>
                <w:sz w:val="18"/>
              </w:rPr>
            </w:pPr>
          </w:p>
        </w:tc>
      </w:tr>
      <w:tr w:rsidR="00C15ED1" w14:paraId="47D5216C"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3"/>
        </w:trPr>
        <w:tc>
          <w:tcPr>
            <w:tcW w:w="2549" w:type="dxa"/>
          </w:tcPr>
          <w:p w14:paraId="47D5216A" w14:textId="77777777" w:rsidR="00C15ED1" w:rsidRDefault="00000000">
            <w:pPr>
              <w:pStyle w:val="TableParagraph"/>
              <w:ind w:left="251"/>
            </w:pPr>
            <w:r>
              <w:rPr>
                <w:spacing w:val="-2"/>
              </w:rPr>
              <w:t>White</w:t>
            </w:r>
          </w:p>
        </w:tc>
        <w:tc>
          <w:tcPr>
            <w:tcW w:w="895" w:type="dxa"/>
          </w:tcPr>
          <w:p w14:paraId="47D5216B" w14:textId="77777777" w:rsidR="00C15ED1" w:rsidRDefault="00000000">
            <w:pPr>
              <w:pStyle w:val="TableParagraph"/>
            </w:pPr>
            <w:r>
              <w:rPr>
                <w:spacing w:val="-2"/>
              </w:rPr>
              <w:t>74.81%</w:t>
            </w:r>
          </w:p>
        </w:tc>
      </w:tr>
      <w:tr w:rsidR="00C15ED1" w14:paraId="47D5216F"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1"/>
        </w:trPr>
        <w:tc>
          <w:tcPr>
            <w:tcW w:w="2549" w:type="dxa"/>
          </w:tcPr>
          <w:p w14:paraId="47D5216D" w14:textId="77777777" w:rsidR="00C15ED1" w:rsidRDefault="00000000">
            <w:pPr>
              <w:pStyle w:val="TableParagraph"/>
              <w:spacing w:line="232" w:lineRule="exact"/>
              <w:ind w:left="251"/>
            </w:pPr>
            <w:r>
              <w:rPr>
                <w:spacing w:val="-2"/>
              </w:rPr>
              <w:t>Asian</w:t>
            </w:r>
          </w:p>
        </w:tc>
        <w:tc>
          <w:tcPr>
            <w:tcW w:w="895" w:type="dxa"/>
          </w:tcPr>
          <w:p w14:paraId="47D5216E" w14:textId="77777777" w:rsidR="00C15ED1" w:rsidRDefault="00000000">
            <w:pPr>
              <w:pStyle w:val="TableParagraph"/>
              <w:spacing w:line="232" w:lineRule="exact"/>
            </w:pPr>
            <w:r>
              <w:rPr>
                <w:spacing w:val="-2"/>
              </w:rPr>
              <w:t>3.88%</w:t>
            </w:r>
          </w:p>
        </w:tc>
      </w:tr>
      <w:tr w:rsidR="00C15ED1" w14:paraId="47D52172"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3"/>
        </w:trPr>
        <w:tc>
          <w:tcPr>
            <w:tcW w:w="2549" w:type="dxa"/>
          </w:tcPr>
          <w:p w14:paraId="47D52170" w14:textId="77777777" w:rsidR="00C15ED1" w:rsidRDefault="00000000">
            <w:pPr>
              <w:pStyle w:val="TableParagraph"/>
              <w:ind w:left="251"/>
            </w:pPr>
            <w:r>
              <w:t>African</w:t>
            </w:r>
            <w:r>
              <w:rPr>
                <w:spacing w:val="-6"/>
              </w:rPr>
              <w:t xml:space="preserve"> </w:t>
            </w:r>
            <w:r>
              <w:rPr>
                <w:spacing w:val="-2"/>
              </w:rPr>
              <w:t>American</w:t>
            </w:r>
          </w:p>
        </w:tc>
        <w:tc>
          <w:tcPr>
            <w:tcW w:w="895" w:type="dxa"/>
          </w:tcPr>
          <w:p w14:paraId="47D52171" w14:textId="77777777" w:rsidR="00C15ED1" w:rsidRDefault="00000000">
            <w:pPr>
              <w:pStyle w:val="TableParagraph"/>
            </w:pPr>
            <w:r>
              <w:rPr>
                <w:spacing w:val="-2"/>
              </w:rPr>
              <w:t>1.45%</w:t>
            </w:r>
          </w:p>
        </w:tc>
      </w:tr>
      <w:tr w:rsidR="00C15ED1" w14:paraId="47D52175"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1"/>
        </w:trPr>
        <w:tc>
          <w:tcPr>
            <w:tcW w:w="2549" w:type="dxa"/>
          </w:tcPr>
          <w:p w14:paraId="47D52173" w14:textId="0167267B" w:rsidR="00C15ED1" w:rsidRDefault="00000000">
            <w:pPr>
              <w:pStyle w:val="TableParagraph"/>
              <w:spacing w:line="232" w:lineRule="exact"/>
              <w:ind w:left="251"/>
            </w:pPr>
            <w:r>
              <w:t>Unknown/Not</w:t>
            </w:r>
            <w:r>
              <w:rPr>
                <w:spacing w:val="-11"/>
              </w:rPr>
              <w:t xml:space="preserve"> </w:t>
            </w:r>
            <w:r>
              <w:rPr>
                <w:spacing w:val="-2"/>
              </w:rPr>
              <w:t>Provided</w:t>
            </w:r>
            <w:r w:rsidR="00C37BB3">
              <w:rPr>
                <w:rStyle w:val="FootnoteReference"/>
                <w:spacing w:val="-2"/>
              </w:rPr>
              <w:footnoteReference w:id="4"/>
            </w:r>
          </w:p>
        </w:tc>
        <w:tc>
          <w:tcPr>
            <w:tcW w:w="895" w:type="dxa"/>
          </w:tcPr>
          <w:p w14:paraId="47D52174" w14:textId="77777777" w:rsidR="00C15ED1" w:rsidRDefault="00000000">
            <w:pPr>
              <w:pStyle w:val="TableParagraph"/>
              <w:spacing w:line="232" w:lineRule="exact"/>
            </w:pPr>
            <w:r>
              <w:rPr>
                <w:spacing w:val="-2"/>
              </w:rPr>
              <w:t>16.07%</w:t>
            </w:r>
          </w:p>
        </w:tc>
      </w:tr>
      <w:tr w:rsidR="00C15ED1" w14:paraId="47D52178"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3"/>
        </w:trPr>
        <w:tc>
          <w:tcPr>
            <w:tcW w:w="2549" w:type="dxa"/>
          </w:tcPr>
          <w:p w14:paraId="47D52176" w14:textId="2BAE51EF" w:rsidR="00C15ED1" w:rsidRDefault="00000000">
            <w:pPr>
              <w:pStyle w:val="TableParagraph"/>
              <w:spacing w:before="1" w:line="233" w:lineRule="exact"/>
              <w:ind w:left="251"/>
            </w:pPr>
            <w:r>
              <w:rPr>
                <w:spacing w:val="-2"/>
              </w:rPr>
              <w:t>Other</w:t>
            </w:r>
            <w:r w:rsidR="00C37BB3">
              <w:rPr>
                <w:rStyle w:val="FootnoteReference"/>
                <w:spacing w:val="-2"/>
              </w:rPr>
              <w:footnoteReference w:id="5"/>
            </w:r>
          </w:p>
        </w:tc>
        <w:tc>
          <w:tcPr>
            <w:tcW w:w="895" w:type="dxa"/>
          </w:tcPr>
          <w:p w14:paraId="47D52177" w14:textId="77777777" w:rsidR="00C15ED1" w:rsidRDefault="00000000">
            <w:pPr>
              <w:pStyle w:val="TableParagraph"/>
              <w:spacing w:before="1" w:line="233" w:lineRule="exact"/>
            </w:pPr>
            <w:r>
              <w:rPr>
                <w:spacing w:val="-2"/>
              </w:rPr>
              <w:t>3.79%</w:t>
            </w:r>
          </w:p>
        </w:tc>
      </w:tr>
      <w:tr w:rsidR="00C15ED1" w14:paraId="47D5217B"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4"/>
        </w:trPr>
        <w:tc>
          <w:tcPr>
            <w:tcW w:w="2549" w:type="dxa"/>
          </w:tcPr>
          <w:p w14:paraId="47D52179" w14:textId="77777777" w:rsidR="00C15ED1" w:rsidRDefault="00000000">
            <w:pPr>
              <w:pStyle w:val="TableParagraph"/>
            </w:pPr>
            <w:r>
              <w:rPr>
                <w:spacing w:val="-2"/>
              </w:rPr>
              <w:t>Total</w:t>
            </w:r>
          </w:p>
        </w:tc>
        <w:tc>
          <w:tcPr>
            <w:tcW w:w="895" w:type="dxa"/>
          </w:tcPr>
          <w:p w14:paraId="47D5217A" w14:textId="77777777" w:rsidR="00C15ED1" w:rsidRDefault="00000000">
            <w:pPr>
              <w:pStyle w:val="TableParagraph"/>
            </w:pPr>
            <w:r>
              <w:rPr>
                <w:spacing w:val="-4"/>
              </w:rPr>
              <w:t>100%</w:t>
            </w:r>
          </w:p>
        </w:tc>
      </w:tr>
      <w:tr w:rsidR="00C15ED1" w14:paraId="47D5217E"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1"/>
        </w:trPr>
        <w:tc>
          <w:tcPr>
            <w:tcW w:w="2549" w:type="dxa"/>
          </w:tcPr>
          <w:p w14:paraId="47D5217C" w14:textId="77777777" w:rsidR="00C15ED1" w:rsidRDefault="00000000">
            <w:pPr>
              <w:pStyle w:val="TableParagraph"/>
              <w:spacing w:line="232" w:lineRule="exact"/>
              <w:rPr>
                <w:b/>
              </w:rPr>
            </w:pPr>
            <w:r>
              <w:rPr>
                <w:b/>
              </w:rPr>
              <w:t>Payer</w:t>
            </w:r>
            <w:r>
              <w:rPr>
                <w:b/>
                <w:spacing w:val="-5"/>
              </w:rPr>
              <w:t xml:space="preserve"> Mix</w:t>
            </w:r>
          </w:p>
        </w:tc>
        <w:tc>
          <w:tcPr>
            <w:tcW w:w="895" w:type="dxa"/>
          </w:tcPr>
          <w:p w14:paraId="47D5217D" w14:textId="77777777" w:rsidR="00C15ED1" w:rsidRDefault="00C15ED1">
            <w:pPr>
              <w:pStyle w:val="TableParagraph"/>
              <w:spacing w:line="240" w:lineRule="auto"/>
              <w:ind w:left="0"/>
              <w:rPr>
                <w:sz w:val="18"/>
              </w:rPr>
            </w:pPr>
          </w:p>
        </w:tc>
      </w:tr>
      <w:tr w:rsidR="00C15ED1" w14:paraId="47D52181"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4"/>
        </w:trPr>
        <w:tc>
          <w:tcPr>
            <w:tcW w:w="2549" w:type="dxa"/>
          </w:tcPr>
          <w:p w14:paraId="47D5217F" w14:textId="77777777" w:rsidR="00C15ED1" w:rsidRDefault="00000000">
            <w:pPr>
              <w:pStyle w:val="TableParagraph"/>
              <w:ind w:left="251"/>
            </w:pPr>
            <w:r>
              <w:rPr>
                <w:spacing w:val="-2"/>
              </w:rPr>
              <w:t>Commercial</w:t>
            </w:r>
          </w:p>
        </w:tc>
        <w:tc>
          <w:tcPr>
            <w:tcW w:w="895" w:type="dxa"/>
          </w:tcPr>
          <w:p w14:paraId="47D52180" w14:textId="77777777" w:rsidR="00C15ED1" w:rsidRDefault="00000000">
            <w:pPr>
              <w:pStyle w:val="TableParagraph"/>
            </w:pPr>
            <w:r>
              <w:rPr>
                <w:spacing w:val="-2"/>
              </w:rPr>
              <w:t>62.99%</w:t>
            </w:r>
          </w:p>
        </w:tc>
      </w:tr>
      <w:tr w:rsidR="00C15ED1" w14:paraId="47D52184"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1"/>
        </w:trPr>
        <w:tc>
          <w:tcPr>
            <w:tcW w:w="2549" w:type="dxa"/>
          </w:tcPr>
          <w:p w14:paraId="47D52182" w14:textId="77777777" w:rsidR="00C15ED1" w:rsidRDefault="00000000">
            <w:pPr>
              <w:pStyle w:val="TableParagraph"/>
              <w:spacing w:line="232" w:lineRule="exact"/>
              <w:ind w:left="251"/>
            </w:pPr>
            <w:r>
              <w:rPr>
                <w:spacing w:val="-2"/>
              </w:rPr>
              <w:t>Medicare</w:t>
            </w:r>
          </w:p>
        </w:tc>
        <w:tc>
          <w:tcPr>
            <w:tcW w:w="895" w:type="dxa"/>
          </w:tcPr>
          <w:p w14:paraId="47D52183" w14:textId="77777777" w:rsidR="00C15ED1" w:rsidRDefault="00000000">
            <w:pPr>
              <w:pStyle w:val="TableParagraph"/>
              <w:spacing w:line="232" w:lineRule="exact"/>
            </w:pPr>
            <w:r>
              <w:rPr>
                <w:spacing w:val="-2"/>
              </w:rPr>
              <w:t>27.94%</w:t>
            </w:r>
          </w:p>
        </w:tc>
      </w:tr>
      <w:tr w:rsidR="00C15ED1" w14:paraId="47D52187"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4"/>
        </w:trPr>
        <w:tc>
          <w:tcPr>
            <w:tcW w:w="2549" w:type="dxa"/>
          </w:tcPr>
          <w:p w14:paraId="47D52185" w14:textId="77777777" w:rsidR="00C15ED1" w:rsidRDefault="00000000">
            <w:pPr>
              <w:pStyle w:val="TableParagraph"/>
              <w:spacing w:before="1" w:line="233" w:lineRule="exact"/>
              <w:ind w:left="251"/>
            </w:pPr>
            <w:r>
              <w:rPr>
                <w:spacing w:val="-2"/>
              </w:rPr>
              <w:t>Medicaid</w:t>
            </w:r>
          </w:p>
        </w:tc>
        <w:tc>
          <w:tcPr>
            <w:tcW w:w="895" w:type="dxa"/>
          </w:tcPr>
          <w:p w14:paraId="47D52186" w14:textId="77777777" w:rsidR="00C15ED1" w:rsidRDefault="00000000">
            <w:pPr>
              <w:pStyle w:val="TableParagraph"/>
              <w:spacing w:before="1" w:line="233" w:lineRule="exact"/>
            </w:pPr>
            <w:r>
              <w:rPr>
                <w:spacing w:val="-2"/>
              </w:rPr>
              <w:t>8.63%</w:t>
            </w:r>
          </w:p>
        </w:tc>
      </w:tr>
      <w:tr w:rsidR="00C15ED1" w14:paraId="47D5218A"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1"/>
        </w:trPr>
        <w:tc>
          <w:tcPr>
            <w:tcW w:w="2549" w:type="dxa"/>
          </w:tcPr>
          <w:p w14:paraId="47D52188" w14:textId="47ACB7D7" w:rsidR="00C15ED1" w:rsidRDefault="00000000">
            <w:pPr>
              <w:pStyle w:val="TableParagraph"/>
              <w:spacing w:line="232" w:lineRule="exact"/>
              <w:ind w:left="251"/>
            </w:pPr>
            <w:r>
              <w:rPr>
                <w:spacing w:val="-2"/>
              </w:rPr>
              <w:t>Other</w:t>
            </w:r>
            <w:r w:rsidR="00C37BB3">
              <w:rPr>
                <w:rStyle w:val="FootnoteReference"/>
                <w:spacing w:val="-2"/>
              </w:rPr>
              <w:footnoteReference w:id="6"/>
            </w:r>
          </w:p>
        </w:tc>
        <w:tc>
          <w:tcPr>
            <w:tcW w:w="895" w:type="dxa"/>
          </w:tcPr>
          <w:p w14:paraId="47D52189" w14:textId="77777777" w:rsidR="00C15ED1" w:rsidRDefault="00000000">
            <w:pPr>
              <w:pStyle w:val="TableParagraph"/>
              <w:spacing w:line="232" w:lineRule="exact"/>
            </w:pPr>
            <w:r>
              <w:rPr>
                <w:spacing w:val="-2"/>
              </w:rPr>
              <w:t>0.44%</w:t>
            </w:r>
          </w:p>
        </w:tc>
      </w:tr>
      <w:tr w:rsidR="00C15ED1" w14:paraId="47D5218D" w14:textId="77777777" w:rsidTr="003F0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4"/>
        </w:trPr>
        <w:tc>
          <w:tcPr>
            <w:tcW w:w="2549" w:type="dxa"/>
          </w:tcPr>
          <w:p w14:paraId="47D5218B" w14:textId="77777777" w:rsidR="00C15ED1" w:rsidRDefault="00000000">
            <w:pPr>
              <w:pStyle w:val="TableParagraph"/>
              <w:spacing w:before="1" w:line="233" w:lineRule="exact"/>
              <w:ind w:left="251"/>
            </w:pPr>
            <w:r>
              <w:rPr>
                <w:spacing w:val="-2"/>
              </w:rPr>
              <w:t>Total</w:t>
            </w:r>
          </w:p>
        </w:tc>
        <w:tc>
          <w:tcPr>
            <w:tcW w:w="895" w:type="dxa"/>
          </w:tcPr>
          <w:p w14:paraId="47D5218C" w14:textId="77777777" w:rsidR="00C15ED1" w:rsidRDefault="00000000">
            <w:pPr>
              <w:pStyle w:val="TableParagraph"/>
              <w:spacing w:before="1" w:line="233" w:lineRule="exact"/>
            </w:pPr>
            <w:r>
              <w:rPr>
                <w:spacing w:val="-4"/>
              </w:rPr>
              <w:t>100%</w:t>
            </w:r>
          </w:p>
        </w:tc>
      </w:tr>
    </w:tbl>
    <w:p w14:paraId="47D5218E" w14:textId="77777777" w:rsidR="00C15ED1" w:rsidRDefault="00C15ED1">
      <w:pPr>
        <w:pStyle w:val="BodyText"/>
        <w:spacing w:before="30"/>
      </w:pPr>
    </w:p>
    <w:p w14:paraId="47D5218F" w14:textId="77777777" w:rsidR="00C15ED1" w:rsidRDefault="00000000">
      <w:pPr>
        <w:pStyle w:val="BodyText"/>
        <w:ind w:left="800" w:right="1206"/>
      </w:pPr>
      <w:r>
        <w:t>The</w:t>
      </w:r>
      <w:r>
        <w:rPr>
          <w:spacing w:val="-4"/>
        </w:rPr>
        <w:t xml:space="preserve"> </w:t>
      </w:r>
      <w:r>
        <w:t>Applicant</w:t>
      </w:r>
      <w:r>
        <w:rPr>
          <w:spacing w:val="-3"/>
        </w:rPr>
        <w:t xml:space="preserve"> </w:t>
      </w:r>
      <w:r>
        <w:t>does</w:t>
      </w:r>
      <w:r>
        <w:rPr>
          <w:spacing w:val="-3"/>
        </w:rPr>
        <w:t xml:space="preserve"> </w:t>
      </w:r>
      <w:r>
        <w:t>not</w:t>
      </w:r>
      <w:r>
        <w:rPr>
          <w:spacing w:val="-3"/>
        </w:rPr>
        <w:t xml:space="preserve"> </w:t>
      </w:r>
      <w:r>
        <w:t>anticipate</w:t>
      </w:r>
      <w:r>
        <w:rPr>
          <w:spacing w:val="-4"/>
        </w:rPr>
        <w:t xml:space="preserve"> </w:t>
      </w:r>
      <w:r>
        <w:t>any</w:t>
      </w:r>
      <w:r>
        <w:rPr>
          <w:spacing w:val="-3"/>
        </w:rPr>
        <w:t xml:space="preserve"> </w:t>
      </w:r>
      <w:r>
        <w:t>change</w:t>
      </w:r>
      <w:r>
        <w:rPr>
          <w:spacing w:val="-4"/>
        </w:rPr>
        <w:t xml:space="preserve"> </w:t>
      </w:r>
      <w:r>
        <w:t>in</w:t>
      </w:r>
      <w:r>
        <w:rPr>
          <w:spacing w:val="-3"/>
        </w:rPr>
        <w:t xml:space="preserve"> </w:t>
      </w:r>
      <w:r>
        <w:t>patient</w:t>
      </w:r>
      <w:r>
        <w:rPr>
          <w:spacing w:val="-3"/>
        </w:rPr>
        <w:t xml:space="preserve"> </w:t>
      </w:r>
      <w:r>
        <w:t>demographics</w:t>
      </w:r>
      <w:r>
        <w:rPr>
          <w:spacing w:val="-3"/>
        </w:rPr>
        <w:t xml:space="preserve"> </w:t>
      </w:r>
      <w:r>
        <w:t>stemming</w:t>
      </w:r>
      <w:r>
        <w:rPr>
          <w:spacing w:val="-3"/>
        </w:rPr>
        <w:t xml:space="preserve"> </w:t>
      </w:r>
      <w:r>
        <w:t>from</w:t>
      </w:r>
      <w:r>
        <w:rPr>
          <w:spacing w:val="-3"/>
        </w:rPr>
        <w:t xml:space="preserve"> </w:t>
      </w:r>
      <w:r>
        <w:t>the proposed relocation of the CT unit from Southborough to Natick.</w:t>
      </w:r>
    </w:p>
    <w:p w14:paraId="47D52190" w14:textId="77777777" w:rsidR="00C15ED1" w:rsidRDefault="00C15ED1">
      <w:pPr>
        <w:pStyle w:val="BodyText"/>
      </w:pPr>
    </w:p>
    <w:p w14:paraId="47D52191" w14:textId="77777777" w:rsidR="00C15ED1" w:rsidRDefault="00C15ED1">
      <w:pPr>
        <w:pStyle w:val="BodyText"/>
      </w:pPr>
    </w:p>
    <w:p w14:paraId="47D52192" w14:textId="77777777" w:rsidR="00C15ED1" w:rsidRDefault="00000000">
      <w:pPr>
        <w:pStyle w:val="Heading2"/>
        <w:numPr>
          <w:ilvl w:val="0"/>
          <w:numId w:val="1"/>
        </w:numPr>
        <w:tabs>
          <w:tab w:val="left" w:pos="1160"/>
        </w:tabs>
        <w:ind w:left="1160" w:hanging="360"/>
        <w:rPr>
          <w:i w:val="0"/>
        </w:rPr>
      </w:pPr>
      <w:r>
        <w:t>Patient</w:t>
      </w:r>
      <w:r>
        <w:rPr>
          <w:spacing w:val="-2"/>
        </w:rPr>
        <w:t xml:space="preserve"> Access</w:t>
      </w:r>
    </w:p>
    <w:p w14:paraId="47D52193" w14:textId="77777777" w:rsidR="00C15ED1" w:rsidRDefault="00000000">
      <w:pPr>
        <w:pStyle w:val="BodyText"/>
        <w:spacing w:before="182"/>
        <w:ind w:left="799" w:right="1111"/>
      </w:pPr>
      <w:r>
        <w:t>The proposed site in Natick is located approximately 7.8 miles from the current site in Southborough. The Applicant anticipates that the CT unit will continue to serve all existing patients.</w:t>
      </w:r>
      <w:r>
        <w:rPr>
          <w:spacing w:val="-4"/>
        </w:rPr>
        <w:t xml:space="preserve"> </w:t>
      </w:r>
      <w:r>
        <w:t>Currently,</w:t>
      </w:r>
      <w:r>
        <w:rPr>
          <w:spacing w:val="-4"/>
        </w:rPr>
        <w:t xml:space="preserve"> </w:t>
      </w:r>
      <w:r>
        <w:t>when</w:t>
      </w:r>
      <w:r>
        <w:rPr>
          <w:spacing w:val="-2"/>
        </w:rPr>
        <w:t xml:space="preserve"> </w:t>
      </w:r>
      <w:r>
        <w:t>patients</w:t>
      </w:r>
      <w:r>
        <w:rPr>
          <w:spacing w:val="-4"/>
        </w:rPr>
        <w:t xml:space="preserve"> </w:t>
      </w:r>
      <w:r>
        <w:t>residing</w:t>
      </w:r>
      <w:r>
        <w:rPr>
          <w:spacing w:val="-4"/>
        </w:rPr>
        <w:t xml:space="preserve"> </w:t>
      </w:r>
      <w:r>
        <w:t>in</w:t>
      </w:r>
      <w:r>
        <w:rPr>
          <w:spacing w:val="-4"/>
        </w:rPr>
        <w:t xml:space="preserve"> </w:t>
      </w:r>
      <w:r>
        <w:t>Natick,</w:t>
      </w:r>
      <w:r>
        <w:rPr>
          <w:spacing w:val="-4"/>
        </w:rPr>
        <w:t xml:space="preserve"> </w:t>
      </w:r>
      <w:r>
        <w:t>Southborough,</w:t>
      </w:r>
      <w:r>
        <w:rPr>
          <w:spacing w:val="-4"/>
        </w:rPr>
        <w:t xml:space="preserve"> </w:t>
      </w:r>
      <w:r>
        <w:t>and</w:t>
      </w:r>
      <w:r>
        <w:rPr>
          <w:spacing w:val="-4"/>
        </w:rPr>
        <w:t xml:space="preserve"> </w:t>
      </w:r>
      <w:r>
        <w:t>Marlborough</w:t>
      </w:r>
      <w:r>
        <w:rPr>
          <w:spacing w:val="-4"/>
        </w:rPr>
        <w:t xml:space="preserve"> </w:t>
      </w:r>
      <w:r>
        <w:t>areas</w:t>
      </w:r>
      <w:r>
        <w:rPr>
          <w:spacing w:val="-4"/>
        </w:rPr>
        <w:t xml:space="preserve"> </w:t>
      </w:r>
      <w:r>
        <w:t>need to access CT services on the weekend, they use hospital-based CT services because Reliant does not offer weekend services. Generally, hospital-based CT services are more costly. With the relocation of the CT unit from Southborough to Natick, and the weekend availability of CT services, CT services will be available to a wider population of patients and will reduce reliance on hospital-based CT services. In addition, with the greater accessibility of CT services, Reliant anticipates an increase in CT volume, from the current monthly average 260 scans in Southborough to an estimated average of 303 scans in Natick.</w:t>
      </w:r>
    </w:p>
    <w:p w14:paraId="47D52194" w14:textId="77777777" w:rsidR="00C15ED1" w:rsidRDefault="00C15ED1">
      <w:pPr>
        <w:pStyle w:val="BodyText"/>
      </w:pPr>
    </w:p>
    <w:p w14:paraId="47D52195" w14:textId="77777777" w:rsidR="00C15ED1" w:rsidRDefault="00C15ED1">
      <w:pPr>
        <w:pStyle w:val="BodyText"/>
      </w:pPr>
    </w:p>
    <w:p w14:paraId="47D52196" w14:textId="77777777" w:rsidR="00C15ED1" w:rsidRDefault="00000000">
      <w:pPr>
        <w:pStyle w:val="Heading2"/>
        <w:numPr>
          <w:ilvl w:val="0"/>
          <w:numId w:val="1"/>
        </w:numPr>
        <w:tabs>
          <w:tab w:val="left" w:pos="1070"/>
        </w:tabs>
        <w:spacing w:before="1"/>
        <w:ind w:left="1070" w:hanging="271"/>
      </w:pPr>
      <w:r>
        <w:t>Impact</w:t>
      </w:r>
      <w:r>
        <w:rPr>
          <w:spacing w:val="-2"/>
        </w:rPr>
        <w:t xml:space="preserve"> </w:t>
      </w:r>
      <w:r>
        <w:t>on</w:t>
      </w:r>
      <w:r>
        <w:rPr>
          <w:spacing w:val="-1"/>
        </w:rPr>
        <w:t xml:space="preserve"> </w:t>
      </w:r>
      <w:r>
        <w:t>Health</w:t>
      </w:r>
      <w:r>
        <w:rPr>
          <w:spacing w:val="-1"/>
        </w:rPr>
        <w:t xml:space="preserve"> </w:t>
      </w:r>
      <w:r>
        <w:t>Care</w:t>
      </w:r>
      <w:r>
        <w:rPr>
          <w:spacing w:val="-4"/>
        </w:rPr>
        <w:t xml:space="preserve"> </w:t>
      </w:r>
      <w:r>
        <w:rPr>
          <w:spacing w:val="-2"/>
        </w:rPr>
        <w:t>Spending</w:t>
      </w:r>
    </w:p>
    <w:p w14:paraId="47D52197" w14:textId="77777777" w:rsidR="00C15ED1" w:rsidRDefault="00000000">
      <w:pPr>
        <w:pStyle w:val="BodyText"/>
        <w:spacing w:before="182"/>
        <w:ind w:left="799" w:right="1206"/>
      </w:pPr>
      <w:r>
        <w:t>The</w:t>
      </w:r>
      <w:r>
        <w:rPr>
          <w:spacing w:val="-4"/>
        </w:rPr>
        <w:t xml:space="preserve"> </w:t>
      </w:r>
      <w:r>
        <w:t>Applicant</w:t>
      </w:r>
      <w:r>
        <w:rPr>
          <w:spacing w:val="-3"/>
        </w:rPr>
        <w:t xml:space="preserve"> </w:t>
      </w:r>
      <w:r>
        <w:t>confirmed</w:t>
      </w:r>
      <w:r>
        <w:rPr>
          <w:spacing w:val="-1"/>
        </w:rPr>
        <w:t xml:space="preserve"> </w:t>
      </w:r>
      <w:r>
        <w:t>that</w:t>
      </w:r>
      <w:r>
        <w:rPr>
          <w:spacing w:val="-3"/>
        </w:rPr>
        <w:t xml:space="preserve"> </w:t>
      </w:r>
      <w:r>
        <w:t>the</w:t>
      </w:r>
      <w:r>
        <w:rPr>
          <w:spacing w:val="-4"/>
        </w:rPr>
        <w:t xml:space="preserve"> </w:t>
      </w:r>
      <w:r>
        <w:t>pricing</w:t>
      </w:r>
      <w:r>
        <w:rPr>
          <w:spacing w:val="-3"/>
        </w:rPr>
        <w:t xml:space="preserve"> </w:t>
      </w:r>
      <w:r>
        <w:t>and</w:t>
      </w:r>
      <w:r>
        <w:rPr>
          <w:spacing w:val="-3"/>
        </w:rPr>
        <w:t xml:space="preserve"> </w:t>
      </w:r>
      <w:r>
        <w:t>reimbursements</w:t>
      </w:r>
      <w:r>
        <w:rPr>
          <w:spacing w:val="-3"/>
        </w:rPr>
        <w:t xml:space="preserve"> </w:t>
      </w:r>
      <w:r>
        <w:t>will</w:t>
      </w:r>
      <w:r>
        <w:rPr>
          <w:spacing w:val="-3"/>
        </w:rPr>
        <w:t xml:space="preserve"> </w:t>
      </w:r>
      <w:r>
        <w:t>remain</w:t>
      </w:r>
      <w:r>
        <w:rPr>
          <w:spacing w:val="-3"/>
        </w:rPr>
        <w:t xml:space="preserve"> </w:t>
      </w:r>
      <w:r>
        <w:t>the</w:t>
      </w:r>
      <w:r>
        <w:rPr>
          <w:spacing w:val="-4"/>
        </w:rPr>
        <w:t xml:space="preserve"> </w:t>
      </w:r>
      <w:r>
        <w:t>same</w:t>
      </w:r>
      <w:r>
        <w:rPr>
          <w:spacing w:val="-4"/>
        </w:rPr>
        <w:t xml:space="preserve"> </w:t>
      </w:r>
      <w:r>
        <w:t>for</w:t>
      </w:r>
      <w:r>
        <w:rPr>
          <w:spacing w:val="-2"/>
        </w:rPr>
        <w:t xml:space="preserve"> </w:t>
      </w:r>
      <w:r>
        <w:t>all</w:t>
      </w:r>
      <w:r>
        <w:rPr>
          <w:spacing w:val="-3"/>
        </w:rPr>
        <w:t xml:space="preserve"> </w:t>
      </w:r>
      <w:r>
        <w:t>payers in the new location, including Medicare and Medicaid, and therefore the Applicant affirms that</w:t>
      </w:r>
    </w:p>
    <w:p w14:paraId="47D5219B" w14:textId="3B3AC6B3" w:rsidR="00C15ED1" w:rsidRDefault="00000000" w:rsidP="00B83E8B">
      <w:pPr>
        <w:pStyle w:val="BodyText"/>
        <w:spacing w:before="3"/>
        <w:rPr>
          <w:sz w:val="20"/>
        </w:rPr>
      </w:pPr>
      <w:r>
        <w:rPr>
          <w:spacing w:val="-5"/>
          <w:sz w:val="20"/>
        </w:rPr>
        <w:t xml:space="preserve"> </w:t>
      </w:r>
    </w:p>
    <w:p w14:paraId="47D5219C" w14:textId="77777777" w:rsidR="00C15ED1" w:rsidRDefault="00C15ED1">
      <w:pPr>
        <w:rPr>
          <w:sz w:val="20"/>
        </w:rPr>
        <w:sectPr w:rsidR="00C15ED1" w:rsidSect="00713D41">
          <w:pgSz w:w="12240" w:h="15840"/>
          <w:pgMar w:top="720" w:right="260" w:bottom="1260" w:left="640" w:header="0" w:footer="1063" w:gutter="0"/>
          <w:cols w:space="720"/>
        </w:sectPr>
      </w:pPr>
    </w:p>
    <w:p w14:paraId="47D5219D" w14:textId="77777777" w:rsidR="00C15ED1" w:rsidRDefault="00000000">
      <w:pPr>
        <w:pStyle w:val="BodyText"/>
        <w:spacing w:before="79"/>
        <w:ind w:left="800" w:right="1485"/>
        <w:jc w:val="both"/>
      </w:pPr>
      <w:r>
        <w:lastRenderedPageBreak/>
        <w:t>the</w:t>
      </w:r>
      <w:r>
        <w:rPr>
          <w:spacing w:val="-4"/>
        </w:rPr>
        <w:t xml:space="preserve"> </w:t>
      </w:r>
      <w:r>
        <w:t>proposed</w:t>
      </w:r>
      <w:r>
        <w:rPr>
          <w:spacing w:val="-3"/>
        </w:rPr>
        <w:t xml:space="preserve"> </w:t>
      </w:r>
      <w:r>
        <w:t>transfer</w:t>
      </w:r>
      <w:r>
        <w:rPr>
          <w:spacing w:val="-4"/>
        </w:rPr>
        <w:t xml:space="preserve"> </w:t>
      </w:r>
      <w:r>
        <w:t>of</w:t>
      </w:r>
      <w:r>
        <w:rPr>
          <w:spacing w:val="-4"/>
        </w:rPr>
        <w:t xml:space="preserve"> </w:t>
      </w:r>
      <w:r>
        <w:t>site</w:t>
      </w:r>
      <w:r>
        <w:rPr>
          <w:spacing w:val="-4"/>
        </w:rPr>
        <w:t xml:space="preserve"> </w:t>
      </w:r>
      <w:r>
        <w:t>will</w:t>
      </w:r>
      <w:r>
        <w:rPr>
          <w:spacing w:val="-3"/>
        </w:rPr>
        <w:t xml:space="preserve"> </w:t>
      </w:r>
      <w:r>
        <w:t>not</w:t>
      </w:r>
      <w:r>
        <w:rPr>
          <w:spacing w:val="-3"/>
        </w:rPr>
        <w:t xml:space="preserve"> </w:t>
      </w:r>
      <w:r>
        <w:t>have</w:t>
      </w:r>
      <w:r>
        <w:rPr>
          <w:spacing w:val="-4"/>
        </w:rPr>
        <w:t xml:space="preserve"> </w:t>
      </w:r>
      <w:r>
        <w:t>an</w:t>
      </w:r>
      <w:r>
        <w:rPr>
          <w:spacing w:val="-3"/>
        </w:rPr>
        <w:t xml:space="preserve"> </w:t>
      </w:r>
      <w:r>
        <w:t>impact</w:t>
      </w:r>
      <w:r>
        <w:rPr>
          <w:spacing w:val="-3"/>
        </w:rPr>
        <w:t xml:space="preserve"> </w:t>
      </w:r>
      <w:r>
        <w:t>on</w:t>
      </w:r>
      <w:r>
        <w:rPr>
          <w:spacing w:val="-3"/>
        </w:rPr>
        <w:t xml:space="preserve"> </w:t>
      </w:r>
      <w:r>
        <w:t>price.</w:t>
      </w:r>
      <w:r>
        <w:rPr>
          <w:spacing w:val="-3"/>
        </w:rPr>
        <w:t xml:space="preserve"> </w:t>
      </w:r>
      <w:r>
        <w:t>The</w:t>
      </w:r>
      <w:r>
        <w:rPr>
          <w:spacing w:val="-4"/>
        </w:rPr>
        <w:t xml:space="preserve"> </w:t>
      </w:r>
      <w:r>
        <w:t>Applicant</w:t>
      </w:r>
      <w:r>
        <w:rPr>
          <w:spacing w:val="-3"/>
        </w:rPr>
        <w:t xml:space="preserve"> </w:t>
      </w:r>
      <w:r>
        <w:t>states</w:t>
      </w:r>
      <w:r>
        <w:rPr>
          <w:spacing w:val="-3"/>
        </w:rPr>
        <w:t xml:space="preserve"> </w:t>
      </w:r>
      <w:r>
        <w:t>further</w:t>
      </w:r>
      <w:r>
        <w:rPr>
          <w:spacing w:val="-4"/>
        </w:rPr>
        <w:t xml:space="preserve"> </w:t>
      </w:r>
      <w:r>
        <w:t>that there</w:t>
      </w:r>
      <w:r>
        <w:rPr>
          <w:spacing w:val="-2"/>
        </w:rPr>
        <w:t xml:space="preserve"> </w:t>
      </w:r>
      <w:r>
        <w:t>will</w:t>
      </w:r>
      <w:r>
        <w:rPr>
          <w:spacing w:val="-1"/>
        </w:rPr>
        <w:t xml:space="preserve"> </w:t>
      </w:r>
      <w:r>
        <w:t>be</w:t>
      </w:r>
      <w:r>
        <w:rPr>
          <w:spacing w:val="-2"/>
        </w:rPr>
        <w:t xml:space="preserve"> </w:t>
      </w:r>
      <w:r>
        <w:t>no</w:t>
      </w:r>
      <w:r>
        <w:rPr>
          <w:spacing w:val="-1"/>
        </w:rPr>
        <w:t xml:space="preserve"> </w:t>
      </w:r>
      <w:r>
        <w:t>additional</w:t>
      </w:r>
      <w:r>
        <w:rPr>
          <w:spacing w:val="-1"/>
        </w:rPr>
        <w:t xml:space="preserve"> </w:t>
      </w:r>
      <w:r>
        <w:t>costs</w:t>
      </w:r>
      <w:r>
        <w:rPr>
          <w:spacing w:val="-1"/>
        </w:rPr>
        <w:t xml:space="preserve"> </w:t>
      </w:r>
      <w:r>
        <w:t>related</w:t>
      </w:r>
      <w:r>
        <w:rPr>
          <w:spacing w:val="-1"/>
        </w:rPr>
        <w:t xml:space="preserve"> </w:t>
      </w:r>
      <w:r>
        <w:t>to</w:t>
      </w:r>
      <w:r>
        <w:rPr>
          <w:spacing w:val="-1"/>
        </w:rPr>
        <w:t xml:space="preserve"> </w:t>
      </w:r>
      <w:r>
        <w:t>equipment</w:t>
      </w:r>
      <w:r>
        <w:rPr>
          <w:spacing w:val="-1"/>
        </w:rPr>
        <w:t xml:space="preserve"> </w:t>
      </w:r>
      <w:r>
        <w:t>and</w:t>
      </w:r>
      <w:r>
        <w:rPr>
          <w:spacing w:val="-1"/>
        </w:rPr>
        <w:t xml:space="preserve"> </w:t>
      </w:r>
      <w:r>
        <w:t>the</w:t>
      </w:r>
      <w:r>
        <w:rPr>
          <w:spacing w:val="-2"/>
        </w:rPr>
        <w:t xml:space="preserve"> </w:t>
      </w:r>
      <w:r>
        <w:t>Applicant</w:t>
      </w:r>
      <w:r>
        <w:rPr>
          <w:spacing w:val="-1"/>
        </w:rPr>
        <w:t xml:space="preserve"> </w:t>
      </w:r>
      <w:r>
        <w:t>anticipates</w:t>
      </w:r>
      <w:r>
        <w:rPr>
          <w:spacing w:val="-1"/>
        </w:rPr>
        <w:t xml:space="preserve"> </w:t>
      </w:r>
      <w:r>
        <w:t>a</w:t>
      </w:r>
      <w:r>
        <w:rPr>
          <w:spacing w:val="-2"/>
        </w:rPr>
        <w:t xml:space="preserve"> </w:t>
      </w:r>
      <w:r>
        <w:t>marginal increase in disposable supplies to accommodate increased volume.</w:t>
      </w:r>
    </w:p>
    <w:p w14:paraId="47D5219E" w14:textId="77777777" w:rsidR="00C15ED1" w:rsidRDefault="00C15ED1">
      <w:pPr>
        <w:pStyle w:val="BodyText"/>
      </w:pPr>
    </w:p>
    <w:p w14:paraId="47D5219F" w14:textId="77777777" w:rsidR="00C15ED1" w:rsidRDefault="00000000">
      <w:pPr>
        <w:pStyle w:val="BodyText"/>
        <w:ind w:left="800"/>
      </w:pPr>
      <w:r>
        <w:t>The</w:t>
      </w:r>
      <w:r>
        <w:rPr>
          <w:spacing w:val="-5"/>
        </w:rPr>
        <w:t xml:space="preserve"> </w:t>
      </w:r>
      <w:r>
        <w:t>Applicant</w:t>
      </w:r>
      <w:r>
        <w:rPr>
          <w:spacing w:val="-1"/>
        </w:rPr>
        <w:t xml:space="preserve"> </w:t>
      </w:r>
      <w:r>
        <w:t>anticipates</w:t>
      </w:r>
      <w:r>
        <w:rPr>
          <w:spacing w:val="-2"/>
        </w:rPr>
        <w:t xml:space="preserve"> </w:t>
      </w:r>
      <w:r>
        <w:t>spending</w:t>
      </w:r>
      <w:r>
        <w:rPr>
          <w:spacing w:val="-1"/>
        </w:rPr>
        <w:t xml:space="preserve"> </w:t>
      </w:r>
      <w:r>
        <w:t>an</w:t>
      </w:r>
      <w:r>
        <w:rPr>
          <w:spacing w:val="-2"/>
        </w:rPr>
        <w:t xml:space="preserve"> </w:t>
      </w:r>
      <w:r>
        <w:t>additional</w:t>
      </w:r>
      <w:r>
        <w:rPr>
          <w:spacing w:val="-1"/>
        </w:rPr>
        <w:t xml:space="preserve"> </w:t>
      </w:r>
      <w:r>
        <w:t>$183,352</w:t>
      </w:r>
      <w:r>
        <w:rPr>
          <w:spacing w:val="-2"/>
        </w:rPr>
        <w:t xml:space="preserve"> </w:t>
      </w:r>
      <w:r>
        <w:t>in</w:t>
      </w:r>
      <w:r>
        <w:rPr>
          <w:spacing w:val="-1"/>
        </w:rPr>
        <w:t xml:space="preserve"> </w:t>
      </w:r>
      <w:r>
        <w:t>provider/technician</w:t>
      </w:r>
      <w:r>
        <w:rPr>
          <w:spacing w:val="-2"/>
        </w:rPr>
        <w:t xml:space="preserve"> </w:t>
      </w:r>
      <w:r>
        <w:t>costs</w:t>
      </w:r>
      <w:r>
        <w:rPr>
          <w:spacing w:val="-1"/>
        </w:rPr>
        <w:t xml:space="preserve"> </w:t>
      </w:r>
      <w:r>
        <w:rPr>
          <w:spacing w:val="-2"/>
        </w:rPr>
        <w:t>(from</w:t>
      </w:r>
    </w:p>
    <w:p w14:paraId="47D521A0" w14:textId="77777777" w:rsidR="00C15ED1" w:rsidRDefault="00000000">
      <w:pPr>
        <w:pStyle w:val="BodyText"/>
        <w:ind w:left="800" w:right="1301"/>
      </w:pPr>
      <w:r>
        <w:t>$78,260 to $261,612) to accommodate increases in volume and weekend availability, and approximately</w:t>
      </w:r>
      <w:r>
        <w:rPr>
          <w:spacing w:val="-4"/>
        </w:rPr>
        <w:t xml:space="preserve"> </w:t>
      </w:r>
      <w:r>
        <w:t>$231,053</w:t>
      </w:r>
      <w:r>
        <w:rPr>
          <w:spacing w:val="-2"/>
        </w:rPr>
        <w:t xml:space="preserve"> </w:t>
      </w:r>
      <w:r>
        <w:t>in</w:t>
      </w:r>
      <w:r>
        <w:rPr>
          <w:spacing w:val="-4"/>
        </w:rPr>
        <w:t xml:space="preserve"> </w:t>
      </w:r>
      <w:r>
        <w:t>relocation</w:t>
      </w:r>
      <w:r>
        <w:rPr>
          <w:spacing w:val="-4"/>
        </w:rPr>
        <w:t xml:space="preserve"> </w:t>
      </w:r>
      <w:r>
        <w:t>costs,</w:t>
      </w:r>
      <w:r>
        <w:rPr>
          <w:spacing w:val="-4"/>
        </w:rPr>
        <w:t xml:space="preserve"> </w:t>
      </w:r>
      <w:r>
        <w:t>which</w:t>
      </w:r>
      <w:r>
        <w:rPr>
          <w:spacing w:val="-2"/>
        </w:rPr>
        <w:t xml:space="preserve"> </w:t>
      </w:r>
      <w:r>
        <w:t>includes</w:t>
      </w:r>
      <w:r>
        <w:rPr>
          <w:spacing w:val="-4"/>
        </w:rPr>
        <w:t xml:space="preserve"> </w:t>
      </w:r>
      <w:r>
        <w:t>site</w:t>
      </w:r>
      <w:r>
        <w:rPr>
          <w:spacing w:val="-5"/>
        </w:rPr>
        <w:t xml:space="preserve"> </w:t>
      </w:r>
      <w:r>
        <w:t>preparation</w:t>
      </w:r>
      <w:r>
        <w:rPr>
          <w:spacing w:val="-2"/>
        </w:rPr>
        <w:t xml:space="preserve"> </w:t>
      </w:r>
      <w:r>
        <w:t>in</w:t>
      </w:r>
      <w:r>
        <w:rPr>
          <w:spacing w:val="-4"/>
        </w:rPr>
        <w:t xml:space="preserve"> </w:t>
      </w:r>
      <w:r>
        <w:t>Natick,</w:t>
      </w:r>
      <w:r>
        <w:rPr>
          <w:spacing w:val="-4"/>
        </w:rPr>
        <w:t xml:space="preserve"> </w:t>
      </w:r>
      <w:r>
        <w:t>clean</w:t>
      </w:r>
      <w:r>
        <w:rPr>
          <w:spacing w:val="-4"/>
        </w:rPr>
        <w:t xml:space="preserve"> </w:t>
      </w:r>
      <w:r>
        <w:t>up in Southborough, and equipment transportation cost.</w:t>
      </w:r>
    </w:p>
    <w:p w14:paraId="47D521A1" w14:textId="77777777" w:rsidR="00C15ED1" w:rsidRDefault="00C15ED1">
      <w:pPr>
        <w:pStyle w:val="BodyText"/>
      </w:pPr>
    </w:p>
    <w:p w14:paraId="47D521A2" w14:textId="77777777" w:rsidR="00C15ED1" w:rsidRDefault="00000000">
      <w:pPr>
        <w:pStyle w:val="BodyText"/>
        <w:ind w:left="799" w:right="1249"/>
        <w:jc w:val="both"/>
      </w:pPr>
      <w:r>
        <w:t>As</w:t>
      </w:r>
      <w:r>
        <w:rPr>
          <w:spacing w:val="-3"/>
        </w:rPr>
        <w:t xml:space="preserve"> </w:t>
      </w:r>
      <w:r>
        <w:t>noted</w:t>
      </w:r>
      <w:r>
        <w:rPr>
          <w:spacing w:val="-3"/>
        </w:rPr>
        <w:t xml:space="preserve"> </w:t>
      </w:r>
      <w:r>
        <w:t>above,</w:t>
      </w:r>
      <w:r>
        <w:rPr>
          <w:spacing w:val="-3"/>
        </w:rPr>
        <w:t xml:space="preserve"> </w:t>
      </w:r>
      <w:r>
        <w:t>generally,</w:t>
      </w:r>
      <w:r>
        <w:rPr>
          <w:spacing w:val="-3"/>
        </w:rPr>
        <w:t xml:space="preserve"> </w:t>
      </w:r>
      <w:r>
        <w:t>hospital-based</w:t>
      </w:r>
      <w:r>
        <w:rPr>
          <w:spacing w:val="-3"/>
        </w:rPr>
        <w:t xml:space="preserve"> </w:t>
      </w:r>
      <w:r>
        <w:t>CT</w:t>
      </w:r>
      <w:r>
        <w:rPr>
          <w:spacing w:val="-4"/>
        </w:rPr>
        <w:t xml:space="preserve"> </w:t>
      </w:r>
      <w:r>
        <w:t>services</w:t>
      </w:r>
      <w:r>
        <w:rPr>
          <w:spacing w:val="-3"/>
        </w:rPr>
        <w:t xml:space="preserve"> </w:t>
      </w:r>
      <w:r>
        <w:t>tend</w:t>
      </w:r>
      <w:r>
        <w:rPr>
          <w:spacing w:val="-3"/>
        </w:rPr>
        <w:t xml:space="preserve"> </w:t>
      </w:r>
      <w:r>
        <w:t>to</w:t>
      </w:r>
      <w:r>
        <w:rPr>
          <w:spacing w:val="-4"/>
        </w:rPr>
        <w:t xml:space="preserve"> </w:t>
      </w:r>
      <w:r>
        <w:t>be</w:t>
      </w:r>
      <w:r>
        <w:rPr>
          <w:spacing w:val="-4"/>
        </w:rPr>
        <w:t xml:space="preserve"> </w:t>
      </w:r>
      <w:r>
        <w:t>more</w:t>
      </w:r>
      <w:r>
        <w:rPr>
          <w:spacing w:val="-2"/>
        </w:rPr>
        <w:t xml:space="preserve"> </w:t>
      </w:r>
      <w:r>
        <w:t>costly.</w:t>
      </w:r>
      <w:r>
        <w:rPr>
          <w:spacing w:val="-3"/>
        </w:rPr>
        <w:t xml:space="preserve"> </w:t>
      </w:r>
      <w:r>
        <w:t>Therefore,</w:t>
      </w:r>
      <w:r>
        <w:rPr>
          <w:spacing w:val="-3"/>
        </w:rPr>
        <w:t xml:space="preserve"> </w:t>
      </w:r>
      <w:r>
        <w:t>there</w:t>
      </w:r>
      <w:r>
        <w:rPr>
          <w:spacing w:val="-4"/>
        </w:rPr>
        <w:t xml:space="preserve"> </w:t>
      </w:r>
      <w:r>
        <w:t>is the</w:t>
      </w:r>
      <w:r>
        <w:rPr>
          <w:spacing w:val="-2"/>
        </w:rPr>
        <w:t xml:space="preserve"> </w:t>
      </w:r>
      <w:r>
        <w:t>potential</w:t>
      </w:r>
      <w:r>
        <w:rPr>
          <w:spacing w:val="-1"/>
        </w:rPr>
        <w:t xml:space="preserve"> </w:t>
      </w:r>
      <w:r>
        <w:t>for</w:t>
      </w:r>
      <w:r>
        <w:rPr>
          <w:spacing w:val="-2"/>
        </w:rPr>
        <w:t xml:space="preserve"> </w:t>
      </w:r>
      <w:r>
        <w:t>healthcare</w:t>
      </w:r>
      <w:r>
        <w:rPr>
          <w:spacing w:val="-2"/>
        </w:rPr>
        <w:t xml:space="preserve"> </w:t>
      </w:r>
      <w:r>
        <w:t>spending</w:t>
      </w:r>
      <w:r>
        <w:rPr>
          <w:spacing w:val="-1"/>
        </w:rPr>
        <w:t xml:space="preserve"> </w:t>
      </w:r>
      <w:r>
        <w:t>to</w:t>
      </w:r>
      <w:r>
        <w:rPr>
          <w:spacing w:val="-1"/>
        </w:rPr>
        <w:t xml:space="preserve"> </w:t>
      </w:r>
      <w:r>
        <w:t>decrease with</w:t>
      </w:r>
      <w:r>
        <w:rPr>
          <w:spacing w:val="-1"/>
        </w:rPr>
        <w:t xml:space="preserve"> </w:t>
      </w:r>
      <w:r>
        <w:t>the</w:t>
      </w:r>
      <w:r>
        <w:rPr>
          <w:spacing w:val="-2"/>
        </w:rPr>
        <w:t xml:space="preserve"> </w:t>
      </w:r>
      <w:r>
        <w:t>proposed</w:t>
      </w:r>
      <w:r>
        <w:rPr>
          <w:spacing w:val="-1"/>
        </w:rPr>
        <w:t xml:space="preserve"> </w:t>
      </w:r>
      <w:r>
        <w:t>transfer</w:t>
      </w:r>
      <w:r>
        <w:rPr>
          <w:spacing w:val="-2"/>
        </w:rPr>
        <w:t xml:space="preserve"> </w:t>
      </w:r>
      <w:r>
        <w:t>of</w:t>
      </w:r>
      <w:r>
        <w:rPr>
          <w:spacing w:val="-2"/>
        </w:rPr>
        <w:t xml:space="preserve"> </w:t>
      </w:r>
      <w:r>
        <w:t>site</w:t>
      </w:r>
      <w:r>
        <w:rPr>
          <w:spacing w:val="-2"/>
        </w:rPr>
        <w:t xml:space="preserve"> </w:t>
      </w:r>
      <w:r>
        <w:t>as</w:t>
      </w:r>
      <w:r>
        <w:rPr>
          <w:spacing w:val="-1"/>
        </w:rPr>
        <w:t xml:space="preserve"> </w:t>
      </w:r>
      <w:r>
        <w:t>the</w:t>
      </w:r>
      <w:r>
        <w:rPr>
          <w:spacing w:val="-2"/>
        </w:rPr>
        <w:t xml:space="preserve"> </w:t>
      </w:r>
      <w:r>
        <w:t>number of patients seeking hospital-based CT services on the weekend decreases.</w:t>
      </w:r>
    </w:p>
    <w:p w14:paraId="47D521A3" w14:textId="77777777" w:rsidR="00C15ED1" w:rsidRDefault="00C15ED1">
      <w:pPr>
        <w:pStyle w:val="BodyText"/>
      </w:pPr>
    </w:p>
    <w:p w14:paraId="47D521A4" w14:textId="77777777" w:rsidR="00C15ED1" w:rsidRDefault="00C15ED1">
      <w:pPr>
        <w:pStyle w:val="BodyText"/>
      </w:pPr>
    </w:p>
    <w:p w14:paraId="47D521A5" w14:textId="77777777" w:rsidR="00C15ED1" w:rsidRDefault="00000000">
      <w:pPr>
        <w:pStyle w:val="Heading2"/>
        <w:numPr>
          <w:ilvl w:val="0"/>
          <w:numId w:val="1"/>
        </w:numPr>
        <w:tabs>
          <w:tab w:val="left" w:pos="1159"/>
        </w:tabs>
        <w:ind w:left="1159" w:hanging="360"/>
      </w:pPr>
      <w:r>
        <w:t>Sufficient</w:t>
      </w:r>
      <w:r>
        <w:rPr>
          <w:spacing w:val="-4"/>
        </w:rPr>
        <w:t xml:space="preserve"> </w:t>
      </w:r>
      <w:r>
        <w:t>Interest</w:t>
      </w:r>
      <w:r>
        <w:rPr>
          <w:spacing w:val="-3"/>
        </w:rPr>
        <w:t xml:space="preserve"> </w:t>
      </w:r>
      <w:r>
        <w:t>in</w:t>
      </w:r>
      <w:r>
        <w:rPr>
          <w:spacing w:val="-2"/>
        </w:rPr>
        <w:t xml:space="preserve"> </w:t>
      </w:r>
      <w:r>
        <w:t>the</w:t>
      </w:r>
      <w:r>
        <w:rPr>
          <w:spacing w:val="-2"/>
        </w:rPr>
        <w:t xml:space="preserve"> </w:t>
      </w:r>
      <w:r>
        <w:t>Proposed</w:t>
      </w:r>
      <w:r>
        <w:rPr>
          <w:spacing w:val="-2"/>
        </w:rPr>
        <w:t xml:space="preserve"> </w:t>
      </w:r>
      <w:r>
        <w:rPr>
          <w:spacing w:val="-4"/>
        </w:rPr>
        <w:t>Site</w:t>
      </w:r>
    </w:p>
    <w:p w14:paraId="47D521A6" w14:textId="77777777" w:rsidR="00C15ED1" w:rsidRDefault="00C15ED1">
      <w:pPr>
        <w:pStyle w:val="BodyText"/>
        <w:rPr>
          <w:b/>
          <w:i/>
        </w:rPr>
      </w:pPr>
    </w:p>
    <w:p w14:paraId="47D521A7" w14:textId="77777777" w:rsidR="00C15ED1" w:rsidRDefault="00000000">
      <w:pPr>
        <w:pStyle w:val="BodyText"/>
        <w:ind w:left="799" w:right="1283"/>
        <w:jc w:val="both"/>
      </w:pPr>
      <w:r>
        <w:t>The</w:t>
      </w:r>
      <w:r>
        <w:rPr>
          <w:spacing w:val="-4"/>
        </w:rPr>
        <w:t xml:space="preserve"> </w:t>
      </w:r>
      <w:r>
        <w:t>proposed</w:t>
      </w:r>
      <w:r>
        <w:rPr>
          <w:spacing w:val="-3"/>
        </w:rPr>
        <w:t xml:space="preserve"> </w:t>
      </w:r>
      <w:r>
        <w:t>site</w:t>
      </w:r>
      <w:r>
        <w:rPr>
          <w:spacing w:val="-4"/>
        </w:rPr>
        <w:t xml:space="preserve"> </w:t>
      </w:r>
      <w:r>
        <w:t>in</w:t>
      </w:r>
      <w:r>
        <w:rPr>
          <w:spacing w:val="-3"/>
        </w:rPr>
        <w:t xml:space="preserve"> </w:t>
      </w:r>
      <w:r>
        <w:t>Natick</w:t>
      </w:r>
      <w:r>
        <w:rPr>
          <w:spacing w:val="-3"/>
        </w:rPr>
        <w:t xml:space="preserve"> </w:t>
      </w:r>
      <w:r>
        <w:t>is</w:t>
      </w:r>
      <w:r>
        <w:rPr>
          <w:spacing w:val="-3"/>
        </w:rPr>
        <w:t xml:space="preserve"> </w:t>
      </w:r>
      <w:r>
        <w:t>properly</w:t>
      </w:r>
      <w:r>
        <w:rPr>
          <w:spacing w:val="-3"/>
        </w:rPr>
        <w:t xml:space="preserve"> </w:t>
      </w:r>
      <w:r>
        <w:t>zoned</w:t>
      </w:r>
      <w:r>
        <w:rPr>
          <w:spacing w:val="-3"/>
        </w:rPr>
        <w:t xml:space="preserve"> </w:t>
      </w:r>
      <w:r>
        <w:t>to</w:t>
      </w:r>
      <w:r>
        <w:rPr>
          <w:spacing w:val="-3"/>
        </w:rPr>
        <w:t xml:space="preserve"> </w:t>
      </w:r>
      <w:r>
        <w:t>provide</w:t>
      </w:r>
      <w:r>
        <w:rPr>
          <w:spacing w:val="-4"/>
        </w:rPr>
        <w:t xml:space="preserve"> </w:t>
      </w:r>
      <w:r>
        <w:t>CT</w:t>
      </w:r>
      <w:r>
        <w:rPr>
          <w:spacing w:val="-4"/>
        </w:rPr>
        <w:t xml:space="preserve"> </w:t>
      </w:r>
      <w:r>
        <w:t>imaging</w:t>
      </w:r>
      <w:r>
        <w:rPr>
          <w:spacing w:val="-3"/>
        </w:rPr>
        <w:t xml:space="preserve"> </w:t>
      </w:r>
      <w:r>
        <w:t>services</w:t>
      </w:r>
      <w:r>
        <w:rPr>
          <w:spacing w:val="-3"/>
        </w:rPr>
        <w:t xml:space="preserve"> </w:t>
      </w:r>
      <w:r>
        <w:t>and</w:t>
      </w:r>
      <w:r>
        <w:rPr>
          <w:spacing w:val="-3"/>
        </w:rPr>
        <w:t xml:space="preserve"> </w:t>
      </w:r>
      <w:r>
        <w:t>Reliant</w:t>
      </w:r>
      <w:r>
        <w:rPr>
          <w:spacing w:val="-3"/>
        </w:rPr>
        <w:t xml:space="preserve"> </w:t>
      </w:r>
      <w:r>
        <w:t>leases the space from Natick Associates, LLC.</w:t>
      </w:r>
    </w:p>
    <w:p w14:paraId="47D521A8" w14:textId="77777777" w:rsidR="00C15ED1" w:rsidRDefault="00C15ED1">
      <w:pPr>
        <w:pStyle w:val="BodyText"/>
      </w:pPr>
    </w:p>
    <w:p w14:paraId="47D521A9" w14:textId="77777777" w:rsidR="00C15ED1" w:rsidRDefault="00C15ED1">
      <w:pPr>
        <w:pStyle w:val="BodyText"/>
      </w:pPr>
    </w:p>
    <w:p w14:paraId="47D521AA" w14:textId="77777777" w:rsidR="00C15ED1" w:rsidRDefault="00000000">
      <w:pPr>
        <w:pStyle w:val="Heading1"/>
        <w:ind w:left="799"/>
      </w:pPr>
      <w:r>
        <w:rPr>
          <w:spacing w:val="-2"/>
        </w:rPr>
        <w:t>Findings:</w:t>
      </w:r>
    </w:p>
    <w:p w14:paraId="47D521AB" w14:textId="77777777" w:rsidR="00C15ED1" w:rsidRDefault="00C15ED1">
      <w:pPr>
        <w:pStyle w:val="BodyText"/>
        <w:rPr>
          <w:b/>
        </w:rPr>
      </w:pPr>
    </w:p>
    <w:p w14:paraId="47D521AC" w14:textId="77777777" w:rsidR="00C15ED1" w:rsidRDefault="00000000">
      <w:pPr>
        <w:pStyle w:val="BodyText"/>
        <w:ind w:left="799" w:right="1301"/>
      </w:pPr>
      <w:r>
        <w:t>The Department finds that Reliant Medical Group, Inc (Reliant) has provided the Department with the information required in 105 CMR 100.745(D). Based upon review of the Notice and supporting</w:t>
      </w:r>
      <w:r>
        <w:rPr>
          <w:spacing w:val="-3"/>
        </w:rPr>
        <w:t xml:space="preserve"> </w:t>
      </w:r>
      <w:r>
        <w:t>materials,</w:t>
      </w:r>
      <w:r>
        <w:rPr>
          <w:spacing w:val="-3"/>
        </w:rPr>
        <w:t xml:space="preserve"> </w:t>
      </w:r>
      <w:r>
        <w:t>the</w:t>
      </w:r>
      <w:r>
        <w:rPr>
          <w:spacing w:val="-2"/>
        </w:rPr>
        <w:t xml:space="preserve"> </w:t>
      </w:r>
      <w:r>
        <w:t>Department</w:t>
      </w:r>
      <w:r>
        <w:rPr>
          <w:spacing w:val="-3"/>
        </w:rPr>
        <w:t xml:space="preserve"> </w:t>
      </w:r>
      <w:r>
        <w:t>finds</w:t>
      </w:r>
      <w:r>
        <w:rPr>
          <w:spacing w:val="-3"/>
        </w:rPr>
        <w:t xml:space="preserve"> </w:t>
      </w:r>
      <w:r>
        <w:t>that</w:t>
      </w:r>
      <w:r>
        <w:rPr>
          <w:spacing w:val="-3"/>
        </w:rPr>
        <w:t xml:space="preserve"> </w:t>
      </w:r>
      <w:r>
        <w:t>this</w:t>
      </w:r>
      <w:r>
        <w:rPr>
          <w:spacing w:val="-3"/>
        </w:rPr>
        <w:t xml:space="preserve"> </w:t>
      </w:r>
      <w:r>
        <w:t>transaction</w:t>
      </w:r>
      <w:r>
        <w:rPr>
          <w:spacing w:val="-3"/>
        </w:rPr>
        <w:t xml:space="preserve"> </w:t>
      </w:r>
      <w:r>
        <w:t>does</w:t>
      </w:r>
      <w:r>
        <w:rPr>
          <w:spacing w:val="-3"/>
        </w:rPr>
        <w:t xml:space="preserve"> </w:t>
      </w:r>
      <w:r>
        <w:t>not</w:t>
      </w:r>
      <w:r>
        <w:rPr>
          <w:spacing w:val="-3"/>
        </w:rPr>
        <w:t xml:space="preserve"> </w:t>
      </w:r>
      <w:r>
        <w:t>require</w:t>
      </w:r>
      <w:r>
        <w:rPr>
          <w:spacing w:val="-4"/>
        </w:rPr>
        <w:t xml:space="preserve"> </w:t>
      </w:r>
      <w:r>
        <w:t>a</w:t>
      </w:r>
      <w:r>
        <w:rPr>
          <w:spacing w:val="-4"/>
        </w:rPr>
        <w:t xml:space="preserve"> </w:t>
      </w:r>
      <w:r>
        <w:t>DoN</w:t>
      </w:r>
      <w:r>
        <w:rPr>
          <w:spacing w:val="-2"/>
        </w:rPr>
        <w:t xml:space="preserve"> </w:t>
      </w:r>
      <w:r>
        <w:t>either</w:t>
      </w:r>
      <w:r>
        <w:rPr>
          <w:spacing w:val="-4"/>
        </w:rPr>
        <w:t xml:space="preserve"> </w:t>
      </w:r>
      <w:r>
        <w:t xml:space="preserve">as a Substantial Capital Expenditure or Substantial Change in Service, pursuant to 105 CMR </w:t>
      </w:r>
      <w:r>
        <w:rPr>
          <w:spacing w:val="-2"/>
        </w:rPr>
        <w:t>100.730.</w:t>
      </w:r>
    </w:p>
    <w:p w14:paraId="47D521AD" w14:textId="77777777" w:rsidR="00C15ED1" w:rsidRDefault="00C15ED1">
      <w:pPr>
        <w:pStyle w:val="BodyText"/>
      </w:pPr>
    </w:p>
    <w:p w14:paraId="47D521AE" w14:textId="77777777" w:rsidR="00C15ED1" w:rsidRDefault="00C15ED1">
      <w:pPr>
        <w:pStyle w:val="BodyText"/>
      </w:pPr>
    </w:p>
    <w:p w14:paraId="47D521AF" w14:textId="77777777" w:rsidR="00C15ED1" w:rsidRDefault="00C15ED1">
      <w:pPr>
        <w:pStyle w:val="BodyText"/>
      </w:pPr>
    </w:p>
    <w:p w14:paraId="47D521B0" w14:textId="77777777" w:rsidR="00C15ED1" w:rsidRDefault="00C15ED1">
      <w:pPr>
        <w:pStyle w:val="BodyText"/>
        <w:spacing w:before="269"/>
      </w:pPr>
    </w:p>
    <w:p w14:paraId="520B190B" w14:textId="5F05A1CB" w:rsidR="006B14EE" w:rsidRDefault="006B14EE">
      <w:pPr>
        <w:pStyle w:val="BodyText"/>
        <w:ind w:left="799"/>
        <w:jc w:val="both"/>
      </w:pPr>
      <w:r>
        <w:t>[signature on file]</w:t>
      </w:r>
    </w:p>
    <w:p w14:paraId="5C39C799" w14:textId="77777777" w:rsidR="006B14EE" w:rsidRDefault="006B14EE">
      <w:pPr>
        <w:pStyle w:val="BodyText"/>
        <w:ind w:left="799"/>
        <w:jc w:val="both"/>
      </w:pPr>
    </w:p>
    <w:p w14:paraId="47D521B1" w14:textId="0ECCA745" w:rsidR="00C15ED1" w:rsidRDefault="00000000">
      <w:pPr>
        <w:pStyle w:val="BodyText"/>
        <w:ind w:left="799"/>
        <w:jc w:val="both"/>
      </w:pPr>
      <w:r>
        <w:t>Robert</w:t>
      </w:r>
      <w:r>
        <w:rPr>
          <w:spacing w:val="-4"/>
        </w:rPr>
        <w:t xml:space="preserve"> </w:t>
      </w:r>
      <w:r>
        <w:t>Goldstein,</w:t>
      </w:r>
      <w:r>
        <w:rPr>
          <w:spacing w:val="-2"/>
        </w:rPr>
        <w:t xml:space="preserve"> </w:t>
      </w:r>
      <w:r>
        <w:t>MD,</w:t>
      </w:r>
      <w:r>
        <w:rPr>
          <w:spacing w:val="-2"/>
        </w:rPr>
        <w:t xml:space="preserve"> </w:t>
      </w:r>
      <w:r>
        <w:rPr>
          <w:spacing w:val="-5"/>
        </w:rPr>
        <w:t>PhD</w:t>
      </w:r>
    </w:p>
    <w:p w14:paraId="47D521B2" w14:textId="77777777" w:rsidR="00C15ED1" w:rsidRDefault="00000000">
      <w:pPr>
        <w:pStyle w:val="BodyText"/>
        <w:spacing w:before="183"/>
        <w:ind w:left="799"/>
        <w:jc w:val="both"/>
      </w:pPr>
      <w:r>
        <w:t>Commissioner,</w:t>
      </w:r>
      <w:r>
        <w:rPr>
          <w:spacing w:val="-4"/>
        </w:rPr>
        <w:t xml:space="preserve"> </w:t>
      </w:r>
      <w:r>
        <w:t>Massachusetts</w:t>
      </w:r>
      <w:r>
        <w:rPr>
          <w:spacing w:val="-2"/>
        </w:rPr>
        <w:t xml:space="preserve"> </w:t>
      </w:r>
      <w:r>
        <w:t>Department</w:t>
      </w:r>
      <w:r>
        <w:rPr>
          <w:spacing w:val="-2"/>
        </w:rPr>
        <w:t xml:space="preserve"> </w:t>
      </w:r>
      <w:r>
        <w:t>of</w:t>
      </w:r>
      <w:r>
        <w:rPr>
          <w:spacing w:val="-3"/>
        </w:rPr>
        <w:t xml:space="preserve"> </w:t>
      </w:r>
      <w:r>
        <w:t>Public</w:t>
      </w:r>
      <w:r>
        <w:rPr>
          <w:spacing w:val="-2"/>
        </w:rPr>
        <w:t xml:space="preserve"> Health</w:t>
      </w:r>
    </w:p>
    <w:sectPr w:rsidR="00C15ED1">
      <w:pgSz w:w="12240" w:h="15840"/>
      <w:pgMar w:top="1360" w:right="260" w:bottom="1260" w:left="64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23403" w14:textId="77777777" w:rsidR="00713D41" w:rsidRDefault="00713D41">
      <w:r>
        <w:separator/>
      </w:r>
    </w:p>
  </w:endnote>
  <w:endnote w:type="continuationSeparator" w:id="0">
    <w:p w14:paraId="2B85D55F" w14:textId="77777777" w:rsidR="00713D41" w:rsidRDefault="0071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1BD" w14:textId="77777777" w:rsidR="00C15ED1" w:rsidRDefault="00000000">
    <w:pPr>
      <w:pStyle w:val="BodyText"/>
      <w:spacing w:line="14" w:lineRule="auto"/>
      <w:rPr>
        <w:sz w:val="20"/>
      </w:rPr>
    </w:pPr>
    <w:r>
      <w:rPr>
        <w:noProof/>
      </w:rPr>
      <mc:AlternateContent>
        <mc:Choice Requires="wps">
          <w:drawing>
            <wp:anchor distT="0" distB="0" distL="0" distR="0" simplePos="0" relativeHeight="487305216" behindDoc="1" locked="0" layoutInCell="1" allowOverlap="1" wp14:anchorId="47D521BE" wp14:editId="47D521BF">
              <wp:simplePos x="0" y="0"/>
              <wp:positionH relativeFrom="page">
                <wp:posOffset>3810000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7D521C0" w14:textId="77777777" w:rsidR="00C15ED1"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7D521BE" id="_x0000_t202" coordsize="21600,21600" o:spt="202" path="m,l,21600r21600,l21600,xe">
              <v:stroke joinstyle="miter"/>
              <v:path gradientshapeok="t" o:connecttype="rect"/>
            </v:shapetype>
            <v:shape id="Textbox 1" o:spid="_x0000_s1026" type="#_x0000_t202" style="position:absolute;margin-left:300pt;margin-top:727.85pt;width:13pt;height:15.3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" filled="f" stroked="f">
              <v:textbox inset="0,0,0,0">
                <w:txbxContent>
                  <w:p w14:paraId="47D521C0" w14:textId="77777777" w:rsidR="00C15ED1"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400071"/>
      <w:docPartObj>
        <w:docPartGallery w:val="Page Numbers (Bottom of Page)"/>
        <w:docPartUnique/>
      </w:docPartObj>
    </w:sdtPr>
    <w:sdtEndPr>
      <w:rPr>
        <w:noProof/>
      </w:rPr>
    </w:sdtEndPr>
    <w:sdtContent>
      <w:p w14:paraId="61356942" w14:textId="77777777" w:rsidR="00AE7757" w:rsidRDefault="00AE77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13E224" w14:textId="77777777" w:rsidR="00AE7757" w:rsidRDefault="00AE7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0B0F" w14:textId="77777777" w:rsidR="00713D41" w:rsidRDefault="00713D41" w:rsidP="0040052B">
      <w:pPr>
        <w:ind w:firstLine="720"/>
      </w:pPr>
      <w:r>
        <w:separator/>
      </w:r>
    </w:p>
  </w:footnote>
  <w:footnote w:type="continuationSeparator" w:id="0">
    <w:p w14:paraId="460E2B6B" w14:textId="77777777" w:rsidR="00713D41" w:rsidRDefault="00713D41">
      <w:r>
        <w:continuationSeparator/>
      </w:r>
    </w:p>
  </w:footnote>
  <w:footnote w:id="1">
    <w:p w14:paraId="75FF338E" w14:textId="1D9203E2" w:rsidR="0040052B" w:rsidRDefault="0040052B" w:rsidP="0040052B">
      <w:pPr>
        <w:pStyle w:val="FootnoteText"/>
        <w:ind w:left="720" w:right="1170"/>
      </w:pPr>
      <w:r>
        <w:rPr>
          <w:rStyle w:val="FootnoteReference"/>
        </w:rPr>
        <w:footnoteRef/>
      </w:r>
      <w:r>
        <w:t xml:space="preserve"> </w:t>
      </w:r>
      <w:r>
        <w:t>The</w:t>
      </w:r>
      <w:r>
        <w:rPr>
          <w:spacing w:val="-2"/>
        </w:rPr>
        <w:t xml:space="preserve"> </w:t>
      </w:r>
      <w:r>
        <w:t>CT</w:t>
      </w:r>
      <w:r>
        <w:rPr>
          <w:spacing w:val="-1"/>
        </w:rPr>
        <w:t xml:space="preserve"> </w:t>
      </w:r>
      <w:r>
        <w:t>unit</w:t>
      </w:r>
      <w:r>
        <w:rPr>
          <w:spacing w:val="-2"/>
        </w:rPr>
        <w:t xml:space="preserve"> </w:t>
      </w:r>
      <w:r>
        <w:t>in</w:t>
      </w:r>
      <w:r>
        <w:rPr>
          <w:spacing w:val="-1"/>
        </w:rPr>
        <w:t xml:space="preserve"> </w:t>
      </w:r>
      <w:r>
        <w:t>Southborough</w:t>
      </w:r>
      <w:r>
        <w:rPr>
          <w:spacing w:val="-3"/>
        </w:rPr>
        <w:t xml:space="preserve"> </w:t>
      </w:r>
      <w:r>
        <w:t>was</w:t>
      </w:r>
      <w:r>
        <w:rPr>
          <w:spacing w:val="-3"/>
        </w:rPr>
        <w:t xml:space="preserve"> </w:t>
      </w:r>
      <w:r>
        <w:t>acquired</w:t>
      </w:r>
      <w:r>
        <w:rPr>
          <w:spacing w:val="-1"/>
        </w:rPr>
        <w:t xml:space="preserve"> </w:t>
      </w:r>
      <w:r>
        <w:t>in</w:t>
      </w:r>
      <w:r>
        <w:rPr>
          <w:spacing w:val="-3"/>
        </w:rPr>
        <w:t xml:space="preserve"> </w:t>
      </w:r>
      <w:r>
        <w:t>2015</w:t>
      </w:r>
      <w:r>
        <w:rPr>
          <w:spacing w:val="-1"/>
        </w:rPr>
        <w:t xml:space="preserve"> </w:t>
      </w:r>
      <w:r>
        <w:t>prior</w:t>
      </w:r>
      <w:r>
        <w:rPr>
          <w:spacing w:val="-1"/>
        </w:rPr>
        <w:t xml:space="preserve"> </w:t>
      </w:r>
      <w:r>
        <w:t>to</w:t>
      </w:r>
      <w:r>
        <w:rPr>
          <w:spacing w:val="-3"/>
        </w:rPr>
        <w:t xml:space="preserve"> </w:t>
      </w:r>
      <w:r>
        <w:t>the</w:t>
      </w:r>
      <w:r>
        <w:rPr>
          <w:spacing w:val="-2"/>
        </w:rPr>
        <w:t xml:space="preserve"> </w:t>
      </w:r>
      <w:r>
        <w:t>promulgation</w:t>
      </w:r>
      <w:r>
        <w:rPr>
          <w:spacing w:val="-3"/>
        </w:rPr>
        <w:t xml:space="preserve"> </w:t>
      </w:r>
      <w:r>
        <w:t>of</w:t>
      </w:r>
      <w:r>
        <w:rPr>
          <w:spacing w:val="-1"/>
        </w:rPr>
        <w:t xml:space="preserve"> </w:t>
      </w:r>
      <w:r>
        <w:t>DPH’s</w:t>
      </w:r>
      <w:r>
        <w:rPr>
          <w:spacing w:val="-3"/>
        </w:rPr>
        <w:t xml:space="preserve"> </w:t>
      </w:r>
      <w:r>
        <w:t>Services</w:t>
      </w:r>
      <w:r>
        <w:rPr>
          <w:spacing w:val="-3"/>
        </w:rPr>
        <w:t xml:space="preserve"> </w:t>
      </w:r>
      <w:r>
        <w:t>Guideline</w:t>
      </w:r>
      <w:r>
        <w:rPr>
          <w:spacing w:val="-2"/>
        </w:rPr>
        <w:t xml:space="preserve"> </w:t>
      </w:r>
      <w:r>
        <w:t>which required a DoN for all new CT-scanners.</w:t>
      </w:r>
    </w:p>
  </w:footnote>
  <w:footnote w:id="2">
    <w:p w14:paraId="207AF511" w14:textId="3294C5BB" w:rsidR="00835E7E" w:rsidRDefault="00835E7E" w:rsidP="00915E1A">
      <w:pPr>
        <w:pStyle w:val="FootnoteText"/>
        <w:ind w:left="720" w:right="1710"/>
      </w:pPr>
      <w:r>
        <w:rPr>
          <w:rStyle w:val="FootnoteReference"/>
        </w:rPr>
        <w:footnoteRef/>
      </w:r>
      <w:r>
        <w:t xml:space="preserve"> </w:t>
      </w:r>
      <w:r>
        <w:t>The</w:t>
      </w:r>
      <w:r>
        <w:rPr>
          <w:spacing w:val="-2"/>
        </w:rPr>
        <w:t xml:space="preserve"> </w:t>
      </w:r>
      <w:r>
        <w:t>Applicant</w:t>
      </w:r>
      <w:r>
        <w:rPr>
          <w:spacing w:val="-2"/>
        </w:rPr>
        <w:t xml:space="preserve"> </w:t>
      </w:r>
      <w:r>
        <w:t>states</w:t>
      </w:r>
      <w:r>
        <w:rPr>
          <w:spacing w:val="-3"/>
        </w:rPr>
        <w:t xml:space="preserve"> </w:t>
      </w:r>
      <w:r>
        <w:t>that</w:t>
      </w:r>
      <w:r>
        <w:rPr>
          <w:spacing w:val="-2"/>
        </w:rPr>
        <w:t xml:space="preserve"> </w:t>
      </w:r>
      <w:r>
        <w:t>patient</w:t>
      </w:r>
      <w:r>
        <w:rPr>
          <w:spacing w:val="-2"/>
        </w:rPr>
        <w:t xml:space="preserve"> </w:t>
      </w:r>
      <w:r>
        <w:t>volume</w:t>
      </w:r>
      <w:r>
        <w:rPr>
          <w:spacing w:val="-4"/>
        </w:rPr>
        <w:t xml:space="preserve"> </w:t>
      </w:r>
      <w:r>
        <w:t>percentages</w:t>
      </w:r>
      <w:r>
        <w:rPr>
          <w:spacing w:val="-3"/>
        </w:rPr>
        <w:t xml:space="preserve"> </w:t>
      </w:r>
      <w:r>
        <w:t>have</w:t>
      </w:r>
      <w:r>
        <w:rPr>
          <w:spacing w:val="-4"/>
        </w:rPr>
        <w:t xml:space="preserve"> </w:t>
      </w:r>
      <w:r>
        <w:t>been</w:t>
      </w:r>
      <w:r>
        <w:rPr>
          <w:spacing w:val="-1"/>
        </w:rPr>
        <w:t xml:space="preserve"> </w:t>
      </w:r>
      <w:r>
        <w:t>rounded</w:t>
      </w:r>
      <w:r>
        <w:rPr>
          <w:spacing w:val="-1"/>
        </w:rPr>
        <w:t xml:space="preserve"> </w:t>
      </w:r>
      <w:r>
        <w:t>to</w:t>
      </w:r>
      <w:r>
        <w:rPr>
          <w:spacing w:val="-1"/>
        </w:rPr>
        <w:t xml:space="preserve"> </w:t>
      </w:r>
      <w:r>
        <w:t>the</w:t>
      </w:r>
      <w:r>
        <w:rPr>
          <w:spacing w:val="-4"/>
        </w:rPr>
        <w:t xml:space="preserve"> </w:t>
      </w:r>
      <w:r>
        <w:t>nearest</w:t>
      </w:r>
      <w:r>
        <w:rPr>
          <w:spacing w:val="-2"/>
        </w:rPr>
        <w:t xml:space="preserve"> </w:t>
      </w:r>
      <w:r>
        <w:t>whole</w:t>
      </w:r>
      <w:r>
        <w:rPr>
          <w:spacing w:val="-2"/>
        </w:rPr>
        <w:t xml:space="preserve"> </w:t>
      </w:r>
      <w:r>
        <w:t>number,</w:t>
      </w:r>
      <w:r>
        <w:rPr>
          <w:spacing w:val="-1"/>
        </w:rPr>
        <w:t xml:space="preserve"> </w:t>
      </w:r>
      <w:r>
        <w:t>so</w:t>
      </w:r>
      <w:r>
        <w:rPr>
          <w:spacing w:val="-1"/>
        </w:rPr>
        <w:t xml:space="preserve"> </w:t>
      </w:r>
      <w:r>
        <w:t>the</w:t>
      </w:r>
      <w:r>
        <w:rPr>
          <w:spacing w:val="-2"/>
        </w:rPr>
        <w:t xml:space="preserve"> </w:t>
      </w:r>
      <w:r>
        <w:t>total patient volume is slightly over 100%.</w:t>
      </w:r>
    </w:p>
  </w:footnote>
  <w:footnote w:id="3">
    <w:p w14:paraId="0BA21572" w14:textId="17BE0B01" w:rsidR="00915E1A" w:rsidRDefault="00915E1A" w:rsidP="00915E1A">
      <w:pPr>
        <w:pStyle w:val="FootnoteText"/>
        <w:ind w:left="720" w:right="1710"/>
      </w:pPr>
      <w:r>
        <w:rPr>
          <w:rStyle w:val="FootnoteReference"/>
        </w:rPr>
        <w:footnoteRef/>
      </w:r>
      <w:r>
        <w:t xml:space="preserve"> </w:t>
      </w:r>
      <w:r>
        <w:t>The</w:t>
      </w:r>
      <w:r>
        <w:rPr>
          <w:spacing w:val="-2"/>
        </w:rPr>
        <w:t xml:space="preserve"> </w:t>
      </w:r>
      <w:r>
        <w:t>Applicant</w:t>
      </w:r>
      <w:r>
        <w:rPr>
          <w:spacing w:val="-2"/>
        </w:rPr>
        <w:t xml:space="preserve"> </w:t>
      </w:r>
      <w:r>
        <w:t>states</w:t>
      </w:r>
      <w:r>
        <w:rPr>
          <w:spacing w:val="-3"/>
        </w:rPr>
        <w:t xml:space="preserve"> </w:t>
      </w:r>
      <w:r>
        <w:t>that</w:t>
      </w:r>
      <w:r>
        <w:rPr>
          <w:spacing w:val="-2"/>
        </w:rPr>
        <w:t xml:space="preserve"> </w:t>
      </w:r>
      <w:r>
        <w:t>Miscellaneous</w:t>
      </w:r>
      <w:r>
        <w:rPr>
          <w:spacing w:val="-3"/>
        </w:rPr>
        <w:t xml:space="preserve"> </w:t>
      </w:r>
      <w:r>
        <w:t>represents</w:t>
      </w:r>
      <w:r>
        <w:rPr>
          <w:spacing w:val="-3"/>
        </w:rPr>
        <w:t xml:space="preserve"> </w:t>
      </w:r>
      <w:r>
        <w:t>every</w:t>
      </w:r>
      <w:r>
        <w:rPr>
          <w:spacing w:val="-1"/>
        </w:rPr>
        <w:t xml:space="preserve"> </w:t>
      </w:r>
      <w:r>
        <w:t>other</w:t>
      </w:r>
      <w:r>
        <w:rPr>
          <w:spacing w:val="-1"/>
        </w:rPr>
        <w:t xml:space="preserve"> </w:t>
      </w:r>
      <w:r>
        <w:t>town/city</w:t>
      </w:r>
      <w:r>
        <w:rPr>
          <w:spacing w:val="-1"/>
        </w:rPr>
        <w:t xml:space="preserve"> </w:t>
      </w:r>
      <w:r>
        <w:t>that</w:t>
      </w:r>
      <w:r>
        <w:rPr>
          <w:spacing w:val="-2"/>
        </w:rPr>
        <w:t xml:space="preserve"> </w:t>
      </w:r>
      <w:r>
        <w:t>Reliant</w:t>
      </w:r>
      <w:r>
        <w:rPr>
          <w:spacing w:val="-2"/>
        </w:rPr>
        <w:t xml:space="preserve"> </w:t>
      </w:r>
      <w:r>
        <w:t>patients</w:t>
      </w:r>
      <w:r>
        <w:rPr>
          <w:spacing w:val="-3"/>
        </w:rPr>
        <w:t xml:space="preserve"> </w:t>
      </w:r>
      <w:r>
        <w:t>have</w:t>
      </w:r>
      <w:r>
        <w:rPr>
          <w:spacing w:val="-2"/>
        </w:rPr>
        <w:t xml:space="preserve"> </w:t>
      </w:r>
      <w:r>
        <w:t>come</w:t>
      </w:r>
      <w:r>
        <w:rPr>
          <w:spacing w:val="-4"/>
        </w:rPr>
        <w:t xml:space="preserve"> </w:t>
      </w:r>
      <w:r>
        <w:t>from.</w:t>
      </w:r>
      <w:r>
        <w:rPr>
          <w:spacing w:val="-1"/>
        </w:rPr>
        <w:t xml:space="preserve"> </w:t>
      </w:r>
      <w:r>
        <w:t>It</w:t>
      </w:r>
      <w:r>
        <w:rPr>
          <w:spacing w:val="-2"/>
        </w:rPr>
        <w:t xml:space="preserve"> </w:t>
      </w:r>
      <w:r>
        <w:t>is compiled to make the chart easier to read and on their own each town would not be statistically significant. Reliant does not have the full list of miscellaneous towns readily available.</w:t>
      </w:r>
    </w:p>
  </w:footnote>
  <w:footnote w:id="4">
    <w:p w14:paraId="6D3BDB8D" w14:textId="10BCF02F" w:rsidR="00C37BB3" w:rsidRDefault="00C37BB3" w:rsidP="00C37BB3">
      <w:pPr>
        <w:pStyle w:val="FootnoteText"/>
        <w:ind w:left="810" w:right="1260"/>
      </w:pPr>
      <w:r>
        <w:rPr>
          <w:rStyle w:val="FootnoteReference"/>
        </w:rPr>
        <w:footnoteRef/>
      </w:r>
      <w:r>
        <w:t xml:space="preserve"> </w:t>
      </w:r>
      <w:r>
        <w:t>Unknown/Not</w:t>
      </w:r>
      <w:r>
        <w:rPr>
          <w:spacing w:val="-6"/>
        </w:rPr>
        <w:t xml:space="preserve"> </w:t>
      </w:r>
      <w:r>
        <w:t>Provided</w:t>
      </w:r>
      <w:r>
        <w:rPr>
          <w:spacing w:val="-5"/>
        </w:rPr>
        <w:t xml:space="preserve"> </w:t>
      </w:r>
      <w:r>
        <w:t>represents</w:t>
      </w:r>
      <w:r>
        <w:rPr>
          <w:spacing w:val="-7"/>
        </w:rPr>
        <w:t xml:space="preserve"> </w:t>
      </w:r>
      <w:r>
        <w:t>the</w:t>
      </w:r>
      <w:r>
        <w:rPr>
          <w:spacing w:val="-7"/>
        </w:rPr>
        <w:t xml:space="preserve"> </w:t>
      </w:r>
      <w:r>
        <w:t>percentage</w:t>
      </w:r>
      <w:r>
        <w:rPr>
          <w:spacing w:val="-6"/>
        </w:rPr>
        <w:t xml:space="preserve"> </w:t>
      </w:r>
      <w:r>
        <w:t>of</w:t>
      </w:r>
      <w:r>
        <w:rPr>
          <w:spacing w:val="-5"/>
        </w:rPr>
        <w:t xml:space="preserve"> </w:t>
      </w:r>
      <w:r>
        <w:t>individuals</w:t>
      </w:r>
      <w:r>
        <w:rPr>
          <w:spacing w:val="-7"/>
        </w:rPr>
        <w:t xml:space="preserve"> </w:t>
      </w:r>
      <w:r>
        <w:t>who</w:t>
      </w:r>
      <w:r>
        <w:rPr>
          <w:spacing w:val="-5"/>
        </w:rPr>
        <w:t xml:space="preserve"> </w:t>
      </w:r>
      <w:r>
        <w:t>chose</w:t>
      </w:r>
      <w:r>
        <w:rPr>
          <w:spacing w:val="-7"/>
        </w:rPr>
        <w:t xml:space="preserve"> </w:t>
      </w:r>
      <w:r>
        <w:t>not</w:t>
      </w:r>
      <w:r>
        <w:rPr>
          <w:spacing w:val="-6"/>
        </w:rPr>
        <w:t xml:space="preserve"> </w:t>
      </w:r>
      <w:r>
        <w:t>to</w:t>
      </w:r>
      <w:r>
        <w:rPr>
          <w:spacing w:val="-5"/>
        </w:rPr>
        <w:t xml:space="preserve"> </w:t>
      </w:r>
      <w:r>
        <w:t>self-</w:t>
      </w:r>
      <w:r>
        <w:rPr>
          <w:spacing w:val="-2"/>
        </w:rPr>
        <w:t>identify.</w:t>
      </w:r>
    </w:p>
  </w:footnote>
  <w:footnote w:id="5">
    <w:p w14:paraId="5989FECA" w14:textId="3ACEB453" w:rsidR="00C37BB3" w:rsidRDefault="00C37BB3" w:rsidP="00C37BB3">
      <w:pPr>
        <w:pStyle w:val="FootnoteText"/>
        <w:ind w:left="810" w:right="1260"/>
      </w:pPr>
      <w:r>
        <w:rPr>
          <w:rStyle w:val="FootnoteReference"/>
        </w:rPr>
        <w:footnoteRef/>
      </w:r>
      <w:r>
        <w:t xml:space="preserve"> </w:t>
      </w:r>
      <w:r>
        <w:t>“Other”</w:t>
      </w:r>
      <w:r>
        <w:rPr>
          <w:spacing w:val="-2"/>
        </w:rPr>
        <w:t xml:space="preserve"> </w:t>
      </w:r>
      <w:r>
        <w:t>represents</w:t>
      </w:r>
      <w:r>
        <w:rPr>
          <w:spacing w:val="-3"/>
        </w:rPr>
        <w:t xml:space="preserve"> </w:t>
      </w:r>
      <w:r>
        <w:t>the</w:t>
      </w:r>
      <w:r>
        <w:rPr>
          <w:spacing w:val="-4"/>
        </w:rPr>
        <w:t xml:space="preserve"> </w:t>
      </w:r>
      <w:r>
        <w:t>percentage</w:t>
      </w:r>
      <w:r>
        <w:rPr>
          <w:spacing w:val="-2"/>
        </w:rPr>
        <w:t xml:space="preserve"> </w:t>
      </w:r>
      <w:r>
        <w:t>of</w:t>
      </w:r>
      <w:r>
        <w:rPr>
          <w:spacing w:val="-1"/>
        </w:rPr>
        <w:t xml:space="preserve"> </w:t>
      </w:r>
      <w:r>
        <w:t>patients</w:t>
      </w:r>
      <w:r>
        <w:rPr>
          <w:spacing w:val="-3"/>
        </w:rPr>
        <w:t xml:space="preserve"> </w:t>
      </w:r>
      <w:r>
        <w:t>that</w:t>
      </w:r>
      <w:r>
        <w:rPr>
          <w:spacing w:val="-5"/>
        </w:rPr>
        <w:t xml:space="preserve"> </w:t>
      </w:r>
      <w:r>
        <w:t>have</w:t>
      </w:r>
      <w:r>
        <w:rPr>
          <w:spacing w:val="-2"/>
        </w:rPr>
        <w:t xml:space="preserve"> </w:t>
      </w:r>
      <w:r>
        <w:t>self-identified</w:t>
      </w:r>
      <w:r>
        <w:rPr>
          <w:spacing w:val="-1"/>
        </w:rPr>
        <w:t xml:space="preserve"> </w:t>
      </w:r>
      <w:r>
        <w:t>to</w:t>
      </w:r>
      <w:r>
        <w:rPr>
          <w:spacing w:val="-1"/>
        </w:rPr>
        <w:t xml:space="preserve"> </w:t>
      </w:r>
      <w:r>
        <w:t>Reliant</w:t>
      </w:r>
      <w:r>
        <w:rPr>
          <w:spacing w:val="-2"/>
        </w:rPr>
        <w:t xml:space="preserve"> </w:t>
      </w:r>
      <w:r>
        <w:t>as</w:t>
      </w:r>
      <w:r>
        <w:rPr>
          <w:spacing w:val="-3"/>
        </w:rPr>
        <w:t xml:space="preserve"> </w:t>
      </w:r>
      <w:r>
        <w:t>a</w:t>
      </w:r>
      <w:r>
        <w:rPr>
          <w:spacing w:val="-2"/>
        </w:rPr>
        <w:t xml:space="preserve"> </w:t>
      </w:r>
      <w:r>
        <w:t>member</w:t>
      </w:r>
      <w:r>
        <w:rPr>
          <w:spacing w:val="-1"/>
        </w:rPr>
        <w:t xml:space="preserve"> </w:t>
      </w:r>
      <w:r>
        <w:t>of</w:t>
      </w:r>
      <w:r>
        <w:rPr>
          <w:spacing w:val="-4"/>
        </w:rPr>
        <w:t xml:space="preserve"> </w:t>
      </w:r>
      <w:r>
        <w:t>an</w:t>
      </w:r>
      <w:r>
        <w:rPr>
          <w:spacing w:val="-1"/>
        </w:rPr>
        <w:t xml:space="preserve"> </w:t>
      </w:r>
      <w:r>
        <w:t>ethnic</w:t>
      </w:r>
      <w:r>
        <w:rPr>
          <w:spacing w:val="-2"/>
        </w:rPr>
        <w:t xml:space="preserve"> </w:t>
      </w:r>
      <w:r>
        <w:t>group outside of White, Asian, or African American.</w:t>
      </w:r>
    </w:p>
  </w:footnote>
  <w:footnote w:id="6">
    <w:p w14:paraId="48159CAE" w14:textId="262FE5FC" w:rsidR="00C37BB3" w:rsidRDefault="00C37BB3" w:rsidP="00C37BB3">
      <w:pPr>
        <w:pStyle w:val="FootnoteText"/>
        <w:ind w:left="810" w:right="1260"/>
      </w:pPr>
      <w:r>
        <w:rPr>
          <w:rStyle w:val="FootnoteReference"/>
        </w:rPr>
        <w:footnoteRef/>
      </w:r>
      <w:r>
        <w:t xml:space="preserve"> </w:t>
      </w:r>
      <w:r>
        <w:t>“Other”</w:t>
      </w:r>
      <w:r>
        <w:rPr>
          <w:spacing w:val="-4"/>
        </w:rPr>
        <w:t xml:space="preserve"> </w:t>
      </w:r>
      <w:r>
        <w:t>represents</w:t>
      </w:r>
      <w:r>
        <w:rPr>
          <w:spacing w:val="-6"/>
        </w:rPr>
        <w:t xml:space="preserve"> </w:t>
      </w:r>
      <w:r>
        <w:t>the</w:t>
      </w:r>
      <w:r>
        <w:rPr>
          <w:spacing w:val="-6"/>
        </w:rPr>
        <w:t xml:space="preserve"> </w:t>
      </w:r>
      <w:r>
        <w:t>percentage</w:t>
      </w:r>
      <w:r>
        <w:rPr>
          <w:spacing w:val="-4"/>
        </w:rPr>
        <w:t xml:space="preserve"> </w:t>
      </w:r>
      <w:r>
        <w:t>of</w:t>
      </w:r>
      <w:r>
        <w:rPr>
          <w:spacing w:val="-4"/>
        </w:rPr>
        <w:t xml:space="preserve"> </w:t>
      </w:r>
      <w:r>
        <w:t>patients</w:t>
      </w:r>
      <w:r>
        <w:rPr>
          <w:spacing w:val="-5"/>
        </w:rPr>
        <w:t xml:space="preserve"> </w:t>
      </w:r>
      <w:r>
        <w:t>for</w:t>
      </w:r>
      <w:r>
        <w:rPr>
          <w:spacing w:val="-4"/>
        </w:rPr>
        <w:t xml:space="preserve"> </w:t>
      </w:r>
      <w:r>
        <w:t>which</w:t>
      </w:r>
      <w:r>
        <w:rPr>
          <w:spacing w:val="-5"/>
        </w:rPr>
        <w:t xml:space="preserve"> </w:t>
      </w:r>
      <w:r>
        <w:t>there</w:t>
      </w:r>
      <w:r>
        <w:rPr>
          <w:spacing w:val="-4"/>
        </w:rPr>
        <w:t xml:space="preserve"> </w:t>
      </w:r>
      <w:r>
        <w:t>is</w:t>
      </w:r>
      <w:r>
        <w:rPr>
          <w:spacing w:val="-6"/>
        </w:rPr>
        <w:t xml:space="preserve"> </w:t>
      </w:r>
      <w:r>
        <w:t>no</w:t>
      </w:r>
      <w:r>
        <w:rPr>
          <w:spacing w:val="-3"/>
        </w:rPr>
        <w:t xml:space="preserve"> </w:t>
      </w:r>
      <w:r>
        <w:t>payer</w:t>
      </w:r>
      <w:r>
        <w:rPr>
          <w:spacing w:val="-4"/>
        </w:rPr>
        <w:t xml:space="preserve"> </w:t>
      </w:r>
      <w:r>
        <w:rPr>
          <w:spacing w:val="-2"/>
        </w:rPr>
        <w:t>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2FC1" w14:textId="77777777" w:rsidR="00AE7757" w:rsidRDefault="00AE7757">
    <w:pPr>
      <w:pStyle w:val="Header"/>
    </w:pPr>
    <w:r>
      <w:rPr>
        <w:noProof/>
      </w:rPr>
      <w:pict w14:anchorId="1B837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16009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36F4" w14:textId="77777777" w:rsidR="00AE7757" w:rsidRDefault="00AE7757">
    <w:pPr>
      <w:pStyle w:val="Header"/>
    </w:pPr>
    <w:r>
      <w:rPr>
        <w:noProof/>
      </w:rPr>
      <w:pict w14:anchorId="1DAA2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16008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F54C6"/>
    <w:multiLevelType w:val="hybridMultilevel"/>
    <w:tmpl w:val="0D2CA96A"/>
    <w:lvl w:ilvl="0" w:tplc="CA8E34BA">
      <w:start w:val="1"/>
      <w:numFmt w:val="decimal"/>
      <w:lvlText w:val="%1."/>
      <w:lvlJc w:val="left"/>
      <w:pPr>
        <w:ind w:left="1071" w:hanging="272"/>
        <w:jc w:val="left"/>
      </w:pPr>
      <w:rPr>
        <w:rFonts w:hint="default"/>
        <w:spacing w:val="0"/>
        <w:w w:val="100"/>
        <w:lang w:val="en-US" w:eastAsia="en-US" w:bidi="ar-SA"/>
      </w:rPr>
    </w:lvl>
    <w:lvl w:ilvl="1" w:tplc="0C9E7750">
      <w:numFmt w:val="bullet"/>
      <w:lvlText w:val="•"/>
      <w:lvlJc w:val="left"/>
      <w:pPr>
        <w:ind w:left="2106" w:hanging="272"/>
      </w:pPr>
      <w:rPr>
        <w:rFonts w:hint="default"/>
        <w:lang w:val="en-US" w:eastAsia="en-US" w:bidi="ar-SA"/>
      </w:rPr>
    </w:lvl>
    <w:lvl w:ilvl="2" w:tplc="DCE84ECC">
      <w:numFmt w:val="bullet"/>
      <w:lvlText w:val="•"/>
      <w:lvlJc w:val="left"/>
      <w:pPr>
        <w:ind w:left="3132" w:hanging="272"/>
      </w:pPr>
      <w:rPr>
        <w:rFonts w:hint="default"/>
        <w:lang w:val="en-US" w:eastAsia="en-US" w:bidi="ar-SA"/>
      </w:rPr>
    </w:lvl>
    <w:lvl w:ilvl="3" w:tplc="507C2C10">
      <w:numFmt w:val="bullet"/>
      <w:lvlText w:val="•"/>
      <w:lvlJc w:val="left"/>
      <w:pPr>
        <w:ind w:left="4158" w:hanging="272"/>
      </w:pPr>
      <w:rPr>
        <w:rFonts w:hint="default"/>
        <w:lang w:val="en-US" w:eastAsia="en-US" w:bidi="ar-SA"/>
      </w:rPr>
    </w:lvl>
    <w:lvl w:ilvl="4" w:tplc="E59AE31E">
      <w:numFmt w:val="bullet"/>
      <w:lvlText w:val="•"/>
      <w:lvlJc w:val="left"/>
      <w:pPr>
        <w:ind w:left="5184" w:hanging="272"/>
      </w:pPr>
      <w:rPr>
        <w:rFonts w:hint="default"/>
        <w:lang w:val="en-US" w:eastAsia="en-US" w:bidi="ar-SA"/>
      </w:rPr>
    </w:lvl>
    <w:lvl w:ilvl="5" w:tplc="B046F270">
      <w:numFmt w:val="bullet"/>
      <w:lvlText w:val="•"/>
      <w:lvlJc w:val="left"/>
      <w:pPr>
        <w:ind w:left="6210" w:hanging="272"/>
      </w:pPr>
      <w:rPr>
        <w:rFonts w:hint="default"/>
        <w:lang w:val="en-US" w:eastAsia="en-US" w:bidi="ar-SA"/>
      </w:rPr>
    </w:lvl>
    <w:lvl w:ilvl="6" w:tplc="5CBCF110">
      <w:numFmt w:val="bullet"/>
      <w:lvlText w:val="•"/>
      <w:lvlJc w:val="left"/>
      <w:pPr>
        <w:ind w:left="7236" w:hanging="272"/>
      </w:pPr>
      <w:rPr>
        <w:rFonts w:hint="default"/>
        <w:lang w:val="en-US" w:eastAsia="en-US" w:bidi="ar-SA"/>
      </w:rPr>
    </w:lvl>
    <w:lvl w:ilvl="7" w:tplc="72B88FDE">
      <w:numFmt w:val="bullet"/>
      <w:lvlText w:val="•"/>
      <w:lvlJc w:val="left"/>
      <w:pPr>
        <w:ind w:left="8262" w:hanging="272"/>
      </w:pPr>
      <w:rPr>
        <w:rFonts w:hint="default"/>
        <w:lang w:val="en-US" w:eastAsia="en-US" w:bidi="ar-SA"/>
      </w:rPr>
    </w:lvl>
    <w:lvl w:ilvl="8" w:tplc="C78610E8">
      <w:numFmt w:val="bullet"/>
      <w:lvlText w:val="•"/>
      <w:lvlJc w:val="left"/>
      <w:pPr>
        <w:ind w:left="9288" w:hanging="272"/>
      </w:pPr>
      <w:rPr>
        <w:rFonts w:hint="default"/>
        <w:lang w:val="en-US" w:eastAsia="en-US" w:bidi="ar-SA"/>
      </w:rPr>
    </w:lvl>
  </w:abstractNum>
  <w:num w:numId="1" w16cid:durableId="126067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5ED1"/>
    <w:rsid w:val="00200EF9"/>
    <w:rsid w:val="00277D27"/>
    <w:rsid w:val="003F0B5F"/>
    <w:rsid w:val="0040052B"/>
    <w:rsid w:val="006B14EE"/>
    <w:rsid w:val="00713D41"/>
    <w:rsid w:val="00835E7E"/>
    <w:rsid w:val="00915E1A"/>
    <w:rsid w:val="00AE7757"/>
    <w:rsid w:val="00B83E8B"/>
    <w:rsid w:val="00C15ED1"/>
    <w:rsid w:val="00C3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52096"/>
  <w15:docId w15:val="{AC437B98-9BF9-4AB4-885A-90B4CC69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00"/>
      <w:outlineLvl w:val="0"/>
    </w:pPr>
    <w:rPr>
      <w:b/>
      <w:bCs/>
      <w:sz w:val="24"/>
      <w:szCs w:val="24"/>
    </w:rPr>
  </w:style>
  <w:style w:type="paragraph" w:styleId="Heading2">
    <w:name w:val="heading 2"/>
    <w:basedOn w:val="Normal"/>
    <w:uiPriority w:val="9"/>
    <w:unhideWhenUsed/>
    <w:qFormat/>
    <w:pPr>
      <w:ind w:left="1160"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48" w:line="414" w:lineRule="exact"/>
      <w:ind w:left="103"/>
      <w:jc w:val="center"/>
    </w:pPr>
    <w:rPr>
      <w:rFonts w:ascii="Arial" w:eastAsia="Arial" w:hAnsi="Arial" w:cs="Arial"/>
      <w:sz w:val="36"/>
      <w:szCs w:val="36"/>
    </w:rPr>
  </w:style>
  <w:style w:type="paragraph" w:styleId="ListParagraph">
    <w:name w:val="List Paragraph"/>
    <w:basedOn w:val="Normal"/>
    <w:uiPriority w:val="1"/>
    <w:qFormat/>
    <w:pPr>
      <w:ind w:left="1160" w:hanging="360"/>
    </w:pPr>
  </w:style>
  <w:style w:type="paragraph" w:customStyle="1" w:styleId="TableParagraph">
    <w:name w:val="Table Paragraph"/>
    <w:basedOn w:val="Normal"/>
    <w:uiPriority w:val="1"/>
    <w:qFormat/>
    <w:pPr>
      <w:spacing w:line="234" w:lineRule="exact"/>
      <w:ind w:left="107"/>
    </w:pPr>
  </w:style>
  <w:style w:type="paragraph" w:customStyle="1" w:styleId="ExecOffice">
    <w:name w:val="Exec Office"/>
    <w:basedOn w:val="Normal"/>
    <w:rsid w:val="00AE7757"/>
    <w:pPr>
      <w:framePr w:w="6927" w:hSpace="187" w:wrap="notBeside" w:vAnchor="text" w:hAnchor="page" w:x="3594" w:y="1"/>
      <w:widowControl/>
      <w:autoSpaceDE/>
      <w:autoSpaceDN/>
      <w:jc w:val="center"/>
    </w:pPr>
    <w:rPr>
      <w:rFonts w:ascii="Arial" w:hAnsi="Arial"/>
      <w:sz w:val="28"/>
      <w:szCs w:val="20"/>
    </w:rPr>
  </w:style>
  <w:style w:type="paragraph" w:customStyle="1" w:styleId="Weld">
    <w:name w:val="Weld"/>
    <w:basedOn w:val="Normal"/>
    <w:rsid w:val="00AE7757"/>
    <w:pPr>
      <w:framePr w:hSpace="187" w:wrap="notBeside" w:vAnchor="text" w:hAnchor="page" w:x="546" w:y="141"/>
      <w:widowControl/>
      <w:autoSpaceDE/>
      <w:autoSpaceDN/>
      <w:jc w:val="center"/>
    </w:pPr>
    <w:rPr>
      <w:rFonts w:ascii="Arial Rounded MT Bold" w:hAnsi="Arial Rounded MT Bold"/>
      <w:sz w:val="16"/>
      <w:szCs w:val="20"/>
    </w:rPr>
  </w:style>
  <w:style w:type="paragraph" w:customStyle="1" w:styleId="Governor">
    <w:name w:val="Governor"/>
    <w:basedOn w:val="Normal"/>
    <w:rsid w:val="00AE7757"/>
    <w:pPr>
      <w:framePr w:hSpace="187" w:wrap="notBeside" w:vAnchor="text" w:hAnchor="page" w:x="546" w:y="141"/>
      <w:widowControl/>
      <w:autoSpaceDE/>
      <w:autoSpaceDN/>
      <w:spacing w:after="120"/>
      <w:jc w:val="center"/>
    </w:pPr>
    <w:rPr>
      <w:rFonts w:ascii="Arial Rounded MT Bold" w:hAnsi="Arial Rounded MT Bold"/>
      <w:sz w:val="14"/>
      <w:szCs w:val="20"/>
    </w:rPr>
  </w:style>
  <w:style w:type="character" w:styleId="Hyperlink">
    <w:name w:val="Hyperlink"/>
    <w:rsid w:val="00AE7757"/>
    <w:rPr>
      <w:color w:val="0000FF"/>
      <w:u w:val="single"/>
    </w:rPr>
  </w:style>
  <w:style w:type="paragraph" w:styleId="Header">
    <w:name w:val="header"/>
    <w:basedOn w:val="Normal"/>
    <w:link w:val="HeaderChar"/>
    <w:rsid w:val="00AE7757"/>
    <w:pPr>
      <w:widowControl/>
      <w:tabs>
        <w:tab w:val="center" w:pos="4680"/>
        <w:tab w:val="right" w:pos="9360"/>
      </w:tabs>
      <w:autoSpaceDE/>
      <w:autoSpaceDN/>
    </w:pPr>
    <w:rPr>
      <w:sz w:val="24"/>
      <w:szCs w:val="20"/>
    </w:rPr>
  </w:style>
  <w:style w:type="character" w:customStyle="1" w:styleId="HeaderChar">
    <w:name w:val="Header Char"/>
    <w:basedOn w:val="DefaultParagraphFont"/>
    <w:link w:val="Header"/>
    <w:rsid w:val="00AE775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E7757"/>
    <w:pPr>
      <w:widowControl/>
      <w:tabs>
        <w:tab w:val="center" w:pos="4680"/>
        <w:tab w:val="right" w:pos="9360"/>
      </w:tabs>
      <w:autoSpaceDE/>
      <w:autoSpaceDN/>
    </w:pPr>
    <w:rPr>
      <w:sz w:val="24"/>
      <w:szCs w:val="20"/>
    </w:rPr>
  </w:style>
  <w:style w:type="character" w:customStyle="1" w:styleId="FooterChar">
    <w:name w:val="Footer Char"/>
    <w:basedOn w:val="DefaultParagraphFont"/>
    <w:link w:val="Footer"/>
    <w:uiPriority w:val="99"/>
    <w:rsid w:val="00AE7757"/>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40052B"/>
    <w:rPr>
      <w:sz w:val="20"/>
      <w:szCs w:val="20"/>
    </w:rPr>
  </w:style>
  <w:style w:type="character" w:customStyle="1" w:styleId="FootnoteTextChar">
    <w:name w:val="Footnote Text Char"/>
    <w:basedOn w:val="DefaultParagraphFont"/>
    <w:link w:val="FootnoteText"/>
    <w:uiPriority w:val="99"/>
    <w:semiHidden/>
    <w:rsid w:val="004005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00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ss.gov/d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huntington@daypitn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76FD4-A109-4412-AB09-0100226D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1388</Words>
  <Characters>7914</Characters>
  <Application>Microsoft Office Word</Application>
  <DocSecurity>0</DocSecurity>
  <Lines>65</Lines>
  <Paragraphs>18</Paragraphs>
  <ScaleCrop>false</ScaleCrop>
  <Company>Commonwealth of Massachusetts</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Marks, Brett (DPH)</cp:lastModifiedBy>
  <cp:revision>11</cp:revision>
  <dcterms:created xsi:type="dcterms:W3CDTF">2024-03-21T12:19:00Z</dcterms:created>
  <dcterms:modified xsi:type="dcterms:W3CDTF">2024-03-21T13:21:00Z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Acrobat PDFMaker 23 for Word</vt:lpwstr>
  </property>
  <property fmtid="{D5CDD505-2E9C-101B-9397-08002B2CF9AE}" pid="4" name="LastSaved">
    <vt:filetime>2024-03-21T00:00:00Z</vt:filetime>
  </property>
  <property fmtid="{D5CDD505-2E9C-101B-9397-08002B2CF9AE}" pid="5" name="Producer">
    <vt:lpwstr>Adobe PDF Library 23.8.246</vt:lpwstr>
  </property>
  <property fmtid="{D5CDD505-2E9C-101B-9397-08002B2CF9AE}" pid="6" name="SourceModified">
    <vt:lpwstr/>
  </property>
</Properties>
</file>