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18852302"/>
    <w:p w14:paraId="34CAE041" w14:textId="226B1DF7" w:rsidR="00D47FFC" w:rsidRDefault="00A26408" w:rsidP="00D47FFC">
      <w:pPr>
        <w:spacing w:after="0" w:line="240" w:lineRule="auto"/>
        <w:jc w:val="center"/>
        <w:rPr>
          <w:b/>
          <w:sz w:val="240"/>
          <w:szCs w:val="240"/>
        </w:rPr>
      </w:pPr>
      <w:r>
        <w:rPr>
          <w:b/>
          <w:noProof/>
        </w:rPr>
        <mc:AlternateContent>
          <mc:Choice Requires="wpg">
            <w:drawing>
              <wp:anchor distT="0" distB="0" distL="114300" distR="114300" simplePos="0" relativeHeight="251663360" behindDoc="1" locked="0" layoutInCell="1" allowOverlap="1" wp14:anchorId="40EB4206" wp14:editId="6E5F6251">
                <wp:simplePos x="0" y="0"/>
                <wp:positionH relativeFrom="page">
                  <wp:posOffset>329565</wp:posOffset>
                </wp:positionH>
                <wp:positionV relativeFrom="page">
                  <wp:posOffset>383540</wp:posOffset>
                </wp:positionV>
                <wp:extent cx="7142480" cy="9442450"/>
                <wp:effectExtent l="0" t="0" r="20320" b="25400"/>
                <wp:wrapNone/>
                <wp:docPr id="2" name="Group 2" descr="Title page color box" title="Titl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2480" cy="9442450"/>
                          <a:chOff x="486" y="489"/>
                          <a:chExt cx="11248" cy="14870"/>
                        </a:xfrm>
                      </wpg:grpSpPr>
                      <wpg:grpSp>
                        <wpg:cNvPr id="4" name="Group 3"/>
                        <wpg:cNvGrpSpPr>
                          <a:grpSpLocks/>
                        </wpg:cNvGrpSpPr>
                        <wpg:grpSpPr bwMode="auto">
                          <a:xfrm>
                            <a:off x="509" y="3857"/>
                            <a:ext cx="2" cy="269"/>
                            <a:chOff x="509" y="3857"/>
                            <a:chExt cx="2" cy="269"/>
                          </a:xfrm>
                        </wpg:grpSpPr>
                        <wps:wsp>
                          <wps:cNvPr id="5" name="Freeform 4"/>
                          <wps:cNvSpPr>
                            <a:spLocks/>
                          </wps:cNvSpPr>
                          <wps:spPr bwMode="auto">
                            <a:xfrm>
                              <a:off x="509" y="3857"/>
                              <a:ext cx="2" cy="269"/>
                            </a:xfrm>
                            <a:custGeom>
                              <a:avLst/>
                              <a:gdLst>
                                <a:gd name="T0" fmla="+- 0 4126 3857"/>
                                <a:gd name="T1" fmla="*/ 4126 h 269"/>
                                <a:gd name="T2" fmla="+- 0 3857 3857"/>
                                <a:gd name="T3" fmla="*/ 3857 h 269"/>
                                <a:gd name="T4" fmla="+- 0 4126 3857"/>
                                <a:gd name="T5" fmla="*/ 4126 h 269"/>
                              </a:gdLst>
                              <a:ahLst/>
                              <a:cxnLst>
                                <a:cxn ang="0">
                                  <a:pos x="0" y="T1"/>
                                </a:cxn>
                                <a:cxn ang="0">
                                  <a:pos x="0" y="T3"/>
                                </a:cxn>
                                <a:cxn ang="0">
                                  <a:pos x="0" y="T5"/>
                                </a:cxn>
                              </a:cxnLst>
                              <a:rect l="0" t="0" r="r" b="b"/>
                              <a:pathLst>
                                <a:path h="269">
                                  <a:moveTo>
                                    <a:pt x="0" y="269"/>
                                  </a:moveTo>
                                  <a:lnTo>
                                    <a:pt x="0" y="0"/>
                                  </a:lnTo>
                                  <a:lnTo>
                                    <a:pt x="0" y="269"/>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
                        <wpg:cNvGrpSpPr>
                          <a:grpSpLocks/>
                        </wpg:cNvGrpSpPr>
                        <wpg:grpSpPr bwMode="auto">
                          <a:xfrm>
                            <a:off x="509" y="3857"/>
                            <a:ext cx="11225" cy="269"/>
                            <a:chOff x="509" y="3857"/>
                            <a:chExt cx="11225" cy="269"/>
                          </a:xfrm>
                        </wpg:grpSpPr>
                        <wps:wsp>
                          <wps:cNvPr id="15" name="Freeform 6"/>
                          <wps:cNvSpPr>
                            <a:spLocks/>
                          </wps:cNvSpPr>
                          <wps:spPr bwMode="auto">
                            <a:xfrm>
                              <a:off x="509" y="3857"/>
                              <a:ext cx="11225" cy="269"/>
                            </a:xfrm>
                            <a:custGeom>
                              <a:avLst/>
                              <a:gdLst>
                                <a:gd name="T0" fmla="+- 0 509 509"/>
                                <a:gd name="T1" fmla="*/ T0 w 11225"/>
                                <a:gd name="T2" fmla="+- 0 4126 3857"/>
                                <a:gd name="T3" fmla="*/ 4126 h 269"/>
                                <a:gd name="T4" fmla="+- 0 11733 509"/>
                                <a:gd name="T5" fmla="*/ T4 w 11225"/>
                                <a:gd name="T6" fmla="+- 0 4126 3857"/>
                                <a:gd name="T7" fmla="*/ 4126 h 269"/>
                                <a:gd name="T8" fmla="+- 0 11733 509"/>
                                <a:gd name="T9" fmla="*/ T8 w 11225"/>
                                <a:gd name="T10" fmla="+- 0 3857 3857"/>
                                <a:gd name="T11" fmla="*/ 3857 h 269"/>
                                <a:gd name="T12" fmla="+- 0 509 509"/>
                                <a:gd name="T13" fmla="*/ T12 w 11225"/>
                                <a:gd name="T14" fmla="+- 0 3857 3857"/>
                                <a:gd name="T15" fmla="*/ 3857 h 269"/>
                                <a:gd name="T16" fmla="+- 0 509 509"/>
                                <a:gd name="T17" fmla="*/ T16 w 11225"/>
                                <a:gd name="T18" fmla="+- 0 4126 3857"/>
                                <a:gd name="T19" fmla="*/ 4126 h 269"/>
                              </a:gdLst>
                              <a:ahLst/>
                              <a:cxnLst>
                                <a:cxn ang="0">
                                  <a:pos x="T1" y="T3"/>
                                </a:cxn>
                                <a:cxn ang="0">
                                  <a:pos x="T5" y="T7"/>
                                </a:cxn>
                                <a:cxn ang="0">
                                  <a:pos x="T9" y="T11"/>
                                </a:cxn>
                                <a:cxn ang="0">
                                  <a:pos x="T13" y="T15"/>
                                </a:cxn>
                                <a:cxn ang="0">
                                  <a:pos x="T17" y="T19"/>
                                </a:cxn>
                              </a:cxnLst>
                              <a:rect l="0" t="0" r="r" b="b"/>
                              <a:pathLst>
                                <a:path w="11225" h="269">
                                  <a:moveTo>
                                    <a:pt x="0" y="269"/>
                                  </a:moveTo>
                                  <a:lnTo>
                                    <a:pt x="11224" y="269"/>
                                  </a:lnTo>
                                  <a:lnTo>
                                    <a:pt x="11224" y="0"/>
                                  </a:lnTo>
                                  <a:lnTo>
                                    <a:pt x="0" y="0"/>
                                  </a:lnTo>
                                  <a:lnTo>
                                    <a:pt x="0" y="269"/>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7"/>
                        <wpg:cNvGrpSpPr>
                          <a:grpSpLocks/>
                        </wpg:cNvGrpSpPr>
                        <wpg:grpSpPr bwMode="auto">
                          <a:xfrm>
                            <a:off x="509" y="4270"/>
                            <a:ext cx="11225" cy="41"/>
                            <a:chOff x="509" y="4270"/>
                            <a:chExt cx="11225" cy="41"/>
                          </a:xfrm>
                        </wpg:grpSpPr>
                        <wps:wsp>
                          <wps:cNvPr id="17" name="Freeform 8"/>
                          <wps:cNvSpPr>
                            <a:spLocks/>
                          </wps:cNvSpPr>
                          <wps:spPr bwMode="auto">
                            <a:xfrm>
                              <a:off x="509" y="4270"/>
                              <a:ext cx="11225" cy="41"/>
                            </a:xfrm>
                            <a:custGeom>
                              <a:avLst/>
                              <a:gdLst>
                                <a:gd name="T0" fmla="+- 0 509 509"/>
                                <a:gd name="T1" fmla="*/ T0 w 11225"/>
                                <a:gd name="T2" fmla="+- 0 4311 4270"/>
                                <a:gd name="T3" fmla="*/ 4311 h 41"/>
                                <a:gd name="T4" fmla="+- 0 11733 509"/>
                                <a:gd name="T5" fmla="*/ T4 w 11225"/>
                                <a:gd name="T6" fmla="+- 0 4311 4270"/>
                                <a:gd name="T7" fmla="*/ 4311 h 41"/>
                                <a:gd name="T8" fmla="+- 0 11733 509"/>
                                <a:gd name="T9" fmla="*/ T8 w 11225"/>
                                <a:gd name="T10" fmla="+- 0 4270 4270"/>
                                <a:gd name="T11" fmla="*/ 4270 h 41"/>
                                <a:gd name="T12" fmla="+- 0 509 509"/>
                                <a:gd name="T13" fmla="*/ T12 w 11225"/>
                                <a:gd name="T14" fmla="+- 0 4270 4270"/>
                                <a:gd name="T15" fmla="*/ 4270 h 41"/>
                                <a:gd name="T16" fmla="+- 0 509 509"/>
                                <a:gd name="T17" fmla="*/ T16 w 11225"/>
                                <a:gd name="T18" fmla="+- 0 4311 4270"/>
                                <a:gd name="T19" fmla="*/ 4311 h 41"/>
                              </a:gdLst>
                              <a:ahLst/>
                              <a:cxnLst>
                                <a:cxn ang="0">
                                  <a:pos x="T1" y="T3"/>
                                </a:cxn>
                                <a:cxn ang="0">
                                  <a:pos x="T5" y="T7"/>
                                </a:cxn>
                                <a:cxn ang="0">
                                  <a:pos x="T9" y="T11"/>
                                </a:cxn>
                                <a:cxn ang="0">
                                  <a:pos x="T13" y="T15"/>
                                </a:cxn>
                                <a:cxn ang="0">
                                  <a:pos x="T17" y="T19"/>
                                </a:cxn>
                              </a:cxnLst>
                              <a:rect l="0" t="0" r="r" b="b"/>
                              <a:pathLst>
                                <a:path w="11225" h="41">
                                  <a:moveTo>
                                    <a:pt x="0" y="41"/>
                                  </a:moveTo>
                                  <a:lnTo>
                                    <a:pt x="11224" y="41"/>
                                  </a:lnTo>
                                  <a:lnTo>
                                    <a:pt x="11224" y="0"/>
                                  </a:lnTo>
                                  <a:lnTo>
                                    <a:pt x="0" y="0"/>
                                  </a:lnTo>
                                  <a:lnTo>
                                    <a:pt x="0" y="41"/>
                                  </a:lnTo>
                                  <a:close/>
                                </a:path>
                              </a:pathLst>
                            </a:custGeom>
                            <a:solidFill>
                              <a:srgbClr val="2F77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9"/>
                        <wpg:cNvGrpSpPr>
                          <a:grpSpLocks/>
                        </wpg:cNvGrpSpPr>
                        <wpg:grpSpPr bwMode="auto">
                          <a:xfrm>
                            <a:off x="509" y="4311"/>
                            <a:ext cx="11225" cy="389"/>
                            <a:chOff x="509" y="4311"/>
                            <a:chExt cx="11225" cy="389"/>
                          </a:xfrm>
                        </wpg:grpSpPr>
                        <wps:wsp>
                          <wps:cNvPr id="19" name="Freeform 10"/>
                          <wps:cNvSpPr>
                            <a:spLocks/>
                          </wps:cNvSpPr>
                          <wps:spPr bwMode="auto">
                            <a:xfrm>
                              <a:off x="509" y="4311"/>
                              <a:ext cx="11225" cy="389"/>
                            </a:xfrm>
                            <a:custGeom>
                              <a:avLst/>
                              <a:gdLst>
                                <a:gd name="T0" fmla="+- 0 509 509"/>
                                <a:gd name="T1" fmla="*/ T0 w 11225"/>
                                <a:gd name="T2" fmla="+- 0 4700 4311"/>
                                <a:gd name="T3" fmla="*/ 4700 h 389"/>
                                <a:gd name="T4" fmla="+- 0 11733 509"/>
                                <a:gd name="T5" fmla="*/ T4 w 11225"/>
                                <a:gd name="T6" fmla="+- 0 4700 4311"/>
                                <a:gd name="T7" fmla="*/ 4700 h 389"/>
                                <a:gd name="T8" fmla="+- 0 11733 509"/>
                                <a:gd name="T9" fmla="*/ T8 w 11225"/>
                                <a:gd name="T10" fmla="+- 0 4311 4311"/>
                                <a:gd name="T11" fmla="*/ 4311 h 389"/>
                                <a:gd name="T12" fmla="+- 0 509 509"/>
                                <a:gd name="T13" fmla="*/ T12 w 11225"/>
                                <a:gd name="T14" fmla="+- 0 4311 4311"/>
                                <a:gd name="T15" fmla="*/ 4311 h 389"/>
                                <a:gd name="T16" fmla="+- 0 509 509"/>
                                <a:gd name="T17" fmla="*/ T16 w 11225"/>
                                <a:gd name="T18" fmla="+- 0 4700 4311"/>
                                <a:gd name="T19" fmla="*/ 4700 h 389"/>
                              </a:gdLst>
                              <a:ahLst/>
                              <a:cxnLst>
                                <a:cxn ang="0">
                                  <a:pos x="T1" y="T3"/>
                                </a:cxn>
                                <a:cxn ang="0">
                                  <a:pos x="T5" y="T7"/>
                                </a:cxn>
                                <a:cxn ang="0">
                                  <a:pos x="T9" y="T11"/>
                                </a:cxn>
                                <a:cxn ang="0">
                                  <a:pos x="T13" y="T15"/>
                                </a:cxn>
                                <a:cxn ang="0">
                                  <a:pos x="T17" y="T19"/>
                                </a:cxn>
                              </a:cxnLst>
                              <a:rect l="0" t="0" r="r" b="b"/>
                              <a:pathLst>
                                <a:path w="11225" h="389">
                                  <a:moveTo>
                                    <a:pt x="0" y="389"/>
                                  </a:moveTo>
                                  <a:lnTo>
                                    <a:pt x="11224" y="389"/>
                                  </a:lnTo>
                                  <a:lnTo>
                                    <a:pt x="11224" y="0"/>
                                  </a:lnTo>
                                  <a:lnTo>
                                    <a:pt x="0" y="0"/>
                                  </a:lnTo>
                                  <a:lnTo>
                                    <a:pt x="0" y="389"/>
                                  </a:lnTo>
                                  <a:close/>
                                </a:path>
                              </a:pathLst>
                            </a:custGeom>
                            <a:solidFill>
                              <a:srgbClr val="2F77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1"/>
                        <wpg:cNvGrpSpPr>
                          <a:grpSpLocks/>
                        </wpg:cNvGrpSpPr>
                        <wpg:grpSpPr bwMode="auto">
                          <a:xfrm>
                            <a:off x="509" y="4700"/>
                            <a:ext cx="11225" cy="392"/>
                            <a:chOff x="509" y="4700"/>
                            <a:chExt cx="11225" cy="392"/>
                          </a:xfrm>
                        </wpg:grpSpPr>
                        <wps:wsp>
                          <wps:cNvPr id="22" name="Freeform 12"/>
                          <wps:cNvSpPr>
                            <a:spLocks/>
                          </wps:cNvSpPr>
                          <wps:spPr bwMode="auto">
                            <a:xfrm>
                              <a:off x="509" y="4700"/>
                              <a:ext cx="11225" cy="392"/>
                            </a:xfrm>
                            <a:custGeom>
                              <a:avLst/>
                              <a:gdLst>
                                <a:gd name="T0" fmla="+- 0 509 509"/>
                                <a:gd name="T1" fmla="*/ T0 w 11225"/>
                                <a:gd name="T2" fmla="+- 0 5091 4700"/>
                                <a:gd name="T3" fmla="*/ 5091 h 392"/>
                                <a:gd name="T4" fmla="+- 0 11733 509"/>
                                <a:gd name="T5" fmla="*/ T4 w 11225"/>
                                <a:gd name="T6" fmla="+- 0 5091 4700"/>
                                <a:gd name="T7" fmla="*/ 5091 h 392"/>
                                <a:gd name="T8" fmla="+- 0 11733 509"/>
                                <a:gd name="T9" fmla="*/ T8 w 11225"/>
                                <a:gd name="T10" fmla="+- 0 4700 4700"/>
                                <a:gd name="T11" fmla="*/ 4700 h 392"/>
                                <a:gd name="T12" fmla="+- 0 509 509"/>
                                <a:gd name="T13" fmla="*/ T12 w 11225"/>
                                <a:gd name="T14" fmla="+- 0 4700 4700"/>
                                <a:gd name="T15" fmla="*/ 4700 h 392"/>
                                <a:gd name="T16" fmla="+- 0 509 509"/>
                                <a:gd name="T17" fmla="*/ T16 w 11225"/>
                                <a:gd name="T18" fmla="+- 0 5091 4700"/>
                                <a:gd name="T19" fmla="*/ 5091 h 392"/>
                              </a:gdLst>
                              <a:ahLst/>
                              <a:cxnLst>
                                <a:cxn ang="0">
                                  <a:pos x="T1" y="T3"/>
                                </a:cxn>
                                <a:cxn ang="0">
                                  <a:pos x="T5" y="T7"/>
                                </a:cxn>
                                <a:cxn ang="0">
                                  <a:pos x="T9" y="T11"/>
                                </a:cxn>
                                <a:cxn ang="0">
                                  <a:pos x="T13" y="T15"/>
                                </a:cxn>
                                <a:cxn ang="0">
                                  <a:pos x="T17" y="T19"/>
                                </a:cxn>
                              </a:cxnLst>
                              <a:rect l="0" t="0" r="r" b="b"/>
                              <a:pathLst>
                                <a:path w="11225" h="392">
                                  <a:moveTo>
                                    <a:pt x="0" y="391"/>
                                  </a:moveTo>
                                  <a:lnTo>
                                    <a:pt x="11224" y="391"/>
                                  </a:lnTo>
                                  <a:lnTo>
                                    <a:pt x="11224" y="0"/>
                                  </a:lnTo>
                                  <a:lnTo>
                                    <a:pt x="0" y="0"/>
                                  </a:lnTo>
                                  <a:lnTo>
                                    <a:pt x="0" y="391"/>
                                  </a:lnTo>
                                  <a:close/>
                                </a:path>
                              </a:pathLst>
                            </a:custGeom>
                            <a:solidFill>
                              <a:srgbClr val="2F77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3"/>
                        <wpg:cNvGrpSpPr>
                          <a:grpSpLocks/>
                        </wpg:cNvGrpSpPr>
                        <wpg:grpSpPr bwMode="auto">
                          <a:xfrm>
                            <a:off x="509" y="5531"/>
                            <a:ext cx="11225" cy="41"/>
                            <a:chOff x="509" y="5531"/>
                            <a:chExt cx="11225" cy="41"/>
                          </a:xfrm>
                        </wpg:grpSpPr>
                        <wps:wsp>
                          <wps:cNvPr id="24" name="Freeform 14"/>
                          <wps:cNvSpPr>
                            <a:spLocks/>
                          </wps:cNvSpPr>
                          <wps:spPr bwMode="auto">
                            <a:xfrm>
                              <a:off x="509" y="5531"/>
                              <a:ext cx="11225" cy="41"/>
                            </a:xfrm>
                            <a:custGeom>
                              <a:avLst/>
                              <a:gdLst>
                                <a:gd name="T0" fmla="+- 0 509 509"/>
                                <a:gd name="T1" fmla="*/ T0 w 11225"/>
                                <a:gd name="T2" fmla="+- 0 5571 5531"/>
                                <a:gd name="T3" fmla="*/ 5571 h 41"/>
                                <a:gd name="T4" fmla="+- 0 11733 509"/>
                                <a:gd name="T5" fmla="*/ T4 w 11225"/>
                                <a:gd name="T6" fmla="+- 0 5571 5531"/>
                                <a:gd name="T7" fmla="*/ 5571 h 41"/>
                                <a:gd name="T8" fmla="+- 0 11733 509"/>
                                <a:gd name="T9" fmla="*/ T8 w 11225"/>
                                <a:gd name="T10" fmla="+- 0 5531 5531"/>
                                <a:gd name="T11" fmla="*/ 5531 h 41"/>
                                <a:gd name="T12" fmla="+- 0 509 509"/>
                                <a:gd name="T13" fmla="*/ T12 w 11225"/>
                                <a:gd name="T14" fmla="+- 0 5531 5531"/>
                                <a:gd name="T15" fmla="*/ 5531 h 41"/>
                                <a:gd name="T16" fmla="+- 0 509 509"/>
                                <a:gd name="T17" fmla="*/ T16 w 11225"/>
                                <a:gd name="T18" fmla="+- 0 5571 5531"/>
                                <a:gd name="T19" fmla="*/ 5571 h 41"/>
                              </a:gdLst>
                              <a:ahLst/>
                              <a:cxnLst>
                                <a:cxn ang="0">
                                  <a:pos x="T1" y="T3"/>
                                </a:cxn>
                                <a:cxn ang="0">
                                  <a:pos x="T5" y="T7"/>
                                </a:cxn>
                                <a:cxn ang="0">
                                  <a:pos x="T9" y="T11"/>
                                </a:cxn>
                                <a:cxn ang="0">
                                  <a:pos x="T13" y="T15"/>
                                </a:cxn>
                                <a:cxn ang="0">
                                  <a:pos x="T17" y="T19"/>
                                </a:cxn>
                              </a:cxnLst>
                              <a:rect l="0" t="0" r="r" b="b"/>
                              <a:pathLst>
                                <a:path w="11225" h="41">
                                  <a:moveTo>
                                    <a:pt x="0" y="40"/>
                                  </a:moveTo>
                                  <a:lnTo>
                                    <a:pt x="11224" y="40"/>
                                  </a:lnTo>
                                  <a:lnTo>
                                    <a:pt x="11224" y="0"/>
                                  </a:lnTo>
                                  <a:lnTo>
                                    <a:pt x="0" y="0"/>
                                  </a:lnTo>
                                  <a:lnTo>
                                    <a:pt x="0" y="40"/>
                                  </a:lnTo>
                                  <a:close/>
                                </a:path>
                              </a:pathLst>
                            </a:custGeom>
                            <a:solidFill>
                              <a:srgbClr val="2F77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5"/>
                        <wpg:cNvGrpSpPr>
                          <a:grpSpLocks/>
                        </wpg:cNvGrpSpPr>
                        <wpg:grpSpPr bwMode="auto">
                          <a:xfrm>
                            <a:off x="509" y="5091"/>
                            <a:ext cx="11225" cy="440"/>
                            <a:chOff x="509" y="5091"/>
                            <a:chExt cx="11225" cy="440"/>
                          </a:xfrm>
                        </wpg:grpSpPr>
                        <wps:wsp>
                          <wps:cNvPr id="26" name="Freeform 16"/>
                          <wps:cNvSpPr>
                            <a:spLocks/>
                          </wps:cNvSpPr>
                          <wps:spPr bwMode="auto">
                            <a:xfrm>
                              <a:off x="509" y="5091"/>
                              <a:ext cx="11225" cy="440"/>
                            </a:xfrm>
                            <a:custGeom>
                              <a:avLst/>
                              <a:gdLst>
                                <a:gd name="T0" fmla="+- 0 509 509"/>
                                <a:gd name="T1" fmla="*/ T0 w 11225"/>
                                <a:gd name="T2" fmla="+- 0 5531 5091"/>
                                <a:gd name="T3" fmla="*/ 5531 h 440"/>
                                <a:gd name="T4" fmla="+- 0 11733 509"/>
                                <a:gd name="T5" fmla="*/ T4 w 11225"/>
                                <a:gd name="T6" fmla="+- 0 5531 5091"/>
                                <a:gd name="T7" fmla="*/ 5531 h 440"/>
                                <a:gd name="T8" fmla="+- 0 11733 509"/>
                                <a:gd name="T9" fmla="*/ T8 w 11225"/>
                                <a:gd name="T10" fmla="+- 0 5091 5091"/>
                                <a:gd name="T11" fmla="*/ 5091 h 440"/>
                                <a:gd name="T12" fmla="+- 0 509 509"/>
                                <a:gd name="T13" fmla="*/ T12 w 11225"/>
                                <a:gd name="T14" fmla="+- 0 5091 5091"/>
                                <a:gd name="T15" fmla="*/ 5091 h 440"/>
                                <a:gd name="T16" fmla="+- 0 509 509"/>
                                <a:gd name="T17" fmla="*/ T16 w 11225"/>
                                <a:gd name="T18" fmla="+- 0 5531 5091"/>
                                <a:gd name="T19" fmla="*/ 5531 h 440"/>
                              </a:gdLst>
                              <a:ahLst/>
                              <a:cxnLst>
                                <a:cxn ang="0">
                                  <a:pos x="T1" y="T3"/>
                                </a:cxn>
                                <a:cxn ang="0">
                                  <a:pos x="T5" y="T7"/>
                                </a:cxn>
                                <a:cxn ang="0">
                                  <a:pos x="T9" y="T11"/>
                                </a:cxn>
                                <a:cxn ang="0">
                                  <a:pos x="T13" y="T15"/>
                                </a:cxn>
                                <a:cxn ang="0">
                                  <a:pos x="T17" y="T19"/>
                                </a:cxn>
                              </a:cxnLst>
                              <a:rect l="0" t="0" r="r" b="b"/>
                              <a:pathLst>
                                <a:path w="11225" h="440">
                                  <a:moveTo>
                                    <a:pt x="0" y="440"/>
                                  </a:moveTo>
                                  <a:lnTo>
                                    <a:pt x="11224" y="440"/>
                                  </a:lnTo>
                                  <a:lnTo>
                                    <a:pt x="11224" y="0"/>
                                  </a:lnTo>
                                  <a:lnTo>
                                    <a:pt x="0" y="0"/>
                                  </a:lnTo>
                                  <a:lnTo>
                                    <a:pt x="0" y="440"/>
                                  </a:lnTo>
                                  <a:close/>
                                </a:path>
                              </a:pathLst>
                            </a:custGeom>
                            <a:solidFill>
                              <a:srgbClr val="2F77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17"/>
                        <wpg:cNvGrpSpPr>
                          <a:grpSpLocks/>
                        </wpg:cNvGrpSpPr>
                        <wpg:grpSpPr bwMode="auto">
                          <a:xfrm>
                            <a:off x="509" y="4126"/>
                            <a:ext cx="11225" cy="144"/>
                            <a:chOff x="509" y="4126"/>
                            <a:chExt cx="11225" cy="144"/>
                          </a:xfrm>
                        </wpg:grpSpPr>
                        <wps:wsp>
                          <wps:cNvPr id="28" name="Freeform 18"/>
                          <wps:cNvSpPr>
                            <a:spLocks/>
                          </wps:cNvSpPr>
                          <wps:spPr bwMode="auto">
                            <a:xfrm>
                              <a:off x="509" y="4126"/>
                              <a:ext cx="11225" cy="144"/>
                            </a:xfrm>
                            <a:custGeom>
                              <a:avLst/>
                              <a:gdLst>
                                <a:gd name="T0" fmla="+- 0 509 509"/>
                                <a:gd name="T1" fmla="*/ T0 w 11225"/>
                                <a:gd name="T2" fmla="+- 0 4270 4126"/>
                                <a:gd name="T3" fmla="*/ 4270 h 144"/>
                                <a:gd name="T4" fmla="+- 0 11733 509"/>
                                <a:gd name="T5" fmla="*/ T4 w 11225"/>
                                <a:gd name="T6" fmla="+- 0 4270 4126"/>
                                <a:gd name="T7" fmla="*/ 4270 h 144"/>
                                <a:gd name="T8" fmla="+- 0 11733 509"/>
                                <a:gd name="T9" fmla="*/ T8 w 11225"/>
                                <a:gd name="T10" fmla="+- 0 4126 4126"/>
                                <a:gd name="T11" fmla="*/ 4126 h 144"/>
                                <a:gd name="T12" fmla="+- 0 509 509"/>
                                <a:gd name="T13" fmla="*/ T12 w 11225"/>
                                <a:gd name="T14" fmla="+- 0 4126 4126"/>
                                <a:gd name="T15" fmla="*/ 4126 h 144"/>
                                <a:gd name="T16" fmla="+- 0 509 509"/>
                                <a:gd name="T17" fmla="*/ T16 w 11225"/>
                                <a:gd name="T18" fmla="+- 0 4270 4126"/>
                                <a:gd name="T19" fmla="*/ 4270 h 144"/>
                              </a:gdLst>
                              <a:ahLst/>
                              <a:cxnLst>
                                <a:cxn ang="0">
                                  <a:pos x="T1" y="T3"/>
                                </a:cxn>
                                <a:cxn ang="0">
                                  <a:pos x="T5" y="T7"/>
                                </a:cxn>
                                <a:cxn ang="0">
                                  <a:pos x="T9" y="T11"/>
                                </a:cxn>
                                <a:cxn ang="0">
                                  <a:pos x="T13" y="T15"/>
                                </a:cxn>
                                <a:cxn ang="0">
                                  <a:pos x="T17" y="T19"/>
                                </a:cxn>
                              </a:cxnLst>
                              <a:rect l="0" t="0" r="r" b="b"/>
                              <a:pathLst>
                                <a:path w="11225" h="144">
                                  <a:moveTo>
                                    <a:pt x="0" y="144"/>
                                  </a:moveTo>
                                  <a:lnTo>
                                    <a:pt x="11224" y="144"/>
                                  </a:lnTo>
                                  <a:lnTo>
                                    <a:pt x="11224" y="0"/>
                                  </a:lnTo>
                                  <a:lnTo>
                                    <a:pt x="0" y="0"/>
                                  </a:lnTo>
                                  <a:lnTo>
                                    <a:pt x="0" y="144"/>
                                  </a:lnTo>
                                  <a:close/>
                                </a:path>
                              </a:pathLst>
                            </a:custGeom>
                            <a:solidFill>
                              <a:srgbClr val="2F77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9"/>
                        <wpg:cNvGrpSpPr>
                          <a:grpSpLocks/>
                        </wpg:cNvGrpSpPr>
                        <wpg:grpSpPr bwMode="auto">
                          <a:xfrm>
                            <a:off x="509" y="5571"/>
                            <a:ext cx="11225" cy="144"/>
                            <a:chOff x="509" y="5571"/>
                            <a:chExt cx="11225" cy="144"/>
                          </a:xfrm>
                        </wpg:grpSpPr>
                        <wps:wsp>
                          <wps:cNvPr id="32" name="Freeform 20"/>
                          <wps:cNvSpPr>
                            <a:spLocks/>
                          </wps:cNvSpPr>
                          <wps:spPr bwMode="auto">
                            <a:xfrm>
                              <a:off x="509" y="5571"/>
                              <a:ext cx="11225" cy="144"/>
                            </a:xfrm>
                            <a:custGeom>
                              <a:avLst/>
                              <a:gdLst>
                                <a:gd name="T0" fmla="+- 0 509 509"/>
                                <a:gd name="T1" fmla="*/ T0 w 11225"/>
                                <a:gd name="T2" fmla="+- 0 5715 5571"/>
                                <a:gd name="T3" fmla="*/ 5715 h 144"/>
                                <a:gd name="T4" fmla="+- 0 11733 509"/>
                                <a:gd name="T5" fmla="*/ T4 w 11225"/>
                                <a:gd name="T6" fmla="+- 0 5715 5571"/>
                                <a:gd name="T7" fmla="*/ 5715 h 144"/>
                                <a:gd name="T8" fmla="+- 0 11733 509"/>
                                <a:gd name="T9" fmla="*/ T8 w 11225"/>
                                <a:gd name="T10" fmla="+- 0 5571 5571"/>
                                <a:gd name="T11" fmla="*/ 5571 h 144"/>
                                <a:gd name="T12" fmla="+- 0 509 509"/>
                                <a:gd name="T13" fmla="*/ T12 w 11225"/>
                                <a:gd name="T14" fmla="+- 0 5571 5571"/>
                                <a:gd name="T15" fmla="*/ 5571 h 144"/>
                                <a:gd name="T16" fmla="+- 0 509 509"/>
                                <a:gd name="T17" fmla="*/ T16 w 11225"/>
                                <a:gd name="T18" fmla="+- 0 5715 5571"/>
                                <a:gd name="T19" fmla="*/ 5715 h 144"/>
                              </a:gdLst>
                              <a:ahLst/>
                              <a:cxnLst>
                                <a:cxn ang="0">
                                  <a:pos x="T1" y="T3"/>
                                </a:cxn>
                                <a:cxn ang="0">
                                  <a:pos x="T5" y="T7"/>
                                </a:cxn>
                                <a:cxn ang="0">
                                  <a:pos x="T9" y="T11"/>
                                </a:cxn>
                                <a:cxn ang="0">
                                  <a:pos x="T13" y="T15"/>
                                </a:cxn>
                                <a:cxn ang="0">
                                  <a:pos x="T17" y="T19"/>
                                </a:cxn>
                              </a:cxnLst>
                              <a:rect l="0" t="0" r="r" b="b"/>
                              <a:pathLst>
                                <a:path w="11225" h="144">
                                  <a:moveTo>
                                    <a:pt x="0" y="144"/>
                                  </a:moveTo>
                                  <a:lnTo>
                                    <a:pt x="11224" y="144"/>
                                  </a:lnTo>
                                  <a:lnTo>
                                    <a:pt x="11224" y="0"/>
                                  </a:lnTo>
                                  <a:lnTo>
                                    <a:pt x="0" y="0"/>
                                  </a:lnTo>
                                  <a:lnTo>
                                    <a:pt x="0" y="144"/>
                                  </a:lnTo>
                                  <a:close/>
                                </a:path>
                              </a:pathLst>
                            </a:custGeom>
                            <a:solidFill>
                              <a:srgbClr val="2F77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1"/>
                        <wpg:cNvGrpSpPr>
                          <a:grpSpLocks/>
                        </wpg:cNvGrpSpPr>
                        <wpg:grpSpPr bwMode="auto">
                          <a:xfrm>
                            <a:off x="509" y="5715"/>
                            <a:ext cx="2" cy="269"/>
                            <a:chOff x="509" y="5715"/>
                            <a:chExt cx="2" cy="269"/>
                          </a:xfrm>
                        </wpg:grpSpPr>
                        <wps:wsp>
                          <wps:cNvPr id="34" name="Freeform 22"/>
                          <wps:cNvSpPr>
                            <a:spLocks/>
                          </wps:cNvSpPr>
                          <wps:spPr bwMode="auto">
                            <a:xfrm>
                              <a:off x="509" y="5715"/>
                              <a:ext cx="2" cy="269"/>
                            </a:xfrm>
                            <a:custGeom>
                              <a:avLst/>
                              <a:gdLst>
                                <a:gd name="T0" fmla="+- 0 5984 5715"/>
                                <a:gd name="T1" fmla="*/ 5984 h 269"/>
                                <a:gd name="T2" fmla="+- 0 5715 5715"/>
                                <a:gd name="T3" fmla="*/ 5715 h 269"/>
                                <a:gd name="T4" fmla="+- 0 5984 5715"/>
                                <a:gd name="T5" fmla="*/ 5984 h 269"/>
                              </a:gdLst>
                              <a:ahLst/>
                              <a:cxnLst>
                                <a:cxn ang="0">
                                  <a:pos x="0" y="T1"/>
                                </a:cxn>
                                <a:cxn ang="0">
                                  <a:pos x="0" y="T3"/>
                                </a:cxn>
                                <a:cxn ang="0">
                                  <a:pos x="0" y="T5"/>
                                </a:cxn>
                              </a:cxnLst>
                              <a:rect l="0" t="0" r="r" b="b"/>
                              <a:pathLst>
                                <a:path h="269">
                                  <a:moveTo>
                                    <a:pt x="0" y="269"/>
                                  </a:moveTo>
                                  <a:lnTo>
                                    <a:pt x="0" y="0"/>
                                  </a:lnTo>
                                  <a:lnTo>
                                    <a:pt x="0" y="269"/>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 name="Freeform 24"/>
                        <wps:cNvSpPr>
                          <a:spLocks/>
                        </wps:cNvSpPr>
                        <wps:spPr bwMode="auto">
                          <a:xfrm>
                            <a:off x="509" y="5715"/>
                            <a:ext cx="11225" cy="269"/>
                          </a:xfrm>
                          <a:custGeom>
                            <a:avLst/>
                            <a:gdLst>
                              <a:gd name="T0" fmla="+- 0 509 509"/>
                              <a:gd name="T1" fmla="*/ T0 w 11225"/>
                              <a:gd name="T2" fmla="+- 0 5984 5715"/>
                              <a:gd name="T3" fmla="*/ 5984 h 269"/>
                              <a:gd name="T4" fmla="+- 0 11733 509"/>
                              <a:gd name="T5" fmla="*/ T4 w 11225"/>
                              <a:gd name="T6" fmla="+- 0 5984 5715"/>
                              <a:gd name="T7" fmla="*/ 5984 h 269"/>
                              <a:gd name="T8" fmla="+- 0 11733 509"/>
                              <a:gd name="T9" fmla="*/ T8 w 11225"/>
                              <a:gd name="T10" fmla="+- 0 5715 5715"/>
                              <a:gd name="T11" fmla="*/ 5715 h 269"/>
                              <a:gd name="T12" fmla="+- 0 509 509"/>
                              <a:gd name="T13" fmla="*/ T12 w 11225"/>
                              <a:gd name="T14" fmla="+- 0 5715 5715"/>
                              <a:gd name="T15" fmla="*/ 5715 h 269"/>
                              <a:gd name="T16" fmla="+- 0 509 509"/>
                              <a:gd name="T17" fmla="*/ T16 w 11225"/>
                              <a:gd name="T18" fmla="+- 0 5984 5715"/>
                              <a:gd name="T19" fmla="*/ 5984 h 269"/>
                            </a:gdLst>
                            <a:ahLst/>
                            <a:cxnLst>
                              <a:cxn ang="0">
                                <a:pos x="T1" y="T3"/>
                              </a:cxn>
                              <a:cxn ang="0">
                                <a:pos x="T5" y="T7"/>
                              </a:cxn>
                              <a:cxn ang="0">
                                <a:pos x="T9" y="T11"/>
                              </a:cxn>
                              <a:cxn ang="0">
                                <a:pos x="T13" y="T15"/>
                              </a:cxn>
                              <a:cxn ang="0">
                                <a:pos x="T17" y="T19"/>
                              </a:cxn>
                            </a:cxnLst>
                            <a:rect l="0" t="0" r="r" b="b"/>
                            <a:pathLst>
                              <a:path w="11225" h="269">
                                <a:moveTo>
                                  <a:pt x="0" y="269"/>
                                </a:moveTo>
                                <a:lnTo>
                                  <a:pt x="11224" y="269"/>
                                </a:lnTo>
                                <a:lnTo>
                                  <a:pt x="11224" y="0"/>
                                </a:lnTo>
                                <a:lnTo>
                                  <a:pt x="0" y="0"/>
                                </a:lnTo>
                                <a:lnTo>
                                  <a:pt x="0" y="269"/>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 name="Group 26"/>
                        <wpg:cNvGrpSpPr>
                          <a:grpSpLocks/>
                        </wpg:cNvGrpSpPr>
                        <wpg:grpSpPr bwMode="auto">
                          <a:xfrm>
                            <a:off x="486" y="489"/>
                            <a:ext cx="11242" cy="14870"/>
                            <a:chOff x="486" y="489"/>
                            <a:chExt cx="11242" cy="14870"/>
                          </a:xfrm>
                        </wpg:grpSpPr>
                        <wps:wsp>
                          <wps:cNvPr id="39" name="Freeform 27"/>
                          <wps:cNvSpPr>
                            <a:spLocks/>
                          </wps:cNvSpPr>
                          <wps:spPr bwMode="auto">
                            <a:xfrm>
                              <a:off x="486" y="489"/>
                              <a:ext cx="11242" cy="14870"/>
                            </a:xfrm>
                            <a:custGeom>
                              <a:avLst/>
                              <a:gdLst>
                                <a:gd name="T0" fmla="+- 0 486 486"/>
                                <a:gd name="T1" fmla="*/ T0 w 11242"/>
                                <a:gd name="T2" fmla="+- 0 878 489"/>
                                <a:gd name="T3" fmla="*/ 878 h 14870"/>
                                <a:gd name="T4" fmla="+- 0 491 486"/>
                                <a:gd name="T5" fmla="*/ T4 w 11242"/>
                                <a:gd name="T6" fmla="+- 0 815 489"/>
                                <a:gd name="T7" fmla="*/ 815 h 14870"/>
                                <a:gd name="T8" fmla="+- 0 506 486"/>
                                <a:gd name="T9" fmla="*/ T8 w 11242"/>
                                <a:gd name="T10" fmla="+- 0 755 489"/>
                                <a:gd name="T11" fmla="*/ 755 h 14870"/>
                                <a:gd name="T12" fmla="+- 0 529 486"/>
                                <a:gd name="T13" fmla="*/ T12 w 11242"/>
                                <a:gd name="T14" fmla="+- 0 699 489"/>
                                <a:gd name="T15" fmla="*/ 699 h 14870"/>
                                <a:gd name="T16" fmla="+- 0 561 486"/>
                                <a:gd name="T17" fmla="*/ T16 w 11242"/>
                                <a:gd name="T18" fmla="+- 0 648 489"/>
                                <a:gd name="T19" fmla="*/ 648 h 14870"/>
                                <a:gd name="T20" fmla="+- 0 622 486"/>
                                <a:gd name="T21" fmla="*/ T20 w 11242"/>
                                <a:gd name="T22" fmla="+- 0 583 489"/>
                                <a:gd name="T23" fmla="*/ 583 h 14870"/>
                                <a:gd name="T24" fmla="+- 0 696 486"/>
                                <a:gd name="T25" fmla="*/ T24 w 11242"/>
                                <a:gd name="T26" fmla="+- 0 532 489"/>
                                <a:gd name="T27" fmla="*/ 532 h 14870"/>
                                <a:gd name="T28" fmla="+- 0 752 486"/>
                                <a:gd name="T29" fmla="*/ T28 w 11242"/>
                                <a:gd name="T30" fmla="+- 0 509 489"/>
                                <a:gd name="T31" fmla="*/ 509 h 14870"/>
                                <a:gd name="T32" fmla="+- 0 812 486"/>
                                <a:gd name="T33" fmla="*/ T32 w 11242"/>
                                <a:gd name="T34" fmla="+- 0 494 489"/>
                                <a:gd name="T35" fmla="*/ 494 h 14870"/>
                                <a:gd name="T36" fmla="+- 0 875 486"/>
                                <a:gd name="T37" fmla="*/ T36 w 11242"/>
                                <a:gd name="T38" fmla="+- 0 489 489"/>
                                <a:gd name="T39" fmla="*/ 489 h 14870"/>
                                <a:gd name="T40" fmla="+- 0 11339 486"/>
                                <a:gd name="T41" fmla="*/ T40 w 11242"/>
                                <a:gd name="T42" fmla="+- 0 489 489"/>
                                <a:gd name="T43" fmla="*/ 489 h 14870"/>
                                <a:gd name="T44" fmla="+- 0 11402 486"/>
                                <a:gd name="T45" fmla="*/ T44 w 11242"/>
                                <a:gd name="T46" fmla="+- 0 494 489"/>
                                <a:gd name="T47" fmla="*/ 494 h 14870"/>
                                <a:gd name="T48" fmla="+- 0 11462 486"/>
                                <a:gd name="T49" fmla="*/ T48 w 11242"/>
                                <a:gd name="T50" fmla="+- 0 509 489"/>
                                <a:gd name="T51" fmla="*/ 509 h 14870"/>
                                <a:gd name="T52" fmla="+- 0 11518 486"/>
                                <a:gd name="T53" fmla="*/ T52 w 11242"/>
                                <a:gd name="T54" fmla="+- 0 532 489"/>
                                <a:gd name="T55" fmla="*/ 532 h 14870"/>
                                <a:gd name="T56" fmla="+- 0 11569 486"/>
                                <a:gd name="T57" fmla="*/ T56 w 11242"/>
                                <a:gd name="T58" fmla="+- 0 564 489"/>
                                <a:gd name="T59" fmla="*/ 564 h 14870"/>
                                <a:gd name="T60" fmla="+- 0 11634 486"/>
                                <a:gd name="T61" fmla="*/ T60 w 11242"/>
                                <a:gd name="T62" fmla="+- 0 625 489"/>
                                <a:gd name="T63" fmla="*/ 625 h 14870"/>
                                <a:gd name="T64" fmla="+- 0 11685 486"/>
                                <a:gd name="T65" fmla="*/ T64 w 11242"/>
                                <a:gd name="T66" fmla="+- 0 699 489"/>
                                <a:gd name="T67" fmla="*/ 699 h 14870"/>
                                <a:gd name="T68" fmla="+- 0 11708 486"/>
                                <a:gd name="T69" fmla="*/ T68 w 11242"/>
                                <a:gd name="T70" fmla="+- 0 755 489"/>
                                <a:gd name="T71" fmla="*/ 755 h 14870"/>
                                <a:gd name="T72" fmla="+- 0 11723 486"/>
                                <a:gd name="T73" fmla="*/ T72 w 11242"/>
                                <a:gd name="T74" fmla="+- 0 815 489"/>
                                <a:gd name="T75" fmla="*/ 815 h 14870"/>
                                <a:gd name="T76" fmla="+- 0 11728 486"/>
                                <a:gd name="T77" fmla="*/ T76 w 11242"/>
                                <a:gd name="T78" fmla="+- 0 878 489"/>
                                <a:gd name="T79" fmla="*/ 878 h 14870"/>
                                <a:gd name="T80" fmla="+- 0 11728 486"/>
                                <a:gd name="T81" fmla="*/ T80 w 11242"/>
                                <a:gd name="T82" fmla="+- 0 14970 489"/>
                                <a:gd name="T83" fmla="*/ 14970 h 14870"/>
                                <a:gd name="T84" fmla="+- 0 11723 486"/>
                                <a:gd name="T85" fmla="*/ T84 w 11242"/>
                                <a:gd name="T86" fmla="+- 0 15033 489"/>
                                <a:gd name="T87" fmla="*/ 15033 h 14870"/>
                                <a:gd name="T88" fmla="+- 0 11708 486"/>
                                <a:gd name="T89" fmla="*/ T88 w 11242"/>
                                <a:gd name="T90" fmla="+- 0 15093 489"/>
                                <a:gd name="T91" fmla="*/ 15093 h 14870"/>
                                <a:gd name="T92" fmla="+- 0 11685 486"/>
                                <a:gd name="T93" fmla="*/ T92 w 11242"/>
                                <a:gd name="T94" fmla="+- 0 15149 489"/>
                                <a:gd name="T95" fmla="*/ 15149 h 14870"/>
                                <a:gd name="T96" fmla="+- 0 11653 486"/>
                                <a:gd name="T97" fmla="*/ T96 w 11242"/>
                                <a:gd name="T98" fmla="+- 0 15200 489"/>
                                <a:gd name="T99" fmla="*/ 15200 h 14870"/>
                                <a:gd name="T100" fmla="+- 0 11592 486"/>
                                <a:gd name="T101" fmla="*/ T100 w 11242"/>
                                <a:gd name="T102" fmla="+- 0 15265 489"/>
                                <a:gd name="T103" fmla="*/ 15265 h 14870"/>
                                <a:gd name="T104" fmla="+- 0 11518 486"/>
                                <a:gd name="T105" fmla="*/ T104 w 11242"/>
                                <a:gd name="T106" fmla="+- 0 15316 489"/>
                                <a:gd name="T107" fmla="*/ 15316 h 14870"/>
                                <a:gd name="T108" fmla="+- 0 11462 486"/>
                                <a:gd name="T109" fmla="*/ T108 w 11242"/>
                                <a:gd name="T110" fmla="+- 0 15339 489"/>
                                <a:gd name="T111" fmla="*/ 15339 h 14870"/>
                                <a:gd name="T112" fmla="+- 0 11402 486"/>
                                <a:gd name="T113" fmla="*/ T112 w 11242"/>
                                <a:gd name="T114" fmla="+- 0 15354 489"/>
                                <a:gd name="T115" fmla="*/ 15354 h 14870"/>
                                <a:gd name="T116" fmla="+- 0 11339 486"/>
                                <a:gd name="T117" fmla="*/ T116 w 11242"/>
                                <a:gd name="T118" fmla="+- 0 15359 489"/>
                                <a:gd name="T119" fmla="*/ 15359 h 14870"/>
                                <a:gd name="T120" fmla="+- 0 875 486"/>
                                <a:gd name="T121" fmla="*/ T120 w 11242"/>
                                <a:gd name="T122" fmla="+- 0 15359 489"/>
                                <a:gd name="T123" fmla="*/ 15359 h 14870"/>
                                <a:gd name="T124" fmla="+- 0 812 486"/>
                                <a:gd name="T125" fmla="*/ T124 w 11242"/>
                                <a:gd name="T126" fmla="+- 0 15354 489"/>
                                <a:gd name="T127" fmla="*/ 15354 h 14870"/>
                                <a:gd name="T128" fmla="+- 0 752 486"/>
                                <a:gd name="T129" fmla="*/ T128 w 11242"/>
                                <a:gd name="T130" fmla="+- 0 15339 489"/>
                                <a:gd name="T131" fmla="*/ 15339 h 14870"/>
                                <a:gd name="T132" fmla="+- 0 696 486"/>
                                <a:gd name="T133" fmla="*/ T132 w 11242"/>
                                <a:gd name="T134" fmla="+- 0 15316 489"/>
                                <a:gd name="T135" fmla="*/ 15316 h 14870"/>
                                <a:gd name="T136" fmla="+- 0 645 486"/>
                                <a:gd name="T137" fmla="*/ T136 w 11242"/>
                                <a:gd name="T138" fmla="+- 0 15284 489"/>
                                <a:gd name="T139" fmla="*/ 15284 h 14870"/>
                                <a:gd name="T140" fmla="+- 0 580 486"/>
                                <a:gd name="T141" fmla="*/ T140 w 11242"/>
                                <a:gd name="T142" fmla="+- 0 15223 489"/>
                                <a:gd name="T143" fmla="*/ 15223 h 14870"/>
                                <a:gd name="T144" fmla="+- 0 529 486"/>
                                <a:gd name="T145" fmla="*/ T144 w 11242"/>
                                <a:gd name="T146" fmla="+- 0 15149 489"/>
                                <a:gd name="T147" fmla="*/ 15149 h 14870"/>
                                <a:gd name="T148" fmla="+- 0 506 486"/>
                                <a:gd name="T149" fmla="*/ T148 w 11242"/>
                                <a:gd name="T150" fmla="+- 0 15093 489"/>
                                <a:gd name="T151" fmla="*/ 15093 h 14870"/>
                                <a:gd name="T152" fmla="+- 0 491 486"/>
                                <a:gd name="T153" fmla="*/ T152 w 11242"/>
                                <a:gd name="T154" fmla="+- 0 15033 489"/>
                                <a:gd name="T155" fmla="*/ 15033 h 14870"/>
                                <a:gd name="T156" fmla="+- 0 486 486"/>
                                <a:gd name="T157" fmla="*/ T156 w 11242"/>
                                <a:gd name="T158" fmla="+- 0 14970 489"/>
                                <a:gd name="T159" fmla="*/ 14970 h 14870"/>
                                <a:gd name="T160" fmla="+- 0 486 486"/>
                                <a:gd name="T161" fmla="*/ T160 w 11242"/>
                                <a:gd name="T162" fmla="+- 0 878 489"/>
                                <a:gd name="T163" fmla="*/ 878 h 14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242" h="14870">
                                  <a:moveTo>
                                    <a:pt x="0" y="389"/>
                                  </a:moveTo>
                                  <a:lnTo>
                                    <a:pt x="5" y="326"/>
                                  </a:lnTo>
                                  <a:lnTo>
                                    <a:pt x="20" y="266"/>
                                  </a:lnTo>
                                  <a:lnTo>
                                    <a:pt x="43" y="210"/>
                                  </a:lnTo>
                                  <a:lnTo>
                                    <a:pt x="75" y="159"/>
                                  </a:lnTo>
                                  <a:lnTo>
                                    <a:pt x="136" y="94"/>
                                  </a:lnTo>
                                  <a:lnTo>
                                    <a:pt x="210" y="43"/>
                                  </a:lnTo>
                                  <a:lnTo>
                                    <a:pt x="266" y="20"/>
                                  </a:lnTo>
                                  <a:lnTo>
                                    <a:pt x="326" y="5"/>
                                  </a:lnTo>
                                  <a:lnTo>
                                    <a:pt x="389" y="0"/>
                                  </a:lnTo>
                                  <a:lnTo>
                                    <a:pt x="10853" y="0"/>
                                  </a:lnTo>
                                  <a:lnTo>
                                    <a:pt x="10916" y="5"/>
                                  </a:lnTo>
                                  <a:lnTo>
                                    <a:pt x="10976" y="20"/>
                                  </a:lnTo>
                                  <a:lnTo>
                                    <a:pt x="11032" y="43"/>
                                  </a:lnTo>
                                  <a:lnTo>
                                    <a:pt x="11083" y="75"/>
                                  </a:lnTo>
                                  <a:lnTo>
                                    <a:pt x="11148" y="136"/>
                                  </a:lnTo>
                                  <a:lnTo>
                                    <a:pt x="11199" y="210"/>
                                  </a:lnTo>
                                  <a:lnTo>
                                    <a:pt x="11222" y="266"/>
                                  </a:lnTo>
                                  <a:lnTo>
                                    <a:pt x="11237" y="326"/>
                                  </a:lnTo>
                                  <a:lnTo>
                                    <a:pt x="11242" y="389"/>
                                  </a:lnTo>
                                  <a:lnTo>
                                    <a:pt x="11242" y="14481"/>
                                  </a:lnTo>
                                  <a:lnTo>
                                    <a:pt x="11237" y="14544"/>
                                  </a:lnTo>
                                  <a:lnTo>
                                    <a:pt x="11222" y="14604"/>
                                  </a:lnTo>
                                  <a:lnTo>
                                    <a:pt x="11199" y="14660"/>
                                  </a:lnTo>
                                  <a:lnTo>
                                    <a:pt x="11167" y="14711"/>
                                  </a:lnTo>
                                  <a:lnTo>
                                    <a:pt x="11106" y="14776"/>
                                  </a:lnTo>
                                  <a:lnTo>
                                    <a:pt x="11032" y="14827"/>
                                  </a:lnTo>
                                  <a:lnTo>
                                    <a:pt x="10976" y="14850"/>
                                  </a:lnTo>
                                  <a:lnTo>
                                    <a:pt x="10916" y="14865"/>
                                  </a:lnTo>
                                  <a:lnTo>
                                    <a:pt x="10853" y="14870"/>
                                  </a:lnTo>
                                  <a:lnTo>
                                    <a:pt x="389" y="14870"/>
                                  </a:lnTo>
                                  <a:lnTo>
                                    <a:pt x="326" y="14865"/>
                                  </a:lnTo>
                                  <a:lnTo>
                                    <a:pt x="266" y="14850"/>
                                  </a:lnTo>
                                  <a:lnTo>
                                    <a:pt x="210" y="14827"/>
                                  </a:lnTo>
                                  <a:lnTo>
                                    <a:pt x="159" y="14795"/>
                                  </a:lnTo>
                                  <a:lnTo>
                                    <a:pt x="94" y="14734"/>
                                  </a:lnTo>
                                  <a:lnTo>
                                    <a:pt x="43" y="14660"/>
                                  </a:lnTo>
                                  <a:lnTo>
                                    <a:pt x="20" y="14604"/>
                                  </a:lnTo>
                                  <a:lnTo>
                                    <a:pt x="5" y="14544"/>
                                  </a:lnTo>
                                  <a:lnTo>
                                    <a:pt x="0" y="14481"/>
                                  </a:lnTo>
                                  <a:lnTo>
                                    <a:pt x="0" y="38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alt="Title: Title Page - Description: Title page color box" style="position:absolute;margin-left:25.95pt;margin-top:30.2pt;width:562.4pt;height:743.5pt;z-index:-251653120;mso-position-horizontal-relative:page;mso-position-vertical-relative:page" coordorigin="486,489" coordsize="11248,1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">
                <v:group id="Group 3" o:spid="_x0000_s1027" style="position:absolute;left:509;top:3857;width:2;height:269" coordorigin="509,3857" coordsize="2,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509;top:3857;width:2;height:269;visibility:visible;mso-wrap-style:square;v-text-anchor:top" coordsize="2,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DIe8UA&#10;AADaAAAADwAAAGRycy9kb3ducmV2LnhtbESPQWvCQBSE70L/w/IKvemmpRaJrhICFclBbCyhx2f2&#10;mYRm34bsNkn/vVsoeBxm5htms5tMKwbqXWNZwfMiAkFcWt1wpeDz/D5fgXAeWWNrmRT8koPd9mG2&#10;wVjbkT9oyH0lAoRdjApq77tYSlfWZNAtbEccvKvtDfog+0rqHscAN618iaI3abDhsFBjR2lN5Xf+&#10;YxRcDtm+SI5Zmdrm9ZIV4/7rdC6UenqckjUIT5O/h//bB61gCX9Xwg2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Mh7xQAAANoAAAAPAAAAAAAAAAAAAAAAAJgCAABkcnMv&#10;ZG93bnJldi54bWxQSwUGAAAAAAQABAD1AAAAigMAAAAA&#10;" path="m,269l,,,269xe" fillcolor="#d9e1f3" stroked="f">
                    <v:path arrowok="t" o:connecttype="custom" o:connectlocs="0,4126;0,3857;0,4126" o:connectangles="0,0,0"/>
                  </v:shape>
                </v:group>
                <v:group id="Group 5" o:spid="_x0000_s1029" style="position:absolute;left:509;top:3857;width:11225;height:269" coordorigin="509,3857" coordsize="1122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30" style="position:absolute;left:509;top:3857;width:11225;height:269;visibility:visible;mso-wrap-style:square;v-text-anchor:top" coordsize="1122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W6n8AA&#10;AADbAAAADwAAAGRycy9kb3ducmV2LnhtbERP22oCMRB9L/gPYQRfimYrWHQ1ihSkRUpp1Q8YkjEb&#10;3EyWTepu/94UBN/mcK6z2vS+Fldqowus4GVSgCDWwTi2Ck7H3XgOIiZkg3VgUvBHETbrwdMKSxM6&#10;/qHrIVmRQziWqKBKqSmljLoij3ESGuLMnUPrMWXYWmla7HK4r+W0KF6lR8e5ocKG3irSl8OvV/B+&#10;sbvv7kvvn8lGR04v9vWnUWo07LdLEIn69BDf3R8mz5/B/y/5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W6n8AAAADbAAAADwAAAAAAAAAAAAAAAACYAgAAZHJzL2Rvd25y&#10;ZXYueG1sUEsFBgAAAAAEAAQA9QAAAIUDAAAAAA==&#10;" path="m,269r11224,l11224,,,,,269xe" fillcolor="#d9e1f3" stroked="f">
                    <v:path arrowok="t" o:connecttype="custom" o:connectlocs="0,4126;11224,4126;11224,3857;0,3857;0,4126" o:connectangles="0,0,0,0,0"/>
                  </v:shape>
                </v:group>
                <v:group id="Group 7" o:spid="_x0000_s1031" style="position:absolute;left:509;top:4270;width:11225;height:41" coordorigin="509,4270" coordsize="1122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8" o:spid="_x0000_s1032" style="position:absolute;left:509;top:4270;width:11225;height:41;visibility:visible;mso-wrap-style:square;v-text-anchor:top" coordsize="112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Zk7wA&#10;AADbAAAADwAAAGRycy9kb3ducmV2LnhtbERPSwrCMBDdC94hjOBGNFWwajWKiIIrwc8BhmZsi82k&#10;NLHW2xtBcDeP953VpjWlaKh2hWUF41EEgji1uuBMwe16GM5BOI+ssbRMCt7kYLPudlaYaPviMzUX&#10;n4kQwi5BBbn3VSKlS3My6Ea2Ig7c3dYGfYB1JnWNrxBuSjmJolgaLDg05FjRLqf0cXkaBXraTC3Z&#10;xX4QP/cYn2R8ozEq1e+12yUIT63/i3/uow7zZ/D9JRwg1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9lmTvAAAANsAAAAPAAAAAAAAAAAAAAAAAJgCAABkcnMvZG93bnJldi54&#10;bWxQSwUGAAAAAAQABAD1AAAAgQMAAAAA&#10;" path="m,41r11224,l11224,,,,,41xe" fillcolor="#2f777d" stroked="f">
                    <v:path arrowok="t" o:connecttype="custom" o:connectlocs="0,4311;11224,4311;11224,4270;0,4270;0,4311" o:connectangles="0,0,0,0,0"/>
                  </v:shape>
                </v:group>
                <v:group id="Group 9" o:spid="_x0000_s1033" style="position:absolute;left:509;top:4311;width:11225;height:389" coordorigin="509,4311" coordsize="11225,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 o:spid="_x0000_s1034" style="position:absolute;left:509;top:4311;width:11225;height:389;visibility:visible;mso-wrap-style:square;v-text-anchor:top" coordsize="11225,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MQA&#10;AADbAAAADwAAAGRycy9kb3ducmV2LnhtbESPQWsCMRCF7wX/QxjBW80qxdqtUUQsKKigFcHbsJnu&#10;Lm4mSxLd9d8boeBthvfmfW8ms9ZU4kbOl5YVDPoJCOLM6pJzBcffn/cxCB+QNVaWScGdPMymnbcJ&#10;pto2vKfbIeQihrBPUUERQp1K6bOCDPq+rYmj9medwRBXl0vtsInhppLDJBlJgyVHQoE1LQrKLoer&#10;iRC3a7bnzafbrU+jdY7Lj+vmbJXqddv5N4hAbXiZ/69XOtb/gucvcQ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4lvjEAAAA2wAAAA8AAAAAAAAAAAAAAAAAmAIAAGRycy9k&#10;b3ducmV2LnhtbFBLBQYAAAAABAAEAPUAAACJAwAAAAA=&#10;" path="m,389r11224,l11224,,,,,389xe" fillcolor="#2f777d" stroked="f">
                    <v:path arrowok="t" o:connecttype="custom" o:connectlocs="0,4700;11224,4700;11224,4311;0,4311;0,4700" o:connectangles="0,0,0,0,0"/>
                  </v:shape>
                </v:group>
                <v:group id="Group 11" o:spid="_x0000_s1035" style="position:absolute;left:509;top:4700;width:11225;height:392" coordorigin="509,4700" coordsize="11225,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2" o:spid="_x0000_s1036" style="position:absolute;left:509;top:4700;width:11225;height:392;visibility:visible;mso-wrap-style:square;v-text-anchor:top" coordsize="11225,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Ii3MQA&#10;AADbAAAADwAAAGRycy9kb3ducmV2LnhtbESPT2vCQBTE7wW/w/IEb3XjHmyJboIKUg8ttP65P7LP&#10;JJp9G7Jbk/rpu4WCx2FmfsMs88E24kadrx1rmE0TEMSFMzWXGo6H7fMrCB+QDTaOScMPeciz0dMS&#10;U+N6/qLbPpQiQtinqKEKoU2l9EVFFv3UtcTRO7vOYoiyK6XpsI9w20iVJHNpsea4UGFLm4qK6/7b&#10;arir0ye5Zn2eve36VfnycX+/qIPWk/GwWoAINIRH+L+9MxqUg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yItzEAAAA2wAAAA8AAAAAAAAAAAAAAAAAmAIAAGRycy9k&#10;b3ducmV2LnhtbFBLBQYAAAAABAAEAPUAAACJAwAAAAA=&#10;" path="m,391r11224,l11224,,,,,391xe" fillcolor="#2f777d" stroked="f">
                    <v:path arrowok="t" o:connecttype="custom" o:connectlocs="0,5091;11224,5091;11224,4700;0,4700;0,5091" o:connectangles="0,0,0,0,0"/>
                  </v:shape>
                </v:group>
                <v:group id="Group 13" o:spid="_x0000_s1037" style="position:absolute;left:509;top:5531;width:11225;height:41" coordorigin="509,5531" coordsize="1122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4" o:spid="_x0000_s1038" style="position:absolute;left:509;top:5531;width:11225;height:41;visibility:visible;mso-wrap-style:square;v-text-anchor:top" coordsize="112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NWb4A&#10;AADbAAAADwAAAGRycy9kb3ducmV2LnhtbESPzQrCMBCE74LvEFbwIpoqWrQaRUTBk+DPAyzN2hab&#10;TWlirW9vBMHjMDPfMKtNa0rRUO0KywrGowgEcWp1wZmC2/UwnINwHlljaZkUvMnBZt3trDDR9sVn&#10;ai4+EwHCLkEFufdVIqVLczLoRrYiDt7d1gZ9kHUmdY2vADelnERRLA0WHBZyrGiXU/q4PI0CPWtm&#10;luxiP4ife4xPMr7RGJXq99rtEoSn1v/Dv/ZRK5hM4fsl/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IDVm+AAAA2wAAAA8AAAAAAAAAAAAAAAAAmAIAAGRycy9kb3ducmV2&#10;LnhtbFBLBQYAAAAABAAEAPUAAACDAwAAAAA=&#10;" path="m,40r11224,l11224,,,,,40xe" fillcolor="#2f777d" stroked="f">
                    <v:path arrowok="t" o:connecttype="custom" o:connectlocs="0,5571;11224,5571;11224,5531;0,5531;0,5571" o:connectangles="0,0,0,0,0"/>
                  </v:shape>
                </v:group>
                <v:group id="Group 15" o:spid="_x0000_s1039" style="position:absolute;left:509;top:5091;width:11225;height:440" coordorigin="509,5091" coordsize="11225,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6" o:spid="_x0000_s1040" style="position:absolute;left:509;top:5091;width:11225;height:440;visibility:visible;mso-wrap-style:square;v-text-anchor:top" coordsize="11225,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fScIA&#10;AADbAAAADwAAAGRycy9kb3ducmV2LnhtbESPQYvCMBSE74L/ITxhb5quB5VqFFdQ1Ju1LOzt0Tzb&#10;YvMSmli7/94sLHgcZuYbZrXpTSM6an1tWcHnJAFBXFhdc6kgv+7HCxA+IGtsLJOCX/KwWQ8HK0y1&#10;ffKFuiyUIkLYp6igCsGlUvqiIoN+Yh1x9G62NRiibEupW3xGuGnkNElm0mDNcaFCR7uKinv2MAp+&#10;5vLchwfmycHtv90ly05f3U6pj1G/XYII1Id3+L991AqmM/j7En+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t9JwgAAANsAAAAPAAAAAAAAAAAAAAAAAJgCAABkcnMvZG93&#10;bnJldi54bWxQSwUGAAAAAAQABAD1AAAAhwMAAAAA&#10;" path="m,440r11224,l11224,,,,,440xe" fillcolor="#2f777d" stroked="f">
                    <v:path arrowok="t" o:connecttype="custom" o:connectlocs="0,5531;11224,5531;11224,5091;0,5091;0,5531" o:connectangles="0,0,0,0,0"/>
                  </v:shape>
                </v:group>
                <v:group id="Group 17" o:spid="_x0000_s1041" style="position:absolute;left:509;top:4126;width:11225;height:144" coordorigin="509,4126" coordsize="11225,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8" o:spid="_x0000_s1042" style="position:absolute;left:509;top:4126;width:11225;height:144;visibility:visible;mso-wrap-style:square;v-text-anchor:top" coordsize="1122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6/sIA&#10;AADbAAAADwAAAGRycy9kb3ducmV2LnhtbERPS27CMBDdI3EHa5C6AwdQKxQwEaKt2gWLNnCAUTwk&#10;IfY4xG4IPX29QOry6f032WCN6KnztWMF81kCgrhwuuZSwen4Pl2B8AFZo3FMCu7kIduORxtMtbvx&#10;N/V5KEUMYZ+igiqENpXSFxVZ9DPXEkfu7DqLIcKulLrDWwy3Ri6S5EVarDk2VNjSvqKiyX+sgq/l&#10;fdm3za/ha/789npYmY9LOVfqaTLs1iACDeFf/HB/agWLODZ+i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6zr+wgAAANsAAAAPAAAAAAAAAAAAAAAAAJgCAABkcnMvZG93&#10;bnJldi54bWxQSwUGAAAAAAQABAD1AAAAhwMAAAAA&#10;" path="m,144r11224,l11224,,,,,144xe" fillcolor="#2f777d" stroked="f">
                    <v:path arrowok="t" o:connecttype="custom" o:connectlocs="0,4270;11224,4270;11224,4126;0,4126;0,4270" o:connectangles="0,0,0,0,0"/>
                  </v:shape>
                </v:group>
                <v:group id="Group 19" o:spid="_x0000_s1043" style="position:absolute;left:509;top:5571;width:11225;height:144" coordorigin="509,5571" coordsize="11225,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0" o:spid="_x0000_s1044" style="position:absolute;left:509;top:5571;width:11225;height:144;visibility:visible;mso-wrap-style:square;v-text-anchor:top" coordsize="1122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bycUA&#10;AADbAAAADwAAAGRycy9kb3ducmV2LnhtbESPwW7CMBBE70j8g7WVeiMORFQoxaCKtmoPPUDoB6zi&#10;JQnY6zR2Q+Dra6RKHEcz80azXA/WiJ463zhWME1SEMSl0w1XCr7375MFCB+QNRrHpOBCHtar8WiJ&#10;uXZn3lFfhEpECPscFdQhtLmUvqzJok9cSxy9g+sshii7SuoOzxFujZyl6ZO02HBcqLGlTU3lqfi1&#10;CrbZJevb09XwTzF/e/1amI9jNVXq8WF4eQYRaAj38H/7UyvIZnD7En+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pvJxQAAANsAAAAPAAAAAAAAAAAAAAAAAJgCAABkcnMv&#10;ZG93bnJldi54bWxQSwUGAAAAAAQABAD1AAAAigMAAAAA&#10;" path="m,144r11224,l11224,,,,,144xe" fillcolor="#2f777d" stroked="f">
                    <v:path arrowok="t" o:connecttype="custom" o:connectlocs="0,5715;11224,5715;11224,5571;0,5571;0,5715" o:connectangles="0,0,0,0,0"/>
                  </v:shape>
                </v:group>
                <v:group id="Group 21" o:spid="_x0000_s1045" style="position:absolute;left:509;top:5715;width:2;height:269" coordorigin="509,5715" coordsize="2,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2" o:spid="_x0000_s1046" style="position:absolute;left:509;top:5715;width:2;height:269;visibility:visible;mso-wrap-style:square;v-text-anchor:top" coordsize="2,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OjJMUA&#10;AADbAAAADwAAAGRycy9kb3ducmV2LnhtbESPQWvCQBSE70L/w/IKvemmbSglukoIVCSHYrUEj8/s&#10;Mwlm34bsNkn/vVsoeBxm5htmtZlMKwbqXWNZwfMiAkFcWt1wpeD7+DF/B+E8ssbWMin4JQeb9cNs&#10;hYm2I3/RcPCVCBB2CSqove8SKV1Zk0G3sB1x8C62N+iD7CupexwD3LTyJYrepMGGw0KNHWU1ldfD&#10;j1Fw3uXbIv3My8w28Tkvxu1pfyyUenqc0iUIT5O/h//bO63gNYa/L+EH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6MkxQAAANsAAAAPAAAAAAAAAAAAAAAAAJgCAABkcnMv&#10;ZG93bnJldi54bWxQSwUGAAAAAAQABAD1AAAAigMAAAAA&#10;" path="m,269l,,,269xe" fillcolor="#d9e1f3" stroked="f">
                    <v:path arrowok="t" o:connecttype="custom" o:connectlocs="0,5984;0,5715;0,5984" o:connectangles="0,0,0"/>
                  </v:shape>
                </v:group>
                <v:shape id="Freeform 24" o:spid="_x0000_s1047" style="position:absolute;left:509;top:5715;width:11225;height:269;visibility:visible;mso-wrap-style:square;v-text-anchor:top" coordsize="1122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J4iMIA&#10;AADbAAAADwAAAGRycy9kb3ducmV2LnhtbESP0WoCMRRE3wv+Q7iCL0WzrSB1NYoIUpFSrPoBl+Sa&#10;DW5ulk3qbv++EQp9HGbmDLNc974Wd2qjC6zgZVKAINbBOLYKLufd+A1ETMgG68Ck4IcirFeDpyWW&#10;JnT8RfdTsiJDOJaooEqpKaWMuiKPcRIa4uxdQ+sxZdlaaVrsMtzX8rUoZtKj47xQYUPbivTt9O0V&#10;vN/s7th96sMz2ejI6fmh/jBKjYb9ZgEiUZ/+w3/tvVEwncHjS/4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niIwgAAANsAAAAPAAAAAAAAAAAAAAAAAJgCAABkcnMvZG93&#10;bnJldi54bWxQSwUGAAAAAAQABAD1AAAAhwMAAAAA&#10;" path="m,269r11224,l11224,,,,,269xe" fillcolor="#d9e1f3" stroked="f">
                  <v:path arrowok="t" o:connecttype="custom" o:connectlocs="0,5984;11224,5984;11224,5715;0,5715;0,5984" o:connectangles="0,0,0,0,0"/>
                </v:shape>
                <v:group id="Group 26" o:spid="_x0000_s1048" style="position:absolute;left:486;top:489;width:11242;height:14870" coordorigin="486,489" coordsize="11242,14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7" o:spid="_x0000_s1049" style="position:absolute;left:486;top:489;width:11242;height:14870;visibility:visible;mso-wrap-style:square;v-text-anchor:top" coordsize="11242,1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LsUA&#10;AADbAAAADwAAAGRycy9kb3ducmV2LnhtbESP3WrCQBSE7wt9h+UUelc3GigmupGiFQpVoSri5SF7&#10;8mOzZ0N2q/HtXUHo5TAz3zDTWW8acabO1ZYVDAcRCOLc6ppLBfvd8m0MwnlkjY1lUnAlB7Ps+WmK&#10;qbYX/qHz1pciQNilqKDyvk2ldHlFBt3AtsTBK2xn0AfZlVJ3eAlw08hRFL1LgzWHhQpbmleU/27/&#10;jILTcJksNuvVMeFY7uJNMTp+fh+Uen3pPyYgPPX+P/xof2kFcQL3L+EH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1zAuxQAAANsAAAAPAAAAAAAAAAAAAAAAAJgCAABkcnMv&#10;ZG93bnJldi54bWxQSwUGAAAAAAQABAD1AAAAigMAAAAA&#10;" path="m,389l5,326,20,266,43,210,75,159,136,94,210,43,266,20,326,5,389,,10853,r63,5l10976,20r56,23l11083,75r65,61l11199,210r23,56l11237,326r5,63l11242,14481r-5,63l11222,14604r-23,56l11167,14711r-61,65l11032,14827r-56,23l10916,14865r-63,5l389,14870r-63,-5l266,14850r-56,-23l159,14795r-65,-61l43,14660r-23,-56l5,14544,,14481,,389xe" filled="f">
                    <v:path arrowok="t" o:connecttype="custom" o:connectlocs="0,878;5,815;20,755;43,699;75,648;136,583;210,532;266,509;326,494;389,489;10853,489;10916,494;10976,509;11032,532;11083,564;11148,625;11199,699;11222,755;11237,815;11242,878;11242,14970;11237,15033;11222,15093;11199,15149;11167,15200;11106,15265;11032,15316;10976,15339;10916,15354;10853,15359;389,15359;326,15354;266,15339;210,15316;159,15284;94,15223;43,15149;20,15093;5,15033;0,14970;0,878" o:connectangles="0,0,0,0,0,0,0,0,0,0,0,0,0,0,0,0,0,0,0,0,0,0,0,0,0,0,0,0,0,0,0,0,0,0,0,0,0,0,0,0,0"/>
                  </v:shape>
                </v:group>
                <w10:wrap anchorx="page" anchory="page"/>
              </v:group>
            </w:pict>
          </mc:Fallback>
        </mc:AlternateContent>
      </w:r>
    </w:p>
    <w:p w14:paraId="1BD69729" w14:textId="77777777" w:rsidR="00A26408" w:rsidRDefault="00D47FFC" w:rsidP="00D47FFC">
      <w:pPr>
        <w:spacing w:after="0" w:line="240" w:lineRule="auto"/>
        <w:jc w:val="center"/>
        <w:rPr>
          <w:color w:val="FFFFFF" w:themeColor="background1"/>
          <w:sz w:val="36"/>
          <w:szCs w:val="36"/>
        </w:rPr>
      </w:pPr>
      <w:r w:rsidRPr="000A72DC">
        <w:rPr>
          <w:color w:val="FFFFFF" w:themeColor="background1"/>
          <w:sz w:val="36"/>
          <w:szCs w:val="36"/>
        </w:rPr>
        <w:t>Report to the Office of the Child Advocate and the Legislature</w:t>
      </w:r>
    </w:p>
    <w:p w14:paraId="6609E086" w14:textId="30347E17" w:rsidR="00D47FFC" w:rsidRPr="000A72DC" w:rsidRDefault="00A26408" w:rsidP="00D47FFC">
      <w:pPr>
        <w:spacing w:after="0" w:line="240" w:lineRule="auto"/>
        <w:jc w:val="center"/>
        <w:rPr>
          <w:color w:val="FFFFFF" w:themeColor="background1"/>
          <w:sz w:val="36"/>
          <w:szCs w:val="36"/>
        </w:rPr>
      </w:pPr>
      <w:r>
        <w:rPr>
          <w:color w:val="FFFFFF" w:themeColor="background1"/>
          <w:sz w:val="36"/>
          <w:szCs w:val="36"/>
        </w:rPr>
        <w:t>Regarding</w:t>
      </w:r>
      <w:r w:rsidR="00D47FFC" w:rsidRPr="000A72DC">
        <w:rPr>
          <w:color w:val="FFFFFF" w:themeColor="background1"/>
          <w:sz w:val="36"/>
          <w:szCs w:val="36"/>
        </w:rPr>
        <w:t xml:space="preserve"> </w:t>
      </w:r>
    </w:p>
    <w:p w14:paraId="23F75663" w14:textId="77777777" w:rsidR="00D47FFC" w:rsidRDefault="00D47FFC" w:rsidP="00D47FFC">
      <w:pPr>
        <w:spacing w:after="0" w:line="240" w:lineRule="auto"/>
        <w:ind w:right="-450" w:hanging="450"/>
        <w:jc w:val="center"/>
        <w:rPr>
          <w:b/>
        </w:rPr>
      </w:pPr>
      <w:r w:rsidRPr="001924D7">
        <w:rPr>
          <w:b/>
          <w:color w:val="FFFFFF" w:themeColor="background1"/>
          <w:sz w:val="36"/>
          <w:szCs w:val="36"/>
        </w:rPr>
        <w:t>The Department of Children and Families</w:t>
      </w:r>
      <w:r>
        <w:rPr>
          <w:b/>
          <w:color w:val="FFFFFF" w:themeColor="background1"/>
          <w:sz w:val="36"/>
          <w:szCs w:val="36"/>
        </w:rPr>
        <w:t xml:space="preserve"> (DCF)</w:t>
      </w:r>
      <w:r w:rsidRPr="001924D7">
        <w:rPr>
          <w:b/>
          <w:color w:val="FFFFFF" w:themeColor="background1"/>
          <w:sz w:val="36"/>
          <w:szCs w:val="36"/>
        </w:rPr>
        <w:t xml:space="preserve"> Fair Hearing System</w:t>
      </w:r>
    </w:p>
    <w:p w14:paraId="62B9E868" w14:textId="77777777" w:rsidR="00D47FFC" w:rsidRPr="00765A50" w:rsidRDefault="00D47FFC" w:rsidP="00D47FFC">
      <w:pPr>
        <w:spacing w:after="0" w:line="240" w:lineRule="auto"/>
        <w:jc w:val="center"/>
        <w:rPr>
          <w:b/>
          <w:sz w:val="380"/>
          <w:szCs w:val="380"/>
        </w:rPr>
      </w:pPr>
    </w:p>
    <w:p w14:paraId="1115D2D3" w14:textId="53092F5E" w:rsidR="00D47FFC" w:rsidRPr="00765A50" w:rsidRDefault="00D47FFC" w:rsidP="00D47FFC">
      <w:pPr>
        <w:spacing w:after="0" w:line="240" w:lineRule="auto"/>
        <w:jc w:val="center"/>
        <w:rPr>
          <w:b/>
        </w:rPr>
      </w:pPr>
      <w:r>
        <w:rPr>
          <w:noProof/>
        </w:rPr>
        <w:drawing>
          <wp:inline distT="0" distB="0" distL="0" distR="0" wp14:anchorId="61619373" wp14:editId="7762963D">
            <wp:extent cx="1808025" cy="260287"/>
            <wp:effectExtent l="0" t="0" r="1905" b="6985"/>
            <wp:docPr id="14" name="Picture 14"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pic:cNvPicPr>
                      <a:picLocks noChangeAspect="1" noChangeArrowheads="1"/>
                    </pic:cNvPicPr>
                  </pic:nvPicPr>
                  <pic:blipFill>
                    <a:blip r:embed="rId9"/>
                    <a:srcRect l="424" t="406"/>
                    <a:stretch>
                      <a:fillRect/>
                    </a:stretch>
                  </pic:blipFill>
                  <pic:spPr bwMode="auto">
                    <a:xfrm>
                      <a:off x="0" y="0"/>
                      <a:ext cx="1886301" cy="271556"/>
                    </a:xfrm>
                    <a:prstGeom prst="rect">
                      <a:avLst/>
                    </a:prstGeom>
                    <a:noFill/>
                    <a:ln w="9525">
                      <a:noFill/>
                      <a:miter lim="800000"/>
                      <a:headEnd/>
                      <a:tailEnd/>
                    </a:ln>
                  </pic:spPr>
                </pic:pic>
              </a:graphicData>
            </a:graphic>
          </wp:inline>
        </w:drawing>
      </w:r>
    </w:p>
    <w:p w14:paraId="0D45917E" w14:textId="77777777" w:rsidR="00D47FFC" w:rsidRDefault="00D47FFC" w:rsidP="00D47FFC">
      <w:pPr>
        <w:jc w:val="center"/>
        <w:rPr>
          <w:sz w:val="28"/>
          <w:szCs w:val="28"/>
        </w:rPr>
      </w:pPr>
      <w:r>
        <w:rPr>
          <w:b/>
          <w:sz w:val="32"/>
          <w:szCs w:val="32"/>
        </w:rPr>
        <w:t>June 29,</w:t>
      </w:r>
      <w:r>
        <w:rPr>
          <w:b/>
          <w:sz w:val="32"/>
          <w:szCs w:val="32"/>
          <w:vertAlign w:val="superscript"/>
        </w:rPr>
        <w:t xml:space="preserve"> </w:t>
      </w:r>
      <w:r>
        <w:rPr>
          <w:b/>
          <w:sz w:val="32"/>
          <w:szCs w:val="32"/>
        </w:rPr>
        <w:t>2015</w:t>
      </w:r>
      <w:r w:rsidRPr="00AF0BE2">
        <w:rPr>
          <w:sz w:val="28"/>
          <w:szCs w:val="28"/>
        </w:rPr>
        <w:br w:type="page"/>
      </w:r>
    </w:p>
    <w:sdt>
      <w:sdtPr>
        <w:rPr>
          <w:rFonts w:asciiTheme="minorHAnsi" w:eastAsia="MS Mincho" w:hAnsiTheme="minorHAnsi" w:cstheme="minorBidi"/>
          <w:noProof/>
          <w:color w:val="auto"/>
          <w:sz w:val="22"/>
          <w:szCs w:val="22"/>
        </w:rPr>
        <w:id w:val="-1251036072"/>
        <w:docPartObj>
          <w:docPartGallery w:val="Table of Contents"/>
          <w:docPartUnique/>
        </w:docPartObj>
      </w:sdtPr>
      <w:sdtEndPr>
        <w:rPr>
          <w:b/>
          <w:bCs/>
          <w:color w:val="000000" w:themeColor="text1"/>
        </w:rPr>
      </w:sdtEndPr>
      <w:sdtContent>
        <w:p w14:paraId="3ACB2405" w14:textId="25E19903" w:rsidR="00A83605" w:rsidRDefault="00A83605">
          <w:pPr>
            <w:pStyle w:val="TOCHeading"/>
          </w:pPr>
          <w:r>
            <w:t>Contents</w:t>
          </w:r>
        </w:p>
        <w:p w14:paraId="15F114C7" w14:textId="77777777" w:rsidR="00286F5E" w:rsidRDefault="00A83605">
          <w:pPr>
            <w:pStyle w:val="TOC1"/>
            <w:rPr>
              <w:rFonts w:eastAsiaTheme="minorEastAsia"/>
              <w:color w:val="auto"/>
            </w:rPr>
          </w:pPr>
          <w:r>
            <w:fldChar w:fldCharType="begin"/>
          </w:r>
          <w:r>
            <w:instrText xml:space="preserve"> TOC \o "1-3" \h \z \u </w:instrText>
          </w:r>
          <w:r>
            <w:fldChar w:fldCharType="separate"/>
          </w:r>
          <w:hyperlink w:anchor="_Toc421781169" w:history="1">
            <w:r w:rsidR="00286F5E" w:rsidRPr="00286F5E">
              <w:rPr>
                <w:rStyle w:val="Hyperlink"/>
                <w:b/>
                <w:i/>
              </w:rPr>
              <w:t>Acknowledgments</w:t>
            </w:r>
            <w:r w:rsidR="00286F5E">
              <w:rPr>
                <w:webHidden/>
              </w:rPr>
              <w:tab/>
            </w:r>
            <w:r w:rsidR="00286F5E">
              <w:rPr>
                <w:webHidden/>
              </w:rPr>
              <w:fldChar w:fldCharType="begin"/>
            </w:r>
            <w:r w:rsidR="00286F5E">
              <w:rPr>
                <w:webHidden/>
              </w:rPr>
              <w:instrText xml:space="preserve"> PAGEREF _Toc421781169 \h </w:instrText>
            </w:r>
            <w:r w:rsidR="00286F5E">
              <w:rPr>
                <w:webHidden/>
              </w:rPr>
            </w:r>
            <w:r w:rsidR="00286F5E">
              <w:rPr>
                <w:webHidden/>
              </w:rPr>
              <w:fldChar w:fldCharType="separate"/>
            </w:r>
            <w:r w:rsidR="00A911F3">
              <w:rPr>
                <w:webHidden/>
              </w:rPr>
              <w:t>3</w:t>
            </w:r>
            <w:r w:rsidR="00286F5E">
              <w:rPr>
                <w:webHidden/>
              </w:rPr>
              <w:fldChar w:fldCharType="end"/>
            </w:r>
          </w:hyperlink>
        </w:p>
        <w:p w14:paraId="6F245ADD" w14:textId="7BDAB965" w:rsidR="00286F5E" w:rsidRPr="00286F5E" w:rsidRDefault="002B7274" w:rsidP="00286F5E">
          <w:pPr>
            <w:pStyle w:val="TOC1"/>
            <w:rPr>
              <w:rFonts w:eastAsiaTheme="minorEastAsia"/>
              <w:color w:val="auto"/>
            </w:rPr>
          </w:pPr>
          <w:hyperlink w:anchor="_Toc421781170" w:history="1">
            <w:r w:rsidR="00286F5E" w:rsidRPr="00286F5E">
              <w:rPr>
                <w:rStyle w:val="Hyperlink"/>
                <w:b/>
                <w:i/>
              </w:rPr>
              <w:t>Executive Summary</w:t>
            </w:r>
            <w:r w:rsidR="00286F5E">
              <w:rPr>
                <w:webHidden/>
              </w:rPr>
              <w:tab/>
            </w:r>
            <w:r w:rsidR="00286F5E">
              <w:rPr>
                <w:webHidden/>
              </w:rPr>
              <w:fldChar w:fldCharType="begin"/>
            </w:r>
            <w:r w:rsidR="00286F5E">
              <w:rPr>
                <w:webHidden/>
              </w:rPr>
              <w:instrText xml:space="preserve"> PAGEREF _Toc421781170 \h </w:instrText>
            </w:r>
            <w:r w:rsidR="00286F5E">
              <w:rPr>
                <w:webHidden/>
              </w:rPr>
            </w:r>
            <w:r w:rsidR="00286F5E">
              <w:rPr>
                <w:webHidden/>
              </w:rPr>
              <w:fldChar w:fldCharType="separate"/>
            </w:r>
            <w:r w:rsidR="00A911F3">
              <w:rPr>
                <w:webHidden/>
              </w:rPr>
              <w:t>4</w:t>
            </w:r>
            <w:r w:rsidR="00286F5E">
              <w:rPr>
                <w:webHidden/>
              </w:rPr>
              <w:fldChar w:fldCharType="end"/>
            </w:r>
          </w:hyperlink>
        </w:p>
        <w:p w14:paraId="60BEC0C0" w14:textId="77777777" w:rsidR="00286F5E" w:rsidRDefault="002B7274">
          <w:pPr>
            <w:pStyle w:val="TOC1"/>
            <w:rPr>
              <w:rFonts w:eastAsiaTheme="minorEastAsia"/>
              <w:color w:val="auto"/>
            </w:rPr>
          </w:pPr>
          <w:hyperlink w:anchor="_Toc421781183" w:history="1">
            <w:r w:rsidR="00286F5E" w:rsidRPr="005E1A60">
              <w:rPr>
                <w:rStyle w:val="Hyperlink"/>
                <w:b/>
                <w:i/>
              </w:rPr>
              <w:t>Full Report</w:t>
            </w:r>
            <w:r w:rsidR="00286F5E">
              <w:rPr>
                <w:webHidden/>
              </w:rPr>
              <w:tab/>
            </w:r>
            <w:r w:rsidR="00286F5E">
              <w:rPr>
                <w:webHidden/>
              </w:rPr>
              <w:fldChar w:fldCharType="begin"/>
            </w:r>
            <w:r w:rsidR="00286F5E">
              <w:rPr>
                <w:webHidden/>
              </w:rPr>
              <w:instrText xml:space="preserve"> PAGEREF _Toc421781183 \h </w:instrText>
            </w:r>
            <w:r w:rsidR="00286F5E">
              <w:rPr>
                <w:webHidden/>
              </w:rPr>
            </w:r>
            <w:r w:rsidR="00286F5E">
              <w:rPr>
                <w:webHidden/>
              </w:rPr>
              <w:fldChar w:fldCharType="separate"/>
            </w:r>
            <w:r w:rsidR="00A911F3">
              <w:rPr>
                <w:webHidden/>
              </w:rPr>
              <w:t>9</w:t>
            </w:r>
            <w:r w:rsidR="00286F5E">
              <w:rPr>
                <w:webHidden/>
              </w:rPr>
              <w:fldChar w:fldCharType="end"/>
            </w:r>
          </w:hyperlink>
        </w:p>
        <w:p w14:paraId="10F57852" w14:textId="77777777" w:rsidR="00286F5E" w:rsidRDefault="002B7274">
          <w:pPr>
            <w:pStyle w:val="TOC1"/>
            <w:rPr>
              <w:rFonts w:eastAsiaTheme="minorEastAsia"/>
              <w:color w:val="auto"/>
            </w:rPr>
          </w:pPr>
          <w:hyperlink w:anchor="_Toc421781184" w:history="1">
            <w:r w:rsidR="00286F5E" w:rsidRPr="005E1A60">
              <w:rPr>
                <w:rStyle w:val="Hyperlink"/>
                <w:b/>
                <w:i/>
              </w:rPr>
              <w:t>Introduction</w:t>
            </w:r>
            <w:r w:rsidR="00286F5E">
              <w:rPr>
                <w:webHidden/>
              </w:rPr>
              <w:tab/>
            </w:r>
            <w:r w:rsidR="00286F5E">
              <w:rPr>
                <w:webHidden/>
              </w:rPr>
              <w:fldChar w:fldCharType="begin"/>
            </w:r>
            <w:r w:rsidR="00286F5E">
              <w:rPr>
                <w:webHidden/>
              </w:rPr>
              <w:instrText xml:space="preserve"> PAGEREF _Toc421781184 \h </w:instrText>
            </w:r>
            <w:r w:rsidR="00286F5E">
              <w:rPr>
                <w:webHidden/>
              </w:rPr>
            </w:r>
            <w:r w:rsidR="00286F5E">
              <w:rPr>
                <w:webHidden/>
              </w:rPr>
              <w:fldChar w:fldCharType="separate"/>
            </w:r>
            <w:r w:rsidR="00A911F3">
              <w:rPr>
                <w:webHidden/>
              </w:rPr>
              <w:t>9</w:t>
            </w:r>
            <w:r w:rsidR="00286F5E">
              <w:rPr>
                <w:webHidden/>
              </w:rPr>
              <w:fldChar w:fldCharType="end"/>
            </w:r>
          </w:hyperlink>
        </w:p>
        <w:p w14:paraId="34158ADA" w14:textId="77777777" w:rsidR="00286F5E" w:rsidRDefault="002B7274">
          <w:pPr>
            <w:pStyle w:val="TOC1"/>
            <w:rPr>
              <w:rFonts w:eastAsiaTheme="minorEastAsia"/>
              <w:color w:val="auto"/>
            </w:rPr>
          </w:pPr>
          <w:hyperlink w:anchor="_Toc421781185" w:history="1">
            <w:r w:rsidR="00286F5E" w:rsidRPr="00286F5E">
              <w:rPr>
                <w:rStyle w:val="Hyperlink"/>
                <w:b/>
                <w:i/>
              </w:rPr>
              <w:t>DCF Fair Hearings Background</w:t>
            </w:r>
            <w:r w:rsidR="00286F5E">
              <w:rPr>
                <w:webHidden/>
              </w:rPr>
              <w:tab/>
            </w:r>
            <w:r w:rsidR="00286F5E">
              <w:rPr>
                <w:webHidden/>
              </w:rPr>
              <w:fldChar w:fldCharType="begin"/>
            </w:r>
            <w:r w:rsidR="00286F5E">
              <w:rPr>
                <w:webHidden/>
              </w:rPr>
              <w:instrText xml:space="preserve"> PAGEREF _Toc421781185 \h </w:instrText>
            </w:r>
            <w:r w:rsidR="00286F5E">
              <w:rPr>
                <w:webHidden/>
              </w:rPr>
            </w:r>
            <w:r w:rsidR="00286F5E">
              <w:rPr>
                <w:webHidden/>
              </w:rPr>
              <w:fldChar w:fldCharType="separate"/>
            </w:r>
            <w:r w:rsidR="00A911F3">
              <w:rPr>
                <w:webHidden/>
              </w:rPr>
              <w:t>9</w:t>
            </w:r>
            <w:r w:rsidR="00286F5E">
              <w:rPr>
                <w:webHidden/>
              </w:rPr>
              <w:fldChar w:fldCharType="end"/>
            </w:r>
          </w:hyperlink>
        </w:p>
        <w:p w14:paraId="397C955A" w14:textId="77777777" w:rsidR="00286F5E" w:rsidRDefault="002B7274">
          <w:pPr>
            <w:pStyle w:val="TOC1"/>
            <w:rPr>
              <w:rFonts w:eastAsiaTheme="minorEastAsia"/>
              <w:color w:val="auto"/>
            </w:rPr>
          </w:pPr>
          <w:hyperlink w:anchor="_Toc421781186" w:history="1">
            <w:r w:rsidR="00286F5E" w:rsidRPr="00286F5E">
              <w:rPr>
                <w:rStyle w:val="Hyperlink"/>
                <w:b/>
                <w:i/>
              </w:rPr>
              <w:t>Ripples Research Methodology</w:t>
            </w:r>
            <w:r w:rsidR="00286F5E">
              <w:rPr>
                <w:webHidden/>
              </w:rPr>
              <w:tab/>
            </w:r>
            <w:r w:rsidR="00286F5E">
              <w:rPr>
                <w:webHidden/>
              </w:rPr>
              <w:fldChar w:fldCharType="begin"/>
            </w:r>
            <w:r w:rsidR="00286F5E">
              <w:rPr>
                <w:webHidden/>
              </w:rPr>
              <w:instrText xml:space="preserve"> PAGEREF _Toc421781186 \h </w:instrText>
            </w:r>
            <w:r w:rsidR="00286F5E">
              <w:rPr>
                <w:webHidden/>
              </w:rPr>
            </w:r>
            <w:r w:rsidR="00286F5E">
              <w:rPr>
                <w:webHidden/>
              </w:rPr>
              <w:fldChar w:fldCharType="separate"/>
            </w:r>
            <w:r w:rsidR="00A911F3">
              <w:rPr>
                <w:webHidden/>
              </w:rPr>
              <w:t>10</w:t>
            </w:r>
            <w:r w:rsidR="00286F5E">
              <w:rPr>
                <w:webHidden/>
              </w:rPr>
              <w:fldChar w:fldCharType="end"/>
            </w:r>
          </w:hyperlink>
        </w:p>
        <w:p w14:paraId="7B7A7475" w14:textId="77777777" w:rsidR="00286F5E" w:rsidRDefault="002B7274">
          <w:pPr>
            <w:pStyle w:val="TOC1"/>
            <w:rPr>
              <w:rFonts w:eastAsiaTheme="minorEastAsia"/>
              <w:color w:val="auto"/>
            </w:rPr>
          </w:pPr>
          <w:hyperlink w:anchor="_Toc421781187" w:history="1">
            <w:r w:rsidR="00286F5E" w:rsidRPr="005E1A60">
              <w:rPr>
                <w:rStyle w:val="Hyperlink"/>
                <w:b/>
                <w:i/>
              </w:rPr>
              <w:t>Findings</w:t>
            </w:r>
            <w:r w:rsidR="00286F5E">
              <w:rPr>
                <w:webHidden/>
              </w:rPr>
              <w:tab/>
            </w:r>
            <w:r w:rsidR="00286F5E">
              <w:rPr>
                <w:webHidden/>
              </w:rPr>
              <w:fldChar w:fldCharType="begin"/>
            </w:r>
            <w:r w:rsidR="00286F5E">
              <w:rPr>
                <w:webHidden/>
              </w:rPr>
              <w:instrText xml:space="preserve"> PAGEREF _Toc421781187 \h </w:instrText>
            </w:r>
            <w:r w:rsidR="00286F5E">
              <w:rPr>
                <w:webHidden/>
              </w:rPr>
            </w:r>
            <w:r w:rsidR="00286F5E">
              <w:rPr>
                <w:webHidden/>
              </w:rPr>
              <w:fldChar w:fldCharType="separate"/>
            </w:r>
            <w:r w:rsidR="00A911F3">
              <w:rPr>
                <w:webHidden/>
              </w:rPr>
              <w:t>12</w:t>
            </w:r>
            <w:r w:rsidR="00286F5E">
              <w:rPr>
                <w:webHidden/>
              </w:rPr>
              <w:fldChar w:fldCharType="end"/>
            </w:r>
          </w:hyperlink>
        </w:p>
        <w:p w14:paraId="23D2B9BF" w14:textId="77777777" w:rsidR="00286F5E" w:rsidRDefault="002B7274">
          <w:pPr>
            <w:pStyle w:val="TOC2"/>
            <w:tabs>
              <w:tab w:val="right" w:leader="dot" w:pos="9350"/>
            </w:tabs>
            <w:rPr>
              <w:rFonts w:eastAsiaTheme="minorEastAsia"/>
              <w:noProof/>
            </w:rPr>
          </w:pPr>
          <w:hyperlink w:anchor="_Toc421781188" w:history="1">
            <w:r w:rsidR="00286F5E" w:rsidRPr="005E1A60">
              <w:rPr>
                <w:rStyle w:val="Hyperlink"/>
                <w:b/>
                <w:i/>
                <w:noProof/>
              </w:rPr>
              <w:t>1. Timeliness</w:t>
            </w:r>
            <w:r w:rsidR="00286F5E">
              <w:rPr>
                <w:noProof/>
                <w:webHidden/>
              </w:rPr>
              <w:tab/>
            </w:r>
            <w:r w:rsidR="00286F5E">
              <w:rPr>
                <w:noProof/>
                <w:webHidden/>
              </w:rPr>
              <w:fldChar w:fldCharType="begin"/>
            </w:r>
            <w:r w:rsidR="00286F5E">
              <w:rPr>
                <w:noProof/>
                <w:webHidden/>
              </w:rPr>
              <w:instrText xml:space="preserve"> PAGEREF _Toc421781188 \h </w:instrText>
            </w:r>
            <w:r w:rsidR="00286F5E">
              <w:rPr>
                <w:noProof/>
                <w:webHidden/>
              </w:rPr>
            </w:r>
            <w:r w:rsidR="00286F5E">
              <w:rPr>
                <w:noProof/>
                <w:webHidden/>
              </w:rPr>
              <w:fldChar w:fldCharType="separate"/>
            </w:r>
            <w:r w:rsidR="00A911F3">
              <w:rPr>
                <w:noProof/>
                <w:webHidden/>
              </w:rPr>
              <w:t>12</w:t>
            </w:r>
            <w:r w:rsidR="00286F5E">
              <w:rPr>
                <w:noProof/>
                <w:webHidden/>
              </w:rPr>
              <w:fldChar w:fldCharType="end"/>
            </w:r>
          </w:hyperlink>
        </w:p>
        <w:p w14:paraId="662C96FF" w14:textId="77777777" w:rsidR="00286F5E" w:rsidRDefault="002B7274">
          <w:pPr>
            <w:pStyle w:val="TOC3"/>
            <w:tabs>
              <w:tab w:val="left" w:pos="880"/>
              <w:tab w:val="right" w:leader="dot" w:pos="9350"/>
            </w:tabs>
            <w:rPr>
              <w:rFonts w:eastAsiaTheme="minorEastAsia"/>
              <w:noProof/>
            </w:rPr>
          </w:pPr>
          <w:hyperlink w:anchor="_Toc421781189" w:history="1">
            <w:r w:rsidR="00286F5E" w:rsidRPr="005E1A60">
              <w:rPr>
                <w:rStyle w:val="Hyperlink"/>
                <w:i/>
                <w:noProof/>
              </w:rPr>
              <w:t>A.</w:t>
            </w:r>
            <w:r w:rsidR="00286F5E">
              <w:rPr>
                <w:rFonts w:eastAsiaTheme="minorEastAsia"/>
                <w:noProof/>
              </w:rPr>
              <w:tab/>
            </w:r>
            <w:r w:rsidR="00286F5E" w:rsidRPr="005E1A60">
              <w:rPr>
                <w:rStyle w:val="Hyperlink"/>
                <w:i/>
                <w:noProof/>
              </w:rPr>
              <w:t>Backlog</w:t>
            </w:r>
            <w:r w:rsidR="00286F5E">
              <w:rPr>
                <w:noProof/>
                <w:webHidden/>
              </w:rPr>
              <w:tab/>
            </w:r>
            <w:r w:rsidR="00286F5E">
              <w:rPr>
                <w:noProof/>
                <w:webHidden/>
              </w:rPr>
              <w:fldChar w:fldCharType="begin"/>
            </w:r>
            <w:r w:rsidR="00286F5E">
              <w:rPr>
                <w:noProof/>
                <w:webHidden/>
              </w:rPr>
              <w:instrText xml:space="preserve"> PAGEREF _Toc421781189 \h </w:instrText>
            </w:r>
            <w:r w:rsidR="00286F5E">
              <w:rPr>
                <w:noProof/>
                <w:webHidden/>
              </w:rPr>
            </w:r>
            <w:r w:rsidR="00286F5E">
              <w:rPr>
                <w:noProof/>
                <w:webHidden/>
              </w:rPr>
              <w:fldChar w:fldCharType="separate"/>
            </w:r>
            <w:r w:rsidR="00A911F3">
              <w:rPr>
                <w:noProof/>
                <w:webHidden/>
              </w:rPr>
              <w:t>14</w:t>
            </w:r>
            <w:r w:rsidR="00286F5E">
              <w:rPr>
                <w:noProof/>
                <w:webHidden/>
              </w:rPr>
              <w:fldChar w:fldCharType="end"/>
            </w:r>
          </w:hyperlink>
        </w:p>
        <w:p w14:paraId="57A9A0D5" w14:textId="77777777" w:rsidR="00286F5E" w:rsidRDefault="002B7274">
          <w:pPr>
            <w:pStyle w:val="TOC3"/>
            <w:tabs>
              <w:tab w:val="left" w:pos="880"/>
              <w:tab w:val="right" w:leader="dot" w:pos="9350"/>
            </w:tabs>
            <w:rPr>
              <w:rFonts w:eastAsiaTheme="minorEastAsia"/>
              <w:noProof/>
            </w:rPr>
          </w:pPr>
          <w:hyperlink w:anchor="_Toc421781190" w:history="1">
            <w:r w:rsidR="00286F5E" w:rsidRPr="005E1A60">
              <w:rPr>
                <w:rStyle w:val="Hyperlink"/>
                <w:i/>
                <w:noProof/>
              </w:rPr>
              <w:t>B.</w:t>
            </w:r>
            <w:r w:rsidR="00286F5E">
              <w:rPr>
                <w:rFonts w:eastAsiaTheme="minorEastAsia"/>
                <w:noProof/>
              </w:rPr>
              <w:tab/>
            </w:r>
            <w:r w:rsidR="00286F5E" w:rsidRPr="005E1A60">
              <w:rPr>
                <w:rStyle w:val="Hyperlink"/>
                <w:i/>
                <w:noProof/>
              </w:rPr>
              <w:t>Regulations</w:t>
            </w:r>
            <w:r w:rsidR="00286F5E">
              <w:rPr>
                <w:noProof/>
                <w:webHidden/>
              </w:rPr>
              <w:tab/>
            </w:r>
            <w:r w:rsidR="00286F5E">
              <w:rPr>
                <w:noProof/>
                <w:webHidden/>
              </w:rPr>
              <w:fldChar w:fldCharType="begin"/>
            </w:r>
            <w:r w:rsidR="00286F5E">
              <w:rPr>
                <w:noProof/>
                <w:webHidden/>
              </w:rPr>
              <w:instrText xml:space="preserve"> PAGEREF _Toc421781190 \h </w:instrText>
            </w:r>
            <w:r w:rsidR="00286F5E">
              <w:rPr>
                <w:noProof/>
                <w:webHidden/>
              </w:rPr>
            </w:r>
            <w:r w:rsidR="00286F5E">
              <w:rPr>
                <w:noProof/>
                <w:webHidden/>
              </w:rPr>
              <w:fldChar w:fldCharType="separate"/>
            </w:r>
            <w:r w:rsidR="00A911F3">
              <w:rPr>
                <w:noProof/>
                <w:webHidden/>
              </w:rPr>
              <w:t>15</w:t>
            </w:r>
            <w:r w:rsidR="00286F5E">
              <w:rPr>
                <w:noProof/>
                <w:webHidden/>
              </w:rPr>
              <w:fldChar w:fldCharType="end"/>
            </w:r>
          </w:hyperlink>
        </w:p>
        <w:p w14:paraId="218BF04F" w14:textId="77777777" w:rsidR="00286F5E" w:rsidRDefault="002B7274">
          <w:pPr>
            <w:pStyle w:val="TOC3"/>
            <w:tabs>
              <w:tab w:val="left" w:pos="880"/>
              <w:tab w:val="right" w:leader="dot" w:pos="9350"/>
            </w:tabs>
            <w:rPr>
              <w:rFonts w:eastAsiaTheme="minorEastAsia"/>
              <w:noProof/>
            </w:rPr>
          </w:pPr>
          <w:hyperlink w:anchor="_Toc421781191" w:history="1">
            <w:r w:rsidR="00286F5E" w:rsidRPr="0034130A">
              <w:rPr>
                <w:rStyle w:val="Hyperlink"/>
                <w:i/>
                <w:noProof/>
              </w:rPr>
              <w:t>C.</w:t>
            </w:r>
            <w:r w:rsidR="00286F5E" w:rsidRPr="0034130A">
              <w:rPr>
                <w:rFonts w:eastAsiaTheme="minorEastAsia"/>
                <w:noProof/>
              </w:rPr>
              <w:tab/>
            </w:r>
            <w:r w:rsidR="00286F5E" w:rsidRPr="0034130A">
              <w:rPr>
                <w:rStyle w:val="Hyperlink"/>
                <w:i/>
                <w:noProof/>
              </w:rPr>
              <w:t>Appellant, Hearing Officer, Attorney Perspectives</w:t>
            </w:r>
            <w:r w:rsidR="00286F5E" w:rsidRPr="0034130A">
              <w:rPr>
                <w:noProof/>
                <w:webHidden/>
              </w:rPr>
              <w:tab/>
            </w:r>
            <w:r w:rsidR="00286F5E" w:rsidRPr="0034130A">
              <w:rPr>
                <w:noProof/>
                <w:webHidden/>
              </w:rPr>
              <w:fldChar w:fldCharType="begin"/>
            </w:r>
            <w:r w:rsidR="00286F5E" w:rsidRPr="0034130A">
              <w:rPr>
                <w:noProof/>
                <w:webHidden/>
              </w:rPr>
              <w:instrText xml:space="preserve"> PAGEREF _Toc421781191 \h </w:instrText>
            </w:r>
            <w:r w:rsidR="00286F5E" w:rsidRPr="0034130A">
              <w:rPr>
                <w:noProof/>
                <w:webHidden/>
              </w:rPr>
            </w:r>
            <w:r w:rsidR="00286F5E" w:rsidRPr="0034130A">
              <w:rPr>
                <w:noProof/>
                <w:webHidden/>
              </w:rPr>
              <w:fldChar w:fldCharType="separate"/>
            </w:r>
            <w:r w:rsidR="00A911F3">
              <w:rPr>
                <w:noProof/>
                <w:webHidden/>
              </w:rPr>
              <w:t>16</w:t>
            </w:r>
            <w:r w:rsidR="00286F5E" w:rsidRPr="0034130A">
              <w:rPr>
                <w:noProof/>
                <w:webHidden/>
              </w:rPr>
              <w:fldChar w:fldCharType="end"/>
            </w:r>
          </w:hyperlink>
        </w:p>
        <w:p w14:paraId="108ED3E1" w14:textId="77777777" w:rsidR="00286F5E" w:rsidRDefault="002B7274">
          <w:pPr>
            <w:pStyle w:val="TOC3"/>
            <w:tabs>
              <w:tab w:val="left" w:pos="880"/>
              <w:tab w:val="right" w:leader="dot" w:pos="9350"/>
            </w:tabs>
            <w:rPr>
              <w:rFonts w:eastAsiaTheme="minorEastAsia"/>
              <w:noProof/>
            </w:rPr>
          </w:pPr>
          <w:hyperlink w:anchor="_Toc421781192" w:history="1">
            <w:r w:rsidR="00286F5E" w:rsidRPr="005E1A60">
              <w:rPr>
                <w:rStyle w:val="Hyperlink"/>
                <w:i/>
                <w:noProof/>
              </w:rPr>
              <w:t>D.</w:t>
            </w:r>
            <w:r w:rsidR="00286F5E">
              <w:rPr>
                <w:rFonts w:eastAsiaTheme="minorEastAsia"/>
                <w:noProof/>
              </w:rPr>
              <w:tab/>
            </w:r>
            <w:r w:rsidR="00286F5E" w:rsidRPr="005E1A60">
              <w:rPr>
                <w:rStyle w:val="Hyperlink"/>
                <w:i/>
                <w:noProof/>
              </w:rPr>
              <w:t>Discussion</w:t>
            </w:r>
            <w:r w:rsidR="00286F5E">
              <w:rPr>
                <w:noProof/>
                <w:webHidden/>
              </w:rPr>
              <w:tab/>
            </w:r>
            <w:r w:rsidR="00286F5E">
              <w:rPr>
                <w:noProof/>
                <w:webHidden/>
              </w:rPr>
              <w:fldChar w:fldCharType="begin"/>
            </w:r>
            <w:r w:rsidR="00286F5E">
              <w:rPr>
                <w:noProof/>
                <w:webHidden/>
              </w:rPr>
              <w:instrText xml:space="preserve"> PAGEREF _Toc421781192 \h </w:instrText>
            </w:r>
            <w:r w:rsidR="00286F5E">
              <w:rPr>
                <w:noProof/>
                <w:webHidden/>
              </w:rPr>
            </w:r>
            <w:r w:rsidR="00286F5E">
              <w:rPr>
                <w:noProof/>
                <w:webHidden/>
              </w:rPr>
              <w:fldChar w:fldCharType="separate"/>
            </w:r>
            <w:r w:rsidR="00A911F3">
              <w:rPr>
                <w:noProof/>
                <w:webHidden/>
              </w:rPr>
              <w:t>16</w:t>
            </w:r>
            <w:r w:rsidR="00286F5E">
              <w:rPr>
                <w:noProof/>
                <w:webHidden/>
              </w:rPr>
              <w:fldChar w:fldCharType="end"/>
            </w:r>
          </w:hyperlink>
        </w:p>
        <w:p w14:paraId="526315A9" w14:textId="77777777" w:rsidR="00286F5E" w:rsidRDefault="002B7274">
          <w:pPr>
            <w:pStyle w:val="TOC2"/>
            <w:tabs>
              <w:tab w:val="right" w:leader="dot" w:pos="9350"/>
            </w:tabs>
            <w:rPr>
              <w:rFonts w:eastAsiaTheme="minorEastAsia"/>
              <w:noProof/>
            </w:rPr>
          </w:pPr>
          <w:hyperlink w:anchor="_Toc421781193" w:history="1">
            <w:r w:rsidR="00286F5E" w:rsidRPr="005E1A60">
              <w:rPr>
                <w:rStyle w:val="Hyperlink"/>
                <w:b/>
                <w:i/>
                <w:noProof/>
              </w:rPr>
              <w:t>2. Fairness</w:t>
            </w:r>
            <w:r w:rsidR="00286F5E">
              <w:rPr>
                <w:noProof/>
                <w:webHidden/>
              </w:rPr>
              <w:tab/>
            </w:r>
            <w:r w:rsidR="00286F5E">
              <w:rPr>
                <w:noProof/>
                <w:webHidden/>
              </w:rPr>
              <w:fldChar w:fldCharType="begin"/>
            </w:r>
            <w:r w:rsidR="00286F5E">
              <w:rPr>
                <w:noProof/>
                <w:webHidden/>
              </w:rPr>
              <w:instrText xml:space="preserve"> PAGEREF _Toc421781193 \h </w:instrText>
            </w:r>
            <w:r w:rsidR="00286F5E">
              <w:rPr>
                <w:noProof/>
                <w:webHidden/>
              </w:rPr>
            </w:r>
            <w:r w:rsidR="00286F5E">
              <w:rPr>
                <w:noProof/>
                <w:webHidden/>
              </w:rPr>
              <w:fldChar w:fldCharType="separate"/>
            </w:r>
            <w:r w:rsidR="00A911F3">
              <w:rPr>
                <w:noProof/>
                <w:webHidden/>
              </w:rPr>
              <w:t>19</w:t>
            </w:r>
            <w:r w:rsidR="00286F5E">
              <w:rPr>
                <w:noProof/>
                <w:webHidden/>
              </w:rPr>
              <w:fldChar w:fldCharType="end"/>
            </w:r>
          </w:hyperlink>
        </w:p>
        <w:p w14:paraId="3E42D3B4" w14:textId="77777777" w:rsidR="00286F5E" w:rsidRDefault="002B7274">
          <w:pPr>
            <w:pStyle w:val="TOC3"/>
            <w:tabs>
              <w:tab w:val="left" w:pos="880"/>
              <w:tab w:val="right" w:leader="dot" w:pos="9350"/>
            </w:tabs>
            <w:rPr>
              <w:rFonts w:eastAsiaTheme="minorEastAsia"/>
              <w:noProof/>
            </w:rPr>
          </w:pPr>
          <w:hyperlink w:anchor="_Toc421781194" w:history="1">
            <w:r w:rsidR="00286F5E" w:rsidRPr="005E1A60">
              <w:rPr>
                <w:rStyle w:val="Hyperlink"/>
                <w:i/>
                <w:noProof/>
              </w:rPr>
              <w:t>A.</w:t>
            </w:r>
            <w:r w:rsidR="00286F5E">
              <w:rPr>
                <w:rFonts w:eastAsiaTheme="minorEastAsia"/>
                <w:noProof/>
              </w:rPr>
              <w:tab/>
            </w:r>
            <w:r w:rsidR="00286F5E" w:rsidRPr="005E1A60">
              <w:rPr>
                <w:rStyle w:val="Hyperlink"/>
                <w:i/>
                <w:noProof/>
              </w:rPr>
              <w:t>Hearing Officers</w:t>
            </w:r>
            <w:r w:rsidR="00286F5E">
              <w:rPr>
                <w:noProof/>
                <w:webHidden/>
              </w:rPr>
              <w:tab/>
            </w:r>
            <w:r w:rsidR="00286F5E">
              <w:rPr>
                <w:noProof/>
                <w:webHidden/>
              </w:rPr>
              <w:fldChar w:fldCharType="begin"/>
            </w:r>
            <w:r w:rsidR="00286F5E">
              <w:rPr>
                <w:noProof/>
                <w:webHidden/>
              </w:rPr>
              <w:instrText xml:space="preserve"> PAGEREF _Toc421781194 \h </w:instrText>
            </w:r>
            <w:r w:rsidR="00286F5E">
              <w:rPr>
                <w:noProof/>
                <w:webHidden/>
              </w:rPr>
            </w:r>
            <w:r w:rsidR="00286F5E">
              <w:rPr>
                <w:noProof/>
                <w:webHidden/>
              </w:rPr>
              <w:fldChar w:fldCharType="separate"/>
            </w:r>
            <w:r w:rsidR="00A911F3">
              <w:rPr>
                <w:noProof/>
                <w:webHidden/>
              </w:rPr>
              <w:t>20</w:t>
            </w:r>
            <w:r w:rsidR="00286F5E">
              <w:rPr>
                <w:noProof/>
                <w:webHidden/>
              </w:rPr>
              <w:fldChar w:fldCharType="end"/>
            </w:r>
          </w:hyperlink>
        </w:p>
        <w:p w14:paraId="24C07C08" w14:textId="77777777" w:rsidR="00286F5E" w:rsidRDefault="002B7274">
          <w:pPr>
            <w:pStyle w:val="TOC3"/>
            <w:tabs>
              <w:tab w:val="left" w:pos="880"/>
              <w:tab w:val="right" w:leader="dot" w:pos="9350"/>
            </w:tabs>
            <w:rPr>
              <w:rFonts w:eastAsiaTheme="minorEastAsia"/>
              <w:noProof/>
            </w:rPr>
          </w:pPr>
          <w:hyperlink w:anchor="_Toc421781195" w:history="1">
            <w:r w:rsidR="00286F5E" w:rsidRPr="005E1A60">
              <w:rPr>
                <w:rStyle w:val="Hyperlink"/>
                <w:i/>
                <w:noProof/>
              </w:rPr>
              <w:t>B.</w:t>
            </w:r>
            <w:r w:rsidR="00286F5E">
              <w:rPr>
                <w:rFonts w:eastAsiaTheme="minorEastAsia"/>
                <w:noProof/>
              </w:rPr>
              <w:tab/>
            </w:r>
            <w:r w:rsidR="00286F5E" w:rsidRPr="005E1A60">
              <w:rPr>
                <w:rStyle w:val="Hyperlink"/>
                <w:i/>
                <w:noProof/>
              </w:rPr>
              <w:t>Operational Procedures</w:t>
            </w:r>
            <w:r w:rsidR="00286F5E">
              <w:rPr>
                <w:noProof/>
                <w:webHidden/>
              </w:rPr>
              <w:tab/>
            </w:r>
            <w:r w:rsidR="00286F5E">
              <w:rPr>
                <w:noProof/>
                <w:webHidden/>
              </w:rPr>
              <w:fldChar w:fldCharType="begin"/>
            </w:r>
            <w:r w:rsidR="00286F5E">
              <w:rPr>
                <w:noProof/>
                <w:webHidden/>
              </w:rPr>
              <w:instrText xml:space="preserve"> PAGEREF _Toc421781195 \h </w:instrText>
            </w:r>
            <w:r w:rsidR="00286F5E">
              <w:rPr>
                <w:noProof/>
                <w:webHidden/>
              </w:rPr>
            </w:r>
            <w:r w:rsidR="00286F5E">
              <w:rPr>
                <w:noProof/>
                <w:webHidden/>
              </w:rPr>
              <w:fldChar w:fldCharType="separate"/>
            </w:r>
            <w:r w:rsidR="00A911F3">
              <w:rPr>
                <w:noProof/>
                <w:webHidden/>
              </w:rPr>
              <w:t>22</w:t>
            </w:r>
            <w:r w:rsidR="00286F5E">
              <w:rPr>
                <w:noProof/>
                <w:webHidden/>
              </w:rPr>
              <w:fldChar w:fldCharType="end"/>
            </w:r>
          </w:hyperlink>
        </w:p>
        <w:p w14:paraId="0762F801" w14:textId="77777777" w:rsidR="00286F5E" w:rsidRDefault="002B7274">
          <w:pPr>
            <w:pStyle w:val="TOC3"/>
            <w:tabs>
              <w:tab w:val="left" w:pos="880"/>
              <w:tab w:val="right" w:leader="dot" w:pos="9350"/>
            </w:tabs>
            <w:rPr>
              <w:rFonts w:eastAsiaTheme="minorEastAsia"/>
              <w:noProof/>
            </w:rPr>
          </w:pPr>
          <w:hyperlink w:anchor="_Toc421781196" w:history="1">
            <w:r w:rsidR="00286F5E" w:rsidRPr="005E1A60">
              <w:rPr>
                <w:rStyle w:val="Hyperlink"/>
                <w:i/>
                <w:noProof/>
              </w:rPr>
              <w:t>C.</w:t>
            </w:r>
            <w:r w:rsidR="00286F5E">
              <w:rPr>
                <w:rFonts w:eastAsiaTheme="minorEastAsia"/>
                <w:noProof/>
              </w:rPr>
              <w:tab/>
            </w:r>
            <w:r w:rsidR="00286F5E" w:rsidRPr="005E1A60">
              <w:rPr>
                <w:rStyle w:val="Hyperlink"/>
                <w:i/>
                <w:noProof/>
              </w:rPr>
              <w:t>Regulations</w:t>
            </w:r>
            <w:r w:rsidR="00286F5E">
              <w:rPr>
                <w:noProof/>
                <w:webHidden/>
              </w:rPr>
              <w:tab/>
            </w:r>
            <w:r w:rsidR="00286F5E">
              <w:rPr>
                <w:noProof/>
                <w:webHidden/>
              </w:rPr>
              <w:fldChar w:fldCharType="begin"/>
            </w:r>
            <w:r w:rsidR="00286F5E">
              <w:rPr>
                <w:noProof/>
                <w:webHidden/>
              </w:rPr>
              <w:instrText xml:space="preserve"> PAGEREF _Toc421781196 \h </w:instrText>
            </w:r>
            <w:r w:rsidR="00286F5E">
              <w:rPr>
                <w:noProof/>
                <w:webHidden/>
              </w:rPr>
            </w:r>
            <w:r w:rsidR="00286F5E">
              <w:rPr>
                <w:noProof/>
                <w:webHidden/>
              </w:rPr>
              <w:fldChar w:fldCharType="separate"/>
            </w:r>
            <w:r w:rsidR="00A911F3">
              <w:rPr>
                <w:noProof/>
                <w:webHidden/>
              </w:rPr>
              <w:t>23</w:t>
            </w:r>
            <w:r w:rsidR="00286F5E">
              <w:rPr>
                <w:noProof/>
                <w:webHidden/>
              </w:rPr>
              <w:fldChar w:fldCharType="end"/>
            </w:r>
          </w:hyperlink>
        </w:p>
        <w:p w14:paraId="7AD10192" w14:textId="77777777" w:rsidR="00286F5E" w:rsidRDefault="002B7274">
          <w:pPr>
            <w:pStyle w:val="TOC3"/>
            <w:tabs>
              <w:tab w:val="left" w:pos="880"/>
              <w:tab w:val="right" w:leader="dot" w:pos="9350"/>
            </w:tabs>
            <w:rPr>
              <w:rFonts w:eastAsiaTheme="minorEastAsia"/>
              <w:noProof/>
            </w:rPr>
          </w:pPr>
          <w:hyperlink w:anchor="_Toc421781197" w:history="1">
            <w:r w:rsidR="00286F5E" w:rsidRPr="005E1A60">
              <w:rPr>
                <w:rStyle w:val="Hyperlink"/>
                <w:i/>
                <w:noProof/>
              </w:rPr>
              <w:t>D.</w:t>
            </w:r>
            <w:r w:rsidR="00286F5E">
              <w:rPr>
                <w:rFonts w:eastAsiaTheme="minorEastAsia"/>
                <w:noProof/>
              </w:rPr>
              <w:tab/>
            </w:r>
            <w:r w:rsidR="00286F5E" w:rsidRPr="005E1A60">
              <w:rPr>
                <w:rStyle w:val="Hyperlink"/>
                <w:i/>
                <w:noProof/>
              </w:rPr>
              <w:t>Appellant Perspective</w:t>
            </w:r>
            <w:r w:rsidR="00286F5E">
              <w:rPr>
                <w:noProof/>
                <w:webHidden/>
              </w:rPr>
              <w:tab/>
            </w:r>
            <w:r w:rsidR="00286F5E">
              <w:rPr>
                <w:noProof/>
                <w:webHidden/>
              </w:rPr>
              <w:fldChar w:fldCharType="begin"/>
            </w:r>
            <w:r w:rsidR="00286F5E">
              <w:rPr>
                <w:noProof/>
                <w:webHidden/>
              </w:rPr>
              <w:instrText xml:space="preserve"> PAGEREF _Toc421781197 \h </w:instrText>
            </w:r>
            <w:r w:rsidR="00286F5E">
              <w:rPr>
                <w:noProof/>
                <w:webHidden/>
              </w:rPr>
            </w:r>
            <w:r w:rsidR="00286F5E">
              <w:rPr>
                <w:noProof/>
                <w:webHidden/>
              </w:rPr>
              <w:fldChar w:fldCharType="separate"/>
            </w:r>
            <w:r w:rsidR="00A911F3">
              <w:rPr>
                <w:noProof/>
                <w:webHidden/>
              </w:rPr>
              <w:t>25</w:t>
            </w:r>
            <w:r w:rsidR="00286F5E">
              <w:rPr>
                <w:noProof/>
                <w:webHidden/>
              </w:rPr>
              <w:fldChar w:fldCharType="end"/>
            </w:r>
          </w:hyperlink>
        </w:p>
        <w:p w14:paraId="3F363B9F" w14:textId="77777777" w:rsidR="00286F5E" w:rsidRDefault="002B7274">
          <w:pPr>
            <w:pStyle w:val="TOC3"/>
            <w:tabs>
              <w:tab w:val="left" w:pos="880"/>
              <w:tab w:val="right" w:leader="dot" w:pos="9350"/>
            </w:tabs>
            <w:rPr>
              <w:rFonts w:eastAsiaTheme="minorEastAsia"/>
              <w:noProof/>
            </w:rPr>
          </w:pPr>
          <w:hyperlink w:anchor="_Toc421781198" w:history="1">
            <w:r w:rsidR="00286F5E" w:rsidRPr="005E1A60">
              <w:rPr>
                <w:rStyle w:val="Hyperlink"/>
                <w:i/>
                <w:noProof/>
              </w:rPr>
              <w:t>E.</w:t>
            </w:r>
            <w:r w:rsidR="00286F5E">
              <w:rPr>
                <w:rFonts w:eastAsiaTheme="minorEastAsia"/>
                <w:noProof/>
              </w:rPr>
              <w:tab/>
            </w:r>
            <w:r w:rsidR="00286F5E" w:rsidRPr="005E1A60">
              <w:rPr>
                <w:rStyle w:val="Hyperlink"/>
                <w:i/>
                <w:noProof/>
              </w:rPr>
              <w:t>Continuous Quality Improvement (CQI)</w:t>
            </w:r>
            <w:r w:rsidR="00286F5E">
              <w:rPr>
                <w:noProof/>
                <w:webHidden/>
              </w:rPr>
              <w:tab/>
            </w:r>
            <w:r w:rsidR="00286F5E">
              <w:rPr>
                <w:noProof/>
                <w:webHidden/>
              </w:rPr>
              <w:fldChar w:fldCharType="begin"/>
            </w:r>
            <w:r w:rsidR="00286F5E">
              <w:rPr>
                <w:noProof/>
                <w:webHidden/>
              </w:rPr>
              <w:instrText xml:space="preserve"> PAGEREF _Toc421781198 \h </w:instrText>
            </w:r>
            <w:r w:rsidR="00286F5E">
              <w:rPr>
                <w:noProof/>
                <w:webHidden/>
              </w:rPr>
            </w:r>
            <w:r w:rsidR="00286F5E">
              <w:rPr>
                <w:noProof/>
                <w:webHidden/>
              </w:rPr>
              <w:fldChar w:fldCharType="separate"/>
            </w:r>
            <w:r w:rsidR="00A911F3">
              <w:rPr>
                <w:noProof/>
                <w:webHidden/>
              </w:rPr>
              <w:t>27</w:t>
            </w:r>
            <w:r w:rsidR="00286F5E">
              <w:rPr>
                <w:noProof/>
                <w:webHidden/>
              </w:rPr>
              <w:fldChar w:fldCharType="end"/>
            </w:r>
          </w:hyperlink>
        </w:p>
        <w:p w14:paraId="1E9A06B9" w14:textId="77777777" w:rsidR="00286F5E" w:rsidRDefault="002B7274">
          <w:pPr>
            <w:pStyle w:val="TOC3"/>
            <w:tabs>
              <w:tab w:val="left" w:pos="880"/>
              <w:tab w:val="right" w:leader="dot" w:pos="9350"/>
            </w:tabs>
            <w:rPr>
              <w:rFonts w:eastAsiaTheme="minorEastAsia"/>
              <w:noProof/>
            </w:rPr>
          </w:pPr>
          <w:hyperlink w:anchor="_Toc421781199" w:history="1">
            <w:r w:rsidR="00286F5E" w:rsidRPr="005E1A60">
              <w:rPr>
                <w:rStyle w:val="Hyperlink"/>
                <w:i/>
                <w:noProof/>
              </w:rPr>
              <w:t>F.</w:t>
            </w:r>
            <w:r w:rsidR="00286F5E">
              <w:rPr>
                <w:rFonts w:eastAsiaTheme="minorEastAsia"/>
                <w:noProof/>
              </w:rPr>
              <w:tab/>
            </w:r>
            <w:r w:rsidR="00286F5E" w:rsidRPr="005E1A60">
              <w:rPr>
                <w:rStyle w:val="Hyperlink"/>
                <w:i/>
                <w:noProof/>
              </w:rPr>
              <w:t>Discussion</w:t>
            </w:r>
            <w:r w:rsidR="00286F5E">
              <w:rPr>
                <w:noProof/>
                <w:webHidden/>
              </w:rPr>
              <w:tab/>
            </w:r>
            <w:r w:rsidR="00286F5E">
              <w:rPr>
                <w:noProof/>
                <w:webHidden/>
              </w:rPr>
              <w:fldChar w:fldCharType="begin"/>
            </w:r>
            <w:r w:rsidR="00286F5E">
              <w:rPr>
                <w:noProof/>
                <w:webHidden/>
              </w:rPr>
              <w:instrText xml:space="preserve"> PAGEREF _Toc421781199 \h </w:instrText>
            </w:r>
            <w:r w:rsidR="00286F5E">
              <w:rPr>
                <w:noProof/>
                <w:webHidden/>
              </w:rPr>
            </w:r>
            <w:r w:rsidR="00286F5E">
              <w:rPr>
                <w:noProof/>
                <w:webHidden/>
              </w:rPr>
              <w:fldChar w:fldCharType="separate"/>
            </w:r>
            <w:r w:rsidR="00A911F3">
              <w:rPr>
                <w:noProof/>
                <w:webHidden/>
              </w:rPr>
              <w:t>27</w:t>
            </w:r>
            <w:r w:rsidR="00286F5E">
              <w:rPr>
                <w:noProof/>
                <w:webHidden/>
              </w:rPr>
              <w:fldChar w:fldCharType="end"/>
            </w:r>
          </w:hyperlink>
        </w:p>
        <w:p w14:paraId="1600B762" w14:textId="77777777" w:rsidR="00286F5E" w:rsidRDefault="002B7274">
          <w:pPr>
            <w:pStyle w:val="TOC2"/>
            <w:tabs>
              <w:tab w:val="right" w:leader="dot" w:pos="9350"/>
            </w:tabs>
            <w:rPr>
              <w:rFonts w:eastAsiaTheme="minorEastAsia"/>
              <w:noProof/>
            </w:rPr>
          </w:pPr>
          <w:hyperlink w:anchor="_Toc421781200" w:history="1">
            <w:r w:rsidR="00286F5E" w:rsidRPr="005E1A60">
              <w:rPr>
                <w:rStyle w:val="Hyperlink"/>
                <w:b/>
                <w:i/>
                <w:noProof/>
              </w:rPr>
              <w:t>3. Independence</w:t>
            </w:r>
            <w:r w:rsidR="00286F5E">
              <w:rPr>
                <w:noProof/>
                <w:webHidden/>
              </w:rPr>
              <w:tab/>
            </w:r>
            <w:r w:rsidR="00286F5E">
              <w:rPr>
                <w:noProof/>
                <w:webHidden/>
              </w:rPr>
              <w:fldChar w:fldCharType="begin"/>
            </w:r>
            <w:r w:rsidR="00286F5E">
              <w:rPr>
                <w:noProof/>
                <w:webHidden/>
              </w:rPr>
              <w:instrText xml:space="preserve"> PAGEREF _Toc421781200 \h </w:instrText>
            </w:r>
            <w:r w:rsidR="00286F5E">
              <w:rPr>
                <w:noProof/>
                <w:webHidden/>
              </w:rPr>
            </w:r>
            <w:r w:rsidR="00286F5E">
              <w:rPr>
                <w:noProof/>
                <w:webHidden/>
              </w:rPr>
              <w:fldChar w:fldCharType="separate"/>
            </w:r>
            <w:r w:rsidR="00A911F3">
              <w:rPr>
                <w:noProof/>
                <w:webHidden/>
              </w:rPr>
              <w:t>28</w:t>
            </w:r>
            <w:r w:rsidR="00286F5E">
              <w:rPr>
                <w:noProof/>
                <w:webHidden/>
              </w:rPr>
              <w:fldChar w:fldCharType="end"/>
            </w:r>
          </w:hyperlink>
        </w:p>
        <w:p w14:paraId="3487EBB7" w14:textId="77777777" w:rsidR="00286F5E" w:rsidRDefault="002B7274">
          <w:pPr>
            <w:pStyle w:val="TOC3"/>
            <w:tabs>
              <w:tab w:val="left" w:pos="880"/>
              <w:tab w:val="right" w:leader="dot" w:pos="9350"/>
            </w:tabs>
            <w:rPr>
              <w:rFonts w:eastAsiaTheme="minorEastAsia"/>
              <w:noProof/>
            </w:rPr>
          </w:pPr>
          <w:hyperlink w:anchor="_Toc421781201" w:history="1">
            <w:r w:rsidR="00286F5E" w:rsidRPr="005E1A60">
              <w:rPr>
                <w:rStyle w:val="Hyperlink"/>
                <w:i/>
                <w:noProof/>
              </w:rPr>
              <w:t>A.</w:t>
            </w:r>
            <w:r w:rsidR="00286F5E">
              <w:rPr>
                <w:rFonts w:eastAsiaTheme="minorEastAsia"/>
                <w:noProof/>
              </w:rPr>
              <w:tab/>
            </w:r>
            <w:r w:rsidR="00286F5E" w:rsidRPr="005E1A60">
              <w:rPr>
                <w:rStyle w:val="Hyperlink"/>
                <w:i/>
                <w:noProof/>
              </w:rPr>
              <w:t>Regulatory Framework</w:t>
            </w:r>
            <w:r w:rsidR="00286F5E">
              <w:rPr>
                <w:noProof/>
                <w:webHidden/>
              </w:rPr>
              <w:tab/>
            </w:r>
            <w:r w:rsidR="00286F5E">
              <w:rPr>
                <w:noProof/>
                <w:webHidden/>
              </w:rPr>
              <w:fldChar w:fldCharType="begin"/>
            </w:r>
            <w:r w:rsidR="00286F5E">
              <w:rPr>
                <w:noProof/>
                <w:webHidden/>
              </w:rPr>
              <w:instrText xml:space="preserve"> PAGEREF _Toc421781201 \h </w:instrText>
            </w:r>
            <w:r w:rsidR="00286F5E">
              <w:rPr>
                <w:noProof/>
                <w:webHidden/>
              </w:rPr>
            </w:r>
            <w:r w:rsidR="00286F5E">
              <w:rPr>
                <w:noProof/>
                <w:webHidden/>
              </w:rPr>
              <w:fldChar w:fldCharType="separate"/>
            </w:r>
            <w:r w:rsidR="00A911F3">
              <w:rPr>
                <w:noProof/>
                <w:webHidden/>
              </w:rPr>
              <w:t>28</w:t>
            </w:r>
            <w:r w:rsidR="00286F5E">
              <w:rPr>
                <w:noProof/>
                <w:webHidden/>
              </w:rPr>
              <w:fldChar w:fldCharType="end"/>
            </w:r>
          </w:hyperlink>
        </w:p>
        <w:p w14:paraId="5D6A9F66" w14:textId="77777777" w:rsidR="00286F5E" w:rsidRDefault="002B7274">
          <w:pPr>
            <w:pStyle w:val="TOC3"/>
            <w:tabs>
              <w:tab w:val="left" w:pos="880"/>
              <w:tab w:val="right" w:leader="dot" w:pos="9350"/>
            </w:tabs>
            <w:rPr>
              <w:rFonts w:eastAsiaTheme="minorEastAsia"/>
              <w:noProof/>
            </w:rPr>
          </w:pPr>
          <w:hyperlink w:anchor="_Toc421781202" w:history="1">
            <w:r w:rsidR="00286F5E" w:rsidRPr="005E1A60">
              <w:rPr>
                <w:rStyle w:val="Hyperlink"/>
                <w:i/>
                <w:noProof/>
              </w:rPr>
              <w:t>B.</w:t>
            </w:r>
            <w:r w:rsidR="00286F5E">
              <w:rPr>
                <w:rFonts w:eastAsiaTheme="minorEastAsia"/>
                <w:noProof/>
              </w:rPr>
              <w:tab/>
            </w:r>
            <w:r w:rsidR="00286F5E" w:rsidRPr="005E1A60">
              <w:rPr>
                <w:rStyle w:val="Hyperlink"/>
                <w:i/>
                <w:noProof/>
              </w:rPr>
              <w:t>Hearing Officer Positions</w:t>
            </w:r>
            <w:r w:rsidR="00286F5E">
              <w:rPr>
                <w:noProof/>
                <w:webHidden/>
              </w:rPr>
              <w:tab/>
            </w:r>
            <w:r w:rsidR="00286F5E">
              <w:rPr>
                <w:noProof/>
                <w:webHidden/>
              </w:rPr>
              <w:fldChar w:fldCharType="begin"/>
            </w:r>
            <w:r w:rsidR="00286F5E">
              <w:rPr>
                <w:noProof/>
                <w:webHidden/>
              </w:rPr>
              <w:instrText xml:space="preserve"> PAGEREF _Toc421781202 \h </w:instrText>
            </w:r>
            <w:r w:rsidR="00286F5E">
              <w:rPr>
                <w:noProof/>
                <w:webHidden/>
              </w:rPr>
            </w:r>
            <w:r w:rsidR="00286F5E">
              <w:rPr>
                <w:noProof/>
                <w:webHidden/>
              </w:rPr>
              <w:fldChar w:fldCharType="separate"/>
            </w:r>
            <w:r w:rsidR="00A911F3">
              <w:rPr>
                <w:noProof/>
                <w:webHidden/>
              </w:rPr>
              <w:t>29</w:t>
            </w:r>
            <w:r w:rsidR="00286F5E">
              <w:rPr>
                <w:noProof/>
                <w:webHidden/>
              </w:rPr>
              <w:fldChar w:fldCharType="end"/>
            </w:r>
          </w:hyperlink>
        </w:p>
        <w:p w14:paraId="5E71F6AD" w14:textId="77777777" w:rsidR="00286F5E" w:rsidRDefault="002B7274">
          <w:pPr>
            <w:pStyle w:val="TOC3"/>
            <w:tabs>
              <w:tab w:val="left" w:pos="880"/>
              <w:tab w:val="right" w:leader="dot" w:pos="9350"/>
            </w:tabs>
            <w:rPr>
              <w:rFonts w:eastAsiaTheme="minorEastAsia"/>
              <w:noProof/>
            </w:rPr>
          </w:pPr>
          <w:hyperlink w:anchor="_Toc421781203" w:history="1">
            <w:r w:rsidR="00286F5E" w:rsidRPr="005E1A60">
              <w:rPr>
                <w:rStyle w:val="Hyperlink"/>
                <w:i/>
                <w:noProof/>
              </w:rPr>
              <w:t>C.</w:t>
            </w:r>
            <w:r w:rsidR="00286F5E">
              <w:rPr>
                <w:rFonts w:eastAsiaTheme="minorEastAsia"/>
                <w:noProof/>
              </w:rPr>
              <w:tab/>
            </w:r>
            <w:r w:rsidR="00286F5E" w:rsidRPr="005E1A60">
              <w:rPr>
                <w:rStyle w:val="Hyperlink"/>
                <w:i/>
                <w:noProof/>
              </w:rPr>
              <w:t>Reversal Rates</w:t>
            </w:r>
            <w:r w:rsidR="00286F5E">
              <w:rPr>
                <w:noProof/>
                <w:webHidden/>
              </w:rPr>
              <w:tab/>
            </w:r>
            <w:r w:rsidR="00286F5E">
              <w:rPr>
                <w:noProof/>
                <w:webHidden/>
              </w:rPr>
              <w:fldChar w:fldCharType="begin"/>
            </w:r>
            <w:r w:rsidR="00286F5E">
              <w:rPr>
                <w:noProof/>
                <w:webHidden/>
              </w:rPr>
              <w:instrText xml:space="preserve"> PAGEREF _Toc421781203 \h </w:instrText>
            </w:r>
            <w:r w:rsidR="00286F5E">
              <w:rPr>
                <w:noProof/>
                <w:webHidden/>
              </w:rPr>
            </w:r>
            <w:r w:rsidR="00286F5E">
              <w:rPr>
                <w:noProof/>
                <w:webHidden/>
              </w:rPr>
              <w:fldChar w:fldCharType="separate"/>
            </w:r>
            <w:r w:rsidR="00A911F3">
              <w:rPr>
                <w:noProof/>
                <w:webHidden/>
              </w:rPr>
              <w:t>29</w:t>
            </w:r>
            <w:r w:rsidR="00286F5E">
              <w:rPr>
                <w:noProof/>
                <w:webHidden/>
              </w:rPr>
              <w:fldChar w:fldCharType="end"/>
            </w:r>
          </w:hyperlink>
        </w:p>
        <w:p w14:paraId="551136E5" w14:textId="77777777" w:rsidR="00286F5E" w:rsidRDefault="002B7274">
          <w:pPr>
            <w:pStyle w:val="TOC3"/>
            <w:tabs>
              <w:tab w:val="left" w:pos="880"/>
              <w:tab w:val="right" w:leader="dot" w:pos="9350"/>
            </w:tabs>
            <w:rPr>
              <w:rFonts w:eastAsiaTheme="minorEastAsia"/>
              <w:noProof/>
            </w:rPr>
          </w:pPr>
          <w:hyperlink w:anchor="_Toc421781204" w:history="1">
            <w:r w:rsidR="00286F5E" w:rsidRPr="005E1A60">
              <w:rPr>
                <w:rStyle w:val="Hyperlink"/>
                <w:i/>
                <w:noProof/>
              </w:rPr>
              <w:t>D.</w:t>
            </w:r>
            <w:r w:rsidR="00286F5E">
              <w:rPr>
                <w:rFonts w:eastAsiaTheme="minorEastAsia"/>
                <w:noProof/>
              </w:rPr>
              <w:tab/>
            </w:r>
            <w:r w:rsidR="00286F5E" w:rsidRPr="005E1A60">
              <w:rPr>
                <w:rStyle w:val="Hyperlink"/>
                <w:i/>
                <w:noProof/>
              </w:rPr>
              <w:t>Appellant Perspective</w:t>
            </w:r>
            <w:r w:rsidR="00286F5E">
              <w:rPr>
                <w:noProof/>
                <w:webHidden/>
              </w:rPr>
              <w:tab/>
            </w:r>
            <w:r w:rsidR="00286F5E">
              <w:rPr>
                <w:noProof/>
                <w:webHidden/>
              </w:rPr>
              <w:fldChar w:fldCharType="begin"/>
            </w:r>
            <w:r w:rsidR="00286F5E">
              <w:rPr>
                <w:noProof/>
                <w:webHidden/>
              </w:rPr>
              <w:instrText xml:space="preserve"> PAGEREF _Toc421781204 \h </w:instrText>
            </w:r>
            <w:r w:rsidR="00286F5E">
              <w:rPr>
                <w:noProof/>
                <w:webHidden/>
              </w:rPr>
            </w:r>
            <w:r w:rsidR="00286F5E">
              <w:rPr>
                <w:noProof/>
                <w:webHidden/>
              </w:rPr>
              <w:fldChar w:fldCharType="separate"/>
            </w:r>
            <w:r w:rsidR="00A911F3">
              <w:rPr>
                <w:noProof/>
                <w:webHidden/>
              </w:rPr>
              <w:t>30</w:t>
            </w:r>
            <w:r w:rsidR="00286F5E">
              <w:rPr>
                <w:noProof/>
                <w:webHidden/>
              </w:rPr>
              <w:fldChar w:fldCharType="end"/>
            </w:r>
          </w:hyperlink>
        </w:p>
        <w:p w14:paraId="1073C630" w14:textId="77777777" w:rsidR="00286F5E" w:rsidRDefault="002B7274">
          <w:pPr>
            <w:pStyle w:val="TOC3"/>
            <w:tabs>
              <w:tab w:val="left" w:pos="880"/>
              <w:tab w:val="right" w:leader="dot" w:pos="9350"/>
            </w:tabs>
            <w:rPr>
              <w:rFonts w:eastAsiaTheme="minorEastAsia"/>
              <w:noProof/>
            </w:rPr>
          </w:pPr>
          <w:hyperlink w:anchor="_Toc421781205" w:history="1">
            <w:r w:rsidR="00286F5E" w:rsidRPr="005E1A60">
              <w:rPr>
                <w:rStyle w:val="Hyperlink"/>
                <w:i/>
                <w:noProof/>
              </w:rPr>
              <w:t>E.</w:t>
            </w:r>
            <w:r w:rsidR="00286F5E">
              <w:rPr>
                <w:rFonts w:eastAsiaTheme="minorEastAsia"/>
                <w:noProof/>
              </w:rPr>
              <w:tab/>
            </w:r>
            <w:r w:rsidR="00286F5E" w:rsidRPr="005E1A60">
              <w:rPr>
                <w:rStyle w:val="Hyperlink"/>
                <w:i/>
                <w:noProof/>
              </w:rPr>
              <w:t>Discussion</w:t>
            </w:r>
            <w:r w:rsidR="00286F5E">
              <w:rPr>
                <w:noProof/>
                <w:webHidden/>
              </w:rPr>
              <w:tab/>
            </w:r>
            <w:r w:rsidR="00286F5E">
              <w:rPr>
                <w:noProof/>
                <w:webHidden/>
              </w:rPr>
              <w:fldChar w:fldCharType="begin"/>
            </w:r>
            <w:r w:rsidR="00286F5E">
              <w:rPr>
                <w:noProof/>
                <w:webHidden/>
              </w:rPr>
              <w:instrText xml:space="preserve"> PAGEREF _Toc421781205 \h </w:instrText>
            </w:r>
            <w:r w:rsidR="00286F5E">
              <w:rPr>
                <w:noProof/>
                <w:webHidden/>
              </w:rPr>
            </w:r>
            <w:r w:rsidR="00286F5E">
              <w:rPr>
                <w:noProof/>
                <w:webHidden/>
              </w:rPr>
              <w:fldChar w:fldCharType="separate"/>
            </w:r>
            <w:r w:rsidR="00A911F3">
              <w:rPr>
                <w:noProof/>
                <w:webHidden/>
              </w:rPr>
              <w:t>31</w:t>
            </w:r>
            <w:r w:rsidR="00286F5E">
              <w:rPr>
                <w:noProof/>
                <w:webHidden/>
              </w:rPr>
              <w:fldChar w:fldCharType="end"/>
            </w:r>
          </w:hyperlink>
        </w:p>
        <w:p w14:paraId="4486CE7E" w14:textId="77777777" w:rsidR="00286F5E" w:rsidRDefault="002B7274">
          <w:pPr>
            <w:pStyle w:val="TOC1"/>
            <w:rPr>
              <w:rFonts w:eastAsiaTheme="minorEastAsia"/>
              <w:color w:val="auto"/>
            </w:rPr>
          </w:pPr>
          <w:hyperlink w:anchor="_Toc421781206" w:history="1">
            <w:r w:rsidR="00286F5E" w:rsidRPr="005E1A60">
              <w:rPr>
                <w:rStyle w:val="Hyperlink"/>
                <w:b/>
                <w:i/>
              </w:rPr>
              <w:t>Recommendations</w:t>
            </w:r>
            <w:r w:rsidR="00286F5E">
              <w:rPr>
                <w:webHidden/>
              </w:rPr>
              <w:tab/>
            </w:r>
            <w:r w:rsidR="00286F5E">
              <w:rPr>
                <w:webHidden/>
              </w:rPr>
              <w:fldChar w:fldCharType="begin"/>
            </w:r>
            <w:r w:rsidR="00286F5E">
              <w:rPr>
                <w:webHidden/>
              </w:rPr>
              <w:instrText xml:space="preserve"> PAGEREF _Toc421781206 \h </w:instrText>
            </w:r>
            <w:r w:rsidR="00286F5E">
              <w:rPr>
                <w:webHidden/>
              </w:rPr>
            </w:r>
            <w:r w:rsidR="00286F5E">
              <w:rPr>
                <w:webHidden/>
              </w:rPr>
              <w:fldChar w:fldCharType="separate"/>
            </w:r>
            <w:r w:rsidR="00A911F3">
              <w:rPr>
                <w:webHidden/>
              </w:rPr>
              <w:t>32</w:t>
            </w:r>
            <w:r w:rsidR="00286F5E">
              <w:rPr>
                <w:webHidden/>
              </w:rPr>
              <w:fldChar w:fldCharType="end"/>
            </w:r>
          </w:hyperlink>
        </w:p>
        <w:p w14:paraId="02AC9450" w14:textId="77777777" w:rsidR="00286F5E" w:rsidRDefault="002B7274">
          <w:pPr>
            <w:pStyle w:val="TOC2"/>
            <w:tabs>
              <w:tab w:val="left" w:pos="660"/>
              <w:tab w:val="right" w:leader="dot" w:pos="9350"/>
            </w:tabs>
            <w:rPr>
              <w:rFonts w:eastAsiaTheme="minorEastAsia"/>
              <w:noProof/>
            </w:rPr>
          </w:pPr>
          <w:hyperlink w:anchor="_Toc421781207" w:history="1">
            <w:r w:rsidR="00286F5E" w:rsidRPr="005E1A60">
              <w:rPr>
                <w:rStyle w:val="Hyperlink"/>
                <w:i/>
                <w:noProof/>
                <w:lang w:eastAsia="ja-JP"/>
              </w:rPr>
              <w:t>1.</w:t>
            </w:r>
            <w:r w:rsidR="00286F5E">
              <w:rPr>
                <w:rFonts w:eastAsiaTheme="minorEastAsia"/>
                <w:noProof/>
              </w:rPr>
              <w:tab/>
            </w:r>
            <w:r w:rsidR="00286F5E" w:rsidRPr="005E1A60">
              <w:rPr>
                <w:rStyle w:val="Hyperlink"/>
                <w:i/>
                <w:noProof/>
                <w:lang w:eastAsia="ja-JP"/>
              </w:rPr>
              <w:t>Recommended Regulatory Changes</w:t>
            </w:r>
            <w:r w:rsidR="00286F5E">
              <w:rPr>
                <w:noProof/>
                <w:webHidden/>
              </w:rPr>
              <w:tab/>
            </w:r>
            <w:r w:rsidR="00286F5E">
              <w:rPr>
                <w:noProof/>
                <w:webHidden/>
              </w:rPr>
              <w:fldChar w:fldCharType="begin"/>
            </w:r>
            <w:r w:rsidR="00286F5E">
              <w:rPr>
                <w:noProof/>
                <w:webHidden/>
              </w:rPr>
              <w:instrText xml:space="preserve"> PAGEREF _Toc421781207 \h </w:instrText>
            </w:r>
            <w:r w:rsidR="00286F5E">
              <w:rPr>
                <w:noProof/>
                <w:webHidden/>
              </w:rPr>
            </w:r>
            <w:r w:rsidR="00286F5E">
              <w:rPr>
                <w:noProof/>
                <w:webHidden/>
              </w:rPr>
              <w:fldChar w:fldCharType="separate"/>
            </w:r>
            <w:r w:rsidR="00A911F3">
              <w:rPr>
                <w:noProof/>
                <w:webHidden/>
              </w:rPr>
              <w:t>32</w:t>
            </w:r>
            <w:r w:rsidR="00286F5E">
              <w:rPr>
                <w:noProof/>
                <w:webHidden/>
              </w:rPr>
              <w:fldChar w:fldCharType="end"/>
            </w:r>
          </w:hyperlink>
        </w:p>
        <w:p w14:paraId="31C2810D" w14:textId="77777777" w:rsidR="00286F5E" w:rsidRDefault="002B7274">
          <w:pPr>
            <w:pStyle w:val="TOC3"/>
            <w:tabs>
              <w:tab w:val="left" w:pos="880"/>
              <w:tab w:val="right" w:leader="dot" w:pos="9350"/>
            </w:tabs>
            <w:rPr>
              <w:rFonts w:eastAsiaTheme="minorEastAsia"/>
              <w:noProof/>
            </w:rPr>
          </w:pPr>
          <w:hyperlink w:anchor="_Toc421781208" w:history="1">
            <w:r w:rsidR="00286F5E" w:rsidRPr="005E1A60">
              <w:rPr>
                <w:rStyle w:val="Hyperlink"/>
                <w:i/>
                <w:noProof/>
              </w:rPr>
              <w:t>A.</w:t>
            </w:r>
            <w:r w:rsidR="00286F5E">
              <w:rPr>
                <w:rFonts w:eastAsiaTheme="minorEastAsia"/>
                <w:noProof/>
              </w:rPr>
              <w:tab/>
            </w:r>
            <w:r w:rsidR="00286F5E" w:rsidRPr="005E1A60">
              <w:rPr>
                <w:rStyle w:val="Hyperlink"/>
                <w:i/>
                <w:noProof/>
              </w:rPr>
              <w:t>Timeliness</w:t>
            </w:r>
            <w:r w:rsidR="00286F5E">
              <w:rPr>
                <w:noProof/>
                <w:webHidden/>
              </w:rPr>
              <w:tab/>
            </w:r>
            <w:r w:rsidR="00286F5E">
              <w:rPr>
                <w:noProof/>
                <w:webHidden/>
              </w:rPr>
              <w:fldChar w:fldCharType="begin"/>
            </w:r>
            <w:r w:rsidR="00286F5E">
              <w:rPr>
                <w:noProof/>
                <w:webHidden/>
              </w:rPr>
              <w:instrText xml:space="preserve"> PAGEREF _Toc421781208 \h </w:instrText>
            </w:r>
            <w:r w:rsidR="00286F5E">
              <w:rPr>
                <w:noProof/>
                <w:webHidden/>
              </w:rPr>
            </w:r>
            <w:r w:rsidR="00286F5E">
              <w:rPr>
                <w:noProof/>
                <w:webHidden/>
              </w:rPr>
              <w:fldChar w:fldCharType="separate"/>
            </w:r>
            <w:r w:rsidR="00A911F3">
              <w:rPr>
                <w:noProof/>
                <w:webHidden/>
              </w:rPr>
              <w:t>32</w:t>
            </w:r>
            <w:r w:rsidR="00286F5E">
              <w:rPr>
                <w:noProof/>
                <w:webHidden/>
              </w:rPr>
              <w:fldChar w:fldCharType="end"/>
            </w:r>
          </w:hyperlink>
        </w:p>
        <w:p w14:paraId="0DDDAE37" w14:textId="77777777" w:rsidR="00286F5E" w:rsidRDefault="002B7274">
          <w:pPr>
            <w:pStyle w:val="TOC3"/>
            <w:tabs>
              <w:tab w:val="left" w:pos="880"/>
              <w:tab w:val="right" w:leader="dot" w:pos="9350"/>
            </w:tabs>
            <w:rPr>
              <w:rFonts w:eastAsiaTheme="minorEastAsia"/>
              <w:noProof/>
            </w:rPr>
          </w:pPr>
          <w:hyperlink w:anchor="_Toc421781209" w:history="1">
            <w:r w:rsidR="00286F5E" w:rsidRPr="005E1A60">
              <w:rPr>
                <w:rStyle w:val="Hyperlink"/>
                <w:i/>
                <w:noProof/>
                <w:lang w:eastAsia="ja-JP"/>
              </w:rPr>
              <w:t>B.</w:t>
            </w:r>
            <w:r w:rsidR="00286F5E">
              <w:rPr>
                <w:rFonts w:eastAsiaTheme="minorEastAsia"/>
                <w:noProof/>
              </w:rPr>
              <w:tab/>
            </w:r>
            <w:r w:rsidR="00286F5E" w:rsidRPr="005E1A60">
              <w:rPr>
                <w:rStyle w:val="Hyperlink"/>
                <w:i/>
                <w:noProof/>
                <w:lang w:eastAsia="ja-JP"/>
              </w:rPr>
              <w:t>Fairness</w:t>
            </w:r>
            <w:r w:rsidR="00286F5E">
              <w:rPr>
                <w:noProof/>
                <w:webHidden/>
              </w:rPr>
              <w:tab/>
            </w:r>
            <w:r w:rsidR="00286F5E">
              <w:rPr>
                <w:noProof/>
                <w:webHidden/>
              </w:rPr>
              <w:fldChar w:fldCharType="begin"/>
            </w:r>
            <w:r w:rsidR="00286F5E">
              <w:rPr>
                <w:noProof/>
                <w:webHidden/>
              </w:rPr>
              <w:instrText xml:space="preserve"> PAGEREF _Toc421781209 \h </w:instrText>
            </w:r>
            <w:r w:rsidR="00286F5E">
              <w:rPr>
                <w:noProof/>
                <w:webHidden/>
              </w:rPr>
            </w:r>
            <w:r w:rsidR="00286F5E">
              <w:rPr>
                <w:noProof/>
                <w:webHidden/>
              </w:rPr>
              <w:fldChar w:fldCharType="separate"/>
            </w:r>
            <w:r w:rsidR="00A911F3">
              <w:rPr>
                <w:noProof/>
                <w:webHidden/>
              </w:rPr>
              <w:t>32</w:t>
            </w:r>
            <w:r w:rsidR="00286F5E">
              <w:rPr>
                <w:noProof/>
                <w:webHidden/>
              </w:rPr>
              <w:fldChar w:fldCharType="end"/>
            </w:r>
          </w:hyperlink>
        </w:p>
        <w:p w14:paraId="0C7119F9" w14:textId="77777777" w:rsidR="00286F5E" w:rsidRDefault="002B7274">
          <w:pPr>
            <w:pStyle w:val="TOC3"/>
            <w:tabs>
              <w:tab w:val="left" w:pos="880"/>
              <w:tab w:val="right" w:leader="dot" w:pos="9350"/>
            </w:tabs>
            <w:rPr>
              <w:rFonts w:eastAsiaTheme="minorEastAsia"/>
              <w:noProof/>
            </w:rPr>
          </w:pPr>
          <w:hyperlink w:anchor="_Toc421781210" w:history="1">
            <w:r w:rsidR="00286F5E" w:rsidRPr="005E1A60">
              <w:rPr>
                <w:rStyle w:val="Hyperlink"/>
                <w:i/>
                <w:noProof/>
              </w:rPr>
              <w:t>C.</w:t>
            </w:r>
            <w:r w:rsidR="00286F5E">
              <w:rPr>
                <w:rFonts w:eastAsiaTheme="minorEastAsia"/>
                <w:noProof/>
              </w:rPr>
              <w:tab/>
            </w:r>
            <w:r w:rsidR="00286F5E" w:rsidRPr="005E1A60">
              <w:rPr>
                <w:rStyle w:val="Hyperlink"/>
                <w:i/>
                <w:noProof/>
              </w:rPr>
              <w:t>Independence</w:t>
            </w:r>
            <w:r w:rsidR="00286F5E">
              <w:rPr>
                <w:noProof/>
                <w:webHidden/>
              </w:rPr>
              <w:tab/>
            </w:r>
            <w:r w:rsidR="00286F5E">
              <w:rPr>
                <w:noProof/>
                <w:webHidden/>
              </w:rPr>
              <w:fldChar w:fldCharType="begin"/>
            </w:r>
            <w:r w:rsidR="00286F5E">
              <w:rPr>
                <w:noProof/>
                <w:webHidden/>
              </w:rPr>
              <w:instrText xml:space="preserve"> PAGEREF _Toc421781210 \h </w:instrText>
            </w:r>
            <w:r w:rsidR="00286F5E">
              <w:rPr>
                <w:noProof/>
                <w:webHidden/>
              </w:rPr>
            </w:r>
            <w:r w:rsidR="00286F5E">
              <w:rPr>
                <w:noProof/>
                <w:webHidden/>
              </w:rPr>
              <w:fldChar w:fldCharType="separate"/>
            </w:r>
            <w:r w:rsidR="00A911F3">
              <w:rPr>
                <w:noProof/>
                <w:webHidden/>
              </w:rPr>
              <w:t>33</w:t>
            </w:r>
            <w:r w:rsidR="00286F5E">
              <w:rPr>
                <w:noProof/>
                <w:webHidden/>
              </w:rPr>
              <w:fldChar w:fldCharType="end"/>
            </w:r>
          </w:hyperlink>
        </w:p>
        <w:p w14:paraId="69FE1C74" w14:textId="77777777" w:rsidR="00286F5E" w:rsidRDefault="002B7274">
          <w:pPr>
            <w:pStyle w:val="TOC2"/>
            <w:tabs>
              <w:tab w:val="left" w:pos="660"/>
              <w:tab w:val="right" w:leader="dot" w:pos="9350"/>
            </w:tabs>
            <w:rPr>
              <w:rFonts w:eastAsiaTheme="minorEastAsia"/>
              <w:noProof/>
            </w:rPr>
          </w:pPr>
          <w:hyperlink w:anchor="_Toc421781211" w:history="1">
            <w:r w:rsidR="00286F5E" w:rsidRPr="005E1A60">
              <w:rPr>
                <w:rStyle w:val="Hyperlink"/>
                <w:i/>
                <w:noProof/>
              </w:rPr>
              <w:t>2.</w:t>
            </w:r>
            <w:r w:rsidR="00286F5E">
              <w:rPr>
                <w:rFonts w:eastAsiaTheme="minorEastAsia"/>
                <w:noProof/>
              </w:rPr>
              <w:tab/>
            </w:r>
            <w:r w:rsidR="00286F5E" w:rsidRPr="005E1A60">
              <w:rPr>
                <w:rStyle w:val="Hyperlink"/>
                <w:i/>
                <w:noProof/>
              </w:rPr>
              <w:t>Recommended Operational Changes</w:t>
            </w:r>
            <w:r w:rsidR="00286F5E">
              <w:rPr>
                <w:noProof/>
                <w:webHidden/>
              </w:rPr>
              <w:tab/>
            </w:r>
            <w:r w:rsidR="00286F5E">
              <w:rPr>
                <w:noProof/>
                <w:webHidden/>
              </w:rPr>
              <w:fldChar w:fldCharType="begin"/>
            </w:r>
            <w:r w:rsidR="00286F5E">
              <w:rPr>
                <w:noProof/>
                <w:webHidden/>
              </w:rPr>
              <w:instrText xml:space="preserve"> PAGEREF _Toc421781211 \h </w:instrText>
            </w:r>
            <w:r w:rsidR="00286F5E">
              <w:rPr>
                <w:noProof/>
                <w:webHidden/>
              </w:rPr>
            </w:r>
            <w:r w:rsidR="00286F5E">
              <w:rPr>
                <w:noProof/>
                <w:webHidden/>
              </w:rPr>
              <w:fldChar w:fldCharType="separate"/>
            </w:r>
            <w:r w:rsidR="00A911F3">
              <w:rPr>
                <w:noProof/>
                <w:webHidden/>
              </w:rPr>
              <w:t>33</w:t>
            </w:r>
            <w:r w:rsidR="00286F5E">
              <w:rPr>
                <w:noProof/>
                <w:webHidden/>
              </w:rPr>
              <w:fldChar w:fldCharType="end"/>
            </w:r>
          </w:hyperlink>
        </w:p>
        <w:p w14:paraId="5496746B" w14:textId="77777777" w:rsidR="00286F5E" w:rsidRDefault="002B7274">
          <w:pPr>
            <w:pStyle w:val="TOC3"/>
            <w:tabs>
              <w:tab w:val="left" w:pos="880"/>
              <w:tab w:val="right" w:leader="dot" w:pos="9350"/>
            </w:tabs>
            <w:rPr>
              <w:rFonts w:eastAsiaTheme="minorEastAsia"/>
              <w:noProof/>
            </w:rPr>
          </w:pPr>
          <w:hyperlink w:anchor="_Toc421781212" w:history="1">
            <w:r w:rsidR="00286F5E" w:rsidRPr="005E1A60">
              <w:rPr>
                <w:rStyle w:val="Hyperlink"/>
                <w:i/>
                <w:noProof/>
              </w:rPr>
              <w:t>A.</w:t>
            </w:r>
            <w:r w:rsidR="00286F5E">
              <w:rPr>
                <w:rFonts w:eastAsiaTheme="minorEastAsia"/>
                <w:noProof/>
              </w:rPr>
              <w:tab/>
            </w:r>
            <w:r w:rsidR="00286F5E" w:rsidRPr="005E1A60">
              <w:rPr>
                <w:rStyle w:val="Hyperlink"/>
                <w:i/>
                <w:noProof/>
              </w:rPr>
              <w:t>Timeliness</w:t>
            </w:r>
            <w:r w:rsidR="00286F5E">
              <w:rPr>
                <w:noProof/>
                <w:webHidden/>
              </w:rPr>
              <w:tab/>
            </w:r>
            <w:r w:rsidR="00286F5E">
              <w:rPr>
                <w:noProof/>
                <w:webHidden/>
              </w:rPr>
              <w:fldChar w:fldCharType="begin"/>
            </w:r>
            <w:r w:rsidR="00286F5E">
              <w:rPr>
                <w:noProof/>
                <w:webHidden/>
              </w:rPr>
              <w:instrText xml:space="preserve"> PAGEREF _Toc421781212 \h </w:instrText>
            </w:r>
            <w:r w:rsidR="00286F5E">
              <w:rPr>
                <w:noProof/>
                <w:webHidden/>
              </w:rPr>
            </w:r>
            <w:r w:rsidR="00286F5E">
              <w:rPr>
                <w:noProof/>
                <w:webHidden/>
              </w:rPr>
              <w:fldChar w:fldCharType="separate"/>
            </w:r>
            <w:r w:rsidR="00A911F3">
              <w:rPr>
                <w:noProof/>
                <w:webHidden/>
              </w:rPr>
              <w:t>33</w:t>
            </w:r>
            <w:r w:rsidR="00286F5E">
              <w:rPr>
                <w:noProof/>
                <w:webHidden/>
              </w:rPr>
              <w:fldChar w:fldCharType="end"/>
            </w:r>
          </w:hyperlink>
        </w:p>
        <w:p w14:paraId="2AFD0464" w14:textId="77777777" w:rsidR="00286F5E" w:rsidRDefault="002B7274">
          <w:pPr>
            <w:pStyle w:val="TOC3"/>
            <w:tabs>
              <w:tab w:val="left" w:pos="880"/>
              <w:tab w:val="right" w:leader="dot" w:pos="9350"/>
            </w:tabs>
            <w:rPr>
              <w:rFonts w:eastAsiaTheme="minorEastAsia"/>
              <w:noProof/>
            </w:rPr>
          </w:pPr>
          <w:hyperlink w:anchor="_Toc421781213" w:history="1">
            <w:r w:rsidR="00286F5E" w:rsidRPr="005E1A60">
              <w:rPr>
                <w:rStyle w:val="Hyperlink"/>
                <w:i/>
                <w:noProof/>
              </w:rPr>
              <w:t>B.</w:t>
            </w:r>
            <w:r w:rsidR="00286F5E">
              <w:rPr>
                <w:rFonts w:eastAsiaTheme="minorEastAsia"/>
                <w:noProof/>
              </w:rPr>
              <w:tab/>
            </w:r>
            <w:r w:rsidR="00286F5E" w:rsidRPr="005E1A60">
              <w:rPr>
                <w:rStyle w:val="Hyperlink"/>
                <w:i/>
                <w:noProof/>
              </w:rPr>
              <w:t>Fairness</w:t>
            </w:r>
            <w:r w:rsidR="00286F5E">
              <w:rPr>
                <w:noProof/>
                <w:webHidden/>
              </w:rPr>
              <w:tab/>
            </w:r>
            <w:r w:rsidR="00286F5E">
              <w:rPr>
                <w:noProof/>
                <w:webHidden/>
              </w:rPr>
              <w:fldChar w:fldCharType="begin"/>
            </w:r>
            <w:r w:rsidR="00286F5E">
              <w:rPr>
                <w:noProof/>
                <w:webHidden/>
              </w:rPr>
              <w:instrText xml:space="preserve"> PAGEREF _Toc421781213 \h </w:instrText>
            </w:r>
            <w:r w:rsidR="00286F5E">
              <w:rPr>
                <w:noProof/>
                <w:webHidden/>
              </w:rPr>
            </w:r>
            <w:r w:rsidR="00286F5E">
              <w:rPr>
                <w:noProof/>
                <w:webHidden/>
              </w:rPr>
              <w:fldChar w:fldCharType="separate"/>
            </w:r>
            <w:r w:rsidR="00A911F3">
              <w:rPr>
                <w:noProof/>
                <w:webHidden/>
              </w:rPr>
              <w:t>35</w:t>
            </w:r>
            <w:r w:rsidR="00286F5E">
              <w:rPr>
                <w:noProof/>
                <w:webHidden/>
              </w:rPr>
              <w:fldChar w:fldCharType="end"/>
            </w:r>
          </w:hyperlink>
        </w:p>
        <w:p w14:paraId="479E29CC" w14:textId="77777777" w:rsidR="00286F5E" w:rsidRDefault="002B7274">
          <w:pPr>
            <w:pStyle w:val="TOC3"/>
            <w:tabs>
              <w:tab w:val="left" w:pos="880"/>
              <w:tab w:val="right" w:leader="dot" w:pos="9350"/>
            </w:tabs>
            <w:rPr>
              <w:rFonts w:eastAsiaTheme="minorEastAsia"/>
              <w:noProof/>
            </w:rPr>
          </w:pPr>
          <w:hyperlink w:anchor="_Toc421781214" w:history="1">
            <w:r w:rsidR="00286F5E" w:rsidRPr="005E1A60">
              <w:rPr>
                <w:rStyle w:val="Hyperlink"/>
                <w:i/>
                <w:noProof/>
              </w:rPr>
              <w:t>C.</w:t>
            </w:r>
            <w:r w:rsidR="00286F5E">
              <w:rPr>
                <w:rFonts w:eastAsiaTheme="minorEastAsia"/>
                <w:noProof/>
              </w:rPr>
              <w:tab/>
            </w:r>
            <w:r w:rsidR="00286F5E" w:rsidRPr="005E1A60">
              <w:rPr>
                <w:rStyle w:val="Hyperlink"/>
                <w:i/>
                <w:noProof/>
              </w:rPr>
              <w:t>Independence</w:t>
            </w:r>
            <w:r w:rsidR="00286F5E">
              <w:rPr>
                <w:noProof/>
                <w:webHidden/>
              </w:rPr>
              <w:tab/>
            </w:r>
            <w:r w:rsidR="00286F5E">
              <w:rPr>
                <w:noProof/>
                <w:webHidden/>
              </w:rPr>
              <w:fldChar w:fldCharType="begin"/>
            </w:r>
            <w:r w:rsidR="00286F5E">
              <w:rPr>
                <w:noProof/>
                <w:webHidden/>
              </w:rPr>
              <w:instrText xml:space="preserve"> PAGEREF _Toc421781214 \h </w:instrText>
            </w:r>
            <w:r w:rsidR="00286F5E">
              <w:rPr>
                <w:noProof/>
                <w:webHidden/>
              </w:rPr>
            </w:r>
            <w:r w:rsidR="00286F5E">
              <w:rPr>
                <w:noProof/>
                <w:webHidden/>
              </w:rPr>
              <w:fldChar w:fldCharType="separate"/>
            </w:r>
            <w:r w:rsidR="00A911F3">
              <w:rPr>
                <w:noProof/>
                <w:webHidden/>
              </w:rPr>
              <w:t>37</w:t>
            </w:r>
            <w:r w:rsidR="00286F5E">
              <w:rPr>
                <w:noProof/>
                <w:webHidden/>
              </w:rPr>
              <w:fldChar w:fldCharType="end"/>
            </w:r>
          </w:hyperlink>
        </w:p>
        <w:p w14:paraId="19B65D2A" w14:textId="77777777" w:rsidR="00286F5E" w:rsidRDefault="002B7274">
          <w:pPr>
            <w:pStyle w:val="TOC1"/>
            <w:rPr>
              <w:rFonts w:eastAsiaTheme="minorEastAsia"/>
              <w:color w:val="auto"/>
            </w:rPr>
          </w:pPr>
          <w:hyperlink w:anchor="_Toc421781215" w:history="1">
            <w:r w:rsidR="00286F5E" w:rsidRPr="001464B2">
              <w:rPr>
                <w:rStyle w:val="Hyperlink"/>
                <w:b/>
                <w:i/>
              </w:rPr>
              <w:t>Conclusion</w:t>
            </w:r>
            <w:r w:rsidR="00286F5E">
              <w:rPr>
                <w:webHidden/>
              </w:rPr>
              <w:tab/>
            </w:r>
            <w:r w:rsidR="00286F5E">
              <w:rPr>
                <w:webHidden/>
              </w:rPr>
              <w:fldChar w:fldCharType="begin"/>
            </w:r>
            <w:r w:rsidR="00286F5E">
              <w:rPr>
                <w:webHidden/>
              </w:rPr>
              <w:instrText xml:space="preserve"> PAGEREF _Toc421781215 \h </w:instrText>
            </w:r>
            <w:r w:rsidR="00286F5E">
              <w:rPr>
                <w:webHidden/>
              </w:rPr>
            </w:r>
            <w:r w:rsidR="00286F5E">
              <w:rPr>
                <w:webHidden/>
              </w:rPr>
              <w:fldChar w:fldCharType="separate"/>
            </w:r>
            <w:r w:rsidR="00A911F3">
              <w:rPr>
                <w:webHidden/>
              </w:rPr>
              <w:t>38</w:t>
            </w:r>
            <w:r w:rsidR="00286F5E">
              <w:rPr>
                <w:webHidden/>
              </w:rPr>
              <w:fldChar w:fldCharType="end"/>
            </w:r>
          </w:hyperlink>
        </w:p>
        <w:p w14:paraId="0BF09F2E" w14:textId="77777777" w:rsidR="00E573AD" w:rsidRPr="005405E2" w:rsidRDefault="00A83605" w:rsidP="00E573AD">
          <w:pPr>
            <w:pStyle w:val="TOC1"/>
            <w:rPr>
              <w:rStyle w:val="Hyperlink"/>
            </w:rPr>
          </w:pPr>
          <w:r>
            <w:rPr>
              <w:b/>
              <w:bCs/>
            </w:rPr>
            <w:fldChar w:fldCharType="end"/>
          </w:r>
          <w:hyperlink w:anchor="_Toc419818652" w:history="1">
            <w:r w:rsidR="00E573AD" w:rsidRPr="001464B2">
              <w:rPr>
                <w:rStyle w:val="Hyperlink"/>
                <w:b/>
                <w:i/>
                <w:color w:val="000000" w:themeColor="text1"/>
                <w:u w:val="none"/>
              </w:rPr>
              <w:t>Appendix</w:t>
            </w:r>
            <w:r w:rsidR="00E573AD" w:rsidRPr="005405E2">
              <w:rPr>
                <w:webHidden/>
              </w:rPr>
              <w:tab/>
            </w:r>
            <w:r w:rsidR="00E573AD">
              <w:rPr>
                <w:webHidden/>
              </w:rPr>
              <w:t>39</w:t>
            </w:r>
          </w:hyperlink>
        </w:p>
        <w:p w14:paraId="29175365" w14:textId="4A5489C8" w:rsidR="00E573AD" w:rsidRDefault="002B7274" w:rsidP="00EE6130">
          <w:pPr>
            <w:pStyle w:val="TOC1"/>
            <w:ind w:left="360"/>
            <w:rPr>
              <w:rStyle w:val="Hyperlink"/>
            </w:rPr>
          </w:pPr>
          <w:hyperlink w:anchor="_Toc419818652" w:history="1">
            <w:r w:rsidR="00E573AD" w:rsidRPr="001464B2">
              <w:rPr>
                <w:rStyle w:val="Hyperlink"/>
                <w:i/>
                <w:color w:val="000000" w:themeColor="text1"/>
                <w:u w:val="none"/>
              </w:rPr>
              <w:t>FamilyNet Data Analysis</w:t>
            </w:r>
            <w:r w:rsidR="00E573AD">
              <w:rPr>
                <w:webHidden/>
              </w:rPr>
              <w:tab/>
              <w:t>40</w:t>
            </w:r>
          </w:hyperlink>
        </w:p>
        <w:p w14:paraId="7EE71F8E" w14:textId="283698FF" w:rsidR="00E573AD" w:rsidRPr="004F1C0B" w:rsidRDefault="00E573AD" w:rsidP="00EE6130">
          <w:pPr>
            <w:pStyle w:val="TOC1"/>
            <w:ind w:left="360"/>
            <w:rPr>
              <w:rStyle w:val="Hyperlink"/>
              <w:color w:val="000000" w:themeColor="text1"/>
              <w:u w:val="none"/>
            </w:rPr>
          </w:pPr>
          <w:r w:rsidRPr="001464B2">
            <w:rPr>
              <w:rStyle w:val="Hyperlink"/>
              <w:i/>
              <w:color w:val="000000" w:themeColor="text1"/>
              <w:u w:val="none"/>
            </w:rPr>
            <w:t>Appellant Survey Results</w:t>
          </w:r>
          <w:r w:rsidRPr="004F1C0B">
            <w:rPr>
              <w:rStyle w:val="Hyperlink"/>
              <w:webHidden/>
              <w:color w:val="000000" w:themeColor="text1"/>
              <w:u w:val="none"/>
            </w:rPr>
            <w:tab/>
          </w:r>
          <w:r>
            <w:rPr>
              <w:rStyle w:val="Hyperlink"/>
              <w:webHidden/>
              <w:color w:val="000000" w:themeColor="text1"/>
              <w:u w:val="none"/>
            </w:rPr>
            <w:t>87</w:t>
          </w:r>
        </w:p>
        <w:p w14:paraId="03B290F0" w14:textId="51983239" w:rsidR="00E573AD" w:rsidRPr="004F1C0B" w:rsidRDefault="00E573AD" w:rsidP="00EE6130">
          <w:pPr>
            <w:pStyle w:val="TOC1"/>
            <w:ind w:left="360"/>
            <w:rPr>
              <w:rStyle w:val="Hyperlink"/>
              <w:color w:val="000000" w:themeColor="text1"/>
              <w:u w:val="none"/>
            </w:rPr>
          </w:pPr>
          <w:r w:rsidRPr="001464B2">
            <w:rPr>
              <w:rStyle w:val="Hyperlink"/>
              <w:i/>
              <w:color w:val="000000" w:themeColor="text1"/>
              <w:u w:val="none"/>
            </w:rPr>
            <w:t>Appellant Survey Questions</w:t>
          </w:r>
          <w:r w:rsidRPr="004F1C0B">
            <w:rPr>
              <w:rStyle w:val="Hyperlink"/>
              <w:webHidden/>
              <w:color w:val="000000" w:themeColor="text1"/>
              <w:u w:val="none"/>
            </w:rPr>
            <w:tab/>
          </w:r>
          <w:r>
            <w:rPr>
              <w:rStyle w:val="Hyperlink"/>
              <w:webHidden/>
              <w:color w:val="000000" w:themeColor="text1"/>
              <w:u w:val="none"/>
            </w:rPr>
            <w:t>1</w:t>
          </w:r>
          <w:r w:rsidR="00A911F3">
            <w:rPr>
              <w:rStyle w:val="Hyperlink"/>
              <w:webHidden/>
              <w:color w:val="000000" w:themeColor="text1"/>
              <w:u w:val="none"/>
            </w:rPr>
            <w:t>07</w:t>
          </w:r>
        </w:p>
        <w:p w14:paraId="746EEE86" w14:textId="56CB8867" w:rsidR="00E573AD" w:rsidRPr="004F1C0B" w:rsidRDefault="00E573AD" w:rsidP="00EE6130">
          <w:pPr>
            <w:pStyle w:val="TOC1"/>
            <w:ind w:left="360"/>
            <w:rPr>
              <w:rStyle w:val="Hyperlink"/>
              <w:color w:val="000000" w:themeColor="text1"/>
              <w:u w:val="none"/>
            </w:rPr>
          </w:pPr>
          <w:r w:rsidRPr="001464B2">
            <w:rPr>
              <w:rStyle w:val="Hyperlink"/>
              <w:i/>
              <w:color w:val="000000" w:themeColor="text1"/>
              <w:u w:val="none"/>
            </w:rPr>
            <w:t>Fair Hearing Process – Flow Charts</w:t>
          </w:r>
          <w:r w:rsidRPr="004F1C0B">
            <w:rPr>
              <w:rStyle w:val="Hyperlink"/>
              <w:webHidden/>
              <w:color w:val="000000" w:themeColor="text1"/>
              <w:u w:val="none"/>
            </w:rPr>
            <w:tab/>
          </w:r>
          <w:r>
            <w:rPr>
              <w:rStyle w:val="Hyperlink"/>
              <w:webHidden/>
              <w:color w:val="000000" w:themeColor="text1"/>
              <w:u w:val="none"/>
            </w:rPr>
            <w:t>1</w:t>
          </w:r>
          <w:r w:rsidR="00A911F3">
            <w:rPr>
              <w:rStyle w:val="Hyperlink"/>
              <w:webHidden/>
              <w:color w:val="000000" w:themeColor="text1"/>
              <w:u w:val="none"/>
            </w:rPr>
            <w:t>17</w:t>
          </w:r>
        </w:p>
        <w:p w14:paraId="1E31B96C" w14:textId="593CAD22" w:rsidR="00A83605" w:rsidRDefault="00E573AD" w:rsidP="00EE6130">
          <w:pPr>
            <w:pStyle w:val="TOC1"/>
            <w:ind w:left="360"/>
          </w:pPr>
          <w:r w:rsidRPr="001464B2">
            <w:rPr>
              <w:rStyle w:val="Hyperlink"/>
              <w:i/>
              <w:color w:val="000000" w:themeColor="text1"/>
              <w:u w:val="none"/>
            </w:rPr>
            <w:t>DCF Fair Hearing Documents</w:t>
          </w:r>
          <w:r w:rsidRPr="004F1C0B">
            <w:rPr>
              <w:rStyle w:val="Hyperlink"/>
              <w:webHidden/>
              <w:color w:val="000000" w:themeColor="text1"/>
              <w:u w:val="none"/>
            </w:rPr>
            <w:tab/>
          </w:r>
          <w:r>
            <w:rPr>
              <w:rStyle w:val="Hyperlink"/>
              <w:webHidden/>
              <w:color w:val="000000" w:themeColor="text1"/>
              <w:u w:val="none"/>
            </w:rPr>
            <w:t>12</w:t>
          </w:r>
          <w:r w:rsidR="00A911F3">
            <w:rPr>
              <w:rStyle w:val="Hyperlink"/>
              <w:webHidden/>
              <w:color w:val="000000" w:themeColor="text1"/>
              <w:u w:val="none"/>
            </w:rPr>
            <w:t>0</w:t>
          </w:r>
        </w:p>
      </w:sdtContent>
    </w:sdt>
    <w:p w14:paraId="481974FE" w14:textId="77777777" w:rsidR="006F1B63" w:rsidRDefault="006F1B63">
      <w:pPr>
        <w:rPr>
          <w:rFonts w:asciiTheme="majorHAnsi" w:eastAsiaTheme="majorEastAsia" w:hAnsiTheme="majorHAnsi" w:cstheme="majorBidi"/>
          <w:i/>
          <w:color w:val="2E74B5" w:themeColor="accent1" w:themeShade="BF"/>
          <w:sz w:val="32"/>
          <w:szCs w:val="32"/>
        </w:rPr>
      </w:pPr>
      <w:r>
        <w:rPr>
          <w:i/>
        </w:rPr>
        <w:br w:type="page"/>
      </w:r>
    </w:p>
    <w:p w14:paraId="6D095BA4" w14:textId="69539F77" w:rsidR="00C16500" w:rsidRPr="002C5220" w:rsidRDefault="00C16500" w:rsidP="00037710">
      <w:pPr>
        <w:pStyle w:val="Heading1"/>
        <w:jc w:val="both"/>
        <w:rPr>
          <w:i/>
        </w:rPr>
      </w:pPr>
      <w:bookmarkStart w:id="1" w:name="_Toc421781169"/>
      <w:r w:rsidRPr="002C5220">
        <w:rPr>
          <w:i/>
        </w:rPr>
        <w:lastRenderedPageBreak/>
        <w:t>Acknowledgments</w:t>
      </w:r>
      <w:bookmarkEnd w:id="1"/>
    </w:p>
    <w:p w14:paraId="583A4BDF" w14:textId="77777777" w:rsidR="00C16500" w:rsidRPr="004910C8" w:rsidRDefault="00C16500" w:rsidP="00037710">
      <w:pPr>
        <w:shd w:val="clear" w:color="auto" w:fill="FFFFFF"/>
        <w:spacing w:after="0" w:line="240" w:lineRule="auto"/>
        <w:jc w:val="both"/>
        <w:rPr>
          <w:rFonts w:asciiTheme="majorHAnsi" w:eastAsiaTheme="majorEastAsia" w:hAnsiTheme="majorHAnsi" w:cstheme="majorBidi"/>
          <w:i/>
          <w:color w:val="2E74B5" w:themeColor="accent1" w:themeShade="BF"/>
        </w:rPr>
      </w:pPr>
    </w:p>
    <w:p w14:paraId="14B79CF6" w14:textId="66ECB3ED" w:rsidR="003A6EB9" w:rsidRDefault="00AB75D1" w:rsidP="00037710">
      <w:pPr>
        <w:shd w:val="clear" w:color="auto" w:fill="FFFFFF"/>
        <w:spacing w:after="0" w:line="240" w:lineRule="auto"/>
        <w:jc w:val="both"/>
        <w:rPr>
          <w:rFonts w:eastAsia="Times New Roman" w:cs="Arial"/>
          <w:color w:val="222222"/>
        </w:rPr>
      </w:pPr>
      <w:r>
        <w:rPr>
          <w:rFonts w:eastAsia="Times New Roman" w:cs="Arial"/>
          <w:color w:val="222222"/>
        </w:rPr>
        <w:t>We would like to thank the Legislature for giving us the opportunity to conduct this important study.</w:t>
      </w:r>
      <w:r w:rsidR="003A6EB9">
        <w:rPr>
          <w:rFonts w:eastAsia="Times New Roman" w:cs="Arial"/>
          <w:color w:val="222222"/>
        </w:rPr>
        <w:t xml:space="preserve"> </w:t>
      </w:r>
      <w:r w:rsidR="003A6EB9" w:rsidRPr="000A082D">
        <w:rPr>
          <w:rFonts w:eastAsia="Times New Roman" w:cs="Arial"/>
          <w:color w:val="222222"/>
        </w:rPr>
        <w:t xml:space="preserve">We would </w:t>
      </w:r>
      <w:r w:rsidR="003A6EB9">
        <w:rPr>
          <w:rFonts w:eastAsia="Times New Roman" w:cs="Arial"/>
          <w:color w:val="222222"/>
        </w:rPr>
        <w:t xml:space="preserve">also </w:t>
      </w:r>
      <w:r w:rsidR="003A6EB9" w:rsidRPr="000A082D">
        <w:rPr>
          <w:rFonts w:eastAsia="Times New Roman" w:cs="Arial"/>
          <w:color w:val="222222"/>
        </w:rPr>
        <w:t xml:space="preserve">like to thank </w:t>
      </w:r>
      <w:r w:rsidR="003A6EB9">
        <w:rPr>
          <w:rFonts w:eastAsia="Times New Roman" w:cs="Arial"/>
          <w:color w:val="222222"/>
        </w:rPr>
        <w:t xml:space="preserve">the </w:t>
      </w:r>
      <w:r w:rsidR="003A6EB9" w:rsidRPr="000A082D">
        <w:rPr>
          <w:rFonts w:eastAsia="Times New Roman" w:cs="Arial"/>
          <w:color w:val="222222"/>
        </w:rPr>
        <w:t xml:space="preserve">OCA </w:t>
      </w:r>
      <w:r w:rsidR="003A6EB9">
        <w:rPr>
          <w:rFonts w:eastAsia="Times New Roman" w:cs="Arial"/>
          <w:color w:val="222222"/>
        </w:rPr>
        <w:t xml:space="preserve">staff </w:t>
      </w:r>
      <w:r w:rsidR="003A6EB9" w:rsidRPr="000A082D">
        <w:rPr>
          <w:rFonts w:eastAsia="Times New Roman" w:cs="Arial"/>
          <w:color w:val="222222"/>
        </w:rPr>
        <w:t>for their thoughtful guidance and invaluabl</w:t>
      </w:r>
      <w:r w:rsidR="003A6EB9">
        <w:rPr>
          <w:rFonts w:eastAsia="Times New Roman" w:cs="Arial"/>
          <w:color w:val="222222"/>
        </w:rPr>
        <w:t xml:space="preserve">e support. Judge Gail Garinger and Ms. Christine </w:t>
      </w:r>
      <w:proofErr w:type="spellStart"/>
      <w:r w:rsidR="003A6EB9">
        <w:rPr>
          <w:rFonts w:eastAsia="Times New Roman" w:cs="Arial"/>
          <w:color w:val="222222"/>
        </w:rPr>
        <w:t>Palladino</w:t>
      </w:r>
      <w:proofErr w:type="spellEnd"/>
      <w:r w:rsidR="003A6EB9">
        <w:rPr>
          <w:rFonts w:eastAsia="Times New Roman" w:cs="Arial"/>
          <w:color w:val="222222"/>
        </w:rPr>
        <w:t>-Downs inspired us to raise our own standards while acting as a voice of reason throughout our study.</w:t>
      </w:r>
    </w:p>
    <w:p w14:paraId="42B885A9" w14:textId="77777777" w:rsidR="00AB75D1" w:rsidRDefault="00AB75D1" w:rsidP="00037710">
      <w:pPr>
        <w:shd w:val="clear" w:color="auto" w:fill="FFFFFF"/>
        <w:spacing w:after="0" w:line="240" w:lineRule="auto"/>
        <w:jc w:val="both"/>
        <w:rPr>
          <w:rFonts w:eastAsia="Times New Roman" w:cs="Arial"/>
          <w:color w:val="222222"/>
        </w:rPr>
      </w:pPr>
    </w:p>
    <w:p w14:paraId="5679EA9D" w14:textId="77777777" w:rsidR="001D4387" w:rsidRDefault="00C16500" w:rsidP="00037710">
      <w:pPr>
        <w:shd w:val="clear" w:color="auto" w:fill="FFFFFF"/>
        <w:spacing w:after="0" w:line="240" w:lineRule="auto"/>
        <w:jc w:val="both"/>
        <w:rPr>
          <w:rFonts w:eastAsia="Times New Roman" w:cs="Arial"/>
          <w:color w:val="222222"/>
        </w:rPr>
      </w:pPr>
      <w:r>
        <w:rPr>
          <w:rFonts w:eastAsia="Times New Roman" w:cs="Arial"/>
          <w:color w:val="222222"/>
        </w:rPr>
        <w:t>We are grateful to the DCF Leadership, especially General Counsel Andrew Rome, for the frank discussions and open access to data, documents, and staff</w:t>
      </w:r>
      <w:r w:rsidR="004579A7">
        <w:rPr>
          <w:rFonts w:eastAsia="Times New Roman" w:cs="Arial"/>
          <w:color w:val="222222"/>
        </w:rPr>
        <w:t xml:space="preserve">. </w:t>
      </w:r>
      <w:r>
        <w:rPr>
          <w:rFonts w:eastAsia="Times New Roman" w:cs="Arial"/>
          <w:color w:val="222222"/>
        </w:rPr>
        <w:t xml:space="preserve">Rather than treating it as a distracting audit, DCF Leadership welcomed this evaluation as an opportunity to improve </w:t>
      </w:r>
      <w:r w:rsidR="00151DE2">
        <w:rPr>
          <w:rFonts w:eastAsia="Times New Roman" w:cs="Arial"/>
          <w:color w:val="222222"/>
        </w:rPr>
        <w:t>Fair Hearing</w:t>
      </w:r>
      <w:r>
        <w:rPr>
          <w:rFonts w:eastAsia="Times New Roman" w:cs="Arial"/>
          <w:color w:val="222222"/>
        </w:rPr>
        <w:t>s</w:t>
      </w:r>
      <w:r w:rsidR="004579A7">
        <w:rPr>
          <w:rFonts w:eastAsia="Times New Roman" w:cs="Arial"/>
          <w:color w:val="222222"/>
        </w:rPr>
        <w:t xml:space="preserve">. </w:t>
      </w:r>
      <w:r>
        <w:rPr>
          <w:rFonts w:eastAsia="Times New Roman" w:cs="Arial"/>
          <w:color w:val="222222"/>
        </w:rPr>
        <w:t>We are thankful for their unwavering collaboration.</w:t>
      </w:r>
      <w:r w:rsidR="003A6EB9">
        <w:rPr>
          <w:rFonts w:eastAsia="Times New Roman" w:cs="Arial"/>
          <w:color w:val="222222"/>
        </w:rPr>
        <w:t xml:space="preserve"> </w:t>
      </w:r>
    </w:p>
    <w:p w14:paraId="5F198F44" w14:textId="77777777" w:rsidR="001D4387" w:rsidRDefault="001D4387" w:rsidP="00037710">
      <w:pPr>
        <w:shd w:val="clear" w:color="auto" w:fill="FFFFFF"/>
        <w:spacing w:after="0" w:line="240" w:lineRule="auto"/>
        <w:jc w:val="both"/>
        <w:rPr>
          <w:rFonts w:eastAsia="Times New Roman" w:cs="Arial"/>
          <w:color w:val="222222"/>
        </w:rPr>
      </w:pPr>
    </w:p>
    <w:p w14:paraId="19854296" w14:textId="0028AAD5" w:rsidR="00C16500" w:rsidRPr="00F23F8B" w:rsidRDefault="00AF114E" w:rsidP="00F23F8B">
      <w:pPr>
        <w:shd w:val="clear" w:color="auto" w:fill="FFFFFF"/>
        <w:spacing w:after="0" w:line="240" w:lineRule="auto"/>
        <w:jc w:val="both"/>
      </w:pPr>
      <w:r>
        <w:rPr>
          <w:rFonts w:eastAsia="Times New Roman" w:cs="Arial"/>
          <w:color w:val="222222"/>
        </w:rPr>
        <w:t>F</w:t>
      </w:r>
      <w:r w:rsidR="009D4D92">
        <w:rPr>
          <w:rFonts w:eastAsia="Times New Roman" w:cs="Arial"/>
          <w:color w:val="222222"/>
        </w:rPr>
        <w:t xml:space="preserve">inally, we would like to acknowledge the DCF staff </w:t>
      </w:r>
      <w:r w:rsidR="00280CBD">
        <w:rPr>
          <w:rFonts w:eastAsia="Times New Roman" w:cs="Arial"/>
          <w:color w:val="222222"/>
        </w:rPr>
        <w:t xml:space="preserve">with whom </w:t>
      </w:r>
      <w:r w:rsidR="009D4D92">
        <w:rPr>
          <w:rFonts w:eastAsia="Times New Roman" w:cs="Arial"/>
          <w:color w:val="222222"/>
        </w:rPr>
        <w:t xml:space="preserve">we consulted </w:t>
      </w:r>
      <w:r w:rsidR="0062273A">
        <w:rPr>
          <w:rFonts w:eastAsia="Times New Roman" w:cs="Arial"/>
          <w:color w:val="222222"/>
        </w:rPr>
        <w:t>as we conducted this study</w:t>
      </w:r>
      <w:r w:rsidR="004579A7">
        <w:rPr>
          <w:rFonts w:eastAsia="Times New Roman" w:cs="Arial"/>
          <w:color w:val="222222"/>
        </w:rPr>
        <w:t xml:space="preserve">. </w:t>
      </w:r>
      <w:r w:rsidR="0062273A">
        <w:rPr>
          <w:rFonts w:eastAsia="Times New Roman" w:cs="Arial"/>
          <w:color w:val="222222"/>
        </w:rPr>
        <w:t xml:space="preserve">From the Fair Hearing Officers to Area Office Leadership, they </w:t>
      </w:r>
      <w:r w:rsidR="00684F4A">
        <w:rPr>
          <w:rFonts w:eastAsia="Times New Roman" w:cs="Arial"/>
          <w:color w:val="222222"/>
        </w:rPr>
        <w:t xml:space="preserve">candidly </w:t>
      </w:r>
      <w:r w:rsidR="0062273A">
        <w:rPr>
          <w:rFonts w:eastAsia="Times New Roman" w:cs="Arial"/>
          <w:color w:val="222222"/>
        </w:rPr>
        <w:t>shared their views with the sole objective of catalyzing change for the better</w:t>
      </w:r>
      <w:r w:rsidR="004579A7">
        <w:rPr>
          <w:rFonts w:eastAsia="Times New Roman" w:cs="Arial"/>
          <w:color w:val="222222"/>
        </w:rPr>
        <w:t xml:space="preserve">. </w:t>
      </w:r>
    </w:p>
    <w:p w14:paraId="60C7D37D" w14:textId="77777777" w:rsidR="00C16500" w:rsidRDefault="00C16500" w:rsidP="00037710">
      <w:pPr>
        <w:jc w:val="both"/>
        <w:rPr>
          <w:rFonts w:asciiTheme="majorHAnsi" w:eastAsiaTheme="majorEastAsia" w:hAnsiTheme="majorHAnsi" w:cstheme="majorBidi"/>
          <w:i/>
          <w:color w:val="2E74B5" w:themeColor="accent1" w:themeShade="BF"/>
          <w:sz w:val="32"/>
          <w:szCs w:val="32"/>
        </w:rPr>
      </w:pPr>
      <w:r>
        <w:rPr>
          <w:i/>
        </w:rPr>
        <w:br w:type="page"/>
      </w:r>
    </w:p>
    <w:p w14:paraId="4E4A7C3A" w14:textId="68DC26C2" w:rsidR="005D4381" w:rsidRPr="00B80B1A" w:rsidRDefault="0062594C" w:rsidP="00037710">
      <w:pPr>
        <w:pStyle w:val="Heading1"/>
        <w:jc w:val="both"/>
        <w:rPr>
          <w:i/>
        </w:rPr>
      </w:pPr>
      <w:bookmarkStart w:id="2" w:name="_Toc421781170"/>
      <w:r w:rsidRPr="00B80B1A">
        <w:rPr>
          <w:i/>
        </w:rPr>
        <w:lastRenderedPageBreak/>
        <w:t>Executive Summary</w:t>
      </w:r>
      <w:bookmarkEnd w:id="0"/>
      <w:bookmarkEnd w:id="2"/>
      <w:r w:rsidR="00D25906" w:rsidRPr="00B80B1A">
        <w:rPr>
          <w:i/>
        </w:rPr>
        <w:t xml:space="preserve"> </w:t>
      </w:r>
    </w:p>
    <w:p w14:paraId="639A822F" w14:textId="77777777" w:rsidR="00486C63" w:rsidRPr="00B80B1A" w:rsidRDefault="00486C63" w:rsidP="00037710">
      <w:pPr>
        <w:spacing w:after="0" w:line="240" w:lineRule="auto"/>
        <w:jc w:val="both"/>
      </w:pPr>
    </w:p>
    <w:p w14:paraId="74BE97B2" w14:textId="35F5BA3A" w:rsidR="007036DC" w:rsidRPr="00B80B1A" w:rsidRDefault="007036DC" w:rsidP="00037710">
      <w:pPr>
        <w:spacing w:after="0" w:line="240" w:lineRule="auto"/>
        <w:jc w:val="both"/>
      </w:pPr>
      <w:r w:rsidRPr="00B80B1A">
        <w:t xml:space="preserve">Urged by advocacy groups to instill greater transparency and accountability within the Massachusetts Department of Children and Families (DCF or “the Department”), the Legislature directed the </w:t>
      </w:r>
      <w:r w:rsidR="005E28F1" w:rsidRPr="00B80B1A">
        <w:t>Office of the Child Advocate (</w:t>
      </w:r>
      <w:r w:rsidRPr="00B80B1A">
        <w:t>OCA</w:t>
      </w:r>
      <w:r w:rsidR="005E28F1" w:rsidRPr="00B80B1A">
        <w:t>)</w:t>
      </w:r>
      <w:r w:rsidRPr="00B80B1A">
        <w:t xml:space="preserve"> to “select an independent evaluator to assess the Department's administrative hearing system; provided further, that the evaluation shall report on whether the Department's regulations, funding, staffing levels and processes provide for an administrative hearing system that is </w:t>
      </w:r>
      <w:r w:rsidR="00D82D85" w:rsidRPr="00B80B1A">
        <w:rPr>
          <w:u w:val="single"/>
        </w:rPr>
        <w:t>timely, independent, and f</w:t>
      </w:r>
      <w:r w:rsidRPr="00B80B1A">
        <w:rPr>
          <w:u w:val="single"/>
        </w:rPr>
        <w:t>air</w:t>
      </w:r>
      <w:r w:rsidRPr="00B80B1A">
        <w:t>” (budget line item 1599-7771)</w:t>
      </w:r>
      <w:r w:rsidR="004579A7" w:rsidRPr="00B80B1A">
        <w:t xml:space="preserve">. </w:t>
      </w:r>
      <w:r w:rsidR="00D82D85" w:rsidRPr="00B80B1A">
        <w:t xml:space="preserve">The Ripples </w:t>
      </w:r>
      <w:r w:rsidR="00AF114E" w:rsidRPr="00B80B1A">
        <w:t>G</w:t>
      </w:r>
      <w:r w:rsidR="00D82D85" w:rsidRPr="00B80B1A">
        <w:t>roup was chosen to conduct this evaluation in November 2014 t</w:t>
      </w:r>
      <w:r w:rsidRPr="00B80B1A">
        <w:t>hrough a competitive selection process</w:t>
      </w:r>
      <w:r w:rsidR="00D82D85" w:rsidRPr="00B80B1A">
        <w:t>.</w:t>
      </w:r>
    </w:p>
    <w:p w14:paraId="4ECE6F70" w14:textId="77777777" w:rsidR="007036DC" w:rsidRPr="00B80B1A" w:rsidRDefault="007036DC" w:rsidP="00037710">
      <w:pPr>
        <w:spacing w:after="0" w:line="240" w:lineRule="auto"/>
        <w:jc w:val="both"/>
      </w:pPr>
    </w:p>
    <w:p w14:paraId="60960B8E" w14:textId="09DE4D40" w:rsidR="007036DC" w:rsidRPr="00B80B1A" w:rsidRDefault="00D82D85" w:rsidP="00037710">
      <w:pPr>
        <w:spacing w:after="0" w:line="240" w:lineRule="auto"/>
        <w:jc w:val="both"/>
      </w:pPr>
      <w:r w:rsidRPr="00B80B1A">
        <w:t xml:space="preserve">From </w:t>
      </w:r>
      <w:r w:rsidR="007036DC" w:rsidRPr="00B80B1A">
        <w:t>November</w:t>
      </w:r>
      <w:r w:rsidR="000B1405" w:rsidRPr="00B80B1A">
        <w:t xml:space="preserve"> 2014</w:t>
      </w:r>
      <w:r w:rsidRPr="00B80B1A">
        <w:t xml:space="preserve"> through May 2015</w:t>
      </w:r>
      <w:r w:rsidR="007036DC" w:rsidRPr="00B80B1A">
        <w:t xml:space="preserve">, </w:t>
      </w:r>
      <w:r w:rsidR="002D6AC0" w:rsidRPr="00B80B1A">
        <w:t>T</w:t>
      </w:r>
      <w:r w:rsidR="00C6034A" w:rsidRPr="00B80B1A">
        <w:t xml:space="preserve">he Ripples Group </w:t>
      </w:r>
      <w:r w:rsidR="007036DC" w:rsidRPr="00B80B1A">
        <w:t>conducted an in-depth, fact-driven assessment of DCF Fair Hearings, utilizing the DCF database</w:t>
      </w:r>
      <w:r w:rsidR="003A6EB9" w:rsidRPr="00B80B1A">
        <w:t>s</w:t>
      </w:r>
      <w:r w:rsidR="007036DC" w:rsidRPr="00B80B1A">
        <w:t xml:space="preserve">, expert interviews, </w:t>
      </w:r>
      <w:proofErr w:type="gramStart"/>
      <w:r w:rsidR="007036DC" w:rsidRPr="00B80B1A">
        <w:t>a</w:t>
      </w:r>
      <w:proofErr w:type="gramEnd"/>
      <w:r w:rsidR="007036DC" w:rsidRPr="00B80B1A">
        <w:t xml:space="preserve"> survey of appellants, DCF internal documents, </w:t>
      </w:r>
      <w:r w:rsidRPr="00B80B1A">
        <w:t xml:space="preserve">personal </w:t>
      </w:r>
      <w:r w:rsidR="007036DC" w:rsidRPr="00B80B1A">
        <w:t xml:space="preserve">observations </w:t>
      </w:r>
      <w:r w:rsidRPr="00B80B1A">
        <w:t xml:space="preserve">and recordings </w:t>
      </w:r>
      <w:r w:rsidR="007036DC" w:rsidRPr="00B80B1A">
        <w:t>of Fair</w:t>
      </w:r>
      <w:r w:rsidR="002A3E78">
        <w:t xml:space="preserve"> Hearings, and a review of other</w:t>
      </w:r>
      <w:r w:rsidR="00F23F8B">
        <w:t xml:space="preserve"> states’ regulations.</w:t>
      </w:r>
    </w:p>
    <w:p w14:paraId="774627B1" w14:textId="77777777" w:rsidR="007036DC" w:rsidRPr="00B80B1A" w:rsidRDefault="007036DC" w:rsidP="00037710">
      <w:pPr>
        <w:shd w:val="clear" w:color="auto" w:fill="FFFFFF"/>
        <w:spacing w:after="0" w:line="240" w:lineRule="auto"/>
        <w:jc w:val="both"/>
        <w:rPr>
          <w:rFonts w:eastAsia="Times New Roman" w:cs="Arial"/>
          <w:color w:val="222222"/>
        </w:rPr>
      </w:pPr>
    </w:p>
    <w:p w14:paraId="596D9AB9" w14:textId="1475932A" w:rsidR="007036DC" w:rsidRPr="00B80B1A" w:rsidRDefault="007036DC" w:rsidP="00037710">
      <w:pPr>
        <w:shd w:val="clear" w:color="auto" w:fill="FFFFFF"/>
        <w:spacing w:after="0" w:line="240" w:lineRule="auto"/>
        <w:jc w:val="both"/>
        <w:rPr>
          <w:rFonts w:eastAsia="Times New Roman" w:cs="Arial"/>
          <w:color w:val="222222"/>
        </w:rPr>
      </w:pPr>
      <w:r w:rsidRPr="00B80B1A">
        <w:rPr>
          <w:rFonts w:eastAsia="Times New Roman" w:cs="Arial"/>
          <w:color w:val="222222"/>
        </w:rPr>
        <w:t>Highlights of o</w:t>
      </w:r>
      <w:r w:rsidR="00F23F8B">
        <w:rPr>
          <w:rFonts w:eastAsia="Times New Roman" w:cs="Arial"/>
          <w:color w:val="222222"/>
        </w:rPr>
        <w:t>ur findings are as follows:</w:t>
      </w:r>
    </w:p>
    <w:p w14:paraId="5CD59AEC" w14:textId="77777777" w:rsidR="007036DC" w:rsidRPr="00B80B1A" w:rsidRDefault="007036DC" w:rsidP="00037710">
      <w:pPr>
        <w:shd w:val="clear" w:color="auto" w:fill="FFFFFF"/>
        <w:spacing w:after="0" w:line="240" w:lineRule="auto"/>
        <w:jc w:val="both"/>
        <w:rPr>
          <w:rFonts w:eastAsia="Times New Roman" w:cs="Arial"/>
          <w:color w:val="222222"/>
        </w:rPr>
      </w:pPr>
    </w:p>
    <w:p w14:paraId="33199A66" w14:textId="77777777" w:rsidR="004A2C70" w:rsidRPr="00B80B1A" w:rsidRDefault="007036DC" w:rsidP="00037710">
      <w:pPr>
        <w:pStyle w:val="NoSpacing"/>
        <w:jc w:val="both"/>
        <w:rPr>
          <w:rStyle w:val="Heading2Char"/>
          <w:i/>
        </w:rPr>
      </w:pPr>
      <w:bookmarkStart w:id="3" w:name="_Toc421204862"/>
      <w:bookmarkStart w:id="4" w:name="_Toc421781171"/>
      <w:r w:rsidRPr="00B80B1A">
        <w:rPr>
          <w:rStyle w:val="Heading2Char"/>
          <w:i/>
        </w:rPr>
        <w:t>Timeliness</w:t>
      </w:r>
      <w:bookmarkEnd w:id="3"/>
      <w:bookmarkEnd w:id="4"/>
    </w:p>
    <w:p w14:paraId="0B765B6E" w14:textId="77777777" w:rsidR="004A2C70" w:rsidRPr="00B80B1A" w:rsidRDefault="004A2C70" w:rsidP="00037710">
      <w:pPr>
        <w:shd w:val="clear" w:color="auto" w:fill="FFFFFF"/>
        <w:spacing w:after="0" w:line="240" w:lineRule="auto"/>
        <w:jc w:val="both"/>
        <w:rPr>
          <w:rFonts w:eastAsia="Times New Roman" w:cs="Arial"/>
          <w:b/>
          <w:color w:val="222222"/>
        </w:rPr>
      </w:pPr>
    </w:p>
    <w:p w14:paraId="09A54946" w14:textId="2BEC5B25" w:rsidR="007036DC" w:rsidRPr="00B80B1A" w:rsidRDefault="007036DC" w:rsidP="00037710">
      <w:pPr>
        <w:shd w:val="clear" w:color="auto" w:fill="FFFFFF"/>
        <w:spacing w:after="0" w:line="240" w:lineRule="auto"/>
        <w:jc w:val="both"/>
        <w:rPr>
          <w:b/>
        </w:rPr>
      </w:pPr>
      <w:r w:rsidRPr="00B80B1A">
        <w:rPr>
          <w:b/>
        </w:rPr>
        <w:t>Despite significant improvements in Timeliness since 2</w:t>
      </w:r>
      <w:r w:rsidR="00BF5403" w:rsidRPr="00B80B1A">
        <w:rPr>
          <w:b/>
        </w:rPr>
        <w:t>010, the current trajectory is</w:t>
      </w:r>
      <w:r w:rsidRPr="00B80B1A">
        <w:rPr>
          <w:b/>
        </w:rPr>
        <w:t xml:space="preserve"> meet</w:t>
      </w:r>
      <w:r w:rsidR="00BF5403" w:rsidRPr="00B80B1A">
        <w:rPr>
          <w:b/>
        </w:rPr>
        <w:t>ing</w:t>
      </w:r>
      <w:r w:rsidR="00E34A69" w:rsidRPr="00B80B1A">
        <w:rPr>
          <w:b/>
        </w:rPr>
        <w:t xml:space="preserve"> neither</w:t>
      </w:r>
      <w:r w:rsidRPr="00B80B1A">
        <w:rPr>
          <w:b/>
        </w:rPr>
        <w:t xml:space="preserve"> reasonable expec</w:t>
      </w:r>
      <w:r w:rsidR="00BF5403" w:rsidRPr="00B80B1A">
        <w:rPr>
          <w:b/>
        </w:rPr>
        <w:t xml:space="preserve">tations </w:t>
      </w:r>
      <w:r w:rsidR="00585C52" w:rsidRPr="00B80B1A">
        <w:rPr>
          <w:b/>
        </w:rPr>
        <w:t xml:space="preserve">nor </w:t>
      </w:r>
      <w:r w:rsidR="00BF5403" w:rsidRPr="00B80B1A">
        <w:rPr>
          <w:b/>
        </w:rPr>
        <w:t>regulatory mandates</w:t>
      </w:r>
      <w:r w:rsidR="00585C52" w:rsidRPr="00B80B1A">
        <w:rPr>
          <w:b/>
        </w:rPr>
        <w:t>.</w:t>
      </w:r>
    </w:p>
    <w:p w14:paraId="24F8A75F" w14:textId="77777777" w:rsidR="007036DC" w:rsidRPr="00B80B1A" w:rsidRDefault="007036DC" w:rsidP="00037710">
      <w:pPr>
        <w:spacing w:after="0" w:line="240" w:lineRule="auto"/>
        <w:jc w:val="both"/>
      </w:pPr>
    </w:p>
    <w:p w14:paraId="7239B00A" w14:textId="0DB4848C" w:rsidR="007036DC" w:rsidRPr="00B80B1A" w:rsidRDefault="007036DC" w:rsidP="00037710">
      <w:pPr>
        <w:spacing w:after="0" w:line="240" w:lineRule="auto"/>
        <w:jc w:val="both"/>
      </w:pPr>
      <w:r w:rsidRPr="00B80B1A">
        <w:t>While the Timeliness of Fair Hearings has been improving significantly since 2005, and particularly since 2010, Hearing Officer and Supervisor capacity, historically limited, is still insufficient to service existing demand for Fair Hearing requests</w:t>
      </w:r>
      <w:r w:rsidR="004579A7" w:rsidRPr="00B80B1A">
        <w:t xml:space="preserve">. </w:t>
      </w:r>
      <w:r w:rsidRPr="00B80B1A">
        <w:t>Over time, this mismatch between demand and capacity has resulted in the accumulation of a substantial backlog</w:t>
      </w:r>
      <w:r w:rsidR="004579A7" w:rsidRPr="00B80B1A">
        <w:t xml:space="preserve">. </w:t>
      </w:r>
      <w:r w:rsidRPr="00B80B1A">
        <w:t>As of December 31, 2014, the backlog included more than 1,500 cases, equivalent to more than one full year’s worth of incoming hearing requests on average</w:t>
      </w:r>
      <w:r w:rsidR="004579A7" w:rsidRPr="00B80B1A">
        <w:t xml:space="preserve">. </w:t>
      </w:r>
      <w:r w:rsidRPr="00B80B1A">
        <w:t>As a result, the Department is unable to operate within its mandated Timeliness regulations</w:t>
      </w:r>
      <w:r w:rsidR="004579A7" w:rsidRPr="00B80B1A">
        <w:t xml:space="preserve">. </w:t>
      </w:r>
      <w:r w:rsidRPr="00B80B1A">
        <w:t>It should be noted that the Massachusetts Timeliness regulations are less demanding on the Department than those of other states examined</w:t>
      </w:r>
      <w:r w:rsidR="004579A7" w:rsidRPr="00B80B1A">
        <w:t xml:space="preserve">. </w:t>
      </w:r>
      <w:r w:rsidRPr="00B80B1A">
        <w:t>Feedback provided by past appellants, their attorneys, and the DCF personnel we interviewed consistently pointed to the lack of Timeliness in the process.</w:t>
      </w:r>
    </w:p>
    <w:p w14:paraId="2A23693E" w14:textId="77777777" w:rsidR="007036DC" w:rsidRPr="00B80B1A" w:rsidRDefault="007036DC" w:rsidP="00037710">
      <w:pPr>
        <w:spacing w:after="0" w:line="240" w:lineRule="auto"/>
        <w:jc w:val="both"/>
      </w:pPr>
    </w:p>
    <w:p w14:paraId="73A326DF" w14:textId="77777777" w:rsidR="004A2C70" w:rsidRPr="00B80B1A" w:rsidRDefault="007036DC" w:rsidP="00037710">
      <w:pPr>
        <w:spacing w:after="0" w:line="240" w:lineRule="auto"/>
        <w:jc w:val="both"/>
        <w:rPr>
          <w:rStyle w:val="Heading2Char"/>
          <w:i/>
        </w:rPr>
      </w:pPr>
      <w:bookmarkStart w:id="5" w:name="_Toc421204863"/>
      <w:bookmarkStart w:id="6" w:name="_Toc421781172"/>
      <w:r w:rsidRPr="00B80B1A">
        <w:rPr>
          <w:rStyle w:val="Heading2Char"/>
          <w:i/>
        </w:rPr>
        <w:t>Fairness</w:t>
      </w:r>
      <w:bookmarkEnd w:id="5"/>
      <w:bookmarkEnd w:id="6"/>
    </w:p>
    <w:p w14:paraId="569E4122" w14:textId="041002E7" w:rsidR="004A2C70" w:rsidRPr="00B80B1A" w:rsidRDefault="007036DC" w:rsidP="00037710">
      <w:pPr>
        <w:spacing w:after="0" w:line="240" w:lineRule="auto"/>
        <w:jc w:val="both"/>
        <w:rPr>
          <w:b/>
        </w:rPr>
      </w:pPr>
      <w:r w:rsidRPr="00B80B1A">
        <w:rPr>
          <w:b/>
        </w:rPr>
        <w:t xml:space="preserve"> </w:t>
      </w:r>
    </w:p>
    <w:p w14:paraId="04CD5DD7" w14:textId="214ABF5A" w:rsidR="00E41222" w:rsidRPr="00B80B1A" w:rsidRDefault="00E41222" w:rsidP="00037710">
      <w:pPr>
        <w:spacing w:after="0" w:line="240" w:lineRule="auto"/>
        <w:jc w:val="both"/>
        <w:rPr>
          <w:b/>
        </w:rPr>
      </w:pPr>
      <w:r w:rsidRPr="00B80B1A">
        <w:rPr>
          <w:b/>
        </w:rPr>
        <w:t xml:space="preserve">Despite the </w:t>
      </w:r>
      <w:r w:rsidR="00AA10C6" w:rsidRPr="00B80B1A">
        <w:rPr>
          <w:b/>
        </w:rPr>
        <w:t xml:space="preserve">best </w:t>
      </w:r>
      <w:r w:rsidRPr="00B80B1A">
        <w:rPr>
          <w:b/>
        </w:rPr>
        <w:t>efforts of Fair Hearing Officers, the current DCF Fair Hearing process cannot lead to consistently</w:t>
      </w:r>
      <w:r w:rsidR="001D08BC">
        <w:rPr>
          <w:b/>
        </w:rPr>
        <w:t xml:space="preserve"> </w:t>
      </w:r>
      <w:r w:rsidRPr="00B80B1A">
        <w:rPr>
          <w:b/>
        </w:rPr>
        <w:t>fair outcomes for appellants</w:t>
      </w:r>
      <w:r w:rsidR="00420627" w:rsidRPr="00B80B1A">
        <w:rPr>
          <w:b/>
        </w:rPr>
        <w:t xml:space="preserve"> due to procedural and regulatory factors</w:t>
      </w:r>
      <w:r w:rsidRPr="00B80B1A">
        <w:rPr>
          <w:b/>
        </w:rPr>
        <w:t>.</w:t>
      </w:r>
    </w:p>
    <w:p w14:paraId="4BB0D364" w14:textId="649521C3" w:rsidR="007036DC" w:rsidRPr="00B80B1A" w:rsidRDefault="007036DC" w:rsidP="00037710">
      <w:pPr>
        <w:spacing w:after="0" w:line="240" w:lineRule="auto"/>
        <w:jc w:val="both"/>
      </w:pPr>
    </w:p>
    <w:p w14:paraId="4DFF945D" w14:textId="476365C7" w:rsidR="004802E1" w:rsidRPr="00B80B1A" w:rsidRDefault="004802E1" w:rsidP="00037710">
      <w:pPr>
        <w:spacing w:after="0" w:line="240" w:lineRule="auto"/>
        <w:jc w:val="both"/>
      </w:pPr>
      <w:r w:rsidRPr="00B80B1A">
        <w:t>In our professional judgment, the Hearing Officers are qualified, experienced, well-trained, and professional</w:t>
      </w:r>
      <w:r w:rsidR="004579A7" w:rsidRPr="00B80B1A">
        <w:t xml:space="preserve">. </w:t>
      </w:r>
      <w:r w:rsidRPr="00B80B1A">
        <w:t xml:space="preserve">We were impressed with the professionalism displayed in the hearings we observed and hearing recordings we </w:t>
      </w:r>
      <w:r w:rsidR="00C6034A" w:rsidRPr="00B80B1A">
        <w:t>reviewed</w:t>
      </w:r>
      <w:r w:rsidR="004579A7" w:rsidRPr="00B80B1A">
        <w:t xml:space="preserve">. </w:t>
      </w:r>
      <w:r w:rsidRPr="00B80B1A">
        <w:t>Moreover, our analysis of data showed no apparent systemic bias by appellants’ race, gender, or age.</w:t>
      </w:r>
    </w:p>
    <w:p w14:paraId="60EB93FE" w14:textId="77777777" w:rsidR="004802E1" w:rsidRPr="00B80B1A" w:rsidRDefault="004802E1" w:rsidP="00037710">
      <w:pPr>
        <w:spacing w:after="0" w:line="240" w:lineRule="auto"/>
        <w:jc w:val="both"/>
      </w:pPr>
    </w:p>
    <w:p w14:paraId="59AA72D3" w14:textId="3BD25D0A" w:rsidR="007036DC" w:rsidRPr="00B80B1A" w:rsidRDefault="006D6770" w:rsidP="00037710">
      <w:pPr>
        <w:spacing w:after="0" w:line="240" w:lineRule="auto"/>
        <w:jc w:val="both"/>
        <w:rPr>
          <w:rFonts w:eastAsia="Times New Roman" w:cs="Arial"/>
          <w:color w:val="222222"/>
        </w:rPr>
      </w:pPr>
      <w:r w:rsidRPr="00B80B1A">
        <w:t>We</w:t>
      </w:r>
      <w:r w:rsidR="004802E1" w:rsidRPr="00B80B1A">
        <w:t xml:space="preserve"> found</w:t>
      </w:r>
      <w:r w:rsidRPr="00B80B1A">
        <w:t>, however,</w:t>
      </w:r>
      <w:r w:rsidR="004802E1" w:rsidRPr="00B80B1A">
        <w:t xml:space="preserve"> that </w:t>
      </w:r>
      <w:r w:rsidR="004802E1" w:rsidRPr="00B80B1A">
        <w:rPr>
          <w:rFonts w:eastAsia="Times New Roman" w:cs="Arial"/>
          <w:color w:val="222222"/>
        </w:rPr>
        <w:t>the Department’s procedural practices constitute reason for concern: The Department is not proactive in encouraging appellants to comprehend their rights fully</w:t>
      </w:r>
      <w:r w:rsidRPr="00B80B1A">
        <w:rPr>
          <w:rFonts w:eastAsia="Times New Roman" w:cs="Arial"/>
          <w:color w:val="222222"/>
        </w:rPr>
        <w:t>;</w:t>
      </w:r>
      <w:r w:rsidR="004802E1" w:rsidRPr="00B80B1A">
        <w:rPr>
          <w:rFonts w:eastAsia="Times New Roman" w:cs="Arial"/>
          <w:color w:val="222222"/>
        </w:rPr>
        <w:t xml:space="preserve"> appellants’ requests to review their case file prior to the hearing are not honored by Area Offices consistently</w:t>
      </w:r>
      <w:r w:rsidRPr="00B80B1A">
        <w:rPr>
          <w:rFonts w:eastAsia="Times New Roman" w:cs="Arial"/>
          <w:color w:val="222222"/>
        </w:rPr>
        <w:t>;</w:t>
      </w:r>
      <w:r w:rsidR="004802E1" w:rsidRPr="00B80B1A">
        <w:rPr>
          <w:rFonts w:eastAsia="Times New Roman" w:cs="Arial"/>
          <w:color w:val="222222"/>
        </w:rPr>
        <w:t xml:space="preserve"> and in the case of </w:t>
      </w:r>
      <w:r w:rsidR="00AB75D1" w:rsidRPr="00B80B1A">
        <w:rPr>
          <w:rFonts w:eastAsia="Times New Roman" w:cs="Arial"/>
          <w:color w:val="222222"/>
        </w:rPr>
        <w:t xml:space="preserve">abuse </w:t>
      </w:r>
      <w:r w:rsidR="00D82D85" w:rsidRPr="00B80B1A">
        <w:rPr>
          <w:rFonts w:eastAsia="Times New Roman" w:cs="Arial"/>
          <w:color w:val="222222"/>
        </w:rPr>
        <w:t>or</w:t>
      </w:r>
      <w:r w:rsidR="00AB75D1" w:rsidRPr="00B80B1A">
        <w:rPr>
          <w:rFonts w:eastAsia="Times New Roman" w:cs="Arial"/>
          <w:color w:val="222222"/>
        </w:rPr>
        <w:t xml:space="preserve"> neglect</w:t>
      </w:r>
      <w:r w:rsidR="004802E1" w:rsidRPr="00B80B1A">
        <w:rPr>
          <w:rFonts w:eastAsia="Times New Roman" w:cs="Arial"/>
          <w:color w:val="222222"/>
        </w:rPr>
        <w:t xml:space="preserve"> decisions, the initial Area Office investigation at times appears </w:t>
      </w:r>
      <w:r w:rsidR="00B15103" w:rsidRPr="00B80B1A">
        <w:rPr>
          <w:rFonts w:eastAsia="Times New Roman" w:cs="Arial"/>
          <w:color w:val="222222"/>
        </w:rPr>
        <w:t xml:space="preserve">not </w:t>
      </w:r>
      <w:r w:rsidR="004802E1" w:rsidRPr="00B80B1A">
        <w:rPr>
          <w:rFonts w:eastAsia="Times New Roman" w:cs="Arial"/>
          <w:color w:val="222222"/>
        </w:rPr>
        <w:t xml:space="preserve">to be </w:t>
      </w:r>
      <w:r w:rsidR="00315280" w:rsidRPr="00B80B1A">
        <w:rPr>
          <w:rFonts w:eastAsia="Times New Roman" w:cs="Arial"/>
          <w:color w:val="222222"/>
        </w:rPr>
        <w:t>as comprehensive as it could be</w:t>
      </w:r>
      <w:r w:rsidR="004579A7" w:rsidRPr="00B80B1A">
        <w:rPr>
          <w:rFonts w:eastAsia="Times New Roman" w:cs="Arial"/>
          <w:color w:val="222222"/>
        </w:rPr>
        <w:t xml:space="preserve">. </w:t>
      </w:r>
      <w:r w:rsidR="007036DC" w:rsidRPr="00B80B1A">
        <w:t xml:space="preserve">We </w:t>
      </w:r>
      <w:r w:rsidR="00092BDA" w:rsidRPr="00B80B1A">
        <w:t xml:space="preserve">also identified regulatory refinements that should be incorporated </w:t>
      </w:r>
      <w:r w:rsidR="00092BDA" w:rsidRPr="00B80B1A">
        <w:lastRenderedPageBreak/>
        <w:t>into the relatively new DCF Fair Hearing regulations</w:t>
      </w:r>
      <w:r w:rsidRPr="00B80B1A">
        <w:t>,</w:t>
      </w:r>
      <w:r w:rsidR="00092BDA" w:rsidRPr="00B80B1A">
        <w:t xml:space="preserve"> ranging from revisiting the burden of proof to automating the sending of case </w:t>
      </w:r>
      <w:r w:rsidR="00B24CF4" w:rsidRPr="00B80B1A">
        <w:t>d</w:t>
      </w:r>
      <w:r w:rsidR="00315280" w:rsidRPr="00B80B1A">
        <w:t>o</w:t>
      </w:r>
      <w:r w:rsidR="00B24CF4" w:rsidRPr="00B80B1A">
        <w:t>cuments</w:t>
      </w:r>
      <w:r w:rsidR="00092BDA" w:rsidRPr="00B80B1A">
        <w:t xml:space="preserve"> to appellants</w:t>
      </w:r>
      <w:r w:rsidR="00AC369B" w:rsidRPr="00B80B1A">
        <w:t>.</w:t>
      </w:r>
    </w:p>
    <w:p w14:paraId="2F990989" w14:textId="77777777" w:rsidR="007036DC" w:rsidRPr="00B80B1A" w:rsidRDefault="007036DC" w:rsidP="00037710">
      <w:pPr>
        <w:pStyle w:val="Heading2"/>
        <w:spacing w:before="0" w:line="240" w:lineRule="auto"/>
        <w:jc w:val="both"/>
      </w:pPr>
    </w:p>
    <w:p w14:paraId="7742A16B" w14:textId="77777777" w:rsidR="004A2C70" w:rsidRPr="00B80B1A" w:rsidRDefault="007036DC" w:rsidP="00037710">
      <w:pPr>
        <w:pStyle w:val="Heading2"/>
        <w:jc w:val="both"/>
        <w:rPr>
          <w:i/>
        </w:rPr>
      </w:pPr>
      <w:bookmarkStart w:id="7" w:name="_Toc421204864"/>
      <w:bookmarkStart w:id="8" w:name="_Toc421781173"/>
      <w:r w:rsidRPr="00B80B1A">
        <w:rPr>
          <w:i/>
        </w:rPr>
        <w:t>Independence</w:t>
      </w:r>
      <w:bookmarkEnd w:id="7"/>
      <w:bookmarkEnd w:id="8"/>
    </w:p>
    <w:p w14:paraId="331D26E5" w14:textId="77777777" w:rsidR="004A2C70" w:rsidRPr="00B80B1A" w:rsidRDefault="004A2C70" w:rsidP="00037710">
      <w:pPr>
        <w:spacing w:after="0" w:line="240" w:lineRule="auto"/>
        <w:jc w:val="both"/>
        <w:rPr>
          <w:b/>
        </w:rPr>
      </w:pPr>
    </w:p>
    <w:p w14:paraId="1D0F92C1" w14:textId="44820967" w:rsidR="007036DC" w:rsidRPr="00B80B1A" w:rsidRDefault="007036DC" w:rsidP="00037710">
      <w:pPr>
        <w:spacing w:after="0" w:line="240" w:lineRule="auto"/>
        <w:jc w:val="both"/>
        <w:rPr>
          <w:b/>
        </w:rPr>
      </w:pPr>
      <w:r w:rsidRPr="00B80B1A">
        <w:rPr>
          <w:b/>
        </w:rPr>
        <w:t>The Independence of the DCF Fair Hearings is limited by DCF regulations</w:t>
      </w:r>
      <w:r w:rsidR="00AF114E" w:rsidRPr="00B80B1A">
        <w:rPr>
          <w:b/>
        </w:rPr>
        <w:t>,</w:t>
      </w:r>
      <w:r w:rsidRPr="00B80B1A">
        <w:rPr>
          <w:b/>
        </w:rPr>
        <w:t xml:space="preserve"> and the organizational structure is </w:t>
      </w:r>
      <w:r w:rsidR="009C609E" w:rsidRPr="00B80B1A">
        <w:rPr>
          <w:b/>
        </w:rPr>
        <w:t>leading to</w:t>
      </w:r>
      <w:r w:rsidRPr="00B80B1A">
        <w:rPr>
          <w:b/>
        </w:rPr>
        <w:t xml:space="preserve"> a perception of limited independence</w:t>
      </w:r>
      <w:r w:rsidR="004579A7" w:rsidRPr="00B80B1A">
        <w:rPr>
          <w:b/>
        </w:rPr>
        <w:t xml:space="preserve">. </w:t>
      </w:r>
      <w:r w:rsidRPr="00B80B1A">
        <w:rPr>
          <w:b/>
        </w:rPr>
        <w:t>Despite these limitations, Hearing Officers act impartially.</w:t>
      </w:r>
    </w:p>
    <w:p w14:paraId="797DC29D" w14:textId="77777777" w:rsidR="007036DC" w:rsidRPr="00B80B1A" w:rsidRDefault="007036DC" w:rsidP="00037710">
      <w:pPr>
        <w:spacing w:after="0" w:line="240" w:lineRule="auto"/>
        <w:jc w:val="both"/>
      </w:pPr>
    </w:p>
    <w:p w14:paraId="689FEC55" w14:textId="505AEF49" w:rsidR="007036DC" w:rsidRPr="00B80B1A" w:rsidRDefault="007036DC" w:rsidP="00037710">
      <w:pPr>
        <w:spacing w:after="0" w:line="240" w:lineRule="auto"/>
        <w:jc w:val="both"/>
      </w:pPr>
      <w:r w:rsidRPr="00B80B1A">
        <w:t>The regulatory fr</w:t>
      </w:r>
      <w:r w:rsidR="009426FD" w:rsidRPr="00B80B1A">
        <w:t>amework of the DCF Fair Hearing</w:t>
      </w:r>
      <w:r w:rsidRPr="00B80B1A">
        <w:t xml:space="preserve"> </w:t>
      </w:r>
      <w:r w:rsidR="006C5BCC">
        <w:t>p</w:t>
      </w:r>
      <w:r w:rsidRPr="00B80B1A">
        <w:t>rocess is less conducive to Independence than in other Northeastern states</w:t>
      </w:r>
      <w:r w:rsidR="004579A7" w:rsidRPr="00B80B1A">
        <w:t xml:space="preserve">. </w:t>
      </w:r>
      <w:r w:rsidRPr="00B80B1A">
        <w:t xml:space="preserve">For instance, among the states we benchmarked, Massachusetts is unique in requiring the DCF Commissioner to review any reversal decision by the Hearing Officer, which raises concerns about </w:t>
      </w:r>
      <w:r w:rsidRPr="00B80B1A">
        <w:rPr>
          <w:i/>
        </w:rPr>
        <w:t>ex</w:t>
      </w:r>
      <w:r w:rsidR="002D6042">
        <w:rPr>
          <w:i/>
        </w:rPr>
        <w:t xml:space="preserve"> </w:t>
      </w:r>
      <w:r w:rsidRPr="00B80B1A">
        <w:rPr>
          <w:i/>
        </w:rPr>
        <w:t>parte</w:t>
      </w:r>
      <w:r w:rsidRPr="00B80B1A">
        <w:t xml:space="preserve"> co</w:t>
      </w:r>
      <w:r w:rsidR="00F23F8B">
        <w:t>mmunications after the hearing.</w:t>
      </w:r>
    </w:p>
    <w:p w14:paraId="5A3A56EA" w14:textId="77777777" w:rsidR="007036DC" w:rsidRPr="00B80B1A" w:rsidRDefault="007036DC" w:rsidP="00037710">
      <w:pPr>
        <w:spacing w:after="0" w:line="240" w:lineRule="auto"/>
        <w:jc w:val="both"/>
      </w:pPr>
    </w:p>
    <w:p w14:paraId="38A26FDD" w14:textId="03B0B9D3" w:rsidR="001E0FD0" w:rsidRPr="00B80B1A" w:rsidRDefault="007036DC" w:rsidP="00037710">
      <w:pPr>
        <w:spacing w:after="0" w:line="240" w:lineRule="auto"/>
        <w:jc w:val="both"/>
        <w:rPr>
          <w:rFonts w:eastAsia="Times New Roman" w:cs="Arial"/>
          <w:color w:val="222222"/>
        </w:rPr>
      </w:pPr>
      <w:r w:rsidRPr="00B80B1A">
        <w:t>Additionally, a negative public perception of Fair Hearings is being fueled by the organizational structure: The Fair Hearing Unit currently resides within the Department</w:t>
      </w:r>
      <w:r w:rsidR="004579A7" w:rsidRPr="00B80B1A">
        <w:t xml:space="preserve">. </w:t>
      </w:r>
      <w:r w:rsidRPr="00B80B1A">
        <w:t xml:space="preserve">Fair Hearing data, Hearing Officer </w:t>
      </w:r>
      <w:proofErr w:type="gramStart"/>
      <w:r w:rsidRPr="00B80B1A">
        <w:t>interviews</w:t>
      </w:r>
      <w:proofErr w:type="gramEnd"/>
      <w:r w:rsidRPr="00B80B1A">
        <w:t>, and a review of randomly selected Fair Hearing recordings and decisions</w:t>
      </w:r>
      <w:r w:rsidR="006D6770" w:rsidRPr="00B80B1A">
        <w:t>, however,</w:t>
      </w:r>
      <w:r w:rsidRPr="00B80B1A">
        <w:t xml:space="preserve"> suggest that Hearing Officers act independently despite the regulatory framework and the organizational structure</w:t>
      </w:r>
      <w:r w:rsidR="004579A7" w:rsidRPr="00B80B1A">
        <w:t xml:space="preserve">. </w:t>
      </w:r>
      <w:r w:rsidRPr="00B80B1A">
        <w:t>In recordings or decisions we studied, we found no evidence of a Hearing Officer ex</w:t>
      </w:r>
      <w:r w:rsidR="00F23F8B">
        <w:t>hibiting partiality toward DCF.</w:t>
      </w:r>
    </w:p>
    <w:p w14:paraId="2B608139" w14:textId="77777777" w:rsidR="007036DC" w:rsidRPr="00B80B1A" w:rsidRDefault="007036DC" w:rsidP="00BA6DAA">
      <w:pPr>
        <w:spacing w:after="0" w:line="240" w:lineRule="auto"/>
        <w:jc w:val="both"/>
        <w:rPr>
          <w:rFonts w:eastAsia="Times New Roman" w:cs="Arial"/>
          <w:color w:val="222222"/>
        </w:rPr>
      </w:pPr>
    </w:p>
    <w:p w14:paraId="304A248D" w14:textId="54B847A5" w:rsidR="007036DC" w:rsidRPr="00B80B1A" w:rsidRDefault="007036DC" w:rsidP="00037710">
      <w:pPr>
        <w:shd w:val="clear" w:color="auto" w:fill="FFFFFF"/>
        <w:spacing w:after="0" w:line="240" w:lineRule="auto"/>
        <w:jc w:val="both"/>
        <w:rPr>
          <w:rFonts w:eastAsia="Times New Roman" w:cs="Arial"/>
          <w:color w:val="222222"/>
        </w:rPr>
      </w:pPr>
      <w:r w:rsidRPr="00B80B1A">
        <w:rPr>
          <w:rFonts w:eastAsia="Times New Roman" w:cs="Arial"/>
          <w:color w:val="222222"/>
        </w:rPr>
        <w:t xml:space="preserve">While our conclusions and comments so far may be perceived as criticism of the Fair Hearing Unit, we actually applaud the Fair Hearing </w:t>
      </w:r>
      <w:r w:rsidR="00D82D85" w:rsidRPr="00B80B1A">
        <w:rPr>
          <w:rFonts w:eastAsia="Times New Roman" w:cs="Arial"/>
          <w:color w:val="222222"/>
        </w:rPr>
        <w:t>t</w:t>
      </w:r>
      <w:r w:rsidRPr="00B80B1A">
        <w:rPr>
          <w:rFonts w:eastAsia="Times New Roman" w:cs="Arial"/>
          <w:color w:val="222222"/>
        </w:rPr>
        <w:t>eam</w:t>
      </w:r>
      <w:r w:rsidR="004579A7" w:rsidRPr="00B80B1A">
        <w:rPr>
          <w:rFonts w:eastAsia="Times New Roman" w:cs="Arial"/>
          <w:color w:val="222222"/>
        </w:rPr>
        <w:t xml:space="preserve">. </w:t>
      </w:r>
      <w:r w:rsidRPr="00B80B1A">
        <w:rPr>
          <w:rFonts w:eastAsia="Times New Roman" w:cs="Arial"/>
          <w:color w:val="222222"/>
        </w:rPr>
        <w:t>In recent years they have made tremendous improvements to the process</w:t>
      </w:r>
      <w:r w:rsidR="006D6770" w:rsidRPr="00B80B1A">
        <w:rPr>
          <w:rFonts w:eastAsia="Times New Roman" w:cs="Arial"/>
          <w:color w:val="222222"/>
        </w:rPr>
        <w:t>,</w:t>
      </w:r>
      <w:r w:rsidRPr="00B80B1A">
        <w:rPr>
          <w:rFonts w:eastAsia="Times New Roman" w:cs="Arial"/>
          <w:color w:val="222222"/>
        </w:rPr>
        <w:t xml:space="preserve"> and </w:t>
      </w:r>
      <w:r w:rsidR="002A3E78">
        <w:rPr>
          <w:rFonts w:eastAsia="Times New Roman" w:cs="Arial"/>
          <w:color w:val="222222"/>
        </w:rPr>
        <w:t xml:space="preserve">appellants </w:t>
      </w:r>
      <w:r w:rsidR="003A6EB9" w:rsidRPr="00B80B1A">
        <w:rPr>
          <w:rFonts w:eastAsia="Times New Roman" w:cs="Arial"/>
          <w:color w:val="222222"/>
        </w:rPr>
        <w:t xml:space="preserve">are clearly better off than </w:t>
      </w:r>
      <w:r w:rsidRPr="00B80B1A">
        <w:rPr>
          <w:rFonts w:eastAsia="Times New Roman" w:cs="Arial"/>
          <w:color w:val="222222"/>
        </w:rPr>
        <w:t>in the past</w:t>
      </w:r>
      <w:r w:rsidR="006D6770" w:rsidRPr="00B80B1A">
        <w:rPr>
          <w:rFonts w:eastAsia="Times New Roman" w:cs="Arial"/>
          <w:color w:val="222222"/>
        </w:rPr>
        <w:t>.</w:t>
      </w:r>
    </w:p>
    <w:p w14:paraId="4E6EE3C2" w14:textId="77777777" w:rsidR="00AB30A1" w:rsidRPr="00B80B1A" w:rsidRDefault="00AB30A1" w:rsidP="00037710">
      <w:pPr>
        <w:shd w:val="clear" w:color="auto" w:fill="FFFFFF"/>
        <w:spacing w:after="0" w:line="240" w:lineRule="auto"/>
        <w:jc w:val="both"/>
      </w:pPr>
    </w:p>
    <w:p w14:paraId="2768FB95" w14:textId="77777777" w:rsidR="007036DC" w:rsidRPr="00B80B1A" w:rsidRDefault="007036DC" w:rsidP="00037710">
      <w:pPr>
        <w:pStyle w:val="Heading1"/>
        <w:spacing w:before="0" w:line="240" w:lineRule="auto"/>
        <w:jc w:val="both"/>
        <w:rPr>
          <w:i/>
        </w:rPr>
      </w:pPr>
      <w:bookmarkStart w:id="9" w:name="_Toc421204865"/>
      <w:bookmarkStart w:id="10" w:name="_Toc421781174"/>
      <w:r w:rsidRPr="00B80B1A">
        <w:rPr>
          <w:i/>
          <w:lang w:eastAsia="ja-JP"/>
        </w:rPr>
        <w:t>Recommendations</w:t>
      </w:r>
      <w:bookmarkEnd w:id="9"/>
      <w:bookmarkEnd w:id="10"/>
    </w:p>
    <w:p w14:paraId="01884C1D" w14:textId="77777777" w:rsidR="007036DC" w:rsidRPr="00B80B1A" w:rsidRDefault="007036DC" w:rsidP="00037710">
      <w:pPr>
        <w:spacing w:after="0" w:line="240" w:lineRule="auto"/>
        <w:jc w:val="both"/>
      </w:pPr>
    </w:p>
    <w:p w14:paraId="64DCA4DD" w14:textId="73E18C54" w:rsidR="007036DC" w:rsidRPr="00B80B1A" w:rsidRDefault="007036DC" w:rsidP="00037710">
      <w:pPr>
        <w:spacing w:after="0" w:line="240" w:lineRule="auto"/>
        <w:jc w:val="both"/>
        <w:rPr>
          <w:rFonts w:eastAsiaTheme="minorEastAsia"/>
          <w:lang w:eastAsia="ja-JP"/>
        </w:rPr>
      </w:pPr>
      <w:r w:rsidRPr="00B80B1A">
        <w:t xml:space="preserve">To address the Timeliness, Fairness, and Independence issues described above, we recommend the following changes to the Fair Hearing regulations, as well as </w:t>
      </w:r>
      <w:r w:rsidR="004A6E7C" w:rsidRPr="00B80B1A">
        <w:t xml:space="preserve">to </w:t>
      </w:r>
      <w:r w:rsidRPr="00B80B1A">
        <w:t>DCF staff</w:t>
      </w:r>
      <w:r w:rsidR="00F23F8B">
        <w:t>ing and operational procedures.</w:t>
      </w:r>
    </w:p>
    <w:p w14:paraId="7FAD9231" w14:textId="77777777" w:rsidR="007036DC" w:rsidRPr="00B80B1A" w:rsidRDefault="007036DC" w:rsidP="00037710">
      <w:pPr>
        <w:spacing w:after="0" w:line="240" w:lineRule="auto"/>
        <w:jc w:val="both"/>
        <w:rPr>
          <w:rFonts w:eastAsiaTheme="minorEastAsia"/>
          <w:b/>
          <w:lang w:eastAsia="ja-JP"/>
        </w:rPr>
      </w:pPr>
    </w:p>
    <w:p w14:paraId="40CE5A49" w14:textId="77777777" w:rsidR="007036DC" w:rsidRPr="00B80B1A" w:rsidRDefault="007036DC" w:rsidP="00037710">
      <w:pPr>
        <w:pStyle w:val="Heading2"/>
        <w:jc w:val="both"/>
        <w:rPr>
          <w:i/>
          <w:sz w:val="28"/>
          <w:szCs w:val="28"/>
          <w:lang w:eastAsia="ja-JP"/>
        </w:rPr>
      </w:pPr>
      <w:bookmarkStart w:id="11" w:name="_Toc421204866"/>
      <w:bookmarkStart w:id="12" w:name="_Toc421781175"/>
      <w:r w:rsidRPr="00B80B1A">
        <w:rPr>
          <w:i/>
          <w:sz w:val="28"/>
          <w:szCs w:val="28"/>
          <w:lang w:eastAsia="ja-JP"/>
        </w:rPr>
        <w:t>Recommended Regulatory Changes</w:t>
      </w:r>
      <w:bookmarkEnd w:id="11"/>
      <w:bookmarkEnd w:id="12"/>
    </w:p>
    <w:p w14:paraId="476A7F5B" w14:textId="77777777" w:rsidR="007036DC" w:rsidRPr="00B80B1A" w:rsidRDefault="007036DC" w:rsidP="00037710">
      <w:pPr>
        <w:spacing w:after="0" w:line="240" w:lineRule="auto"/>
        <w:jc w:val="both"/>
        <w:rPr>
          <w:rFonts w:eastAsiaTheme="minorEastAsia"/>
          <w:b/>
          <w:lang w:eastAsia="ja-JP"/>
        </w:rPr>
      </w:pPr>
    </w:p>
    <w:p w14:paraId="5BA4A1EB" w14:textId="77777777" w:rsidR="007036DC" w:rsidRPr="00B80B1A" w:rsidRDefault="007036DC" w:rsidP="00037710">
      <w:pPr>
        <w:pStyle w:val="Heading3"/>
        <w:jc w:val="both"/>
        <w:rPr>
          <w:i/>
          <w:sz w:val="26"/>
          <w:szCs w:val="26"/>
          <w:lang w:eastAsia="ja-JP"/>
        </w:rPr>
      </w:pPr>
      <w:bookmarkStart w:id="13" w:name="_Toc421204867"/>
      <w:bookmarkStart w:id="14" w:name="_Toc421781176"/>
      <w:r w:rsidRPr="00B80B1A">
        <w:rPr>
          <w:i/>
          <w:sz w:val="26"/>
          <w:szCs w:val="26"/>
          <w:lang w:eastAsia="ja-JP"/>
        </w:rPr>
        <w:t>Timeliness</w:t>
      </w:r>
      <w:bookmarkEnd w:id="13"/>
      <w:bookmarkEnd w:id="14"/>
    </w:p>
    <w:p w14:paraId="402A1182" w14:textId="347B4AF8" w:rsidR="007036DC" w:rsidRPr="00B80B1A" w:rsidRDefault="007036DC" w:rsidP="00037710">
      <w:pPr>
        <w:pStyle w:val="ListParagraph"/>
        <w:numPr>
          <w:ilvl w:val="0"/>
          <w:numId w:val="77"/>
        </w:numPr>
        <w:spacing w:after="0" w:line="240" w:lineRule="auto"/>
        <w:jc w:val="both"/>
        <w:rPr>
          <w:rFonts w:eastAsiaTheme="minorEastAsia"/>
          <w:lang w:eastAsia="ja-JP"/>
        </w:rPr>
      </w:pPr>
      <w:r w:rsidRPr="00B80B1A">
        <w:rPr>
          <w:rFonts w:eastAsiaTheme="minorEastAsia"/>
          <w:b/>
          <w:i/>
          <w:lang w:eastAsia="ja-JP"/>
        </w:rPr>
        <w:t>Do not tighten the Timeliness standards in the short-term</w:t>
      </w:r>
      <w:r w:rsidRPr="00B80B1A">
        <w:rPr>
          <w:rFonts w:eastAsiaTheme="minorEastAsia"/>
          <w:lang w:eastAsia="ja-JP"/>
        </w:rPr>
        <w:t xml:space="preserve"> as DCF has a large number of</w:t>
      </w:r>
      <w:r w:rsidR="00A23D6D" w:rsidRPr="00B80B1A">
        <w:rPr>
          <w:rFonts w:eastAsiaTheme="minorEastAsia"/>
          <w:lang w:eastAsia="ja-JP"/>
        </w:rPr>
        <w:t xml:space="preserve"> backlogged cases</w:t>
      </w:r>
      <w:r w:rsidR="004579A7" w:rsidRPr="00B80B1A">
        <w:rPr>
          <w:rFonts w:eastAsiaTheme="minorEastAsia"/>
          <w:lang w:eastAsia="ja-JP"/>
        </w:rPr>
        <w:t xml:space="preserve">. </w:t>
      </w:r>
      <w:r w:rsidR="00A23D6D" w:rsidRPr="00B80B1A">
        <w:rPr>
          <w:rFonts w:eastAsiaTheme="minorEastAsia"/>
          <w:lang w:eastAsia="ja-JP"/>
        </w:rPr>
        <w:t>The regulatory requirements</w:t>
      </w:r>
      <w:r w:rsidRPr="00B80B1A">
        <w:rPr>
          <w:rFonts w:eastAsiaTheme="minorEastAsia"/>
          <w:lang w:eastAsia="ja-JP"/>
        </w:rPr>
        <w:t xml:space="preserve">, however, should </w:t>
      </w:r>
      <w:r w:rsidR="00A23D6D" w:rsidRPr="00B80B1A">
        <w:rPr>
          <w:rFonts w:eastAsiaTheme="minorEastAsia"/>
          <w:lang w:eastAsia="ja-JP"/>
        </w:rPr>
        <w:t>match best standards from other states</w:t>
      </w:r>
      <w:r w:rsidRPr="00B80B1A">
        <w:rPr>
          <w:rFonts w:eastAsiaTheme="minorEastAsia"/>
          <w:lang w:eastAsia="ja-JP"/>
        </w:rPr>
        <w:t xml:space="preserve"> once the backlog is eliminated</w:t>
      </w:r>
      <w:r w:rsidR="00A23D6D" w:rsidRPr="00B80B1A">
        <w:rPr>
          <w:rFonts w:eastAsiaTheme="minorEastAsia"/>
          <w:lang w:eastAsia="ja-JP"/>
        </w:rPr>
        <w:t xml:space="preserve"> and staffing gaps have been bridged</w:t>
      </w:r>
      <w:r w:rsidR="00F23F8B">
        <w:rPr>
          <w:rFonts w:eastAsiaTheme="minorEastAsia"/>
          <w:lang w:eastAsia="ja-JP"/>
        </w:rPr>
        <w:t>.</w:t>
      </w:r>
    </w:p>
    <w:p w14:paraId="28EE8092" w14:textId="77777777" w:rsidR="007036DC" w:rsidRPr="00B80B1A" w:rsidRDefault="007036DC" w:rsidP="00037710">
      <w:pPr>
        <w:pStyle w:val="Heading3"/>
        <w:jc w:val="both"/>
        <w:rPr>
          <w:i/>
          <w:sz w:val="26"/>
          <w:szCs w:val="26"/>
          <w:lang w:eastAsia="ja-JP"/>
        </w:rPr>
      </w:pPr>
      <w:bookmarkStart w:id="15" w:name="_Toc421204868"/>
      <w:bookmarkStart w:id="16" w:name="_Toc421781177"/>
      <w:r w:rsidRPr="00B80B1A">
        <w:rPr>
          <w:i/>
          <w:sz w:val="26"/>
          <w:szCs w:val="26"/>
          <w:lang w:eastAsia="ja-JP"/>
        </w:rPr>
        <w:t>Fairness</w:t>
      </w:r>
      <w:bookmarkEnd w:id="15"/>
      <w:bookmarkEnd w:id="16"/>
    </w:p>
    <w:p w14:paraId="60C71A6F" w14:textId="4B4459D6" w:rsidR="007036DC" w:rsidRPr="00B80B1A" w:rsidRDefault="00A23D6D" w:rsidP="00037710">
      <w:pPr>
        <w:pStyle w:val="ListParagraph"/>
        <w:numPr>
          <w:ilvl w:val="0"/>
          <w:numId w:val="77"/>
        </w:numPr>
        <w:jc w:val="both"/>
        <w:rPr>
          <w:rFonts w:eastAsiaTheme="minorEastAsia"/>
          <w:lang w:eastAsia="ja-JP"/>
        </w:rPr>
      </w:pPr>
      <w:r w:rsidRPr="00B80B1A">
        <w:rPr>
          <w:rFonts w:eastAsiaTheme="minorEastAsia"/>
          <w:b/>
          <w:i/>
          <w:lang w:eastAsia="ja-JP"/>
        </w:rPr>
        <w:t>Consider s</w:t>
      </w:r>
      <w:r w:rsidR="007036DC" w:rsidRPr="00B80B1A">
        <w:rPr>
          <w:rFonts w:eastAsiaTheme="minorEastAsia"/>
          <w:b/>
          <w:i/>
          <w:lang w:eastAsia="ja-JP"/>
        </w:rPr>
        <w:t>hift</w:t>
      </w:r>
      <w:r w:rsidRPr="00B80B1A">
        <w:rPr>
          <w:rFonts w:eastAsiaTheme="minorEastAsia"/>
          <w:b/>
          <w:i/>
          <w:lang w:eastAsia="ja-JP"/>
        </w:rPr>
        <w:t>ing</w:t>
      </w:r>
      <w:r w:rsidR="007036DC" w:rsidRPr="00B80B1A">
        <w:rPr>
          <w:rFonts w:eastAsiaTheme="minorEastAsia"/>
          <w:b/>
          <w:i/>
          <w:lang w:eastAsia="ja-JP"/>
        </w:rPr>
        <w:t xml:space="preserve"> the burden of proof for all decisions to the Department</w:t>
      </w:r>
      <w:r w:rsidR="007036DC" w:rsidRPr="00B80B1A">
        <w:rPr>
          <w:rFonts w:eastAsiaTheme="minorEastAsia"/>
          <w:lang w:eastAsia="ja-JP"/>
        </w:rPr>
        <w:t xml:space="preserve"> </w:t>
      </w:r>
      <w:r w:rsidR="0063416D" w:rsidRPr="00B80B1A">
        <w:rPr>
          <w:rFonts w:eastAsiaTheme="minorEastAsia"/>
          <w:lang w:eastAsia="ja-JP"/>
        </w:rPr>
        <w:t>and evaluating such decisions</w:t>
      </w:r>
      <w:r w:rsidR="007036DC" w:rsidRPr="00B80B1A">
        <w:rPr>
          <w:rFonts w:eastAsiaTheme="minorEastAsia"/>
          <w:lang w:eastAsia="ja-JP"/>
        </w:rPr>
        <w:t xml:space="preserve"> based on how reasonable they were</w:t>
      </w:r>
      <w:r w:rsidR="0063416D" w:rsidRPr="00B80B1A">
        <w:rPr>
          <w:rFonts w:eastAsiaTheme="minorEastAsia"/>
          <w:lang w:eastAsia="ja-JP"/>
        </w:rPr>
        <w:t xml:space="preserve"> </w:t>
      </w:r>
      <w:r w:rsidR="00E872CE" w:rsidRPr="00B80B1A">
        <w:rPr>
          <w:rFonts w:eastAsiaTheme="minorEastAsia"/>
          <w:lang w:eastAsia="ja-JP"/>
        </w:rPr>
        <w:t xml:space="preserve">when viewed against </w:t>
      </w:r>
      <w:r w:rsidR="0063416D" w:rsidRPr="00B80B1A">
        <w:rPr>
          <w:rFonts w:eastAsiaTheme="minorEastAsia"/>
          <w:lang w:eastAsia="ja-JP"/>
        </w:rPr>
        <w:t>the totality of evidence available</w:t>
      </w:r>
      <w:r w:rsidR="00E872CE" w:rsidRPr="00B80B1A">
        <w:rPr>
          <w:rFonts w:eastAsiaTheme="minorEastAsia"/>
          <w:lang w:eastAsia="ja-JP"/>
        </w:rPr>
        <w:t xml:space="preserve">, particularly for </w:t>
      </w:r>
      <w:r w:rsidR="008859C8" w:rsidRPr="00B80B1A">
        <w:rPr>
          <w:rFonts w:eastAsiaTheme="minorEastAsia"/>
          <w:lang w:eastAsia="ja-JP"/>
        </w:rPr>
        <w:t>abuse</w:t>
      </w:r>
      <w:r w:rsidR="00E872CE" w:rsidRPr="00B80B1A">
        <w:rPr>
          <w:rFonts w:eastAsiaTheme="minorEastAsia"/>
          <w:lang w:eastAsia="ja-JP"/>
        </w:rPr>
        <w:t xml:space="preserve"> </w:t>
      </w:r>
      <w:r w:rsidR="00D82D85" w:rsidRPr="00B80B1A">
        <w:rPr>
          <w:rFonts w:eastAsiaTheme="minorEastAsia"/>
          <w:lang w:eastAsia="ja-JP"/>
        </w:rPr>
        <w:t>or</w:t>
      </w:r>
      <w:r w:rsidR="00E872CE" w:rsidRPr="00B80B1A">
        <w:rPr>
          <w:rFonts w:eastAsiaTheme="minorEastAsia"/>
          <w:lang w:eastAsia="ja-JP"/>
        </w:rPr>
        <w:t xml:space="preserve"> neglect decisions</w:t>
      </w:r>
      <w:r w:rsidR="004579A7" w:rsidRPr="00B80B1A">
        <w:rPr>
          <w:rFonts w:eastAsiaTheme="minorEastAsia"/>
          <w:lang w:eastAsia="ja-JP"/>
        </w:rPr>
        <w:t xml:space="preserve">. </w:t>
      </w:r>
      <w:r w:rsidR="002D6AC0" w:rsidRPr="00B80B1A">
        <w:rPr>
          <w:rFonts w:eastAsiaTheme="minorEastAsia"/>
          <w:lang w:eastAsia="ja-JP"/>
        </w:rPr>
        <w:t>T</w:t>
      </w:r>
      <w:r w:rsidR="007036DC" w:rsidRPr="00B80B1A">
        <w:rPr>
          <w:rFonts w:eastAsiaTheme="minorEastAsia"/>
          <w:lang w:eastAsia="ja-JP"/>
        </w:rPr>
        <w:t xml:space="preserve">he consequences of </w:t>
      </w:r>
      <w:r w:rsidR="00B2732F" w:rsidRPr="00B80B1A">
        <w:rPr>
          <w:rFonts w:eastAsiaTheme="minorEastAsia"/>
          <w:lang w:eastAsia="ja-JP"/>
        </w:rPr>
        <w:t xml:space="preserve">abuse </w:t>
      </w:r>
      <w:r w:rsidR="00D82D85" w:rsidRPr="00B80B1A">
        <w:rPr>
          <w:rFonts w:eastAsiaTheme="minorEastAsia"/>
          <w:lang w:eastAsia="ja-JP"/>
        </w:rPr>
        <w:t>or</w:t>
      </w:r>
      <w:r w:rsidR="00B2732F" w:rsidRPr="00B80B1A">
        <w:rPr>
          <w:rFonts w:eastAsiaTheme="minorEastAsia"/>
          <w:lang w:eastAsia="ja-JP"/>
        </w:rPr>
        <w:t xml:space="preserve"> neglect</w:t>
      </w:r>
      <w:r w:rsidR="007036DC" w:rsidRPr="00B80B1A">
        <w:rPr>
          <w:rFonts w:eastAsiaTheme="minorEastAsia"/>
          <w:lang w:eastAsia="ja-JP"/>
        </w:rPr>
        <w:t xml:space="preserve"> reports can be serious and thus should require a higher hurdle </w:t>
      </w:r>
      <w:r w:rsidR="002D6AC0" w:rsidRPr="00B80B1A">
        <w:rPr>
          <w:rFonts w:eastAsiaTheme="minorEastAsia"/>
          <w:lang w:eastAsia="ja-JP"/>
        </w:rPr>
        <w:t>of proof</w:t>
      </w:r>
      <w:r w:rsidR="007036DC" w:rsidRPr="00B80B1A">
        <w:rPr>
          <w:rFonts w:eastAsiaTheme="minorEastAsia"/>
          <w:lang w:eastAsia="ja-JP"/>
        </w:rPr>
        <w:t xml:space="preserve">, </w:t>
      </w:r>
      <w:r w:rsidR="003D6EAE" w:rsidRPr="00B80B1A">
        <w:rPr>
          <w:rFonts w:eastAsiaTheme="minorEastAsia"/>
          <w:lang w:eastAsia="ja-JP"/>
        </w:rPr>
        <w:t xml:space="preserve">especially when taking into account </w:t>
      </w:r>
      <w:r w:rsidR="00B940CC" w:rsidRPr="00B80B1A">
        <w:rPr>
          <w:rFonts w:eastAsiaTheme="minorEastAsia"/>
          <w:lang w:eastAsia="ja-JP"/>
        </w:rPr>
        <w:t xml:space="preserve">the </w:t>
      </w:r>
      <w:r w:rsidR="003D6EAE" w:rsidRPr="00B80B1A">
        <w:rPr>
          <w:rFonts w:eastAsiaTheme="minorEastAsia"/>
          <w:lang w:eastAsia="ja-JP"/>
        </w:rPr>
        <w:t>p</w:t>
      </w:r>
      <w:r w:rsidR="008859C8" w:rsidRPr="00B80B1A">
        <w:rPr>
          <w:rFonts w:eastAsiaTheme="minorEastAsia"/>
          <w:lang w:eastAsia="ja-JP"/>
        </w:rPr>
        <w:t xml:space="preserve">otential for </w:t>
      </w:r>
      <w:r w:rsidR="00C6034A" w:rsidRPr="00B80B1A">
        <w:rPr>
          <w:rFonts w:eastAsiaTheme="minorEastAsia"/>
          <w:lang w:eastAsia="ja-JP"/>
        </w:rPr>
        <w:t xml:space="preserve">concerning </w:t>
      </w:r>
      <w:r w:rsidR="008859C8" w:rsidRPr="00B80B1A">
        <w:rPr>
          <w:rFonts w:eastAsiaTheme="minorEastAsia"/>
          <w:lang w:eastAsia="ja-JP"/>
        </w:rPr>
        <w:t>procedural issues</w:t>
      </w:r>
      <w:r w:rsidR="002D6AC0" w:rsidRPr="00B80B1A">
        <w:rPr>
          <w:rFonts w:eastAsiaTheme="minorEastAsia"/>
          <w:lang w:eastAsia="ja-JP"/>
        </w:rPr>
        <w:t>.</w:t>
      </w:r>
    </w:p>
    <w:p w14:paraId="514DF368" w14:textId="5A2B68C3" w:rsidR="007036DC" w:rsidRPr="00B80B1A" w:rsidRDefault="007036DC" w:rsidP="00037DBD">
      <w:pPr>
        <w:pStyle w:val="ListParagraph"/>
        <w:numPr>
          <w:ilvl w:val="0"/>
          <w:numId w:val="77"/>
        </w:numPr>
        <w:jc w:val="both"/>
        <w:rPr>
          <w:rFonts w:eastAsiaTheme="minorEastAsia"/>
          <w:lang w:eastAsia="ja-JP"/>
        </w:rPr>
      </w:pPr>
      <w:r w:rsidRPr="00B80B1A">
        <w:rPr>
          <w:rFonts w:eastAsiaTheme="minorEastAsia"/>
          <w:b/>
          <w:i/>
          <w:lang w:eastAsia="ja-JP"/>
        </w:rPr>
        <w:t xml:space="preserve">Automatically send the appellants </w:t>
      </w:r>
      <w:r w:rsidR="00037DBD" w:rsidRPr="00B80B1A">
        <w:rPr>
          <w:rFonts w:eastAsiaTheme="minorEastAsia"/>
          <w:b/>
          <w:i/>
          <w:lang w:eastAsia="ja-JP"/>
        </w:rPr>
        <w:t xml:space="preserve">all relevant documentation relating to the </w:t>
      </w:r>
      <w:r w:rsidR="00283536" w:rsidRPr="00B80B1A">
        <w:rPr>
          <w:rFonts w:eastAsiaTheme="minorEastAsia"/>
          <w:b/>
          <w:i/>
          <w:lang w:eastAsia="ja-JP"/>
        </w:rPr>
        <w:t xml:space="preserve">Area Office </w:t>
      </w:r>
      <w:r w:rsidR="00037DBD" w:rsidRPr="00B80B1A">
        <w:rPr>
          <w:rFonts w:eastAsiaTheme="minorEastAsia"/>
          <w:b/>
          <w:i/>
          <w:lang w:eastAsia="ja-JP"/>
        </w:rPr>
        <w:t>decision</w:t>
      </w:r>
      <w:r w:rsidRPr="00B80B1A">
        <w:rPr>
          <w:rFonts w:eastAsiaTheme="minorEastAsia"/>
          <w:lang w:eastAsia="ja-JP"/>
        </w:rPr>
        <w:t>, redacting</w:t>
      </w:r>
      <w:r w:rsidR="00420627" w:rsidRPr="00B80B1A">
        <w:rPr>
          <w:rFonts w:eastAsiaTheme="minorEastAsia"/>
          <w:lang w:eastAsia="ja-JP"/>
        </w:rPr>
        <w:t xml:space="preserve"> </w:t>
      </w:r>
      <w:r w:rsidRPr="00B80B1A">
        <w:rPr>
          <w:rFonts w:eastAsiaTheme="minorEastAsia"/>
          <w:lang w:eastAsia="ja-JP"/>
        </w:rPr>
        <w:t xml:space="preserve">necessary parts to protect confidentiality required by law, upon scheduling and in a timely manner. While this change would create incremental operational costs for the </w:t>
      </w:r>
      <w:r w:rsidRPr="00B80B1A">
        <w:rPr>
          <w:rFonts w:eastAsiaTheme="minorEastAsia"/>
          <w:lang w:eastAsia="ja-JP"/>
        </w:rPr>
        <w:lastRenderedPageBreak/>
        <w:t xml:space="preserve">Department, such costs may be outweighed by savings from reducing appellants’ need for continuances. </w:t>
      </w:r>
      <w:r w:rsidR="001F1C30" w:rsidRPr="00B80B1A">
        <w:rPr>
          <w:rFonts w:eastAsiaTheme="minorEastAsia"/>
          <w:lang w:eastAsia="ja-JP"/>
        </w:rPr>
        <w:t>Crucially,</w:t>
      </w:r>
      <w:r w:rsidRPr="00B80B1A">
        <w:rPr>
          <w:rFonts w:eastAsiaTheme="minorEastAsia"/>
          <w:lang w:eastAsia="ja-JP"/>
        </w:rPr>
        <w:t xml:space="preserve"> it would afford the appellants an opportunity to review the</w:t>
      </w:r>
      <w:r w:rsidR="00F23F8B">
        <w:rPr>
          <w:rFonts w:eastAsiaTheme="minorEastAsia"/>
          <w:lang w:eastAsia="ja-JP"/>
        </w:rPr>
        <w:t xml:space="preserve"> allegations made against them.</w:t>
      </w:r>
    </w:p>
    <w:p w14:paraId="12E12DF7" w14:textId="3F75294E" w:rsidR="00867A49" w:rsidRPr="00B80B1A" w:rsidRDefault="00BB53EF" w:rsidP="00BB53EF">
      <w:pPr>
        <w:pStyle w:val="ListParagraph"/>
        <w:numPr>
          <w:ilvl w:val="0"/>
          <w:numId w:val="77"/>
        </w:numPr>
        <w:jc w:val="both"/>
        <w:rPr>
          <w:rFonts w:eastAsiaTheme="minorEastAsia"/>
          <w:lang w:eastAsia="ja-JP"/>
        </w:rPr>
      </w:pPr>
      <w:r>
        <w:rPr>
          <w:rFonts w:eastAsiaTheme="minorEastAsia"/>
          <w:b/>
          <w:i/>
          <w:lang w:eastAsia="ja-JP"/>
        </w:rPr>
        <w:t>Mandate</w:t>
      </w:r>
      <w:r>
        <w:t xml:space="preserve"> </w:t>
      </w:r>
      <w:r w:rsidRPr="00BB53EF">
        <w:rPr>
          <w:b/>
          <w:i/>
        </w:rPr>
        <w:t>the</w:t>
      </w:r>
      <w:r>
        <w:t xml:space="preserve"> </w:t>
      </w:r>
      <w:r w:rsidRPr="00BB53EF">
        <w:rPr>
          <w:rFonts w:eastAsiaTheme="minorEastAsia"/>
          <w:b/>
          <w:i/>
          <w:lang w:eastAsia="ja-JP"/>
        </w:rPr>
        <w:t>review of appealed decisions</w:t>
      </w:r>
      <w:r>
        <w:rPr>
          <w:rFonts w:eastAsiaTheme="minorEastAsia"/>
          <w:b/>
          <w:i/>
          <w:lang w:eastAsia="ja-JP"/>
        </w:rPr>
        <w:t xml:space="preserve"> by</w:t>
      </w:r>
      <w:r w:rsidR="003817F2" w:rsidRPr="00B80B1A">
        <w:rPr>
          <w:rFonts w:eastAsiaTheme="minorEastAsia"/>
          <w:b/>
          <w:i/>
          <w:lang w:eastAsia="ja-JP"/>
        </w:rPr>
        <w:t xml:space="preserve"> </w:t>
      </w:r>
      <w:r w:rsidR="00867A49" w:rsidRPr="00B80B1A">
        <w:rPr>
          <w:rFonts w:eastAsiaTheme="minorEastAsia"/>
          <w:b/>
          <w:i/>
          <w:lang w:eastAsia="ja-JP"/>
        </w:rPr>
        <w:t xml:space="preserve">the </w:t>
      </w:r>
      <w:r w:rsidR="00EA0824" w:rsidRPr="00B80B1A">
        <w:rPr>
          <w:rFonts w:eastAsiaTheme="minorEastAsia"/>
          <w:b/>
          <w:i/>
          <w:lang w:eastAsia="ja-JP"/>
        </w:rPr>
        <w:t>Area Director</w:t>
      </w:r>
      <w:r w:rsidR="009D71C8" w:rsidRPr="00B80B1A">
        <w:rPr>
          <w:rFonts w:eastAsiaTheme="minorEastAsia"/>
          <w:b/>
          <w:i/>
          <w:lang w:eastAsia="ja-JP"/>
        </w:rPr>
        <w:t xml:space="preserve"> </w:t>
      </w:r>
      <w:r w:rsidR="00A16BB6" w:rsidRPr="00B80B1A">
        <w:rPr>
          <w:rFonts w:eastAsiaTheme="minorEastAsia"/>
          <w:b/>
          <w:i/>
          <w:lang w:eastAsia="ja-JP"/>
        </w:rPr>
        <w:t xml:space="preserve">(or designee) </w:t>
      </w:r>
      <w:r w:rsidR="00FA5C34" w:rsidRPr="00B80B1A">
        <w:rPr>
          <w:rFonts w:eastAsiaTheme="minorEastAsia"/>
          <w:b/>
          <w:i/>
          <w:lang w:eastAsia="ja-JP"/>
        </w:rPr>
        <w:t>and</w:t>
      </w:r>
      <w:r>
        <w:rPr>
          <w:rFonts w:eastAsiaTheme="minorEastAsia"/>
          <w:b/>
          <w:i/>
          <w:lang w:eastAsia="ja-JP"/>
        </w:rPr>
        <w:t xml:space="preserve"> require</w:t>
      </w:r>
      <w:r w:rsidR="00FA5C34" w:rsidRPr="00B80B1A">
        <w:rPr>
          <w:rFonts w:eastAsiaTheme="minorEastAsia"/>
          <w:b/>
          <w:i/>
          <w:lang w:eastAsia="ja-JP"/>
        </w:rPr>
        <w:t xml:space="preserve"> the</w:t>
      </w:r>
      <w:r w:rsidR="00867A49" w:rsidRPr="00B80B1A">
        <w:rPr>
          <w:rFonts w:eastAsiaTheme="minorEastAsia"/>
          <w:b/>
          <w:i/>
          <w:lang w:eastAsia="ja-JP"/>
        </w:rPr>
        <w:t xml:space="preserve"> pre-hearing</w:t>
      </w:r>
      <w:r w:rsidR="003817F2" w:rsidRPr="00B80B1A">
        <w:rPr>
          <w:rFonts w:eastAsiaTheme="minorEastAsia"/>
          <w:b/>
          <w:i/>
          <w:lang w:eastAsia="ja-JP"/>
        </w:rPr>
        <w:t xml:space="preserve"> appellant</w:t>
      </w:r>
      <w:r w:rsidR="00FA5C34" w:rsidRPr="00B80B1A">
        <w:rPr>
          <w:rFonts w:eastAsiaTheme="minorEastAsia"/>
          <w:b/>
          <w:i/>
          <w:lang w:eastAsia="ja-JP"/>
        </w:rPr>
        <w:t xml:space="preserve"> </w:t>
      </w:r>
      <w:r w:rsidR="00867A49" w:rsidRPr="00B80B1A">
        <w:rPr>
          <w:rFonts w:eastAsiaTheme="minorEastAsia"/>
          <w:b/>
          <w:i/>
          <w:lang w:eastAsia="ja-JP"/>
        </w:rPr>
        <w:t>conference</w:t>
      </w:r>
      <w:r w:rsidR="00867A49" w:rsidRPr="00B80B1A">
        <w:rPr>
          <w:rFonts w:eastAsiaTheme="minorEastAsia"/>
          <w:b/>
          <w:lang w:eastAsia="ja-JP"/>
        </w:rPr>
        <w:t xml:space="preserve"> </w:t>
      </w:r>
      <w:r w:rsidR="00867A49" w:rsidRPr="00BB53EF">
        <w:rPr>
          <w:rFonts w:eastAsiaTheme="minorEastAsia"/>
          <w:b/>
          <w:i/>
          <w:lang w:eastAsia="ja-JP"/>
        </w:rPr>
        <w:t xml:space="preserve">between the </w:t>
      </w:r>
      <w:r w:rsidR="00283536" w:rsidRPr="00BB53EF">
        <w:rPr>
          <w:rFonts w:eastAsiaTheme="minorEastAsia"/>
          <w:b/>
          <w:i/>
          <w:lang w:eastAsia="ja-JP"/>
        </w:rPr>
        <w:t>Area Director</w:t>
      </w:r>
      <w:r w:rsidR="00867A49" w:rsidRPr="00BB53EF">
        <w:rPr>
          <w:rFonts w:eastAsiaTheme="minorEastAsia"/>
          <w:b/>
          <w:i/>
          <w:lang w:eastAsia="ja-JP"/>
        </w:rPr>
        <w:t xml:space="preserve"> </w:t>
      </w:r>
      <w:r>
        <w:rPr>
          <w:rFonts w:eastAsiaTheme="minorEastAsia"/>
          <w:b/>
          <w:i/>
          <w:lang w:eastAsia="ja-JP"/>
        </w:rPr>
        <w:t>(</w:t>
      </w:r>
      <w:proofErr w:type="gramStart"/>
      <w:r w:rsidR="00867A49" w:rsidRPr="00BB53EF">
        <w:rPr>
          <w:rFonts w:eastAsiaTheme="minorEastAsia"/>
          <w:b/>
          <w:i/>
          <w:lang w:eastAsia="ja-JP"/>
        </w:rPr>
        <w:t>or</w:t>
      </w:r>
      <w:proofErr w:type="gramEnd"/>
      <w:r w:rsidR="00867A49" w:rsidRPr="00BB53EF">
        <w:rPr>
          <w:rFonts w:eastAsiaTheme="minorEastAsia"/>
          <w:b/>
          <w:i/>
          <w:lang w:eastAsia="ja-JP"/>
        </w:rPr>
        <w:t xml:space="preserve"> designee</w:t>
      </w:r>
      <w:r>
        <w:rPr>
          <w:rFonts w:eastAsiaTheme="minorEastAsia"/>
          <w:b/>
          <w:i/>
          <w:lang w:eastAsia="ja-JP"/>
        </w:rPr>
        <w:t>)</w:t>
      </w:r>
      <w:r w:rsidR="00867A49" w:rsidRPr="00BB53EF">
        <w:rPr>
          <w:rFonts w:eastAsiaTheme="minorEastAsia"/>
          <w:b/>
          <w:i/>
          <w:lang w:eastAsia="ja-JP"/>
        </w:rPr>
        <w:t xml:space="preserve"> and the appellan</w:t>
      </w:r>
      <w:r w:rsidR="00FA5C34" w:rsidRPr="00BB53EF">
        <w:rPr>
          <w:rFonts w:eastAsiaTheme="minorEastAsia"/>
          <w:b/>
          <w:i/>
          <w:lang w:eastAsia="ja-JP"/>
        </w:rPr>
        <w:t>t.</w:t>
      </w:r>
      <w:r w:rsidR="00FA5C34" w:rsidRPr="00B80B1A">
        <w:rPr>
          <w:rFonts w:eastAsiaTheme="minorEastAsia"/>
          <w:lang w:eastAsia="ja-JP"/>
        </w:rPr>
        <w:t xml:space="preserve"> </w:t>
      </w:r>
      <w:r w:rsidR="00585C52" w:rsidRPr="00B80B1A">
        <w:rPr>
          <w:rFonts w:eastAsiaTheme="minorEastAsia"/>
          <w:lang w:eastAsia="ja-JP"/>
        </w:rPr>
        <w:t xml:space="preserve">Their implementation </w:t>
      </w:r>
      <w:r w:rsidR="003F5204">
        <w:rPr>
          <w:rFonts w:eastAsiaTheme="minorEastAsia"/>
          <w:lang w:eastAsia="ja-JP"/>
        </w:rPr>
        <w:t>c</w:t>
      </w:r>
      <w:r w:rsidR="00FA5C34" w:rsidRPr="00B80B1A">
        <w:rPr>
          <w:rFonts w:eastAsiaTheme="minorEastAsia"/>
          <w:lang w:eastAsia="ja-JP"/>
        </w:rPr>
        <w:t>ould reduce the number o</w:t>
      </w:r>
      <w:r w:rsidR="00585C52" w:rsidRPr="00B80B1A">
        <w:rPr>
          <w:rFonts w:eastAsiaTheme="minorEastAsia"/>
          <w:lang w:eastAsia="ja-JP"/>
        </w:rPr>
        <w:t>f appeals requiring a Fair Hearing, alleviating Hearing Office</w:t>
      </w:r>
      <w:r w:rsidR="00B24CF4" w:rsidRPr="00B80B1A">
        <w:rPr>
          <w:rFonts w:eastAsiaTheme="minorEastAsia"/>
          <w:lang w:eastAsia="ja-JP"/>
        </w:rPr>
        <w:t xml:space="preserve">r </w:t>
      </w:r>
      <w:proofErr w:type="gramStart"/>
      <w:r w:rsidR="00585C52" w:rsidRPr="00B80B1A">
        <w:rPr>
          <w:rFonts w:eastAsiaTheme="minorEastAsia"/>
          <w:lang w:eastAsia="ja-JP"/>
        </w:rPr>
        <w:t>caseloads</w:t>
      </w:r>
      <w:proofErr w:type="gramEnd"/>
      <w:r w:rsidR="00585C52" w:rsidRPr="00B80B1A">
        <w:rPr>
          <w:rFonts w:eastAsiaTheme="minorEastAsia"/>
          <w:lang w:eastAsia="ja-JP"/>
        </w:rPr>
        <w:t xml:space="preserve"> and improving Timeliness</w:t>
      </w:r>
      <w:r w:rsidR="00FA5C34" w:rsidRPr="00B80B1A">
        <w:rPr>
          <w:rFonts w:eastAsiaTheme="minorEastAsia"/>
          <w:lang w:eastAsia="ja-JP"/>
        </w:rPr>
        <w:t xml:space="preserve">. </w:t>
      </w:r>
      <w:r w:rsidR="00585C52" w:rsidRPr="00B80B1A">
        <w:rPr>
          <w:rFonts w:eastAsiaTheme="minorEastAsia"/>
          <w:lang w:eastAsia="ja-JP"/>
        </w:rPr>
        <w:t>Furthermore, t</w:t>
      </w:r>
      <w:r w:rsidR="00FA5C34" w:rsidRPr="00B80B1A">
        <w:rPr>
          <w:rFonts w:eastAsiaTheme="minorEastAsia"/>
          <w:lang w:eastAsia="ja-JP"/>
        </w:rPr>
        <w:t>he conference</w:t>
      </w:r>
      <w:r w:rsidR="00867A49" w:rsidRPr="00B80B1A">
        <w:rPr>
          <w:rFonts w:eastAsiaTheme="minorEastAsia"/>
          <w:lang w:eastAsia="ja-JP"/>
        </w:rPr>
        <w:t xml:space="preserve"> </w:t>
      </w:r>
      <w:r w:rsidR="00625CA9" w:rsidRPr="00B80B1A">
        <w:rPr>
          <w:rFonts w:eastAsiaTheme="minorEastAsia"/>
          <w:lang w:eastAsia="ja-JP"/>
        </w:rPr>
        <w:t xml:space="preserve">could </w:t>
      </w:r>
      <w:r w:rsidR="00867A49" w:rsidRPr="00B80B1A">
        <w:rPr>
          <w:rFonts w:eastAsiaTheme="minorEastAsia"/>
          <w:lang w:eastAsia="ja-JP"/>
        </w:rPr>
        <w:t xml:space="preserve">provide the appellant </w:t>
      </w:r>
      <w:r w:rsidR="00585C52" w:rsidRPr="00B80B1A">
        <w:rPr>
          <w:rFonts w:eastAsiaTheme="minorEastAsia"/>
          <w:lang w:eastAsia="ja-JP"/>
        </w:rPr>
        <w:t xml:space="preserve">an </w:t>
      </w:r>
      <w:r w:rsidR="00867A49" w:rsidRPr="00B80B1A">
        <w:rPr>
          <w:rFonts w:eastAsiaTheme="minorEastAsia"/>
          <w:lang w:eastAsia="ja-JP"/>
        </w:rPr>
        <w:t xml:space="preserve">opportunity to </w:t>
      </w:r>
      <w:r w:rsidR="00585C52" w:rsidRPr="00B80B1A">
        <w:rPr>
          <w:rFonts w:eastAsiaTheme="minorEastAsia"/>
          <w:lang w:eastAsia="ja-JP"/>
        </w:rPr>
        <w:t>learn about</w:t>
      </w:r>
      <w:r w:rsidR="00867A49" w:rsidRPr="00B80B1A">
        <w:rPr>
          <w:rFonts w:eastAsiaTheme="minorEastAsia"/>
          <w:lang w:eastAsia="ja-JP"/>
        </w:rPr>
        <w:t xml:space="preserve"> his</w:t>
      </w:r>
      <w:r w:rsidR="00D71C48" w:rsidRPr="00B80B1A">
        <w:rPr>
          <w:rFonts w:eastAsiaTheme="minorEastAsia"/>
          <w:lang w:eastAsia="ja-JP"/>
        </w:rPr>
        <w:t xml:space="preserve"> or her</w:t>
      </w:r>
      <w:r w:rsidR="00867A49" w:rsidRPr="00B80B1A">
        <w:rPr>
          <w:rFonts w:eastAsiaTheme="minorEastAsia"/>
          <w:lang w:eastAsia="ja-JP"/>
        </w:rPr>
        <w:t xml:space="preserve"> case</w:t>
      </w:r>
      <w:r w:rsidR="00FA5C34" w:rsidRPr="00B80B1A">
        <w:rPr>
          <w:rFonts w:eastAsiaTheme="minorEastAsia"/>
          <w:lang w:eastAsia="ja-JP"/>
        </w:rPr>
        <w:t>, rights, and the Fair Hearing process</w:t>
      </w:r>
      <w:r w:rsidR="00EC0AFC" w:rsidRPr="00B80B1A">
        <w:rPr>
          <w:rFonts w:eastAsiaTheme="minorEastAsia"/>
          <w:lang w:eastAsia="ja-JP"/>
        </w:rPr>
        <w:t>.</w:t>
      </w:r>
    </w:p>
    <w:p w14:paraId="5F708232" w14:textId="726ACB85" w:rsidR="007036DC" w:rsidRPr="00B80B1A" w:rsidRDefault="007036DC" w:rsidP="00037710">
      <w:pPr>
        <w:pStyle w:val="ListParagraph"/>
        <w:numPr>
          <w:ilvl w:val="0"/>
          <w:numId w:val="77"/>
        </w:numPr>
        <w:jc w:val="both"/>
        <w:rPr>
          <w:rFonts w:eastAsiaTheme="minorEastAsia"/>
          <w:lang w:eastAsia="ja-JP"/>
        </w:rPr>
      </w:pPr>
      <w:r w:rsidRPr="00B80B1A">
        <w:rPr>
          <w:rFonts w:eastAsiaTheme="minorEastAsia"/>
          <w:b/>
          <w:i/>
          <w:lang w:eastAsia="ja-JP"/>
        </w:rPr>
        <w:t xml:space="preserve">Eliminate ‘business days’ language </w:t>
      </w:r>
      <w:r w:rsidRPr="00B80B1A">
        <w:rPr>
          <w:rFonts w:eastAsiaTheme="minorEastAsia"/>
          <w:lang w:eastAsia="ja-JP"/>
        </w:rPr>
        <w:t>and require all timeframes throughout the Fair Hearing</w:t>
      </w:r>
      <w:r w:rsidR="00D82D85" w:rsidRPr="00B80B1A">
        <w:rPr>
          <w:rFonts w:eastAsiaTheme="minorEastAsia"/>
          <w:lang w:eastAsia="ja-JP"/>
        </w:rPr>
        <w:t xml:space="preserve"> process</w:t>
      </w:r>
      <w:r w:rsidRPr="00B80B1A">
        <w:rPr>
          <w:rFonts w:eastAsiaTheme="minorEastAsia"/>
          <w:lang w:eastAsia="ja-JP"/>
        </w:rPr>
        <w:t xml:space="preserve"> to be in calendar days. Not only would this ensure consistency</w:t>
      </w:r>
      <w:r w:rsidR="002D3DCF" w:rsidRPr="00B80B1A">
        <w:rPr>
          <w:rFonts w:eastAsiaTheme="minorEastAsia"/>
          <w:lang w:eastAsia="ja-JP"/>
        </w:rPr>
        <w:t xml:space="preserve"> and clarity</w:t>
      </w:r>
      <w:r w:rsidRPr="00B80B1A">
        <w:rPr>
          <w:rFonts w:eastAsiaTheme="minorEastAsia"/>
          <w:lang w:eastAsia="ja-JP"/>
        </w:rPr>
        <w:t xml:space="preserve">, </w:t>
      </w:r>
      <w:r w:rsidR="00D71C48" w:rsidRPr="00B80B1A">
        <w:rPr>
          <w:rFonts w:eastAsiaTheme="minorEastAsia"/>
          <w:lang w:eastAsia="ja-JP"/>
        </w:rPr>
        <w:t xml:space="preserve">but </w:t>
      </w:r>
      <w:r w:rsidRPr="00B80B1A">
        <w:rPr>
          <w:rFonts w:eastAsiaTheme="minorEastAsia"/>
          <w:lang w:eastAsia="ja-JP"/>
        </w:rPr>
        <w:t xml:space="preserve">it would </w:t>
      </w:r>
      <w:r w:rsidR="00D71C48" w:rsidRPr="00B80B1A">
        <w:rPr>
          <w:rFonts w:eastAsiaTheme="minorEastAsia"/>
          <w:lang w:eastAsia="ja-JP"/>
        </w:rPr>
        <w:t xml:space="preserve">also </w:t>
      </w:r>
      <w:r w:rsidRPr="00B80B1A">
        <w:rPr>
          <w:rFonts w:eastAsiaTheme="minorEastAsia"/>
          <w:lang w:eastAsia="ja-JP"/>
        </w:rPr>
        <w:t xml:space="preserve">improve </w:t>
      </w:r>
      <w:r w:rsidR="00D82D85" w:rsidRPr="00B80B1A">
        <w:rPr>
          <w:rFonts w:eastAsiaTheme="minorEastAsia"/>
          <w:lang w:eastAsia="ja-JP"/>
        </w:rPr>
        <w:t>F</w:t>
      </w:r>
      <w:r w:rsidRPr="00B80B1A">
        <w:rPr>
          <w:rFonts w:eastAsiaTheme="minorEastAsia"/>
          <w:lang w:eastAsia="ja-JP"/>
        </w:rPr>
        <w:t>airness by making the standard for time requirements of both the Department and the appellant the same.</w:t>
      </w:r>
    </w:p>
    <w:p w14:paraId="7A3FA09C" w14:textId="286551F8" w:rsidR="007036DC" w:rsidRPr="00B80B1A" w:rsidRDefault="00314772" w:rsidP="00037710">
      <w:pPr>
        <w:pStyle w:val="ListParagraph"/>
        <w:numPr>
          <w:ilvl w:val="0"/>
          <w:numId w:val="77"/>
        </w:numPr>
        <w:spacing w:after="0" w:line="240" w:lineRule="auto"/>
        <w:jc w:val="both"/>
        <w:rPr>
          <w:rFonts w:eastAsiaTheme="minorEastAsia"/>
          <w:u w:val="single"/>
          <w:lang w:eastAsia="ja-JP"/>
        </w:rPr>
      </w:pPr>
      <w:r w:rsidRPr="00B80B1A">
        <w:rPr>
          <w:rFonts w:eastAsiaTheme="minorEastAsia"/>
          <w:b/>
          <w:i/>
          <w:lang w:eastAsia="ja-JP"/>
        </w:rPr>
        <w:t>Consider a</w:t>
      </w:r>
      <w:r w:rsidR="007036DC" w:rsidRPr="00B80B1A">
        <w:rPr>
          <w:rFonts w:eastAsiaTheme="minorEastAsia"/>
          <w:b/>
          <w:i/>
          <w:lang w:eastAsia="ja-JP"/>
        </w:rPr>
        <w:t>dd</w:t>
      </w:r>
      <w:r w:rsidRPr="00B80B1A">
        <w:rPr>
          <w:rFonts w:eastAsiaTheme="minorEastAsia"/>
          <w:b/>
          <w:i/>
          <w:lang w:eastAsia="ja-JP"/>
        </w:rPr>
        <w:t>ing</w:t>
      </w:r>
      <w:r w:rsidR="007036DC" w:rsidRPr="00B80B1A">
        <w:rPr>
          <w:rFonts w:eastAsiaTheme="minorEastAsia"/>
          <w:b/>
          <w:i/>
          <w:lang w:eastAsia="ja-JP"/>
        </w:rPr>
        <w:t xml:space="preserve"> the following language to 110 CMR Section 10.13</w:t>
      </w:r>
      <w:r w:rsidR="007036DC" w:rsidRPr="00B80B1A">
        <w:rPr>
          <w:rFonts w:eastAsiaTheme="minorEastAsia"/>
          <w:lang w:eastAsia="ja-JP"/>
        </w:rPr>
        <w:t xml:space="preserve">: “…in no event shall the continuance be longer than 45 days unless the employee’s unavailability is longer than 45 days, in which case the hearing shall be scheduled within </w:t>
      </w:r>
      <w:r w:rsidR="003F5204">
        <w:rPr>
          <w:rFonts w:eastAsiaTheme="minorEastAsia"/>
          <w:lang w:eastAsia="ja-JP"/>
        </w:rPr>
        <w:t>30</w:t>
      </w:r>
      <w:r w:rsidR="003F5204" w:rsidRPr="00B80B1A">
        <w:rPr>
          <w:rFonts w:eastAsiaTheme="minorEastAsia"/>
          <w:lang w:eastAsia="ja-JP"/>
        </w:rPr>
        <w:t xml:space="preserve"> </w:t>
      </w:r>
      <w:r w:rsidR="00E95F13" w:rsidRPr="00B80B1A">
        <w:rPr>
          <w:rFonts w:eastAsiaTheme="minorEastAsia"/>
          <w:lang w:eastAsia="ja-JP"/>
        </w:rPr>
        <w:t>days</w:t>
      </w:r>
      <w:r w:rsidR="007036DC" w:rsidRPr="00B80B1A">
        <w:rPr>
          <w:rFonts w:eastAsiaTheme="minorEastAsia"/>
          <w:lang w:eastAsia="ja-JP"/>
        </w:rPr>
        <w:t xml:space="preserve"> of the employee returning to work.” This </w:t>
      </w:r>
      <w:r w:rsidR="00D71C48" w:rsidRPr="00B80B1A">
        <w:rPr>
          <w:rFonts w:eastAsiaTheme="minorEastAsia"/>
          <w:lang w:eastAsia="ja-JP"/>
        </w:rPr>
        <w:t xml:space="preserve">addition </w:t>
      </w:r>
      <w:r w:rsidR="007036DC" w:rsidRPr="00B80B1A">
        <w:rPr>
          <w:rFonts w:eastAsiaTheme="minorEastAsia"/>
          <w:lang w:eastAsia="ja-JP"/>
        </w:rPr>
        <w:t>recognizes that certain circumstances are beyond the control of any party, such as an employee going on maternity leave, but still establishes timeframes that are equitable for all parties involved</w:t>
      </w:r>
      <w:r w:rsidR="00F23F8B">
        <w:rPr>
          <w:rFonts w:eastAsiaTheme="minorEastAsia"/>
          <w:lang w:eastAsia="ja-JP"/>
        </w:rPr>
        <w:t>.</w:t>
      </w:r>
    </w:p>
    <w:p w14:paraId="760188D0" w14:textId="77777777" w:rsidR="007036DC" w:rsidRPr="00B80B1A" w:rsidRDefault="007036DC" w:rsidP="00037710">
      <w:pPr>
        <w:pStyle w:val="ListParagraph"/>
        <w:spacing w:after="0" w:line="240" w:lineRule="auto"/>
        <w:jc w:val="both"/>
        <w:rPr>
          <w:rFonts w:eastAsiaTheme="minorEastAsia"/>
          <w:u w:val="single"/>
          <w:lang w:eastAsia="ja-JP"/>
        </w:rPr>
      </w:pPr>
    </w:p>
    <w:p w14:paraId="33EA956A" w14:textId="77777777" w:rsidR="007036DC" w:rsidRPr="00B80B1A" w:rsidRDefault="007036DC" w:rsidP="00037710">
      <w:pPr>
        <w:pStyle w:val="Heading3"/>
        <w:jc w:val="both"/>
        <w:rPr>
          <w:i/>
          <w:sz w:val="26"/>
          <w:szCs w:val="26"/>
          <w:lang w:eastAsia="ja-JP"/>
        </w:rPr>
      </w:pPr>
      <w:bookmarkStart w:id="17" w:name="_Toc421204869"/>
      <w:bookmarkStart w:id="18" w:name="_Toc421781178"/>
      <w:r w:rsidRPr="00B80B1A">
        <w:rPr>
          <w:i/>
          <w:sz w:val="26"/>
          <w:szCs w:val="26"/>
          <w:lang w:eastAsia="ja-JP"/>
        </w:rPr>
        <w:t>Independence</w:t>
      </w:r>
      <w:bookmarkEnd w:id="17"/>
      <w:bookmarkEnd w:id="18"/>
    </w:p>
    <w:p w14:paraId="4972D51B" w14:textId="148CF706" w:rsidR="007036DC" w:rsidRPr="00B80B1A" w:rsidRDefault="00063BC8" w:rsidP="00037710">
      <w:pPr>
        <w:pStyle w:val="ListParagraph"/>
        <w:numPr>
          <w:ilvl w:val="0"/>
          <w:numId w:val="78"/>
        </w:numPr>
        <w:tabs>
          <w:tab w:val="left" w:pos="720"/>
        </w:tabs>
        <w:spacing w:after="0" w:line="240" w:lineRule="auto"/>
        <w:ind w:left="720"/>
        <w:jc w:val="both"/>
        <w:rPr>
          <w:rFonts w:eastAsiaTheme="minorEastAsia"/>
          <w:lang w:eastAsia="ja-JP"/>
        </w:rPr>
      </w:pPr>
      <w:r w:rsidRPr="00B80B1A">
        <w:rPr>
          <w:rFonts w:eastAsiaTheme="minorEastAsia"/>
          <w:b/>
          <w:i/>
          <w:lang w:eastAsia="ja-JP"/>
        </w:rPr>
        <w:t xml:space="preserve">Eliminate the Commissioner </w:t>
      </w:r>
      <w:proofErr w:type="gramStart"/>
      <w:r w:rsidRPr="00B80B1A">
        <w:rPr>
          <w:rFonts w:eastAsiaTheme="minorEastAsia"/>
          <w:b/>
          <w:i/>
          <w:lang w:eastAsia="ja-JP"/>
        </w:rPr>
        <w:t>review</w:t>
      </w:r>
      <w:proofErr w:type="gramEnd"/>
      <w:r w:rsidRPr="00B80B1A">
        <w:rPr>
          <w:rFonts w:eastAsiaTheme="minorEastAsia"/>
          <w:b/>
          <w:i/>
          <w:lang w:eastAsia="ja-JP"/>
        </w:rPr>
        <w:t xml:space="preserve"> requirement </w:t>
      </w:r>
      <w:r w:rsidR="00C8797B" w:rsidRPr="00B80B1A">
        <w:rPr>
          <w:rFonts w:eastAsiaTheme="minorEastAsia"/>
          <w:b/>
          <w:i/>
          <w:lang w:eastAsia="ja-JP"/>
        </w:rPr>
        <w:t xml:space="preserve">for </w:t>
      </w:r>
      <w:r w:rsidRPr="00B80B1A">
        <w:rPr>
          <w:rFonts w:eastAsiaTheme="minorEastAsia"/>
          <w:b/>
          <w:i/>
          <w:lang w:eastAsia="ja-JP"/>
        </w:rPr>
        <w:t>reversal decisions</w:t>
      </w:r>
      <w:r w:rsidR="00252E97" w:rsidRPr="00B80B1A">
        <w:rPr>
          <w:rFonts w:eastAsiaTheme="minorEastAsia"/>
          <w:b/>
          <w:i/>
          <w:lang w:eastAsia="ja-JP"/>
        </w:rPr>
        <w:t>.</w:t>
      </w:r>
      <w:r w:rsidR="00252E97" w:rsidRPr="00B80B1A">
        <w:rPr>
          <w:rFonts w:eastAsiaTheme="minorEastAsia"/>
          <w:b/>
          <w:lang w:eastAsia="ja-JP"/>
        </w:rPr>
        <w:t xml:space="preserve"> </w:t>
      </w:r>
      <w:r w:rsidR="007036DC" w:rsidRPr="00B80B1A">
        <w:rPr>
          <w:rFonts w:eastAsiaTheme="minorEastAsia"/>
          <w:lang w:eastAsia="ja-JP"/>
        </w:rPr>
        <w:t xml:space="preserve">The DCF Commissioner should not review any decision by a Hearing Officer resulting in a reversal, and DCF should limit Hearing Officer </w:t>
      </w:r>
      <w:proofErr w:type="gramStart"/>
      <w:r w:rsidR="007036DC" w:rsidRPr="00B80B1A">
        <w:rPr>
          <w:rFonts w:eastAsiaTheme="minorEastAsia"/>
          <w:lang w:eastAsia="ja-JP"/>
        </w:rPr>
        <w:t>communication</w:t>
      </w:r>
      <w:proofErr w:type="gramEnd"/>
      <w:r w:rsidR="007036DC" w:rsidRPr="00B80B1A">
        <w:rPr>
          <w:rFonts w:eastAsiaTheme="minorEastAsia"/>
          <w:lang w:eastAsia="ja-JP"/>
        </w:rPr>
        <w:t xml:space="preserve"> about cases </w:t>
      </w:r>
      <w:r w:rsidR="00D71C48" w:rsidRPr="00B80B1A">
        <w:rPr>
          <w:rFonts w:eastAsiaTheme="minorEastAsia"/>
          <w:lang w:eastAsia="ja-JP"/>
        </w:rPr>
        <w:t xml:space="preserve">on which </w:t>
      </w:r>
      <w:r w:rsidR="007036DC" w:rsidRPr="00B80B1A">
        <w:rPr>
          <w:rFonts w:eastAsiaTheme="minorEastAsia"/>
          <w:lang w:eastAsia="ja-JP"/>
        </w:rPr>
        <w:t xml:space="preserve">they are working to Fair Hearing Supervisors and </w:t>
      </w:r>
      <w:r w:rsidR="00D82D85" w:rsidRPr="00B80B1A">
        <w:rPr>
          <w:rFonts w:eastAsiaTheme="minorEastAsia"/>
          <w:lang w:eastAsia="ja-JP"/>
        </w:rPr>
        <w:t>t</w:t>
      </w:r>
      <w:r w:rsidR="004A6E7C" w:rsidRPr="00B80B1A">
        <w:rPr>
          <w:rFonts w:eastAsiaTheme="minorEastAsia"/>
          <w:lang w:eastAsia="ja-JP"/>
        </w:rPr>
        <w:t>he</w:t>
      </w:r>
      <w:r w:rsidR="00A5167C" w:rsidRPr="00B80B1A">
        <w:rPr>
          <w:rFonts w:eastAsiaTheme="minorEastAsia"/>
          <w:lang w:eastAsia="ja-JP"/>
        </w:rPr>
        <w:t xml:space="preserve"> </w:t>
      </w:r>
      <w:r w:rsidR="007036DC" w:rsidRPr="00B80B1A">
        <w:rPr>
          <w:rFonts w:eastAsiaTheme="minorEastAsia"/>
          <w:lang w:eastAsia="ja-JP"/>
        </w:rPr>
        <w:t xml:space="preserve">Director of Fair Hearings only. Not only would this enhance the </w:t>
      </w:r>
      <w:r w:rsidR="00C22BD0" w:rsidRPr="00B80B1A">
        <w:rPr>
          <w:rFonts w:eastAsiaTheme="minorEastAsia"/>
          <w:lang w:eastAsia="ja-JP"/>
        </w:rPr>
        <w:t>I</w:t>
      </w:r>
      <w:r w:rsidR="007036DC" w:rsidRPr="00B80B1A">
        <w:rPr>
          <w:rFonts w:eastAsiaTheme="minorEastAsia"/>
          <w:lang w:eastAsia="ja-JP"/>
        </w:rPr>
        <w:t xml:space="preserve">ndependence of Hearing Officers, </w:t>
      </w:r>
      <w:r w:rsidR="00D71C48" w:rsidRPr="00B80B1A">
        <w:rPr>
          <w:rFonts w:eastAsiaTheme="minorEastAsia"/>
          <w:lang w:eastAsia="ja-JP"/>
        </w:rPr>
        <w:t xml:space="preserve">but </w:t>
      </w:r>
      <w:r w:rsidR="007036DC" w:rsidRPr="00B80B1A">
        <w:rPr>
          <w:rFonts w:eastAsiaTheme="minorEastAsia"/>
          <w:lang w:eastAsia="ja-JP"/>
        </w:rPr>
        <w:t>it would</w:t>
      </w:r>
      <w:r w:rsidR="00D71C48" w:rsidRPr="00B80B1A">
        <w:rPr>
          <w:rFonts w:eastAsiaTheme="minorEastAsia"/>
          <w:lang w:eastAsia="ja-JP"/>
        </w:rPr>
        <w:t xml:space="preserve"> also</w:t>
      </w:r>
      <w:r w:rsidR="007036DC" w:rsidRPr="00B80B1A">
        <w:rPr>
          <w:rFonts w:eastAsiaTheme="minorEastAsia"/>
          <w:lang w:eastAsia="ja-JP"/>
        </w:rPr>
        <w:t xml:space="preserve"> eliminate potential infractions regarding </w:t>
      </w:r>
      <w:r w:rsidR="007036DC" w:rsidRPr="00B80B1A">
        <w:rPr>
          <w:rFonts w:eastAsiaTheme="minorEastAsia"/>
          <w:i/>
          <w:lang w:eastAsia="ja-JP"/>
        </w:rPr>
        <w:t>ex</w:t>
      </w:r>
      <w:r w:rsidR="001D08BC">
        <w:rPr>
          <w:rFonts w:eastAsiaTheme="minorEastAsia"/>
          <w:i/>
          <w:lang w:eastAsia="ja-JP"/>
        </w:rPr>
        <w:t xml:space="preserve"> </w:t>
      </w:r>
      <w:r w:rsidR="007036DC" w:rsidRPr="00B80B1A">
        <w:rPr>
          <w:rFonts w:eastAsiaTheme="minorEastAsia"/>
          <w:i/>
          <w:lang w:eastAsia="ja-JP"/>
        </w:rPr>
        <w:t>parte</w:t>
      </w:r>
      <w:r w:rsidR="007036DC" w:rsidRPr="00B80B1A">
        <w:rPr>
          <w:rFonts w:eastAsiaTheme="minorEastAsia"/>
          <w:lang w:eastAsia="ja-JP"/>
        </w:rPr>
        <w:t xml:space="preserve"> communication or any other type of undue influence that might ensue.</w:t>
      </w:r>
    </w:p>
    <w:p w14:paraId="4E948CC7" w14:textId="77777777" w:rsidR="007036DC" w:rsidRPr="00B80B1A" w:rsidRDefault="007036DC" w:rsidP="00037710">
      <w:pPr>
        <w:spacing w:after="0" w:line="240" w:lineRule="auto"/>
        <w:jc w:val="both"/>
        <w:rPr>
          <w:rFonts w:eastAsiaTheme="minorEastAsia"/>
          <w:u w:val="single"/>
          <w:lang w:eastAsia="ja-JP"/>
        </w:rPr>
      </w:pPr>
    </w:p>
    <w:p w14:paraId="33E9A009" w14:textId="77777777" w:rsidR="007036DC" w:rsidRPr="00B80B1A" w:rsidRDefault="007036DC" w:rsidP="00037710">
      <w:pPr>
        <w:pStyle w:val="Heading2"/>
        <w:jc w:val="both"/>
        <w:rPr>
          <w:i/>
          <w:sz w:val="28"/>
          <w:szCs w:val="28"/>
          <w:lang w:eastAsia="ja-JP"/>
        </w:rPr>
      </w:pPr>
      <w:bookmarkStart w:id="19" w:name="_Toc421204870"/>
      <w:bookmarkStart w:id="20" w:name="_Toc421781179"/>
      <w:r w:rsidRPr="00B80B1A">
        <w:rPr>
          <w:i/>
          <w:sz w:val="28"/>
          <w:szCs w:val="28"/>
          <w:lang w:eastAsia="ja-JP"/>
        </w:rPr>
        <w:t>Recommended Operational Changes</w:t>
      </w:r>
      <w:bookmarkEnd w:id="19"/>
      <w:bookmarkEnd w:id="20"/>
    </w:p>
    <w:p w14:paraId="24AD48C5" w14:textId="77777777" w:rsidR="007036DC" w:rsidRPr="00B80B1A" w:rsidRDefault="007036DC" w:rsidP="00037710">
      <w:pPr>
        <w:spacing w:after="0" w:line="240" w:lineRule="auto"/>
        <w:jc w:val="both"/>
      </w:pPr>
    </w:p>
    <w:p w14:paraId="26CD7CB1" w14:textId="3E60D0C6" w:rsidR="007036DC" w:rsidRPr="00B80B1A" w:rsidRDefault="007036DC" w:rsidP="00037710">
      <w:pPr>
        <w:pStyle w:val="Heading3"/>
        <w:jc w:val="both"/>
        <w:rPr>
          <w:i/>
          <w:sz w:val="26"/>
          <w:szCs w:val="26"/>
          <w:lang w:eastAsia="ja-JP"/>
        </w:rPr>
      </w:pPr>
      <w:bookmarkStart w:id="21" w:name="_Toc421204871"/>
      <w:bookmarkStart w:id="22" w:name="_Toc421781180"/>
      <w:r w:rsidRPr="00B80B1A">
        <w:rPr>
          <w:i/>
          <w:sz w:val="26"/>
          <w:szCs w:val="26"/>
          <w:lang w:eastAsia="ja-JP"/>
        </w:rPr>
        <w:t>Timeliness</w:t>
      </w:r>
      <w:bookmarkEnd w:id="21"/>
      <w:bookmarkEnd w:id="22"/>
    </w:p>
    <w:p w14:paraId="258CA6B9" w14:textId="38913D62" w:rsidR="00B25A35" w:rsidRPr="00B80B1A" w:rsidRDefault="00A40E5E" w:rsidP="00037710">
      <w:pPr>
        <w:pStyle w:val="ListParagraph"/>
        <w:numPr>
          <w:ilvl w:val="0"/>
          <w:numId w:val="79"/>
        </w:numPr>
        <w:spacing w:after="0" w:line="240" w:lineRule="auto"/>
        <w:ind w:left="720"/>
        <w:jc w:val="both"/>
      </w:pPr>
      <w:r w:rsidRPr="00B80B1A">
        <w:rPr>
          <w:b/>
          <w:i/>
        </w:rPr>
        <w:t xml:space="preserve">Allow DCF more flexibility in hiring. </w:t>
      </w:r>
      <w:r w:rsidR="00A23D6D" w:rsidRPr="00B80B1A">
        <w:t xml:space="preserve">The Legislature should provide </w:t>
      </w:r>
      <w:r w:rsidR="00E95F13" w:rsidRPr="00B80B1A">
        <w:t>more transferability between line items</w:t>
      </w:r>
      <w:r w:rsidR="00A23D6D" w:rsidRPr="00B80B1A">
        <w:t xml:space="preserve"> to DCF on budget allocations such that expenditures already approved for certain positions can be re-purposed </w:t>
      </w:r>
      <w:r w:rsidR="0003234E" w:rsidRPr="00B80B1A">
        <w:t xml:space="preserve">and channeled toward the most </w:t>
      </w:r>
      <w:r w:rsidRPr="00B80B1A">
        <w:t xml:space="preserve">pressing </w:t>
      </w:r>
      <w:r w:rsidR="0003234E" w:rsidRPr="00B80B1A">
        <w:t>staffing needs.</w:t>
      </w:r>
    </w:p>
    <w:p w14:paraId="343564F3" w14:textId="4630137B" w:rsidR="007036DC" w:rsidRPr="00B80B1A" w:rsidRDefault="007036DC" w:rsidP="00037710">
      <w:pPr>
        <w:pStyle w:val="ListParagraph"/>
        <w:numPr>
          <w:ilvl w:val="0"/>
          <w:numId w:val="79"/>
        </w:numPr>
        <w:spacing w:after="0" w:line="240" w:lineRule="auto"/>
        <w:ind w:left="720"/>
        <w:jc w:val="both"/>
        <w:rPr>
          <w:rFonts w:eastAsiaTheme="minorEastAsia"/>
          <w:b/>
          <w:lang w:eastAsia="ja-JP"/>
        </w:rPr>
      </w:pPr>
      <w:r w:rsidRPr="00B80B1A">
        <w:rPr>
          <w:rFonts w:eastAsiaTheme="minorEastAsia"/>
          <w:b/>
          <w:i/>
          <w:lang w:eastAsia="ja-JP"/>
        </w:rPr>
        <w:t xml:space="preserve">Increase productivity of Hearing Officers </w:t>
      </w:r>
      <w:r w:rsidRPr="00B80B1A">
        <w:rPr>
          <w:rFonts w:eastAsiaTheme="minorEastAsia"/>
          <w:lang w:eastAsia="ja-JP"/>
        </w:rPr>
        <w:t xml:space="preserve">by establishing </w:t>
      </w:r>
      <w:r w:rsidR="004A6E7C" w:rsidRPr="00B80B1A">
        <w:rPr>
          <w:rFonts w:eastAsiaTheme="minorEastAsia"/>
          <w:lang w:eastAsia="ja-JP"/>
        </w:rPr>
        <w:t xml:space="preserve">minimally </w:t>
      </w:r>
      <w:r w:rsidRPr="00B80B1A">
        <w:rPr>
          <w:rFonts w:eastAsiaTheme="minorEastAsia"/>
          <w:lang w:eastAsia="ja-JP"/>
        </w:rPr>
        <w:t xml:space="preserve">acceptable Hearing Officer </w:t>
      </w:r>
      <w:proofErr w:type="gramStart"/>
      <w:r w:rsidRPr="00B80B1A">
        <w:rPr>
          <w:rFonts w:eastAsiaTheme="minorEastAsia"/>
          <w:lang w:eastAsia="ja-JP"/>
        </w:rPr>
        <w:t>decision</w:t>
      </w:r>
      <w:proofErr w:type="gramEnd"/>
      <w:r w:rsidRPr="00B80B1A">
        <w:rPr>
          <w:rFonts w:eastAsiaTheme="minorEastAsia"/>
          <w:lang w:eastAsia="ja-JP"/>
        </w:rPr>
        <w:t xml:space="preserve"> output and quality requirements and including these targets as metrics in Hearing Officer performance reviews. Additionally, DCF should pilot a different Fair Hearing decision writing approach from the current </w:t>
      </w:r>
      <w:r w:rsidR="00136F04" w:rsidRPr="00B80B1A">
        <w:rPr>
          <w:rFonts w:eastAsiaTheme="minorEastAsia"/>
          <w:lang w:eastAsia="ja-JP"/>
        </w:rPr>
        <w:t>five</w:t>
      </w:r>
      <w:r w:rsidRPr="00B80B1A">
        <w:rPr>
          <w:rFonts w:eastAsiaTheme="minorEastAsia"/>
          <w:lang w:eastAsia="ja-JP"/>
        </w:rPr>
        <w:t xml:space="preserve">-week cycle </w:t>
      </w:r>
      <w:r w:rsidR="007041BE" w:rsidRPr="00B80B1A">
        <w:rPr>
          <w:rFonts w:eastAsiaTheme="minorEastAsia"/>
          <w:lang w:eastAsia="ja-JP"/>
        </w:rPr>
        <w:t>and implement a training program on structuring and writing decisions.</w:t>
      </w:r>
    </w:p>
    <w:p w14:paraId="7F6E7F29" w14:textId="6E3E491B" w:rsidR="007036DC" w:rsidRPr="00B80B1A" w:rsidRDefault="007036DC" w:rsidP="00037710">
      <w:pPr>
        <w:pStyle w:val="ListParagraph"/>
        <w:numPr>
          <w:ilvl w:val="0"/>
          <w:numId w:val="79"/>
        </w:numPr>
        <w:spacing w:after="0" w:line="240" w:lineRule="auto"/>
        <w:ind w:left="720"/>
        <w:jc w:val="both"/>
        <w:rPr>
          <w:rFonts w:eastAsiaTheme="minorEastAsia"/>
          <w:b/>
          <w:lang w:eastAsia="ja-JP"/>
        </w:rPr>
      </w:pPr>
      <w:r w:rsidRPr="00B80B1A">
        <w:rPr>
          <w:rFonts w:eastAsiaTheme="minorEastAsia"/>
          <w:b/>
          <w:i/>
          <w:lang w:eastAsia="ja-JP"/>
        </w:rPr>
        <w:t xml:space="preserve">Hire support staff to eliminate the current and growing backlogs. </w:t>
      </w:r>
      <w:r w:rsidRPr="00B80B1A">
        <w:rPr>
          <w:rFonts w:eastAsiaTheme="minorEastAsia"/>
          <w:lang w:eastAsia="ja-JP"/>
        </w:rPr>
        <w:t xml:space="preserve">Based on our estimates, DCF could fulfill the capacity gap with </w:t>
      </w:r>
      <w:r w:rsidR="00136F04" w:rsidRPr="00B80B1A">
        <w:rPr>
          <w:rFonts w:eastAsiaTheme="minorEastAsia"/>
          <w:lang w:eastAsia="ja-JP"/>
        </w:rPr>
        <w:t xml:space="preserve">eight </w:t>
      </w:r>
      <w:r w:rsidRPr="00B80B1A">
        <w:rPr>
          <w:rFonts w:eastAsiaTheme="minorEastAsia"/>
          <w:lang w:eastAsia="ja-JP"/>
        </w:rPr>
        <w:t xml:space="preserve">to </w:t>
      </w:r>
      <w:r w:rsidR="00136F04" w:rsidRPr="00B80B1A">
        <w:rPr>
          <w:rFonts w:eastAsiaTheme="minorEastAsia"/>
          <w:lang w:eastAsia="ja-JP"/>
        </w:rPr>
        <w:t>ten</w:t>
      </w:r>
      <w:r w:rsidRPr="00B80B1A">
        <w:rPr>
          <w:rFonts w:eastAsiaTheme="minorEastAsia"/>
          <w:lang w:eastAsia="ja-JP"/>
        </w:rPr>
        <w:t xml:space="preserve"> temporary paralegals for one full year; and a pipeline of </w:t>
      </w:r>
      <w:r w:rsidR="00136F04" w:rsidRPr="00B80B1A">
        <w:rPr>
          <w:rFonts w:eastAsiaTheme="minorEastAsia"/>
          <w:lang w:eastAsia="ja-JP"/>
        </w:rPr>
        <w:t xml:space="preserve">two </w:t>
      </w:r>
      <w:r w:rsidRPr="00B80B1A">
        <w:rPr>
          <w:rFonts w:eastAsiaTheme="minorEastAsia"/>
          <w:lang w:eastAsia="ja-JP"/>
        </w:rPr>
        <w:t xml:space="preserve">to </w:t>
      </w:r>
      <w:r w:rsidR="00136F04" w:rsidRPr="00B80B1A">
        <w:rPr>
          <w:rFonts w:eastAsiaTheme="minorEastAsia"/>
          <w:lang w:eastAsia="ja-JP"/>
        </w:rPr>
        <w:t>three</w:t>
      </w:r>
      <w:r w:rsidRPr="00B80B1A">
        <w:rPr>
          <w:rFonts w:eastAsiaTheme="minorEastAsia"/>
          <w:lang w:eastAsia="ja-JP"/>
        </w:rPr>
        <w:t xml:space="preserve"> paralegals </w:t>
      </w:r>
      <w:r w:rsidR="004A6E7C" w:rsidRPr="00B80B1A">
        <w:rPr>
          <w:rFonts w:eastAsiaTheme="minorEastAsia"/>
          <w:lang w:eastAsia="ja-JP"/>
        </w:rPr>
        <w:t xml:space="preserve">could </w:t>
      </w:r>
      <w:r w:rsidRPr="00B80B1A">
        <w:rPr>
          <w:rFonts w:eastAsiaTheme="minorEastAsia"/>
          <w:lang w:eastAsia="ja-JP"/>
        </w:rPr>
        <w:t>additionally smooth the fluctuating demand for Fair Hearing requests. Moreover, hiring one full-time S</w:t>
      </w:r>
      <w:r w:rsidR="00B063AB" w:rsidRPr="00B80B1A">
        <w:rPr>
          <w:rFonts w:eastAsiaTheme="minorEastAsia"/>
          <w:lang w:eastAsia="ja-JP"/>
        </w:rPr>
        <w:t>upervisor Assistant and two additional</w:t>
      </w:r>
      <w:r w:rsidRPr="00B80B1A">
        <w:rPr>
          <w:rFonts w:eastAsiaTheme="minorEastAsia"/>
          <w:lang w:eastAsia="ja-JP"/>
        </w:rPr>
        <w:t xml:space="preserve"> full-time Hearing Officer Supervisor</w:t>
      </w:r>
      <w:r w:rsidR="00B063AB" w:rsidRPr="00B80B1A">
        <w:rPr>
          <w:rFonts w:eastAsiaTheme="minorEastAsia"/>
          <w:lang w:eastAsia="ja-JP"/>
        </w:rPr>
        <w:t>s</w:t>
      </w:r>
      <w:r w:rsidRPr="00B80B1A">
        <w:rPr>
          <w:rFonts w:eastAsiaTheme="minorEastAsia"/>
          <w:lang w:eastAsia="ja-JP"/>
        </w:rPr>
        <w:t xml:space="preserve"> could </w:t>
      </w:r>
      <w:r w:rsidR="002D6AC0" w:rsidRPr="00B80B1A">
        <w:rPr>
          <w:rFonts w:eastAsiaTheme="minorEastAsia"/>
          <w:lang w:eastAsia="ja-JP"/>
        </w:rPr>
        <w:t>h</w:t>
      </w:r>
      <w:r w:rsidRPr="00B80B1A">
        <w:rPr>
          <w:rFonts w:eastAsiaTheme="minorEastAsia"/>
          <w:lang w:eastAsia="ja-JP"/>
        </w:rPr>
        <w:t xml:space="preserve">elp </w:t>
      </w:r>
      <w:r w:rsidR="002D6AC0" w:rsidRPr="00B80B1A">
        <w:rPr>
          <w:rFonts w:eastAsiaTheme="minorEastAsia"/>
          <w:lang w:eastAsia="ja-JP"/>
        </w:rPr>
        <w:t xml:space="preserve">greatly </w:t>
      </w:r>
      <w:r w:rsidRPr="00B80B1A">
        <w:rPr>
          <w:rFonts w:eastAsiaTheme="minorEastAsia"/>
          <w:lang w:eastAsia="ja-JP"/>
        </w:rPr>
        <w:t>reduce</w:t>
      </w:r>
      <w:r w:rsidR="00F23F8B">
        <w:rPr>
          <w:rFonts w:eastAsiaTheme="minorEastAsia"/>
          <w:lang w:eastAsia="ja-JP"/>
        </w:rPr>
        <w:t xml:space="preserve"> the volume of Supervisor work.</w:t>
      </w:r>
    </w:p>
    <w:p w14:paraId="54F0F9CE" w14:textId="3D682914" w:rsidR="007041BE" w:rsidRPr="00B80B1A" w:rsidRDefault="00392FE6" w:rsidP="00392FE6">
      <w:pPr>
        <w:pStyle w:val="ListParagraph"/>
        <w:numPr>
          <w:ilvl w:val="0"/>
          <w:numId w:val="79"/>
        </w:numPr>
        <w:spacing w:after="0" w:line="240" w:lineRule="auto"/>
        <w:ind w:left="720"/>
        <w:jc w:val="both"/>
        <w:rPr>
          <w:rFonts w:eastAsiaTheme="minorEastAsia"/>
          <w:b/>
          <w:lang w:eastAsia="ja-JP"/>
        </w:rPr>
      </w:pPr>
      <w:r w:rsidRPr="001D08BC">
        <w:rPr>
          <w:rFonts w:eastAsiaTheme="minorEastAsia"/>
          <w:b/>
          <w:i/>
          <w:lang w:eastAsia="ja-JP"/>
        </w:rPr>
        <w:t>Prioritize the issuance of already-decided reversal decisions</w:t>
      </w:r>
      <w:r w:rsidRPr="001D08BC">
        <w:rPr>
          <w:rFonts w:eastAsiaTheme="minorEastAsia"/>
          <w:i/>
          <w:lang w:eastAsia="ja-JP"/>
        </w:rPr>
        <w:t xml:space="preserve"> </w:t>
      </w:r>
      <w:r w:rsidRPr="001D08BC">
        <w:rPr>
          <w:rFonts w:eastAsiaTheme="minorEastAsia"/>
          <w:b/>
          <w:i/>
          <w:lang w:eastAsia="ja-JP"/>
        </w:rPr>
        <w:t>for backlogged cases</w:t>
      </w:r>
      <w:r w:rsidRPr="00B80B1A">
        <w:rPr>
          <w:rFonts w:eastAsiaTheme="minorEastAsia"/>
          <w:lang w:eastAsia="ja-JP"/>
        </w:rPr>
        <w:t xml:space="preserve"> such that appellants in these cases benefit from the Fair Hearing decision without further delay.</w:t>
      </w:r>
    </w:p>
    <w:p w14:paraId="4D1153A3" w14:textId="4FABF467" w:rsidR="007036DC" w:rsidRPr="00B80B1A" w:rsidRDefault="007041BE" w:rsidP="00037710">
      <w:pPr>
        <w:pStyle w:val="ListParagraph"/>
        <w:numPr>
          <w:ilvl w:val="0"/>
          <w:numId w:val="79"/>
        </w:numPr>
        <w:spacing w:after="0" w:line="240" w:lineRule="auto"/>
        <w:ind w:left="720"/>
        <w:jc w:val="both"/>
        <w:rPr>
          <w:rFonts w:eastAsiaTheme="minorEastAsia"/>
          <w:b/>
          <w:lang w:eastAsia="ja-JP"/>
        </w:rPr>
      </w:pPr>
      <w:r w:rsidRPr="001D08BC">
        <w:rPr>
          <w:rFonts w:eastAsiaTheme="minorEastAsia"/>
          <w:b/>
          <w:i/>
          <w:lang w:eastAsia="ja-JP"/>
        </w:rPr>
        <w:lastRenderedPageBreak/>
        <w:t xml:space="preserve">Once decision structuring and writing training is complete for existing Hearing </w:t>
      </w:r>
      <w:r w:rsidR="00A16BB6" w:rsidRPr="001D08BC">
        <w:rPr>
          <w:rFonts w:eastAsiaTheme="minorEastAsia"/>
          <w:b/>
          <w:i/>
          <w:lang w:eastAsia="ja-JP"/>
        </w:rPr>
        <w:t>O</w:t>
      </w:r>
      <w:r w:rsidRPr="001D08BC">
        <w:rPr>
          <w:rFonts w:eastAsiaTheme="minorEastAsia"/>
          <w:b/>
          <w:i/>
          <w:lang w:eastAsia="ja-JP"/>
        </w:rPr>
        <w:t>fficers</w:t>
      </w:r>
      <w:r w:rsidRPr="00B80B1A">
        <w:rPr>
          <w:rFonts w:eastAsiaTheme="minorEastAsia"/>
          <w:b/>
          <w:lang w:eastAsia="ja-JP"/>
        </w:rPr>
        <w:t xml:space="preserve">, </w:t>
      </w:r>
      <w:r w:rsidRPr="00B80B1A">
        <w:rPr>
          <w:rFonts w:eastAsiaTheme="minorEastAsia"/>
          <w:b/>
          <w:i/>
          <w:lang w:eastAsia="ja-JP"/>
        </w:rPr>
        <w:t>c</w:t>
      </w:r>
      <w:r w:rsidR="00AB75D1" w:rsidRPr="00B80B1A">
        <w:rPr>
          <w:rFonts w:eastAsiaTheme="minorEastAsia"/>
          <w:b/>
          <w:i/>
          <w:lang w:eastAsia="ja-JP"/>
        </w:rPr>
        <w:t xml:space="preserve">onsider </w:t>
      </w:r>
      <w:r w:rsidR="00E7135F" w:rsidRPr="00B80B1A">
        <w:rPr>
          <w:rFonts w:eastAsiaTheme="minorEastAsia"/>
          <w:b/>
          <w:i/>
          <w:lang w:eastAsia="ja-JP"/>
        </w:rPr>
        <w:t xml:space="preserve">revising regulations and </w:t>
      </w:r>
      <w:r w:rsidR="00AB75D1" w:rsidRPr="00B80B1A">
        <w:rPr>
          <w:rFonts w:eastAsiaTheme="minorEastAsia"/>
          <w:b/>
          <w:i/>
          <w:lang w:eastAsia="ja-JP"/>
        </w:rPr>
        <w:t>l</w:t>
      </w:r>
      <w:r w:rsidR="007036DC" w:rsidRPr="00B80B1A">
        <w:rPr>
          <w:rFonts w:eastAsiaTheme="minorEastAsia"/>
          <w:b/>
          <w:i/>
          <w:lang w:eastAsia="ja-JP"/>
        </w:rPr>
        <w:t>imit</w:t>
      </w:r>
      <w:r w:rsidR="00AB75D1" w:rsidRPr="00B80B1A">
        <w:rPr>
          <w:rFonts w:eastAsiaTheme="minorEastAsia"/>
          <w:b/>
          <w:i/>
          <w:lang w:eastAsia="ja-JP"/>
        </w:rPr>
        <w:t>ing</w:t>
      </w:r>
      <w:r w:rsidR="007036DC" w:rsidRPr="00B80B1A">
        <w:rPr>
          <w:rFonts w:eastAsiaTheme="minorEastAsia"/>
          <w:b/>
          <w:i/>
          <w:lang w:eastAsia="ja-JP"/>
        </w:rPr>
        <w:t xml:space="preserve"> the Superviso</w:t>
      </w:r>
      <w:r w:rsidR="00E7135F" w:rsidRPr="00B80B1A">
        <w:rPr>
          <w:rFonts w:eastAsiaTheme="minorEastAsia"/>
          <w:b/>
          <w:i/>
          <w:lang w:eastAsia="ja-JP"/>
        </w:rPr>
        <w:t>r</w:t>
      </w:r>
      <w:r w:rsidR="002D6042">
        <w:rPr>
          <w:rFonts w:eastAsiaTheme="minorEastAsia"/>
          <w:b/>
          <w:i/>
          <w:lang w:eastAsia="ja-JP"/>
        </w:rPr>
        <w:t xml:space="preserve"> review to complex cases and</w:t>
      </w:r>
      <w:r w:rsidR="007036DC" w:rsidRPr="00B80B1A">
        <w:rPr>
          <w:rFonts w:eastAsiaTheme="minorEastAsia"/>
          <w:b/>
          <w:i/>
          <w:lang w:eastAsia="ja-JP"/>
        </w:rPr>
        <w:t xml:space="preserve"> less experienced Hearing Officer</w:t>
      </w:r>
      <w:r w:rsidR="00E7135F" w:rsidRPr="00B80B1A">
        <w:rPr>
          <w:rFonts w:eastAsiaTheme="minorEastAsia"/>
          <w:b/>
          <w:i/>
          <w:lang w:eastAsia="ja-JP"/>
        </w:rPr>
        <w:t>s’</w:t>
      </w:r>
      <w:r w:rsidR="007036DC" w:rsidRPr="00B80B1A">
        <w:rPr>
          <w:rFonts w:eastAsiaTheme="minorEastAsia"/>
          <w:b/>
          <w:i/>
          <w:lang w:eastAsia="ja-JP"/>
        </w:rPr>
        <w:t xml:space="preserve"> cases. </w:t>
      </w:r>
      <w:r w:rsidR="007036DC" w:rsidRPr="00B80B1A">
        <w:t>For our purposes, we define “complex cases” as those with multiple appellants, multiple allegations, or a parallel court case</w:t>
      </w:r>
      <w:r w:rsidR="004579A7" w:rsidRPr="00B80B1A">
        <w:t xml:space="preserve">. </w:t>
      </w:r>
      <w:r w:rsidR="007036DC" w:rsidRPr="00B80B1A">
        <w:t>A Hearing Officer with less than one year of tenure could be designated as “less experienced.”</w:t>
      </w:r>
      <w:r w:rsidR="00E7135F" w:rsidRPr="00B80B1A">
        <w:t xml:space="preserve"> Without modification, the </w:t>
      </w:r>
      <w:r w:rsidR="003F5204">
        <w:t xml:space="preserve">required </w:t>
      </w:r>
      <w:r w:rsidR="00E7135F" w:rsidRPr="00B80B1A">
        <w:t xml:space="preserve">Supervisor review will continue to </w:t>
      </w:r>
      <w:r w:rsidR="00811AFC" w:rsidRPr="00B80B1A">
        <w:t xml:space="preserve">create </w:t>
      </w:r>
      <w:r w:rsidR="00E7135F" w:rsidRPr="00B80B1A">
        <w:t>bottlenecks in the system.</w:t>
      </w:r>
    </w:p>
    <w:p w14:paraId="2CC264EA" w14:textId="767D382B" w:rsidR="007036DC" w:rsidRPr="00B80B1A" w:rsidRDefault="007036DC" w:rsidP="00037710">
      <w:pPr>
        <w:pStyle w:val="ListParagraph"/>
        <w:numPr>
          <w:ilvl w:val="0"/>
          <w:numId w:val="79"/>
        </w:numPr>
        <w:ind w:left="720"/>
        <w:jc w:val="both"/>
        <w:rPr>
          <w:rFonts w:eastAsiaTheme="minorEastAsia"/>
          <w:b/>
          <w:i/>
          <w:lang w:eastAsia="ja-JP"/>
        </w:rPr>
      </w:pPr>
      <w:r w:rsidRPr="00B80B1A">
        <w:rPr>
          <w:rFonts w:eastAsiaTheme="minorEastAsia"/>
          <w:b/>
          <w:i/>
          <w:lang w:eastAsia="ja-JP"/>
        </w:rPr>
        <w:t>Improve DCF technology to address the demand.</w:t>
      </w:r>
      <w:r w:rsidRPr="00B80B1A">
        <w:t xml:space="preserve"> DCF should acquire and implement redacting software to meet the current demand for case files</w:t>
      </w:r>
      <w:r w:rsidR="00D71C48" w:rsidRPr="00B80B1A">
        <w:t>. DCF should also</w:t>
      </w:r>
      <w:r w:rsidRPr="00B80B1A">
        <w:t xml:space="preserve"> </w:t>
      </w:r>
      <w:r w:rsidR="00D71C48" w:rsidRPr="00B80B1A">
        <w:t xml:space="preserve">ensure a more efficient scheduling process by </w:t>
      </w:r>
      <w:r w:rsidRPr="00B80B1A">
        <w:t>improv</w:t>
      </w:r>
      <w:r w:rsidR="00D71C48" w:rsidRPr="00B80B1A">
        <w:t>ing</w:t>
      </w:r>
      <w:r w:rsidRPr="00B80B1A">
        <w:t xml:space="preserve"> the scheduling functionality in </w:t>
      </w:r>
      <w:proofErr w:type="spellStart"/>
      <w:r w:rsidRPr="00B80B1A">
        <w:t>iFamilyNet</w:t>
      </w:r>
      <w:proofErr w:type="spellEnd"/>
      <w:r w:rsidR="00EE21F1" w:rsidRPr="00B80B1A">
        <w:t xml:space="preserve"> (the DCF database and user interface)</w:t>
      </w:r>
      <w:r w:rsidRPr="00B80B1A">
        <w:t xml:space="preserve"> in order to optimize the use of Hearing Officer’s capacity and productivity</w:t>
      </w:r>
      <w:r w:rsidR="00F23F8B">
        <w:t>.</w:t>
      </w:r>
    </w:p>
    <w:p w14:paraId="38A63089" w14:textId="77777777" w:rsidR="007036DC" w:rsidRPr="00B80B1A" w:rsidRDefault="007036DC" w:rsidP="00037710">
      <w:pPr>
        <w:pStyle w:val="Heading3"/>
        <w:jc w:val="both"/>
        <w:rPr>
          <w:i/>
          <w:sz w:val="26"/>
          <w:szCs w:val="26"/>
          <w:lang w:eastAsia="ja-JP"/>
        </w:rPr>
      </w:pPr>
      <w:bookmarkStart w:id="23" w:name="_Toc421204872"/>
      <w:bookmarkStart w:id="24" w:name="_Toc421781181"/>
      <w:r w:rsidRPr="00B80B1A">
        <w:rPr>
          <w:i/>
          <w:sz w:val="26"/>
          <w:szCs w:val="26"/>
          <w:lang w:eastAsia="ja-JP"/>
        </w:rPr>
        <w:t>Fairness</w:t>
      </w:r>
      <w:bookmarkEnd w:id="23"/>
      <w:bookmarkEnd w:id="24"/>
    </w:p>
    <w:p w14:paraId="5AA0D534" w14:textId="160D5C71" w:rsidR="007036DC" w:rsidRPr="00B80B1A" w:rsidRDefault="007036DC" w:rsidP="00037710">
      <w:pPr>
        <w:pStyle w:val="ListParagraph"/>
        <w:numPr>
          <w:ilvl w:val="0"/>
          <w:numId w:val="80"/>
        </w:numPr>
        <w:spacing w:after="0" w:line="240" w:lineRule="auto"/>
        <w:jc w:val="both"/>
      </w:pPr>
      <w:r w:rsidRPr="00B80B1A">
        <w:rPr>
          <w:rFonts w:eastAsiaTheme="minorEastAsia"/>
          <w:b/>
          <w:i/>
          <w:lang w:eastAsia="ja-JP"/>
        </w:rPr>
        <w:t xml:space="preserve">Help appellants understand their rights better </w:t>
      </w:r>
      <w:r w:rsidRPr="00B80B1A">
        <w:rPr>
          <w:rFonts w:eastAsiaTheme="minorEastAsia"/>
          <w:lang w:eastAsia="ja-JP"/>
        </w:rPr>
        <w:t xml:space="preserve">by reissuing </w:t>
      </w:r>
      <w:r w:rsidR="00771ABB" w:rsidRPr="00B80B1A">
        <w:rPr>
          <w:rFonts w:eastAsiaTheme="minorEastAsia"/>
          <w:lang w:eastAsia="ja-JP"/>
        </w:rPr>
        <w:t xml:space="preserve">the </w:t>
      </w:r>
      <w:r w:rsidR="00686CA1" w:rsidRPr="00B80B1A">
        <w:rPr>
          <w:rFonts w:eastAsiaTheme="minorEastAsia"/>
          <w:lang w:eastAsia="ja-JP"/>
        </w:rPr>
        <w:t>A</w:t>
      </w:r>
      <w:r w:rsidRPr="00B80B1A">
        <w:rPr>
          <w:rFonts w:eastAsiaTheme="minorEastAsia"/>
          <w:lang w:eastAsia="ja-JP"/>
        </w:rPr>
        <w:t>ppellant</w:t>
      </w:r>
      <w:r w:rsidR="00686CA1" w:rsidRPr="00B80B1A">
        <w:rPr>
          <w:rFonts w:eastAsiaTheme="minorEastAsia"/>
          <w:lang w:eastAsia="ja-JP"/>
        </w:rPr>
        <w:t xml:space="preserve"> R</w:t>
      </w:r>
      <w:r w:rsidRPr="00B80B1A">
        <w:rPr>
          <w:rFonts w:eastAsiaTheme="minorEastAsia"/>
          <w:lang w:eastAsia="ja-JP"/>
        </w:rPr>
        <w:t>ight</w:t>
      </w:r>
      <w:r w:rsidR="0076299D" w:rsidRPr="00B80B1A">
        <w:rPr>
          <w:rFonts w:eastAsiaTheme="minorEastAsia"/>
          <w:lang w:eastAsia="ja-JP"/>
        </w:rPr>
        <w:t>s</w:t>
      </w:r>
      <w:r w:rsidRPr="00B80B1A">
        <w:rPr>
          <w:rFonts w:eastAsiaTheme="minorEastAsia"/>
          <w:lang w:eastAsia="ja-JP"/>
        </w:rPr>
        <w:t xml:space="preserve"> </w:t>
      </w:r>
      <w:r w:rsidR="00686CA1" w:rsidRPr="00B80B1A">
        <w:rPr>
          <w:rFonts w:eastAsiaTheme="minorEastAsia"/>
          <w:lang w:eastAsia="ja-JP"/>
        </w:rPr>
        <w:t>Form</w:t>
      </w:r>
      <w:r w:rsidR="001D4387" w:rsidRPr="00B80B1A">
        <w:rPr>
          <w:rFonts w:eastAsiaTheme="minorEastAsia"/>
          <w:lang w:eastAsia="ja-JP"/>
        </w:rPr>
        <w:t xml:space="preserve"> in grade-</w:t>
      </w:r>
      <w:r w:rsidRPr="00B80B1A">
        <w:rPr>
          <w:rFonts w:eastAsiaTheme="minorEastAsia"/>
          <w:lang w:eastAsia="ja-JP"/>
        </w:rPr>
        <w:t>level English and providing more in-depth explanations for subpoenas, continuances, right to legal repre</w:t>
      </w:r>
      <w:r w:rsidR="00F23F8B">
        <w:rPr>
          <w:rFonts w:eastAsiaTheme="minorEastAsia"/>
          <w:lang w:eastAsia="ja-JP"/>
        </w:rPr>
        <w:t>sentation, and further appeals.</w:t>
      </w:r>
    </w:p>
    <w:p w14:paraId="67201922" w14:textId="2BC1C992" w:rsidR="007036DC" w:rsidRPr="00B80B1A" w:rsidRDefault="007036DC" w:rsidP="00037710">
      <w:pPr>
        <w:pStyle w:val="ListParagraph"/>
        <w:numPr>
          <w:ilvl w:val="0"/>
          <w:numId w:val="80"/>
        </w:numPr>
        <w:spacing w:after="0" w:line="240" w:lineRule="auto"/>
        <w:jc w:val="both"/>
      </w:pPr>
      <w:r w:rsidRPr="00B80B1A">
        <w:rPr>
          <w:rFonts w:eastAsiaTheme="minorEastAsia"/>
          <w:b/>
          <w:i/>
          <w:lang w:eastAsia="ja-JP"/>
        </w:rPr>
        <w:t>Provide a venue where the appellants can raise questions about their rights and the logistics of the Fair Hearing</w:t>
      </w:r>
      <w:r w:rsidRPr="00B80B1A">
        <w:rPr>
          <w:rFonts w:eastAsiaTheme="minorEastAsia"/>
          <w:lang w:eastAsia="ja-JP"/>
        </w:rPr>
        <w:t xml:space="preserve">. Possible </w:t>
      </w:r>
      <w:r w:rsidR="009C59E2" w:rsidRPr="00B80B1A">
        <w:rPr>
          <w:rFonts w:eastAsiaTheme="minorEastAsia"/>
          <w:lang w:eastAsia="ja-JP"/>
        </w:rPr>
        <w:t>options</w:t>
      </w:r>
      <w:r w:rsidRPr="00B80B1A">
        <w:rPr>
          <w:rFonts w:eastAsiaTheme="minorEastAsia"/>
          <w:lang w:eastAsia="ja-JP"/>
        </w:rPr>
        <w:t xml:space="preserve"> include a </w:t>
      </w:r>
      <w:r w:rsidRPr="00B80B1A">
        <w:t>brief in-person meeting at the Area Office, a phone call after the Fair Hearing scheduling notice is mailed out, a YouTube video on appellants’ rights, and/or an education</w:t>
      </w:r>
      <w:r w:rsidR="00771ABB" w:rsidRPr="00B80B1A">
        <w:t>al</w:t>
      </w:r>
      <w:r w:rsidRPr="00B80B1A">
        <w:t xml:space="preserve"> pro</w:t>
      </w:r>
      <w:r w:rsidR="00F23F8B">
        <w:t>gram by the Ombudsman’s Office.</w:t>
      </w:r>
    </w:p>
    <w:p w14:paraId="5571271C" w14:textId="655B65CD" w:rsidR="007036DC" w:rsidRPr="00B80B1A" w:rsidRDefault="007036DC" w:rsidP="00037710">
      <w:pPr>
        <w:pStyle w:val="ListParagraph"/>
        <w:numPr>
          <w:ilvl w:val="0"/>
          <w:numId w:val="80"/>
        </w:numPr>
        <w:jc w:val="both"/>
        <w:rPr>
          <w:rFonts w:eastAsiaTheme="minorEastAsia"/>
          <w:b/>
          <w:i/>
          <w:lang w:eastAsia="ja-JP"/>
        </w:rPr>
      </w:pPr>
      <w:r w:rsidRPr="00B80B1A">
        <w:rPr>
          <w:rFonts w:eastAsiaTheme="minorEastAsia"/>
          <w:b/>
          <w:i/>
          <w:lang w:eastAsia="ja-JP"/>
        </w:rPr>
        <w:t>Maintain an updated list of affordable law organizations interested in representing appellants</w:t>
      </w:r>
      <w:r w:rsidR="00771ABB" w:rsidRPr="00B80B1A">
        <w:rPr>
          <w:rFonts w:eastAsiaTheme="minorEastAsia"/>
          <w:b/>
          <w:i/>
          <w:lang w:eastAsia="ja-JP"/>
        </w:rPr>
        <w:t>,</w:t>
      </w:r>
      <w:r w:rsidRPr="00B80B1A">
        <w:rPr>
          <w:rFonts w:eastAsiaTheme="minorEastAsia"/>
          <w:b/>
          <w:i/>
          <w:lang w:eastAsia="ja-JP"/>
        </w:rPr>
        <w:t xml:space="preserve"> and enclose the list with the Fair Hearing </w:t>
      </w:r>
      <w:r w:rsidR="006C5BCC">
        <w:rPr>
          <w:rFonts w:eastAsiaTheme="minorEastAsia"/>
          <w:b/>
          <w:i/>
          <w:lang w:eastAsia="ja-JP"/>
        </w:rPr>
        <w:t>s</w:t>
      </w:r>
      <w:r w:rsidR="002A64A2" w:rsidRPr="00B80B1A">
        <w:rPr>
          <w:rFonts w:eastAsiaTheme="minorEastAsia"/>
          <w:b/>
          <w:i/>
          <w:lang w:eastAsia="ja-JP"/>
        </w:rPr>
        <w:t>cheduling</w:t>
      </w:r>
      <w:r w:rsidRPr="00B80B1A">
        <w:rPr>
          <w:rFonts w:eastAsiaTheme="minorEastAsia"/>
          <w:b/>
          <w:i/>
          <w:lang w:eastAsia="ja-JP"/>
        </w:rPr>
        <w:t xml:space="preserve"> letter. </w:t>
      </w:r>
      <w:r w:rsidRPr="00B80B1A">
        <w:rPr>
          <w:rFonts w:eastAsiaTheme="minorEastAsia"/>
          <w:lang w:eastAsia="ja-JP"/>
        </w:rPr>
        <w:t xml:space="preserve">Many appellants express a willingness to use </w:t>
      </w:r>
      <w:r w:rsidR="001F1C30" w:rsidRPr="00B80B1A">
        <w:rPr>
          <w:rFonts w:eastAsiaTheme="minorEastAsia"/>
          <w:lang w:eastAsia="ja-JP"/>
        </w:rPr>
        <w:t>attorneys</w:t>
      </w:r>
      <w:r w:rsidRPr="00B80B1A">
        <w:rPr>
          <w:rFonts w:eastAsiaTheme="minorEastAsia"/>
          <w:lang w:eastAsia="ja-JP"/>
        </w:rPr>
        <w:t xml:space="preserve">, and our analysis shows that lawyers do have a positive effect on Fair Hearing proceedings. Making it easier for an appellant to find and utilize an attorney will improve </w:t>
      </w:r>
      <w:r w:rsidR="00AB2E7B" w:rsidRPr="00B80B1A">
        <w:rPr>
          <w:rFonts w:eastAsiaTheme="minorEastAsia"/>
          <w:lang w:eastAsia="ja-JP"/>
        </w:rPr>
        <w:t>F</w:t>
      </w:r>
      <w:r w:rsidRPr="00B80B1A">
        <w:rPr>
          <w:rFonts w:eastAsiaTheme="minorEastAsia"/>
          <w:lang w:eastAsia="ja-JP"/>
        </w:rPr>
        <w:t>airness. DCF has already started encouraging the Committee for Public Counsel Services to provide</w:t>
      </w:r>
      <w:r w:rsidR="008417CD" w:rsidRPr="00B80B1A">
        <w:rPr>
          <w:rFonts w:eastAsiaTheme="minorEastAsia"/>
          <w:lang w:eastAsia="ja-JP"/>
        </w:rPr>
        <w:t xml:space="preserve"> representation for appellants with related ongoing court cases.</w:t>
      </w:r>
    </w:p>
    <w:p w14:paraId="70F63D61" w14:textId="7492C582" w:rsidR="007036DC" w:rsidRPr="00B80B1A" w:rsidRDefault="007036DC" w:rsidP="00037710">
      <w:pPr>
        <w:pStyle w:val="ListParagraph"/>
        <w:numPr>
          <w:ilvl w:val="0"/>
          <w:numId w:val="80"/>
        </w:numPr>
        <w:spacing w:after="0" w:line="240" w:lineRule="auto"/>
        <w:jc w:val="both"/>
      </w:pPr>
      <w:r w:rsidRPr="00B80B1A">
        <w:rPr>
          <w:b/>
          <w:i/>
        </w:rPr>
        <w:t>Ensure that the Area Office investigator, when subpoenaed by the appellant, attend</w:t>
      </w:r>
      <w:r w:rsidR="00771ABB" w:rsidRPr="00B80B1A">
        <w:rPr>
          <w:b/>
          <w:i/>
        </w:rPr>
        <w:t>s</w:t>
      </w:r>
      <w:r w:rsidRPr="00B80B1A">
        <w:rPr>
          <w:b/>
          <w:i/>
        </w:rPr>
        <w:t xml:space="preserve"> the Fair Hearing</w:t>
      </w:r>
      <w:r w:rsidR="00771ABB" w:rsidRPr="00B80B1A">
        <w:rPr>
          <w:b/>
          <w:i/>
        </w:rPr>
        <w:t>.</w:t>
      </w:r>
      <w:r w:rsidRPr="00B80B1A">
        <w:rPr>
          <w:b/>
          <w:i/>
        </w:rPr>
        <w:t xml:space="preserve"> </w:t>
      </w:r>
      <w:r w:rsidRPr="00B80B1A">
        <w:t>DCF should offer a continuance proactively within the regulated time limits at the appellant’s discretion</w:t>
      </w:r>
      <w:r w:rsidR="00AB2E7B" w:rsidRPr="00B80B1A">
        <w:t xml:space="preserve"> if the subpoenaed investigator is not available</w:t>
      </w:r>
      <w:r w:rsidRPr="00B80B1A">
        <w:t xml:space="preserve">. It is unfair to </w:t>
      </w:r>
      <w:r w:rsidR="00C73EEF" w:rsidRPr="00B80B1A">
        <w:t>delay a</w:t>
      </w:r>
      <w:r w:rsidR="003C3BDB" w:rsidRPr="00B80B1A">
        <w:t>n appellant’s</w:t>
      </w:r>
      <w:r w:rsidR="00C73EEF" w:rsidRPr="00B80B1A">
        <w:t xml:space="preserve"> Fair Hearing f</w:t>
      </w:r>
      <w:r w:rsidR="003C3BDB" w:rsidRPr="00B80B1A">
        <w:t>or</w:t>
      </w:r>
      <w:r w:rsidR="00C73EEF" w:rsidRPr="00B80B1A">
        <w:t xml:space="preserve"> </w:t>
      </w:r>
      <w:r w:rsidRPr="00B80B1A">
        <w:t xml:space="preserve">a continuance that is the result of Departmental </w:t>
      </w:r>
      <w:r w:rsidR="004A6E7C" w:rsidRPr="00B80B1A">
        <w:t xml:space="preserve">staff </w:t>
      </w:r>
      <w:r w:rsidR="00C73EEF" w:rsidRPr="00B80B1A">
        <w:t xml:space="preserve">not </w:t>
      </w:r>
      <w:r w:rsidR="00F8507B" w:rsidRPr="00B80B1A">
        <w:t>appearing for</w:t>
      </w:r>
      <w:r w:rsidRPr="00B80B1A">
        <w:t xml:space="preserve"> a hearing.</w:t>
      </w:r>
    </w:p>
    <w:p w14:paraId="06CA75D2" w14:textId="001F617F" w:rsidR="00EC4C5D" w:rsidRPr="00B80B1A" w:rsidRDefault="00EC4C5D" w:rsidP="00037710">
      <w:pPr>
        <w:pStyle w:val="ListParagraph"/>
        <w:numPr>
          <w:ilvl w:val="0"/>
          <w:numId w:val="80"/>
        </w:numPr>
        <w:spacing w:after="0" w:line="240" w:lineRule="auto"/>
        <w:jc w:val="both"/>
      </w:pPr>
      <w:r w:rsidRPr="00B80B1A">
        <w:rPr>
          <w:b/>
          <w:i/>
        </w:rPr>
        <w:t xml:space="preserve">Work with interpreter agencies to provide qualified interpreters for appellants. </w:t>
      </w:r>
      <w:r w:rsidRPr="00B80B1A">
        <w:t>DCF should encourage the interpreter agency to provide qualified interpreters in less common languages</w:t>
      </w:r>
      <w:r w:rsidR="00750AAD" w:rsidRPr="00B80B1A">
        <w:t>,</w:t>
      </w:r>
      <w:r w:rsidRPr="00B80B1A">
        <w:t xml:space="preserve"> such as Haitian Creole, Vietnamese, and Arabic. This recommendation may warrant contractual changes outside the direct control of DCF</w:t>
      </w:r>
      <w:r w:rsidR="00F23F8B">
        <w:t>.</w:t>
      </w:r>
    </w:p>
    <w:p w14:paraId="79C927C3" w14:textId="108ED067" w:rsidR="007036DC" w:rsidRPr="00B80B1A" w:rsidRDefault="007036DC" w:rsidP="00037710">
      <w:pPr>
        <w:pStyle w:val="ListParagraph"/>
        <w:numPr>
          <w:ilvl w:val="0"/>
          <w:numId w:val="80"/>
        </w:numPr>
        <w:spacing w:after="0" w:line="240" w:lineRule="auto"/>
        <w:jc w:val="both"/>
      </w:pPr>
      <w:r w:rsidRPr="00B80B1A">
        <w:rPr>
          <w:b/>
          <w:i/>
        </w:rPr>
        <w:t xml:space="preserve">Formalize the Fair Hearing Continuous Quality Improvement (CQI) process by periodically tracking and reporting Timeliness, Fairness, and Independence metrics. </w:t>
      </w:r>
      <w:r w:rsidRPr="00B80B1A">
        <w:t>At a minimum, metrics on all three phases of Timeliness and on Supervisor and Hearing Officer backlogged cases (</w:t>
      </w:r>
      <w:r w:rsidR="00771ABB" w:rsidRPr="00B80B1A">
        <w:t>categorized as “</w:t>
      </w:r>
      <w:r w:rsidRPr="00B80B1A">
        <w:t>unscheduled,</w:t>
      </w:r>
      <w:r w:rsidR="00771ABB" w:rsidRPr="00B80B1A">
        <w:t>”</w:t>
      </w:r>
      <w:r w:rsidRPr="00B80B1A">
        <w:t xml:space="preserve"> </w:t>
      </w:r>
      <w:r w:rsidR="00771ABB" w:rsidRPr="00B80B1A">
        <w:t>“</w:t>
      </w:r>
      <w:r w:rsidRPr="00B80B1A">
        <w:t>scheduled not heard,</w:t>
      </w:r>
      <w:r w:rsidR="00771ABB" w:rsidRPr="00B80B1A">
        <w:t>”</w:t>
      </w:r>
      <w:r w:rsidRPr="00B80B1A">
        <w:t xml:space="preserve"> </w:t>
      </w:r>
      <w:r w:rsidR="00771ABB" w:rsidRPr="00B80B1A">
        <w:t>“</w:t>
      </w:r>
      <w:r w:rsidRPr="00B80B1A">
        <w:t>heard not reviewed by Supervisor or Commissioner,</w:t>
      </w:r>
      <w:r w:rsidR="00771ABB" w:rsidRPr="00B80B1A">
        <w:t>” and</w:t>
      </w:r>
      <w:r w:rsidRPr="00B80B1A">
        <w:t xml:space="preserve"> </w:t>
      </w:r>
      <w:r w:rsidR="00771ABB" w:rsidRPr="00B80B1A">
        <w:t>“</w:t>
      </w:r>
      <w:r w:rsidRPr="00B80B1A">
        <w:t>heard and reviewed not issued</w:t>
      </w:r>
      <w:r w:rsidR="00771ABB" w:rsidRPr="00B80B1A">
        <w:t>”</w:t>
      </w:r>
      <w:r w:rsidRPr="00B80B1A">
        <w:t>) should be gathered and reported. Additionally, DCF leadership should incorporate the above metrics into their management priorities</w:t>
      </w:r>
      <w:r w:rsidR="004579A7" w:rsidRPr="00B80B1A">
        <w:t xml:space="preserve">. </w:t>
      </w:r>
      <w:r w:rsidRPr="00B80B1A">
        <w:t>An equivalent CQI Process at the Area Office level would help address procedural issues.</w:t>
      </w:r>
    </w:p>
    <w:p w14:paraId="4FC1D5F9" w14:textId="3DA0A7B5" w:rsidR="003C3BDB" w:rsidRDefault="007036DC" w:rsidP="000F694B">
      <w:pPr>
        <w:pStyle w:val="ListParagraph"/>
        <w:numPr>
          <w:ilvl w:val="0"/>
          <w:numId w:val="80"/>
        </w:numPr>
        <w:spacing w:after="0" w:line="240" w:lineRule="auto"/>
        <w:jc w:val="both"/>
      </w:pPr>
      <w:r w:rsidRPr="00B80B1A">
        <w:rPr>
          <w:b/>
          <w:i/>
        </w:rPr>
        <w:t xml:space="preserve">Improve DCF data quality by incorporating </w:t>
      </w:r>
      <w:r w:rsidR="004A6E7C" w:rsidRPr="00B80B1A">
        <w:rPr>
          <w:b/>
          <w:i/>
        </w:rPr>
        <w:t>an additional</w:t>
      </w:r>
      <w:r w:rsidRPr="00B80B1A">
        <w:rPr>
          <w:b/>
          <w:i/>
        </w:rPr>
        <w:t xml:space="preserve"> quality assurance step in </w:t>
      </w:r>
      <w:proofErr w:type="spellStart"/>
      <w:r w:rsidRPr="00B80B1A">
        <w:rPr>
          <w:b/>
          <w:i/>
        </w:rPr>
        <w:t>iFamilyNet</w:t>
      </w:r>
      <w:proofErr w:type="spellEnd"/>
      <w:r w:rsidRPr="00B80B1A">
        <w:rPr>
          <w:b/>
          <w:i/>
        </w:rPr>
        <w:t>.</w:t>
      </w:r>
      <w:r w:rsidRPr="00B80B1A">
        <w:t xml:space="preserve"> A dedicated analytical resource could ensure data completeness and accuracy and help generate management reports based on </w:t>
      </w:r>
      <w:proofErr w:type="spellStart"/>
      <w:r w:rsidRPr="00B80B1A">
        <w:t>iFamilyNet</w:t>
      </w:r>
      <w:proofErr w:type="spellEnd"/>
      <w:r w:rsidRPr="00B80B1A">
        <w:t xml:space="preserve"> information. </w:t>
      </w:r>
    </w:p>
    <w:p w14:paraId="681E8F11" w14:textId="77777777" w:rsidR="0009531D" w:rsidRPr="00B80B1A" w:rsidRDefault="0009531D" w:rsidP="0009531D">
      <w:pPr>
        <w:pStyle w:val="ListParagraph"/>
        <w:spacing w:after="0" w:line="240" w:lineRule="auto"/>
        <w:jc w:val="both"/>
      </w:pPr>
    </w:p>
    <w:p w14:paraId="5DF739EB" w14:textId="4ACAB1F2" w:rsidR="00EC4C5D" w:rsidRDefault="00EC4C5D" w:rsidP="00D22E91">
      <w:pPr>
        <w:pStyle w:val="ListParagraph"/>
        <w:numPr>
          <w:ilvl w:val="0"/>
          <w:numId w:val="80"/>
        </w:numPr>
        <w:spacing w:after="0" w:line="240" w:lineRule="auto"/>
        <w:jc w:val="both"/>
      </w:pPr>
      <w:r w:rsidRPr="00B80B1A">
        <w:rPr>
          <w:b/>
          <w:i/>
        </w:rPr>
        <w:lastRenderedPageBreak/>
        <w:t xml:space="preserve">Provide Fair Hearing training to Area Offices and implement Fair Hearing checklists at the Area Office and Fair Hearing Unit levels. </w:t>
      </w:r>
      <w:r w:rsidRPr="00B80B1A">
        <w:t>As procedural oversights are currently commonplace, a simple checklist with clear ownership can be drafted and operationalized by the Area Offices and the F</w:t>
      </w:r>
      <w:r w:rsidR="00F23F8B">
        <w:t>air Hearing Unit, respectively.</w:t>
      </w:r>
    </w:p>
    <w:p w14:paraId="1CE7A298" w14:textId="77777777" w:rsidR="006E1753" w:rsidRPr="00B80B1A" w:rsidRDefault="006E1753" w:rsidP="006E1753">
      <w:pPr>
        <w:pStyle w:val="ListParagraph"/>
        <w:spacing w:after="0" w:line="240" w:lineRule="auto"/>
        <w:jc w:val="both"/>
      </w:pPr>
    </w:p>
    <w:p w14:paraId="75FD9E1B" w14:textId="77777777" w:rsidR="007036DC" w:rsidRPr="00B80B1A" w:rsidRDefault="007036DC" w:rsidP="00037710">
      <w:pPr>
        <w:pStyle w:val="Heading3"/>
        <w:jc w:val="both"/>
        <w:rPr>
          <w:i/>
          <w:sz w:val="26"/>
          <w:szCs w:val="26"/>
          <w:lang w:eastAsia="ja-JP"/>
        </w:rPr>
      </w:pPr>
      <w:bookmarkStart w:id="25" w:name="_Toc421204873"/>
      <w:bookmarkStart w:id="26" w:name="_Toc421781182"/>
      <w:r w:rsidRPr="00B80B1A">
        <w:rPr>
          <w:i/>
          <w:sz w:val="26"/>
          <w:szCs w:val="26"/>
          <w:lang w:eastAsia="ja-JP"/>
        </w:rPr>
        <w:t>Independence</w:t>
      </w:r>
      <w:bookmarkEnd w:id="25"/>
      <w:bookmarkEnd w:id="26"/>
    </w:p>
    <w:p w14:paraId="2FC5E709" w14:textId="7E5D4C00" w:rsidR="00867A49" w:rsidRPr="00B80B1A" w:rsidRDefault="00867A49" w:rsidP="00037710">
      <w:pPr>
        <w:pStyle w:val="ListParagraph"/>
        <w:numPr>
          <w:ilvl w:val="0"/>
          <w:numId w:val="81"/>
        </w:numPr>
        <w:spacing w:after="0" w:line="240" w:lineRule="auto"/>
        <w:jc w:val="both"/>
      </w:pPr>
      <w:r w:rsidRPr="00B80B1A">
        <w:rPr>
          <w:rFonts w:eastAsiaTheme="minorEastAsia"/>
          <w:b/>
          <w:i/>
          <w:lang w:eastAsia="ja-JP"/>
        </w:rPr>
        <w:t>Consider implementing measures to improve the public perception of Independence</w:t>
      </w:r>
      <w:r w:rsidR="00252E97" w:rsidRPr="00B80B1A">
        <w:rPr>
          <w:rFonts w:eastAsiaTheme="minorEastAsia"/>
          <w:lang w:eastAsia="ja-JP"/>
        </w:rPr>
        <w:t>. Convey</w:t>
      </w:r>
      <w:r w:rsidRPr="00B80B1A">
        <w:rPr>
          <w:rFonts w:eastAsiaTheme="minorEastAsia"/>
          <w:lang w:eastAsia="ja-JP"/>
        </w:rPr>
        <w:t xml:space="preserve"> the message that the Fair Hearing process is separate from the underlying investigation by the Department despite the organizational structure</w:t>
      </w:r>
      <w:r w:rsidR="004579A7" w:rsidRPr="00B80B1A">
        <w:rPr>
          <w:rFonts w:eastAsiaTheme="minorEastAsia"/>
          <w:lang w:eastAsia="ja-JP"/>
        </w:rPr>
        <w:t xml:space="preserve">. </w:t>
      </w:r>
      <w:r w:rsidRPr="00B80B1A">
        <w:rPr>
          <w:rFonts w:eastAsiaTheme="minorEastAsia"/>
          <w:lang w:eastAsia="ja-JP"/>
        </w:rPr>
        <w:t>Holding Fair Hearings outside Area Office locations would be an effective first step.</w:t>
      </w:r>
    </w:p>
    <w:p w14:paraId="1DA75BE9" w14:textId="32F621BA" w:rsidR="007036DC" w:rsidRPr="00B80B1A" w:rsidRDefault="007036DC" w:rsidP="00037710">
      <w:pPr>
        <w:pStyle w:val="ListParagraph"/>
        <w:numPr>
          <w:ilvl w:val="0"/>
          <w:numId w:val="81"/>
        </w:numPr>
        <w:spacing w:after="0" w:line="240" w:lineRule="auto"/>
        <w:jc w:val="both"/>
      </w:pPr>
      <w:r w:rsidRPr="00B80B1A">
        <w:rPr>
          <w:rFonts w:eastAsiaTheme="minorEastAsia"/>
          <w:b/>
          <w:i/>
          <w:lang w:eastAsia="ja-JP"/>
        </w:rPr>
        <w:t>P</w:t>
      </w:r>
      <w:r w:rsidR="0003234E" w:rsidRPr="00B80B1A">
        <w:rPr>
          <w:rFonts w:eastAsiaTheme="minorEastAsia"/>
          <w:b/>
          <w:i/>
          <w:lang w:eastAsia="ja-JP"/>
        </w:rPr>
        <w:t>ost redacted decision</w:t>
      </w:r>
      <w:r w:rsidR="004A6E7C" w:rsidRPr="00B80B1A">
        <w:rPr>
          <w:rFonts w:eastAsiaTheme="minorEastAsia"/>
          <w:b/>
          <w:i/>
          <w:lang w:eastAsia="ja-JP"/>
        </w:rPr>
        <w:t>s</w:t>
      </w:r>
      <w:r w:rsidR="0003234E" w:rsidRPr="00B80B1A">
        <w:rPr>
          <w:rFonts w:eastAsiaTheme="minorEastAsia"/>
          <w:b/>
          <w:i/>
          <w:lang w:eastAsia="ja-JP"/>
        </w:rPr>
        <w:t xml:space="preserve"> to the DCF</w:t>
      </w:r>
      <w:r w:rsidRPr="00B80B1A">
        <w:rPr>
          <w:rFonts w:eastAsiaTheme="minorEastAsia"/>
          <w:b/>
          <w:i/>
          <w:lang w:eastAsia="ja-JP"/>
        </w:rPr>
        <w:t xml:space="preserve"> website to improve transparency. </w:t>
      </w:r>
      <w:r w:rsidRPr="00B80B1A">
        <w:t>Currently the Vermont Human Services Board is making all redacted decisions available on its website</w:t>
      </w:r>
      <w:r w:rsidR="004579A7" w:rsidRPr="00B80B1A">
        <w:t xml:space="preserve">. </w:t>
      </w:r>
      <w:r w:rsidRPr="00B80B1A">
        <w:t xml:space="preserve">The appellants’ ability to argue their cases </w:t>
      </w:r>
      <w:r w:rsidR="00BE1553">
        <w:t>c</w:t>
      </w:r>
      <w:r w:rsidRPr="00B80B1A">
        <w:t>ould improve if they could rese</w:t>
      </w:r>
      <w:r w:rsidR="00F23F8B">
        <w:t>arch similar past cases.</w:t>
      </w:r>
    </w:p>
    <w:p w14:paraId="799BB35A" w14:textId="663E37A0" w:rsidR="00E543F8" w:rsidRPr="00B80B1A" w:rsidRDefault="00E543F8" w:rsidP="00037710">
      <w:pPr>
        <w:jc w:val="both"/>
      </w:pPr>
      <w:r w:rsidRPr="00B80B1A">
        <w:br w:type="page"/>
      </w:r>
    </w:p>
    <w:p w14:paraId="51B95F73" w14:textId="7236C492" w:rsidR="00AB2E7B" w:rsidRPr="00B80B1A" w:rsidRDefault="00AB2E7B" w:rsidP="00037710">
      <w:pPr>
        <w:pStyle w:val="Heading1"/>
        <w:spacing w:before="0" w:line="240" w:lineRule="auto"/>
        <w:jc w:val="both"/>
        <w:rPr>
          <w:b/>
          <w:i/>
          <w:sz w:val="36"/>
          <w:szCs w:val="36"/>
        </w:rPr>
      </w:pPr>
      <w:bookmarkStart w:id="27" w:name="_Toc421781183"/>
      <w:bookmarkStart w:id="28" w:name="_Toc418852303"/>
      <w:r w:rsidRPr="00B80B1A">
        <w:rPr>
          <w:b/>
          <w:i/>
          <w:sz w:val="36"/>
          <w:szCs w:val="36"/>
        </w:rPr>
        <w:lastRenderedPageBreak/>
        <w:t>Full Report</w:t>
      </w:r>
      <w:bookmarkEnd w:id="27"/>
    </w:p>
    <w:p w14:paraId="54238875" w14:textId="77777777" w:rsidR="00AB2E7B" w:rsidRPr="00B80B1A" w:rsidRDefault="00AB2E7B" w:rsidP="00037710">
      <w:pPr>
        <w:pStyle w:val="Heading1"/>
        <w:spacing w:before="0" w:line="240" w:lineRule="auto"/>
        <w:jc w:val="both"/>
        <w:rPr>
          <w:i/>
          <w:sz w:val="22"/>
          <w:szCs w:val="22"/>
        </w:rPr>
      </w:pPr>
    </w:p>
    <w:p w14:paraId="4021FA76" w14:textId="7BFD71FF" w:rsidR="00B34CE8" w:rsidRPr="00B80B1A" w:rsidRDefault="00B34CE8" w:rsidP="00037710">
      <w:pPr>
        <w:pStyle w:val="Heading1"/>
        <w:spacing w:before="0" w:line="240" w:lineRule="auto"/>
        <w:jc w:val="both"/>
        <w:rPr>
          <w:b/>
          <w:i/>
        </w:rPr>
      </w:pPr>
      <w:bookmarkStart w:id="29" w:name="_Toc421781184"/>
      <w:r w:rsidRPr="00B80B1A">
        <w:rPr>
          <w:b/>
          <w:i/>
        </w:rPr>
        <w:t>Introduction</w:t>
      </w:r>
      <w:bookmarkEnd w:id="28"/>
      <w:bookmarkEnd w:id="29"/>
    </w:p>
    <w:p w14:paraId="7292657E" w14:textId="77777777" w:rsidR="00B93FF6" w:rsidRPr="00B80B1A" w:rsidRDefault="00B93FF6" w:rsidP="00037710">
      <w:pPr>
        <w:spacing w:after="0" w:line="240" w:lineRule="auto"/>
        <w:jc w:val="both"/>
      </w:pPr>
    </w:p>
    <w:p w14:paraId="58724A97" w14:textId="5AAD6654" w:rsidR="006F183C" w:rsidRPr="00B80B1A" w:rsidRDefault="006F183C" w:rsidP="00037710">
      <w:pPr>
        <w:spacing w:after="0" w:line="240" w:lineRule="auto"/>
        <w:jc w:val="both"/>
      </w:pPr>
      <w:r w:rsidRPr="00B80B1A">
        <w:t>The General Appropriations Act for Fiscal Year 2015 required the Office of the Child Advocate (OCA) to select an independent evaluator to assess the administrative hearing process of the Department of Children and Families (DCF</w:t>
      </w:r>
      <w:r w:rsidR="004A6E7C" w:rsidRPr="00B80B1A">
        <w:t xml:space="preserve"> or “the Department”</w:t>
      </w:r>
      <w:r w:rsidRPr="00B80B1A">
        <w:t>)</w:t>
      </w:r>
      <w:r w:rsidR="004579A7" w:rsidRPr="00B80B1A">
        <w:t xml:space="preserve">. </w:t>
      </w:r>
      <w:r w:rsidRPr="00B80B1A">
        <w:t xml:space="preserve">Line Item 1599-7771 directed the OCA to “select an independent evaluator to assess the </w:t>
      </w:r>
      <w:r w:rsidR="00032E69" w:rsidRPr="00B80B1A">
        <w:t>Department</w:t>
      </w:r>
      <w:r w:rsidRPr="00B80B1A">
        <w:t xml:space="preserve">'s administrative hearing system; provided further, that the evaluation shall report on whether the </w:t>
      </w:r>
      <w:r w:rsidR="00032E69" w:rsidRPr="00B80B1A">
        <w:t>Department</w:t>
      </w:r>
      <w:r w:rsidRPr="00B80B1A">
        <w:t xml:space="preserve">'s regulations, funding, staffing levels and processes provide for an administrative hearing system that is </w:t>
      </w:r>
      <w:r w:rsidRPr="00B80B1A">
        <w:rPr>
          <w:u w:val="single"/>
        </w:rPr>
        <w:t>timely, independent and fair</w:t>
      </w:r>
      <w:r w:rsidRPr="00B80B1A">
        <w:t>.” The Ripples Group was selected to conduct this evaluation in November 2014</w:t>
      </w:r>
      <w:r w:rsidR="00F23F8B">
        <w:t>.</w:t>
      </w:r>
    </w:p>
    <w:p w14:paraId="33A45581" w14:textId="77777777" w:rsidR="006F183C" w:rsidRPr="00B80B1A" w:rsidRDefault="006F183C" w:rsidP="00037710">
      <w:pPr>
        <w:spacing w:after="0" w:line="240" w:lineRule="auto"/>
        <w:jc w:val="both"/>
      </w:pPr>
    </w:p>
    <w:p w14:paraId="02B70922" w14:textId="0A799A16" w:rsidR="006F183C" w:rsidRPr="00B80B1A" w:rsidRDefault="006F183C" w:rsidP="00037710">
      <w:pPr>
        <w:spacing w:after="0" w:line="240" w:lineRule="auto"/>
        <w:jc w:val="both"/>
      </w:pPr>
      <w:r w:rsidRPr="00B80B1A">
        <w:t xml:space="preserve">This is an in-depth, multi-perspective diagnostic of the DCF </w:t>
      </w:r>
      <w:r w:rsidR="00151DE2" w:rsidRPr="00B80B1A">
        <w:t>Fair Hearing</w:t>
      </w:r>
      <w:r w:rsidR="009426FD" w:rsidRPr="00B80B1A">
        <w:t xml:space="preserve"> </w:t>
      </w:r>
      <w:r w:rsidR="00AB2E7B" w:rsidRPr="00B80B1A">
        <w:t>process</w:t>
      </w:r>
      <w:r w:rsidRPr="00B80B1A">
        <w:t xml:space="preserve">, incorporating findings from actual </w:t>
      </w:r>
      <w:r w:rsidR="00151DE2" w:rsidRPr="00B80B1A">
        <w:t>Fair Hearing</w:t>
      </w:r>
      <w:r w:rsidRPr="00B80B1A">
        <w:t xml:space="preserve"> data for the past </w:t>
      </w:r>
      <w:r w:rsidR="00136F04" w:rsidRPr="00B80B1A">
        <w:t xml:space="preserve">ten </w:t>
      </w:r>
      <w:r w:rsidRPr="00B80B1A">
        <w:t>years</w:t>
      </w:r>
      <w:r w:rsidR="002D6042">
        <w:t>,</w:t>
      </w:r>
      <w:r w:rsidRPr="00B80B1A">
        <w:t xml:space="preserve"> direct input from recent DCF clients and their representatives</w:t>
      </w:r>
      <w:r w:rsidR="002D6042">
        <w:t>,</w:t>
      </w:r>
      <w:r w:rsidRPr="00B80B1A">
        <w:t xml:space="preserve"> insights from current DCF employees who are intimately familiar with this process</w:t>
      </w:r>
      <w:r w:rsidR="002D6042">
        <w:t>,</w:t>
      </w:r>
      <w:r w:rsidRPr="00B80B1A">
        <w:t xml:space="preserve"> observations from actual hearings, </w:t>
      </w:r>
      <w:r w:rsidR="00C87791">
        <w:t>hearing recordings, and</w:t>
      </w:r>
      <w:r w:rsidRPr="00B80B1A">
        <w:t xml:space="preserve"> written decisions</w:t>
      </w:r>
      <w:r w:rsidR="002D6042">
        <w:t xml:space="preserve">, </w:t>
      </w:r>
      <w:r w:rsidRPr="00B80B1A">
        <w:t>and an analysis of the underlying regulations benchmarked against other states</w:t>
      </w:r>
      <w:r w:rsidR="0003234E" w:rsidRPr="00B80B1A">
        <w:t xml:space="preserve"> in the Northeast</w:t>
      </w:r>
      <w:r w:rsidR="00F23F8B">
        <w:t>.</w:t>
      </w:r>
    </w:p>
    <w:p w14:paraId="0DBED69A" w14:textId="4AEA482E" w:rsidR="006F183C" w:rsidRPr="00B80B1A" w:rsidRDefault="006F183C" w:rsidP="00037710">
      <w:pPr>
        <w:shd w:val="clear" w:color="auto" w:fill="FFFFFF"/>
        <w:spacing w:after="0" w:line="240" w:lineRule="auto"/>
        <w:jc w:val="both"/>
        <w:rPr>
          <w:rFonts w:eastAsia="Times New Roman" w:cs="Arial"/>
          <w:color w:val="222222"/>
        </w:rPr>
      </w:pPr>
    </w:p>
    <w:p w14:paraId="6D3B7DC7" w14:textId="2579D326" w:rsidR="006F183C" w:rsidRPr="00B80B1A" w:rsidRDefault="006F183C" w:rsidP="00037710">
      <w:pPr>
        <w:shd w:val="clear" w:color="auto" w:fill="FFFFFF"/>
        <w:spacing w:after="0" w:line="240" w:lineRule="auto"/>
        <w:jc w:val="both"/>
        <w:rPr>
          <w:rFonts w:eastAsia="Times New Roman" w:cs="Arial"/>
          <w:color w:val="222222"/>
        </w:rPr>
      </w:pPr>
      <w:r w:rsidRPr="00B80B1A">
        <w:rPr>
          <w:rFonts w:eastAsia="Times New Roman" w:cs="Arial"/>
          <w:color w:val="222222"/>
        </w:rPr>
        <w:t xml:space="preserve">In the following pages, we lay out our approach, findings, and recommendations to improve </w:t>
      </w:r>
      <w:r w:rsidR="00151DE2" w:rsidRPr="00B80B1A">
        <w:rPr>
          <w:rFonts w:eastAsia="Times New Roman" w:cs="Arial"/>
          <w:color w:val="222222"/>
        </w:rPr>
        <w:t>Fair Hearing</w:t>
      </w:r>
      <w:r w:rsidRPr="00B80B1A">
        <w:rPr>
          <w:rFonts w:eastAsia="Times New Roman" w:cs="Arial"/>
          <w:color w:val="222222"/>
        </w:rPr>
        <w:t xml:space="preserve">s in terms of </w:t>
      </w:r>
      <w:r w:rsidR="00151DE2" w:rsidRPr="00B80B1A">
        <w:rPr>
          <w:rFonts w:eastAsia="Times New Roman" w:cs="Arial"/>
          <w:color w:val="222222"/>
        </w:rPr>
        <w:t>Timeliness</w:t>
      </w:r>
      <w:r w:rsidRPr="00B80B1A">
        <w:rPr>
          <w:rFonts w:eastAsia="Times New Roman" w:cs="Arial"/>
          <w:color w:val="222222"/>
        </w:rPr>
        <w:t xml:space="preserve">, </w:t>
      </w:r>
      <w:r w:rsidR="00151DE2" w:rsidRPr="00B80B1A">
        <w:rPr>
          <w:rFonts w:eastAsia="Times New Roman" w:cs="Arial"/>
          <w:color w:val="222222"/>
        </w:rPr>
        <w:t>Fairness</w:t>
      </w:r>
      <w:r w:rsidRPr="00B80B1A">
        <w:rPr>
          <w:rFonts w:eastAsia="Times New Roman" w:cs="Arial"/>
          <w:color w:val="222222"/>
        </w:rPr>
        <w:t xml:space="preserve">, and </w:t>
      </w:r>
      <w:r w:rsidR="00151DE2" w:rsidRPr="00B80B1A">
        <w:rPr>
          <w:rFonts w:eastAsia="Times New Roman" w:cs="Arial"/>
          <w:color w:val="222222"/>
        </w:rPr>
        <w:t>Independence</w:t>
      </w:r>
      <w:r w:rsidRPr="00B80B1A">
        <w:rPr>
          <w:rFonts w:eastAsia="Times New Roman" w:cs="Arial"/>
          <w:color w:val="222222"/>
        </w:rPr>
        <w:t>.</w:t>
      </w:r>
    </w:p>
    <w:p w14:paraId="55F8FCEA" w14:textId="77777777" w:rsidR="00C465FF" w:rsidRPr="00B80B1A" w:rsidRDefault="00C465FF" w:rsidP="00037710">
      <w:pPr>
        <w:shd w:val="clear" w:color="auto" w:fill="FFFFFF"/>
        <w:spacing w:after="0" w:line="240" w:lineRule="auto"/>
        <w:jc w:val="both"/>
        <w:rPr>
          <w:rFonts w:eastAsia="Times New Roman" w:cs="Arial"/>
          <w:color w:val="222222"/>
        </w:rPr>
      </w:pPr>
    </w:p>
    <w:p w14:paraId="7C2E415E" w14:textId="767CC2D9" w:rsidR="0062594C" w:rsidRPr="00B80B1A" w:rsidRDefault="0062594C" w:rsidP="00037710">
      <w:pPr>
        <w:pStyle w:val="Heading1"/>
        <w:spacing w:before="0" w:line="240" w:lineRule="auto"/>
        <w:jc w:val="both"/>
        <w:rPr>
          <w:i/>
        </w:rPr>
      </w:pPr>
      <w:bookmarkStart w:id="30" w:name="_Toc418852304"/>
      <w:bookmarkStart w:id="31" w:name="_Toc421781185"/>
      <w:r w:rsidRPr="00B80B1A">
        <w:rPr>
          <w:i/>
        </w:rPr>
        <w:t xml:space="preserve">DCF </w:t>
      </w:r>
      <w:r w:rsidR="00151DE2" w:rsidRPr="00B80B1A">
        <w:rPr>
          <w:i/>
        </w:rPr>
        <w:t>Fair Hearing</w:t>
      </w:r>
      <w:r w:rsidRPr="00B80B1A">
        <w:rPr>
          <w:i/>
        </w:rPr>
        <w:t>s Background</w:t>
      </w:r>
      <w:bookmarkEnd w:id="30"/>
      <w:bookmarkEnd w:id="31"/>
    </w:p>
    <w:p w14:paraId="158E9B3A" w14:textId="77777777" w:rsidR="00B93FF6" w:rsidRPr="00B80B1A" w:rsidRDefault="00B93FF6" w:rsidP="00037710">
      <w:pPr>
        <w:spacing w:after="0" w:line="240" w:lineRule="auto"/>
        <w:jc w:val="both"/>
      </w:pPr>
    </w:p>
    <w:p w14:paraId="1AE5BF16" w14:textId="280344B8" w:rsidR="000C0D2B" w:rsidRPr="00B80B1A" w:rsidRDefault="00691B58" w:rsidP="00037710">
      <w:pPr>
        <w:spacing w:after="0" w:line="240" w:lineRule="auto"/>
        <w:jc w:val="both"/>
      </w:pPr>
      <w:r w:rsidRPr="00B80B1A">
        <w:t>DCF</w:t>
      </w:r>
      <w:r w:rsidR="00814EAC" w:rsidRPr="00B80B1A">
        <w:t>’s</w:t>
      </w:r>
      <w:r w:rsidRPr="00B80B1A">
        <w:t xml:space="preserve"> </w:t>
      </w:r>
      <w:r w:rsidR="00814EAC" w:rsidRPr="00B80B1A">
        <w:t>m</w:t>
      </w:r>
      <w:r w:rsidRPr="00B80B1A">
        <w:t>i</w:t>
      </w:r>
      <w:r w:rsidR="00814EAC" w:rsidRPr="00B80B1A">
        <w:t>ssion is to “s</w:t>
      </w:r>
      <w:r w:rsidRPr="00B80B1A">
        <w:t xml:space="preserve">trive to protect children from abuse </w:t>
      </w:r>
      <w:r w:rsidR="000D1310" w:rsidRPr="00B80B1A">
        <w:t xml:space="preserve">and </w:t>
      </w:r>
      <w:r w:rsidRPr="00B80B1A">
        <w:t>neglect and, in partnership with families and communities, ensure children are able to grow and thrive in a</w:t>
      </w:r>
      <w:r w:rsidR="00814EAC" w:rsidRPr="00B80B1A">
        <w:t xml:space="preserve"> safe and nurturing environment</w:t>
      </w:r>
      <w:r w:rsidR="00F177EE" w:rsidRPr="00B80B1A">
        <w:t>.</w:t>
      </w:r>
      <w:r w:rsidR="00814EAC" w:rsidRPr="00B80B1A">
        <w:t>”</w:t>
      </w:r>
      <w:r w:rsidR="00F177EE" w:rsidRPr="00B80B1A">
        <w:rPr>
          <w:rStyle w:val="FootnoteReference"/>
        </w:rPr>
        <w:footnoteReference w:id="1"/>
      </w:r>
      <w:r w:rsidR="00AB4362" w:rsidRPr="00B80B1A">
        <w:t xml:space="preserve"> In line with its mission, the Department interacts with thousands of children and </w:t>
      </w:r>
      <w:r w:rsidR="005A7ED5" w:rsidRPr="00B80B1A">
        <w:t>adults</w:t>
      </w:r>
      <w:r w:rsidR="00AB4362" w:rsidRPr="00B80B1A">
        <w:t xml:space="preserve"> every year</w:t>
      </w:r>
      <w:r w:rsidR="00255249" w:rsidRPr="00B80B1A">
        <w:t xml:space="preserve"> through a workforce of over</w:t>
      </w:r>
      <w:r w:rsidR="00392B85" w:rsidRPr="00B80B1A">
        <w:t xml:space="preserve"> </w:t>
      </w:r>
      <w:r w:rsidR="00255249" w:rsidRPr="00B80B1A">
        <w:t>3,0</w:t>
      </w:r>
      <w:r w:rsidR="00392B85" w:rsidRPr="00B80B1A">
        <w:t xml:space="preserve">00 employees in </w:t>
      </w:r>
      <w:r w:rsidR="00136F04" w:rsidRPr="00B80B1A">
        <w:t xml:space="preserve">four </w:t>
      </w:r>
      <w:r w:rsidR="006C5BCC">
        <w:t>R</w:t>
      </w:r>
      <w:r w:rsidR="00392B85" w:rsidRPr="00B80B1A">
        <w:t xml:space="preserve">egional </w:t>
      </w:r>
      <w:r w:rsidR="006C5BCC">
        <w:t>O</w:t>
      </w:r>
      <w:r w:rsidR="00392B85" w:rsidRPr="00B80B1A">
        <w:t xml:space="preserve">ffices and 29 </w:t>
      </w:r>
      <w:r w:rsidR="00151DE2" w:rsidRPr="00B80B1A">
        <w:t>Area Office</w:t>
      </w:r>
      <w:r w:rsidR="00392B85" w:rsidRPr="00B80B1A">
        <w:t>s</w:t>
      </w:r>
      <w:r w:rsidR="004579A7" w:rsidRPr="00B80B1A">
        <w:t xml:space="preserve">. </w:t>
      </w:r>
      <w:r w:rsidR="005A7ED5" w:rsidRPr="00B80B1A">
        <w:t xml:space="preserve">According to the 2013 DCF Annual </w:t>
      </w:r>
      <w:r w:rsidR="005D4381" w:rsidRPr="00B80B1A">
        <w:t>Profile</w:t>
      </w:r>
      <w:r w:rsidR="005A7ED5" w:rsidRPr="00B80B1A">
        <w:t xml:space="preserve">, more than 75,000 adults and children were DCF consumers </w:t>
      </w:r>
      <w:r w:rsidR="001E2F20" w:rsidRPr="00B80B1A">
        <w:t xml:space="preserve">at some point </w:t>
      </w:r>
      <w:r w:rsidR="005A7ED5" w:rsidRPr="00B80B1A">
        <w:t>in 2013</w:t>
      </w:r>
      <w:r w:rsidR="004579A7" w:rsidRPr="00B80B1A">
        <w:t xml:space="preserve">. </w:t>
      </w:r>
    </w:p>
    <w:p w14:paraId="7AE07F9D" w14:textId="77777777" w:rsidR="00BF5F03" w:rsidRPr="00B80B1A" w:rsidRDefault="00BF5F03" w:rsidP="00037710">
      <w:pPr>
        <w:spacing w:after="0" w:line="240" w:lineRule="auto"/>
        <w:jc w:val="both"/>
      </w:pPr>
    </w:p>
    <w:p w14:paraId="0564DF9B" w14:textId="33B26C1F" w:rsidR="00176AE0" w:rsidRPr="00B80B1A" w:rsidRDefault="007B369E" w:rsidP="00037710">
      <w:pPr>
        <w:spacing w:after="0" w:line="240" w:lineRule="auto"/>
        <w:jc w:val="both"/>
      </w:pPr>
      <w:r w:rsidRPr="00B80B1A">
        <w:t xml:space="preserve">As </w:t>
      </w:r>
      <w:r w:rsidR="0013142D" w:rsidRPr="00B80B1A">
        <w:t>stipulated</w:t>
      </w:r>
      <w:r w:rsidRPr="00B80B1A">
        <w:t xml:space="preserve"> by Massachusetts </w:t>
      </w:r>
      <w:r w:rsidR="00A16BB6" w:rsidRPr="00B80B1A">
        <w:t>G</w:t>
      </w:r>
      <w:r w:rsidR="004F7066" w:rsidRPr="00B80B1A">
        <w:t xml:space="preserve">eneral </w:t>
      </w:r>
      <w:r w:rsidR="00A16BB6" w:rsidRPr="00B80B1A">
        <w:t>Laws Chapter 18B</w:t>
      </w:r>
      <w:r w:rsidRPr="00B80B1A">
        <w:t>, DCF has the author</w:t>
      </w:r>
      <w:r w:rsidR="00812D28" w:rsidRPr="00B80B1A">
        <w:t xml:space="preserve">ity to </w:t>
      </w:r>
      <w:r w:rsidR="00DF40C8" w:rsidRPr="00B80B1A">
        <w:t>offer</w:t>
      </w:r>
      <w:r w:rsidR="00812D28" w:rsidRPr="00B80B1A">
        <w:t xml:space="preserve"> </w:t>
      </w:r>
      <w:r w:rsidR="00493675" w:rsidRPr="00B80B1A">
        <w:t>services</w:t>
      </w:r>
      <w:r w:rsidR="00812D28" w:rsidRPr="00B80B1A">
        <w:t xml:space="preserve"> to its consumers</w:t>
      </w:r>
      <w:r w:rsidRPr="00B80B1A">
        <w:t xml:space="preserve">, </w:t>
      </w:r>
      <w:r w:rsidR="000C0D2B" w:rsidRPr="00B80B1A">
        <w:t>to enforce regulations,</w:t>
      </w:r>
      <w:r w:rsidR="001117B7" w:rsidRPr="00B80B1A">
        <w:t xml:space="preserve"> </w:t>
      </w:r>
      <w:r w:rsidRPr="00B80B1A">
        <w:t>to conduct investigations</w:t>
      </w:r>
      <w:r w:rsidR="00392B85" w:rsidRPr="00B80B1A">
        <w:t xml:space="preserve">, and to make </w:t>
      </w:r>
      <w:r w:rsidR="00AC1378" w:rsidRPr="00B80B1A">
        <w:t>decisions</w:t>
      </w:r>
      <w:r w:rsidR="004579A7" w:rsidRPr="00B80B1A">
        <w:t xml:space="preserve">. </w:t>
      </w:r>
      <w:r w:rsidR="001117B7" w:rsidRPr="00B80B1A">
        <w:t xml:space="preserve">When a DCF client disagrees with a </w:t>
      </w:r>
      <w:r w:rsidR="0020635D" w:rsidRPr="00B80B1A">
        <w:t xml:space="preserve">decision </w:t>
      </w:r>
      <w:r w:rsidR="001117B7" w:rsidRPr="00B80B1A">
        <w:t xml:space="preserve">DCF makes, he </w:t>
      </w:r>
      <w:r w:rsidR="0003234E" w:rsidRPr="00B80B1A">
        <w:t>or she is entitled to appeal certain</w:t>
      </w:r>
      <w:r w:rsidR="001117B7" w:rsidRPr="00B80B1A">
        <w:t xml:space="preserve"> Dep</w:t>
      </w:r>
      <w:r w:rsidR="0003234E" w:rsidRPr="00B80B1A">
        <w:t>artment</w:t>
      </w:r>
      <w:r w:rsidR="001117B7" w:rsidRPr="00B80B1A">
        <w:t xml:space="preserve"> decision</w:t>
      </w:r>
      <w:r w:rsidR="0003234E" w:rsidRPr="00B80B1A">
        <w:t>s</w:t>
      </w:r>
      <w:r w:rsidR="001117B7" w:rsidRPr="00B80B1A">
        <w:t xml:space="preserve"> through a </w:t>
      </w:r>
      <w:r w:rsidR="00151DE2" w:rsidRPr="00B80B1A">
        <w:t>Fair Hearing</w:t>
      </w:r>
      <w:r w:rsidR="001117B7" w:rsidRPr="00B80B1A">
        <w:t>, as governed by 110 CMR 10</w:t>
      </w:r>
      <w:r w:rsidR="000D1310" w:rsidRPr="00B80B1A">
        <w:t>.</w:t>
      </w:r>
      <w:r w:rsidR="001117B7" w:rsidRPr="00B80B1A">
        <w:t>00</w:t>
      </w:r>
      <w:r w:rsidR="004579A7" w:rsidRPr="00B80B1A">
        <w:t xml:space="preserve">. </w:t>
      </w:r>
      <w:r w:rsidR="006F5F48" w:rsidRPr="00B80B1A">
        <w:t>A</w:t>
      </w:r>
      <w:r w:rsidR="00EE060F" w:rsidRPr="00B80B1A">
        <w:t>llowable appeal t</w:t>
      </w:r>
      <w:r w:rsidR="00032E69" w:rsidRPr="00B80B1A">
        <w:t xml:space="preserve">opics </w:t>
      </w:r>
      <w:r w:rsidR="00EE060F" w:rsidRPr="00B80B1A">
        <w:t>range from reduction, suspension, or termination o</w:t>
      </w:r>
      <w:r w:rsidR="00EA276C" w:rsidRPr="00B80B1A">
        <w:t>f provided services to a</w:t>
      </w:r>
      <w:r w:rsidR="00D22E91" w:rsidRPr="00B80B1A">
        <w:t xml:space="preserve"> decision finding</w:t>
      </w:r>
      <w:r w:rsidR="00EE060F" w:rsidRPr="00B80B1A">
        <w:t xml:space="preserve"> abuse</w:t>
      </w:r>
      <w:r w:rsidR="00182732" w:rsidRPr="00B80B1A">
        <w:t xml:space="preserve"> </w:t>
      </w:r>
      <w:r w:rsidR="00EA276C" w:rsidRPr="00B80B1A">
        <w:t xml:space="preserve">or </w:t>
      </w:r>
      <w:r w:rsidR="00EE060F" w:rsidRPr="00B80B1A">
        <w:t>neglect</w:t>
      </w:r>
      <w:r w:rsidR="00182732" w:rsidRPr="00B80B1A">
        <w:t>,</w:t>
      </w:r>
      <w:r w:rsidR="00D22E91" w:rsidRPr="00B80B1A">
        <w:t xml:space="preserve"> to a listing on the Department’s R</w:t>
      </w:r>
      <w:r w:rsidR="00EE060F" w:rsidRPr="00B80B1A">
        <w:t>egistry of Alleged Perpetrators</w:t>
      </w:r>
      <w:r w:rsidR="00900F7D" w:rsidRPr="00B80B1A">
        <w:t>.</w:t>
      </w:r>
      <w:r w:rsidR="00F84533" w:rsidRPr="00B80B1A">
        <w:rPr>
          <w:rStyle w:val="FootnoteReference"/>
        </w:rPr>
        <w:footnoteReference w:id="2"/>
      </w:r>
      <w:r w:rsidR="00812D28" w:rsidRPr="00B80B1A">
        <w:t xml:space="preserve"> </w:t>
      </w:r>
      <w:r w:rsidR="00176AE0" w:rsidRPr="00B80B1A">
        <w:t xml:space="preserve">In 2014 alone, 1,795 such decisions </w:t>
      </w:r>
      <w:r w:rsidR="00B15103" w:rsidRPr="00B80B1A">
        <w:t>resulted in a request for a Fair Hearing.</w:t>
      </w:r>
    </w:p>
    <w:p w14:paraId="47B2ACE2" w14:textId="77777777" w:rsidR="00176AE0" w:rsidRPr="00B80B1A" w:rsidRDefault="00176AE0" w:rsidP="00037710">
      <w:pPr>
        <w:spacing w:after="0" w:line="240" w:lineRule="auto"/>
        <w:jc w:val="both"/>
      </w:pPr>
    </w:p>
    <w:p w14:paraId="79EFDA58" w14:textId="27CA4C9E" w:rsidR="00176AE0" w:rsidRPr="00B80B1A" w:rsidRDefault="00176AE0" w:rsidP="00037710">
      <w:pPr>
        <w:spacing w:after="0" w:line="240" w:lineRule="auto"/>
        <w:jc w:val="both"/>
      </w:pPr>
      <w:r w:rsidRPr="00B80B1A">
        <w:t xml:space="preserve">According to the DCF Fair Hearing database as of December 31, 2014, abuse </w:t>
      </w:r>
      <w:r w:rsidR="00D82D85" w:rsidRPr="00B80B1A">
        <w:t>or</w:t>
      </w:r>
      <w:r w:rsidRPr="00B80B1A">
        <w:t xml:space="preserve"> neglect </w:t>
      </w:r>
      <w:r w:rsidR="00AB2E7B" w:rsidRPr="00B80B1A">
        <w:t xml:space="preserve">cases </w:t>
      </w:r>
      <w:r w:rsidRPr="00B80B1A">
        <w:t xml:space="preserve">constituted the most frequently contended </w:t>
      </w:r>
      <w:r w:rsidR="00AB2E7B" w:rsidRPr="00B80B1A">
        <w:t>decisions</w:t>
      </w:r>
      <w:r w:rsidRPr="00B80B1A">
        <w:t xml:space="preserve"> in 2014</w:t>
      </w:r>
      <w:r w:rsidR="004579A7" w:rsidRPr="00B80B1A">
        <w:t xml:space="preserve">. </w:t>
      </w:r>
      <w:r w:rsidRPr="00B80B1A">
        <w:t xml:space="preserve">Based on the DCF Fiscal Year 2014 (Quarters 1, 2 &amp; 3) Caseload Report, DCF received an estimated average of 86,000 reports of abuse </w:t>
      </w:r>
      <w:r w:rsidR="00D82D85" w:rsidRPr="00B80B1A">
        <w:t xml:space="preserve">or </w:t>
      </w:r>
      <w:r w:rsidRPr="00B80B1A">
        <w:t>neglect in 2014</w:t>
      </w:r>
      <w:r w:rsidR="00182732" w:rsidRPr="00B80B1A">
        <w:t>,</w:t>
      </w:r>
      <w:r w:rsidRPr="00B80B1A">
        <w:t xml:space="preserve"> and DCF investigators supported the report of abuse or neglect in an estimated 18,000 cases in the sam</w:t>
      </w:r>
      <w:r w:rsidR="009426FD" w:rsidRPr="00B80B1A">
        <w:t>e time</w:t>
      </w:r>
      <w:r w:rsidRPr="00B80B1A">
        <w:t>frame</w:t>
      </w:r>
      <w:r w:rsidR="004579A7" w:rsidRPr="00B80B1A">
        <w:t xml:space="preserve">. </w:t>
      </w:r>
    </w:p>
    <w:p w14:paraId="4F59B3F4" w14:textId="77777777" w:rsidR="00176AE0" w:rsidRPr="00B80B1A" w:rsidRDefault="00176AE0" w:rsidP="00037710">
      <w:pPr>
        <w:spacing w:after="0" w:line="240" w:lineRule="auto"/>
        <w:jc w:val="both"/>
      </w:pPr>
    </w:p>
    <w:p w14:paraId="7F6A42B7" w14:textId="388C5C64" w:rsidR="00AB75D1" w:rsidRPr="00B80B1A" w:rsidRDefault="00AB75D1" w:rsidP="00037710">
      <w:pPr>
        <w:spacing w:after="0" w:line="240" w:lineRule="auto"/>
        <w:jc w:val="both"/>
      </w:pPr>
      <w:r w:rsidRPr="00B80B1A">
        <w:lastRenderedPageBreak/>
        <w:t>In a Fair Hearing</w:t>
      </w:r>
      <w:r w:rsidR="00176AE0" w:rsidRPr="00B80B1A">
        <w:t>,</w:t>
      </w:r>
      <w:r w:rsidRPr="00B80B1A">
        <w:t xml:space="preserve"> a</w:t>
      </w:r>
      <w:r w:rsidR="00D4082E" w:rsidRPr="00B80B1A">
        <w:t xml:space="preserve"> </w:t>
      </w:r>
      <w:r w:rsidRPr="00B80B1A">
        <w:t>Hearing Officer weighs all evidence presented prior to and during the Fair Hearing and rules, by prepond</w:t>
      </w:r>
      <w:r w:rsidR="00F23F8B">
        <w:t>erance of all evidence, whether</w:t>
      </w:r>
    </w:p>
    <w:p w14:paraId="2A8E5B25" w14:textId="77777777" w:rsidR="00AB75D1" w:rsidRPr="00B80B1A" w:rsidRDefault="00AB75D1" w:rsidP="00037710">
      <w:pPr>
        <w:spacing w:after="0" w:line="240" w:lineRule="auto"/>
        <w:jc w:val="both"/>
      </w:pPr>
    </w:p>
    <w:p w14:paraId="324B6D3D" w14:textId="7BC148E8" w:rsidR="00AB75D1" w:rsidRPr="00B80B1A" w:rsidRDefault="00AB75D1" w:rsidP="00037710">
      <w:pPr>
        <w:pStyle w:val="ListParagraph"/>
        <w:numPr>
          <w:ilvl w:val="0"/>
          <w:numId w:val="1"/>
        </w:numPr>
        <w:spacing w:after="0" w:line="240" w:lineRule="auto"/>
        <w:jc w:val="both"/>
      </w:pPr>
      <w:r w:rsidRPr="00B80B1A">
        <w:t>the Department's decision or procedural action violated Department regulations</w:t>
      </w:r>
      <w:r w:rsidR="00182732" w:rsidRPr="00B80B1A">
        <w:t>;</w:t>
      </w:r>
    </w:p>
    <w:p w14:paraId="12AA8BFD" w14:textId="4116F1A7" w:rsidR="00AB75D1" w:rsidRPr="00B80B1A" w:rsidRDefault="00AB75D1" w:rsidP="00037710">
      <w:pPr>
        <w:pStyle w:val="ListParagraph"/>
        <w:numPr>
          <w:ilvl w:val="0"/>
          <w:numId w:val="1"/>
        </w:numPr>
        <w:spacing w:after="0" w:line="240" w:lineRule="auto"/>
        <w:jc w:val="both"/>
      </w:pPr>
      <w:r w:rsidRPr="00B80B1A">
        <w:t>the Department failed to act with a reasonable basis or in a reasonable manner</w:t>
      </w:r>
      <w:r w:rsidR="00182732" w:rsidRPr="00B80B1A">
        <w:t>;</w:t>
      </w:r>
    </w:p>
    <w:p w14:paraId="33C91FAF" w14:textId="72EA50B0" w:rsidR="00AB75D1" w:rsidRPr="00B80B1A" w:rsidRDefault="00AB75D1" w:rsidP="00037710">
      <w:pPr>
        <w:pStyle w:val="ListParagraph"/>
        <w:numPr>
          <w:ilvl w:val="0"/>
          <w:numId w:val="1"/>
        </w:numPr>
        <w:spacing w:after="0" w:line="240" w:lineRule="auto"/>
        <w:jc w:val="both"/>
      </w:pPr>
      <w:r w:rsidRPr="00B80B1A">
        <w:t xml:space="preserve">there is reasonable cause to believe that a child has been abused or neglected (for abuse </w:t>
      </w:r>
      <w:r w:rsidR="00D82D85" w:rsidRPr="00B80B1A">
        <w:t>or</w:t>
      </w:r>
      <w:r w:rsidRPr="00B80B1A">
        <w:t xml:space="preserve"> neglect decisions only)</w:t>
      </w:r>
      <w:r w:rsidR="00F23F8B">
        <w:t>;</w:t>
      </w:r>
    </w:p>
    <w:p w14:paraId="45D14DF2" w14:textId="6408AF11" w:rsidR="00AB75D1" w:rsidRPr="00B80B1A" w:rsidRDefault="00AB75D1" w:rsidP="00037710">
      <w:pPr>
        <w:pStyle w:val="ListParagraph"/>
        <w:numPr>
          <w:ilvl w:val="0"/>
          <w:numId w:val="1"/>
        </w:numPr>
        <w:spacing w:after="0" w:line="240" w:lineRule="auto"/>
        <w:jc w:val="both"/>
      </w:pPr>
      <w:proofErr w:type="gramStart"/>
      <w:r w:rsidRPr="00B80B1A">
        <w:t>there</w:t>
      </w:r>
      <w:proofErr w:type="gramEnd"/>
      <w:r w:rsidRPr="00B80B1A">
        <w:t xml:space="preserve"> is substantial evidence that the appellant is responsible for the abuse or neglect (for abuse </w:t>
      </w:r>
      <w:r w:rsidR="00D82D85" w:rsidRPr="00B80B1A">
        <w:t xml:space="preserve">or </w:t>
      </w:r>
      <w:r w:rsidRPr="00B80B1A">
        <w:t>neglect decisions only).</w:t>
      </w:r>
      <w:r w:rsidRPr="00B80B1A">
        <w:rPr>
          <w:rStyle w:val="FootnoteReference"/>
        </w:rPr>
        <w:footnoteReference w:id="3"/>
      </w:r>
    </w:p>
    <w:p w14:paraId="09A820CC" w14:textId="77777777" w:rsidR="00AB75D1" w:rsidRPr="00B80B1A" w:rsidRDefault="00AB75D1" w:rsidP="00037710">
      <w:pPr>
        <w:spacing w:after="0" w:line="240" w:lineRule="auto"/>
        <w:jc w:val="both"/>
      </w:pPr>
    </w:p>
    <w:p w14:paraId="11FEEA75" w14:textId="0786180E" w:rsidR="00AB75D1" w:rsidRPr="00B80B1A" w:rsidRDefault="00605F0C" w:rsidP="00037710">
      <w:pPr>
        <w:spacing w:after="0" w:line="240" w:lineRule="auto"/>
        <w:jc w:val="both"/>
      </w:pPr>
      <w:r w:rsidRPr="00B80B1A">
        <w:t>I</w:t>
      </w:r>
      <w:r w:rsidR="00AB75D1" w:rsidRPr="00B80B1A">
        <w:t xml:space="preserve">n addition to the Hearing Officer and the appellant, </w:t>
      </w:r>
      <w:r w:rsidR="000D1310" w:rsidRPr="00B80B1A">
        <w:t xml:space="preserve">representatives from </w:t>
      </w:r>
      <w:r w:rsidR="00AB75D1" w:rsidRPr="00B80B1A">
        <w:t>the DCF Area Office who conducted t</w:t>
      </w:r>
      <w:r w:rsidR="00450A7F" w:rsidRPr="00B80B1A">
        <w:t xml:space="preserve">he investigation and issued the </w:t>
      </w:r>
      <w:r w:rsidR="00AB75D1" w:rsidRPr="00B80B1A">
        <w:t xml:space="preserve">decision </w:t>
      </w:r>
      <w:r w:rsidRPr="00B80B1A">
        <w:t xml:space="preserve">typically </w:t>
      </w:r>
      <w:r w:rsidR="00AB75D1" w:rsidRPr="00B80B1A">
        <w:t>also participate in the hearing</w:t>
      </w:r>
      <w:r w:rsidR="004579A7" w:rsidRPr="00B80B1A">
        <w:t xml:space="preserve">. </w:t>
      </w:r>
      <w:r w:rsidR="00AB75D1" w:rsidRPr="00B80B1A">
        <w:t xml:space="preserve">Appellants’ witnesses, attorneys, </w:t>
      </w:r>
      <w:r w:rsidR="00450A7F" w:rsidRPr="00B80B1A">
        <w:t xml:space="preserve">an </w:t>
      </w:r>
      <w:r w:rsidR="00AB75D1" w:rsidRPr="00B80B1A">
        <w:t xml:space="preserve">interpreter </w:t>
      </w:r>
      <w:r w:rsidR="00182732" w:rsidRPr="00B80B1A">
        <w:t>(</w:t>
      </w:r>
      <w:r w:rsidR="00AB75D1" w:rsidRPr="00B80B1A">
        <w:t>if requested by the appellant</w:t>
      </w:r>
      <w:r w:rsidR="00182732" w:rsidRPr="00B80B1A">
        <w:t>)</w:t>
      </w:r>
      <w:r w:rsidR="00AB75D1" w:rsidRPr="00B80B1A">
        <w:t>, and any subpoenaed individuals may</w:t>
      </w:r>
      <w:r w:rsidRPr="00B80B1A">
        <w:t xml:space="preserve"> </w:t>
      </w:r>
      <w:r w:rsidR="00AB75D1" w:rsidRPr="00B80B1A">
        <w:t>be present</w:t>
      </w:r>
      <w:r w:rsidRPr="00B80B1A">
        <w:t xml:space="preserve"> as well</w:t>
      </w:r>
      <w:r w:rsidR="00AB75D1" w:rsidRPr="00B80B1A">
        <w:t>.</w:t>
      </w:r>
    </w:p>
    <w:p w14:paraId="3DE39EE0" w14:textId="77777777" w:rsidR="00176AE0" w:rsidRPr="00B80B1A" w:rsidRDefault="00176AE0" w:rsidP="00037710">
      <w:pPr>
        <w:spacing w:after="0" w:line="240" w:lineRule="auto"/>
        <w:jc w:val="both"/>
      </w:pPr>
    </w:p>
    <w:p w14:paraId="5F41708A" w14:textId="244AFB80" w:rsidR="00AB75D1" w:rsidRPr="00B80B1A" w:rsidRDefault="00AB75D1" w:rsidP="00037710">
      <w:pPr>
        <w:spacing w:after="0" w:line="240" w:lineRule="auto"/>
        <w:jc w:val="both"/>
      </w:pPr>
      <w:r w:rsidRPr="00B80B1A">
        <w:t>Within 60</w:t>
      </w:r>
      <w:r w:rsidR="00605F0C" w:rsidRPr="00B80B1A">
        <w:t xml:space="preserve"> to </w:t>
      </w:r>
      <w:r w:rsidRPr="00B80B1A">
        <w:t xml:space="preserve">90 business days following the </w:t>
      </w:r>
      <w:r w:rsidR="00605F0C" w:rsidRPr="00B80B1A">
        <w:t xml:space="preserve">completion of a </w:t>
      </w:r>
      <w:r w:rsidRPr="00B80B1A">
        <w:t xml:space="preserve">Fair Hearing, the Hearing Officer is charged with issuing a written decision. This decision may affirm the Department’s original decision, entirely reverse it, partially reverse it </w:t>
      </w:r>
      <w:r w:rsidR="00182732" w:rsidRPr="00B80B1A">
        <w:t>(</w:t>
      </w:r>
      <w:r w:rsidRPr="00B80B1A">
        <w:t>if multiple allegations have been appealed in the same Fair Hearing</w:t>
      </w:r>
      <w:r w:rsidR="00182732" w:rsidRPr="00B80B1A">
        <w:t>)</w:t>
      </w:r>
      <w:r w:rsidRPr="00B80B1A">
        <w:t>, or remand the initial decision back to the Area Office for further review.</w:t>
      </w:r>
      <w:r w:rsidRPr="00B80B1A">
        <w:rPr>
          <w:rStyle w:val="FootnoteReference"/>
        </w:rPr>
        <w:footnoteReference w:id="4"/>
      </w:r>
      <w:r w:rsidRPr="00B80B1A">
        <w:t xml:space="preserve"> If the Fair Hearing results in affirming the Department’s decision, the appellant has the right to further appeal to the Massachusetts Superior Court.</w:t>
      </w:r>
      <w:r w:rsidRPr="00B80B1A">
        <w:rPr>
          <w:rStyle w:val="FootnoteReference"/>
        </w:rPr>
        <w:footnoteReference w:id="5"/>
      </w:r>
      <w:r w:rsidRPr="00B80B1A">
        <w:t xml:space="preserve"> </w:t>
      </w:r>
      <w:r w:rsidR="005867B3" w:rsidRPr="00B80B1A">
        <w:t>Thirty-seven</w:t>
      </w:r>
      <w:r w:rsidR="007E52B1" w:rsidRPr="00B80B1A">
        <w:t xml:space="preserve"> </w:t>
      </w:r>
      <w:r w:rsidR="006F5F48" w:rsidRPr="00B80B1A">
        <w:t xml:space="preserve">such </w:t>
      </w:r>
      <w:r w:rsidR="007E52B1" w:rsidRPr="00B80B1A">
        <w:t>cases were appealed</w:t>
      </w:r>
      <w:r w:rsidR="006F5F48" w:rsidRPr="00B80B1A">
        <w:t xml:space="preserve"> in 2014</w:t>
      </w:r>
      <w:r w:rsidR="007E52B1" w:rsidRPr="00B80B1A">
        <w:t>,</w:t>
      </w:r>
      <w:r w:rsidRPr="00B80B1A">
        <w:t xml:space="preserve"> </w:t>
      </w:r>
      <w:r w:rsidR="004F7066" w:rsidRPr="00B80B1A">
        <w:t xml:space="preserve">and </w:t>
      </w:r>
      <w:r w:rsidR="005867B3" w:rsidRPr="00B80B1A">
        <w:t xml:space="preserve">historically </w:t>
      </w:r>
      <w:r w:rsidR="006F5F48" w:rsidRPr="00B80B1A">
        <w:t>t</w:t>
      </w:r>
      <w:r w:rsidRPr="00B80B1A">
        <w:t xml:space="preserve">he Superior Court </w:t>
      </w:r>
      <w:r w:rsidR="005867B3" w:rsidRPr="00B80B1A">
        <w:t xml:space="preserve">has </w:t>
      </w:r>
      <w:r w:rsidRPr="00B80B1A">
        <w:t>rarely reversed DCF’s decision</w:t>
      </w:r>
      <w:r w:rsidR="006F5F48" w:rsidRPr="00B80B1A">
        <w:t>s</w:t>
      </w:r>
      <w:r w:rsidRPr="00B80B1A">
        <w:t>.</w:t>
      </w:r>
      <w:r w:rsidRPr="00B80B1A">
        <w:rPr>
          <w:rStyle w:val="FootnoteReference"/>
        </w:rPr>
        <w:footnoteReference w:id="6"/>
      </w:r>
    </w:p>
    <w:p w14:paraId="0D3A06F3" w14:textId="77777777" w:rsidR="00E023E2" w:rsidRPr="00B80B1A" w:rsidRDefault="00E023E2" w:rsidP="00037710">
      <w:pPr>
        <w:spacing w:after="0" w:line="240" w:lineRule="auto"/>
        <w:jc w:val="both"/>
      </w:pPr>
    </w:p>
    <w:p w14:paraId="03EBC6C7" w14:textId="3032FCDF" w:rsidR="00884542" w:rsidRPr="00B80B1A" w:rsidRDefault="00423BE5" w:rsidP="00037710">
      <w:pPr>
        <w:spacing w:after="0" w:line="240" w:lineRule="auto"/>
        <w:jc w:val="both"/>
      </w:pPr>
      <w:r w:rsidRPr="00B80B1A">
        <w:t xml:space="preserve">We have </w:t>
      </w:r>
      <w:r w:rsidR="00E023E2" w:rsidRPr="00B80B1A">
        <w:t xml:space="preserve">provided an introduction to </w:t>
      </w:r>
      <w:r w:rsidRPr="00B80B1A">
        <w:t>Fair Hearings above, but it is important to also state why they are important</w:t>
      </w:r>
      <w:r w:rsidR="004579A7" w:rsidRPr="00B80B1A">
        <w:t xml:space="preserve">. </w:t>
      </w:r>
      <w:r w:rsidR="002A64A2" w:rsidRPr="00B80B1A">
        <w:t xml:space="preserve">A </w:t>
      </w:r>
      <w:r w:rsidR="00E023E2" w:rsidRPr="00B80B1A">
        <w:t xml:space="preserve">Fair Hearing constitutes the additional review by which </w:t>
      </w:r>
      <w:r w:rsidR="001D4387" w:rsidRPr="00B80B1A">
        <w:t>sound</w:t>
      </w:r>
      <w:r w:rsidR="00E023E2" w:rsidRPr="00B80B1A">
        <w:t xml:space="preserve"> decisions are affirmed</w:t>
      </w:r>
      <w:r w:rsidR="001D4387" w:rsidRPr="00B80B1A">
        <w:t xml:space="preserve">, </w:t>
      </w:r>
      <w:r w:rsidR="00E023E2" w:rsidRPr="00B80B1A">
        <w:t>helping DCF fulfill its mission</w:t>
      </w:r>
      <w:r w:rsidR="004579A7" w:rsidRPr="00B80B1A">
        <w:t xml:space="preserve">. </w:t>
      </w:r>
      <w:r w:rsidR="00E023E2" w:rsidRPr="00B80B1A">
        <w:t xml:space="preserve">Undeniably, </w:t>
      </w:r>
      <w:r w:rsidRPr="00B80B1A">
        <w:t xml:space="preserve">DCF </w:t>
      </w:r>
      <w:r w:rsidR="00E023E2" w:rsidRPr="00B80B1A">
        <w:t xml:space="preserve">decisions </w:t>
      </w:r>
      <w:r w:rsidR="00884542" w:rsidRPr="00B80B1A">
        <w:t>can</w:t>
      </w:r>
      <w:r w:rsidRPr="00B80B1A">
        <w:t xml:space="preserve"> have </w:t>
      </w:r>
      <w:r w:rsidR="00E563C5" w:rsidRPr="00B80B1A">
        <w:t>serious</w:t>
      </w:r>
      <w:r w:rsidR="00884542" w:rsidRPr="00B80B1A">
        <w:t xml:space="preserve"> </w:t>
      </w:r>
      <w:r w:rsidR="00E563C5" w:rsidRPr="00B80B1A">
        <w:t>consequences</w:t>
      </w:r>
      <w:r w:rsidR="00884542" w:rsidRPr="00B80B1A">
        <w:t xml:space="preserve"> on the lives of</w:t>
      </w:r>
      <w:r w:rsidRPr="00B80B1A">
        <w:t xml:space="preserve"> </w:t>
      </w:r>
      <w:r w:rsidR="003D7114" w:rsidRPr="00B80B1A">
        <w:t>DCF’s</w:t>
      </w:r>
      <w:r w:rsidRPr="00B80B1A">
        <w:t xml:space="preserve"> clients. </w:t>
      </w:r>
      <w:r w:rsidR="00E023E2" w:rsidRPr="00B80B1A">
        <w:t>These</w:t>
      </w:r>
      <w:r w:rsidR="003D7114" w:rsidRPr="00B80B1A">
        <w:t xml:space="preserve"> decisions</w:t>
      </w:r>
      <w:r w:rsidR="00884542" w:rsidRPr="00B80B1A">
        <w:t xml:space="preserve"> can</w:t>
      </w:r>
      <w:r w:rsidR="00E023E2" w:rsidRPr="00B80B1A">
        <w:t xml:space="preserve"> at times</w:t>
      </w:r>
      <w:r w:rsidR="00884542" w:rsidRPr="00B80B1A">
        <w:t xml:space="preserve"> cause the separation of a family, the loss of a job or job prospect, or</w:t>
      </w:r>
      <w:r w:rsidR="006F5F48" w:rsidRPr="00B80B1A">
        <w:t>, in extreme cases,</w:t>
      </w:r>
      <w:r w:rsidR="00884542" w:rsidRPr="00B80B1A">
        <w:t xml:space="preserve"> </w:t>
      </w:r>
      <w:r w:rsidR="00E023E2" w:rsidRPr="00B80B1A">
        <w:t>lead to a listing</w:t>
      </w:r>
      <w:r w:rsidR="00B24663">
        <w:t xml:space="preserve"> on the D</w:t>
      </w:r>
      <w:r w:rsidR="00884542" w:rsidRPr="00B80B1A">
        <w:t xml:space="preserve">epartment’s </w:t>
      </w:r>
      <w:r w:rsidR="005867B3" w:rsidRPr="00B80B1A">
        <w:t>Registry of Alleged Perpetrators</w:t>
      </w:r>
      <w:r w:rsidR="00884542" w:rsidRPr="00B80B1A">
        <w:t>.</w:t>
      </w:r>
      <w:r w:rsidR="00884542" w:rsidRPr="00B80B1A">
        <w:rPr>
          <w:rStyle w:val="FootnoteReference"/>
        </w:rPr>
        <w:footnoteReference w:id="7"/>
      </w:r>
      <w:r w:rsidR="00884542" w:rsidRPr="00B80B1A">
        <w:t xml:space="preserve"> </w:t>
      </w:r>
      <w:r w:rsidR="00E023E2" w:rsidRPr="00B80B1A">
        <w:t>In cases where the underlying investigation is</w:t>
      </w:r>
      <w:r w:rsidR="005867B3" w:rsidRPr="00B80B1A">
        <w:t xml:space="preserve"> not comprehensive </w:t>
      </w:r>
      <w:r w:rsidR="00E023E2" w:rsidRPr="00B80B1A">
        <w:t xml:space="preserve">or new post-investigation evidence is </w:t>
      </w:r>
      <w:r w:rsidR="004D0557" w:rsidRPr="00B80B1A">
        <w:t>discovered</w:t>
      </w:r>
      <w:r w:rsidR="00884542" w:rsidRPr="00B80B1A">
        <w:t xml:space="preserve">, </w:t>
      </w:r>
      <w:r w:rsidR="00E023E2" w:rsidRPr="00B80B1A">
        <w:t>a Fair Hearing provides the main</w:t>
      </w:r>
      <w:r w:rsidR="00884542" w:rsidRPr="00B80B1A">
        <w:t xml:space="preserve"> recourse through which </w:t>
      </w:r>
      <w:r w:rsidR="00E023E2" w:rsidRPr="00B80B1A">
        <w:t>DCF clients</w:t>
      </w:r>
      <w:r w:rsidR="00884542" w:rsidRPr="00B80B1A">
        <w:t xml:space="preserve"> can</w:t>
      </w:r>
      <w:r w:rsidR="00E023E2" w:rsidRPr="00B80B1A">
        <w:t xml:space="preserve"> seek relief</w:t>
      </w:r>
      <w:r w:rsidR="003817F2" w:rsidRPr="00B80B1A">
        <w:t>.</w:t>
      </w:r>
    </w:p>
    <w:p w14:paraId="494441BB" w14:textId="2ABCFC05" w:rsidR="00A31CD9" w:rsidRPr="00B80B1A" w:rsidRDefault="00A31CD9" w:rsidP="00037710">
      <w:pPr>
        <w:spacing w:after="0" w:line="240" w:lineRule="auto"/>
        <w:jc w:val="both"/>
        <w:rPr>
          <w:rFonts w:asciiTheme="majorHAnsi" w:eastAsiaTheme="majorEastAsia" w:hAnsiTheme="majorHAnsi" w:cstheme="majorBidi"/>
          <w:i/>
          <w:color w:val="2E74B5" w:themeColor="accent1" w:themeShade="BF"/>
          <w:sz w:val="24"/>
          <w:szCs w:val="24"/>
        </w:rPr>
      </w:pPr>
      <w:bookmarkStart w:id="32" w:name="_Toc418852305"/>
    </w:p>
    <w:p w14:paraId="07C2F2DF" w14:textId="733098E6" w:rsidR="0020768A" w:rsidRPr="00B80B1A" w:rsidRDefault="00822476" w:rsidP="00037710">
      <w:pPr>
        <w:pStyle w:val="Heading1"/>
        <w:spacing w:before="0" w:line="240" w:lineRule="auto"/>
        <w:jc w:val="both"/>
        <w:rPr>
          <w:i/>
        </w:rPr>
      </w:pPr>
      <w:bookmarkStart w:id="33" w:name="_Toc421781186"/>
      <w:r w:rsidRPr="00B80B1A">
        <w:rPr>
          <w:i/>
        </w:rPr>
        <w:t xml:space="preserve">Ripples Research </w:t>
      </w:r>
      <w:r w:rsidR="0020768A" w:rsidRPr="00B80B1A">
        <w:rPr>
          <w:i/>
        </w:rPr>
        <w:t>Methodology</w:t>
      </w:r>
      <w:bookmarkEnd w:id="32"/>
      <w:bookmarkEnd w:id="33"/>
    </w:p>
    <w:p w14:paraId="5CEC0185" w14:textId="77777777" w:rsidR="00B93FF6" w:rsidRPr="00B80B1A" w:rsidRDefault="00B93FF6" w:rsidP="00037710">
      <w:pPr>
        <w:spacing w:after="0" w:line="240" w:lineRule="auto"/>
        <w:jc w:val="both"/>
      </w:pPr>
    </w:p>
    <w:p w14:paraId="6503211B" w14:textId="3C4E87DC" w:rsidR="0020768A" w:rsidRPr="00B80B1A" w:rsidRDefault="0020768A" w:rsidP="00037710">
      <w:pPr>
        <w:spacing w:after="0" w:line="240" w:lineRule="auto"/>
        <w:jc w:val="both"/>
      </w:pPr>
      <w:r w:rsidRPr="00B80B1A">
        <w:t xml:space="preserve">To evaluate the </w:t>
      </w:r>
      <w:r w:rsidR="00151DE2" w:rsidRPr="00B80B1A">
        <w:t>Timeliness</w:t>
      </w:r>
      <w:r w:rsidRPr="00B80B1A">
        <w:t xml:space="preserve">, </w:t>
      </w:r>
      <w:r w:rsidR="0062273A" w:rsidRPr="00B80B1A">
        <w:t>Fairness, and Independence</w:t>
      </w:r>
      <w:r w:rsidRPr="00B80B1A">
        <w:t xml:space="preserve"> of the DCF </w:t>
      </w:r>
      <w:r w:rsidR="00151DE2" w:rsidRPr="00B80B1A">
        <w:t>Fair Hearing</w:t>
      </w:r>
      <w:r w:rsidR="004832D3" w:rsidRPr="00B80B1A">
        <w:t>s</w:t>
      </w:r>
      <w:r w:rsidRPr="00B80B1A">
        <w:t>, The Ripples Group conducted both primary and secondary research</w:t>
      </w:r>
      <w:r w:rsidR="00AC5A12" w:rsidRPr="00B80B1A">
        <w:t xml:space="preserve"> in the</w:t>
      </w:r>
      <w:r w:rsidR="004832D3" w:rsidRPr="00B80B1A">
        <w:t xml:space="preserve"> November 2014 - May 2015</w:t>
      </w:r>
      <w:r w:rsidR="00AC5A12" w:rsidRPr="00B80B1A">
        <w:t xml:space="preserve"> timeframe</w:t>
      </w:r>
      <w:r w:rsidRPr="00B80B1A">
        <w:t>:</w:t>
      </w:r>
    </w:p>
    <w:p w14:paraId="441A0830" w14:textId="77777777" w:rsidR="00F0447C" w:rsidRPr="00B80B1A" w:rsidRDefault="00F0447C" w:rsidP="00037710">
      <w:pPr>
        <w:spacing w:after="0" w:line="240" w:lineRule="auto"/>
        <w:jc w:val="both"/>
      </w:pPr>
    </w:p>
    <w:p w14:paraId="35B8EB2F" w14:textId="1AB1FC20" w:rsidR="0020768A" w:rsidRPr="00B80B1A" w:rsidRDefault="0020635D" w:rsidP="00037710">
      <w:pPr>
        <w:pStyle w:val="ListParagraph"/>
        <w:numPr>
          <w:ilvl w:val="0"/>
          <w:numId w:val="2"/>
        </w:numPr>
        <w:spacing w:after="0" w:line="240" w:lineRule="auto"/>
        <w:jc w:val="both"/>
      </w:pPr>
      <w:r w:rsidRPr="00B80B1A">
        <w:rPr>
          <w:b/>
        </w:rPr>
        <w:t>Internal Documents</w:t>
      </w:r>
      <w:r w:rsidR="005845BC" w:rsidRPr="00B80B1A">
        <w:rPr>
          <w:b/>
        </w:rPr>
        <w:t xml:space="preserve"> –</w:t>
      </w:r>
      <w:r w:rsidRPr="00B80B1A">
        <w:rPr>
          <w:b/>
        </w:rPr>
        <w:t xml:space="preserve"> </w:t>
      </w:r>
      <w:r w:rsidR="005A35F6" w:rsidRPr="00B80B1A">
        <w:t>We r</w:t>
      </w:r>
      <w:r w:rsidR="0020768A" w:rsidRPr="00B80B1A">
        <w:t>eviewed relevant documents</w:t>
      </w:r>
      <w:r w:rsidR="005845BC" w:rsidRPr="00B80B1A">
        <w:t>,</w:t>
      </w:r>
      <w:r w:rsidR="0020768A" w:rsidRPr="00B80B1A">
        <w:t xml:space="preserve"> including the DCF organizational chart</w:t>
      </w:r>
      <w:r w:rsidR="00A76EE9" w:rsidRPr="00B80B1A">
        <w:t>;</w:t>
      </w:r>
      <w:r w:rsidR="0020768A" w:rsidRPr="00B80B1A">
        <w:t xml:space="preserve"> current and previous </w:t>
      </w:r>
      <w:r w:rsidR="00151DE2" w:rsidRPr="00B80B1A">
        <w:t>Fair Hearing</w:t>
      </w:r>
      <w:r w:rsidR="0020768A" w:rsidRPr="00B80B1A">
        <w:t xml:space="preserve"> regulations</w:t>
      </w:r>
      <w:r w:rsidR="00A76EE9" w:rsidRPr="00B80B1A">
        <w:t>;</w:t>
      </w:r>
      <w:r w:rsidR="0020768A" w:rsidRPr="00B80B1A">
        <w:t xml:space="preserve"> DCF </w:t>
      </w:r>
      <w:r w:rsidR="00151DE2" w:rsidRPr="00B80B1A">
        <w:t>Fair Hearing</w:t>
      </w:r>
      <w:r w:rsidR="0020768A" w:rsidRPr="00B80B1A">
        <w:t xml:space="preserve"> quarterly reports</w:t>
      </w:r>
      <w:r w:rsidR="00A76EE9" w:rsidRPr="00B80B1A">
        <w:t>;</w:t>
      </w:r>
      <w:r w:rsidR="0020768A" w:rsidRPr="00B80B1A">
        <w:t xml:space="preserve"> </w:t>
      </w:r>
      <w:r w:rsidR="0009384A" w:rsidRPr="00B80B1A">
        <w:t xml:space="preserve">the </w:t>
      </w:r>
      <w:r w:rsidR="0020768A" w:rsidRPr="00B80B1A">
        <w:t xml:space="preserve">Child Welfare League of America </w:t>
      </w:r>
      <w:r w:rsidR="0020768A" w:rsidRPr="00B80B1A">
        <w:rPr>
          <w:i/>
        </w:rPr>
        <w:t>DCF Quality Improvement</w:t>
      </w:r>
      <w:r w:rsidR="005A35F6" w:rsidRPr="00B80B1A">
        <w:rPr>
          <w:i/>
        </w:rPr>
        <w:t xml:space="preserve"> Report</w:t>
      </w:r>
      <w:r w:rsidR="005A35F6" w:rsidRPr="00B80B1A">
        <w:t xml:space="preserve"> dated May 22, 2014</w:t>
      </w:r>
      <w:r w:rsidR="00A76EE9" w:rsidRPr="00B80B1A">
        <w:t>;</w:t>
      </w:r>
      <w:r w:rsidR="005A35F6" w:rsidRPr="00B80B1A">
        <w:t xml:space="preserve"> </w:t>
      </w:r>
      <w:r w:rsidR="0020768A" w:rsidRPr="00B80B1A">
        <w:t>the House Committee on Post Audit and Oversight and House Members of the Joint Committee on Children</w:t>
      </w:r>
      <w:r w:rsidR="00A76EE9" w:rsidRPr="00B80B1A">
        <w:t>;</w:t>
      </w:r>
      <w:r w:rsidR="0020768A" w:rsidRPr="00B80B1A">
        <w:t xml:space="preserve"> Families and Persons with Disabilities</w:t>
      </w:r>
      <w:r w:rsidR="005845BC" w:rsidRPr="00B80B1A">
        <w:t>’</w:t>
      </w:r>
      <w:r w:rsidR="0020768A" w:rsidRPr="00B80B1A">
        <w:t xml:space="preserve"> </w:t>
      </w:r>
      <w:r w:rsidR="0020768A" w:rsidRPr="00B80B1A">
        <w:rPr>
          <w:i/>
        </w:rPr>
        <w:t xml:space="preserve">Review of the Massachusetts Department of </w:t>
      </w:r>
      <w:r w:rsidR="0020768A" w:rsidRPr="00B80B1A">
        <w:rPr>
          <w:i/>
        </w:rPr>
        <w:lastRenderedPageBreak/>
        <w:t>Children and Families</w:t>
      </w:r>
      <w:r w:rsidR="0020768A" w:rsidRPr="00B80B1A">
        <w:t xml:space="preserve"> dated January 13, 2015</w:t>
      </w:r>
      <w:r w:rsidR="00A76EE9" w:rsidRPr="00B80B1A">
        <w:t>;</w:t>
      </w:r>
      <w:r w:rsidR="0020768A" w:rsidRPr="00B80B1A">
        <w:t xml:space="preserve"> </w:t>
      </w:r>
      <w:r w:rsidR="005A35F6" w:rsidRPr="00B80B1A">
        <w:t xml:space="preserve">and the </w:t>
      </w:r>
      <w:r w:rsidR="0020768A" w:rsidRPr="00B80B1A">
        <w:rPr>
          <w:i/>
        </w:rPr>
        <w:t>OCA Survey of DCF Employees</w:t>
      </w:r>
      <w:r w:rsidR="0020768A" w:rsidRPr="00B80B1A">
        <w:t xml:space="preserve"> dated March 31, 2015</w:t>
      </w:r>
      <w:r w:rsidR="004832D3" w:rsidRPr="00B80B1A">
        <w:t>;</w:t>
      </w:r>
    </w:p>
    <w:p w14:paraId="12234A6F" w14:textId="35EA57A2" w:rsidR="003D18AC" w:rsidRPr="00B80B1A" w:rsidRDefault="0020635D" w:rsidP="00037710">
      <w:pPr>
        <w:pStyle w:val="ListParagraph"/>
        <w:numPr>
          <w:ilvl w:val="0"/>
          <w:numId w:val="2"/>
        </w:numPr>
        <w:spacing w:after="0" w:line="240" w:lineRule="auto"/>
        <w:jc w:val="both"/>
      </w:pPr>
      <w:r w:rsidRPr="00B80B1A">
        <w:rPr>
          <w:b/>
        </w:rPr>
        <w:t>Interview</w:t>
      </w:r>
      <w:r w:rsidR="00EA276C" w:rsidRPr="00B80B1A">
        <w:rPr>
          <w:b/>
        </w:rPr>
        <w:t>s</w:t>
      </w:r>
      <w:r w:rsidRPr="00B80B1A">
        <w:rPr>
          <w:b/>
        </w:rPr>
        <w:t xml:space="preserve"> with DCF staff</w:t>
      </w:r>
      <w:r w:rsidR="005845BC" w:rsidRPr="00B80B1A">
        <w:rPr>
          <w:b/>
        </w:rPr>
        <w:t xml:space="preserve"> –</w:t>
      </w:r>
      <w:r w:rsidRPr="00B80B1A">
        <w:rPr>
          <w:b/>
        </w:rPr>
        <w:t xml:space="preserve"> </w:t>
      </w:r>
      <w:r w:rsidR="004832D3" w:rsidRPr="00B80B1A">
        <w:t xml:space="preserve">We interviewed 20 subject matter experts from the DCF Central Office staff, various </w:t>
      </w:r>
      <w:r w:rsidR="00151DE2" w:rsidRPr="00B80B1A">
        <w:t>Area Office</w:t>
      </w:r>
      <w:r w:rsidR="004832D3" w:rsidRPr="00B80B1A">
        <w:t xml:space="preserve"> staff, </w:t>
      </w:r>
      <w:r w:rsidR="001A4961" w:rsidRPr="00B80B1A">
        <w:t>Hearing Officer</w:t>
      </w:r>
      <w:r w:rsidR="004832D3" w:rsidRPr="00B80B1A">
        <w:t>s</w:t>
      </w:r>
      <w:r w:rsidRPr="00B80B1A">
        <w:t>, and</w:t>
      </w:r>
      <w:r w:rsidR="00A5452B" w:rsidRPr="00B80B1A">
        <w:t xml:space="preserve"> </w:t>
      </w:r>
      <w:r w:rsidR="00151DE2" w:rsidRPr="00B80B1A">
        <w:t>Supervisor</w:t>
      </w:r>
      <w:r w:rsidR="00701779" w:rsidRPr="00B80B1A">
        <w:t>s</w:t>
      </w:r>
      <w:r w:rsidR="00A76EE9" w:rsidRPr="00B80B1A">
        <w:t>.</w:t>
      </w:r>
      <w:r w:rsidR="00701779" w:rsidRPr="00B80B1A">
        <w:t xml:space="preserve"> </w:t>
      </w:r>
      <w:r w:rsidR="00A76EE9" w:rsidRPr="00B80B1A">
        <w:t>W</w:t>
      </w:r>
      <w:r w:rsidR="005A0652" w:rsidRPr="00B80B1A">
        <w:t>e talked with many</w:t>
      </w:r>
      <w:r w:rsidR="00AC5A12" w:rsidRPr="00B80B1A">
        <w:t xml:space="preserve"> of these individuals</w:t>
      </w:r>
      <w:r w:rsidR="004C225B" w:rsidRPr="00B80B1A">
        <w:t xml:space="preserve"> more than once;</w:t>
      </w:r>
    </w:p>
    <w:p w14:paraId="6EEB4E6D" w14:textId="64EE9758" w:rsidR="004832D3" w:rsidRPr="00B80B1A" w:rsidRDefault="0020635D" w:rsidP="00037710">
      <w:pPr>
        <w:pStyle w:val="ListParagraph"/>
        <w:numPr>
          <w:ilvl w:val="0"/>
          <w:numId w:val="2"/>
        </w:numPr>
        <w:spacing w:after="0" w:line="240" w:lineRule="auto"/>
        <w:jc w:val="both"/>
      </w:pPr>
      <w:r w:rsidRPr="00B80B1A">
        <w:rPr>
          <w:b/>
        </w:rPr>
        <w:t>Discussions with Attorneys</w:t>
      </w:r>
      <w:r w:rsidR="005845BC" w:rsidRPr="00B80B1A">
        <w:rPr>
          <w:b/>
        </w:rPr>
        <w:t xml:space="preserve"> –</w:t>
      </w:r>
      <w:r w:rsidRPr="00B80B1A">
        <w:rPr>
          <w:b/>
        </w:rPr>
        <w:t xml:space="preserve"> </w:t>
      </w:r>
      <w:r w:rsidR="00AE5C8B">
        <w:t>We met a</w:t>
      </w:r>
      <w:r w:rsidR="00701779" w:rsidRPr="00B80B1A">
        <w:t>nd had in</w:t>
      </w:r>
      <w:r w:rsidR="00D15BC8" w:rsidRPr="00B80B1A">
        <w:t>-</w:t>
      </w:r>
      <w:r w:rsidR="00701779" w:rsidRPr="00B80B1A">
        <w:t>depth discussions with</w:t>
      </w:r>
      <w:r w:rsidR="00D15BC8" w:rsidRPr="00B80B1A">
        <w:t xml:space="preserve"> four</w:t>
      </w:r>
      <w:r w:rsidR="00701779" w:rsidRPr="00B80B1A">
        <w:t xml:space="preserve"> independent</w:t>
      </w:r>
      <w:r w:rsidR="00450A7F" w:rsidRPr="00B80B1A">
        <w:t xml:space="preserve"> attorneys active in Fair Hearings;</w:t>
      </w:r>
    </w:p>
    <w:p w14:paraId="542C9E16" w14:textId="19BE1CA1" w:rsidR="0020768A" w:rsidRPr="00B80B1A" w:rsidRDefault="0020635D" w:rsidP="00037710">
      <w:pPr>
        <w:pStyle w:val="ListParagraph"/>
        <w:numPr>
          <w:ilvl w:val="0"/>
          <w:numId w:val="2"/>
        </w:numPr>
        <w:spacing w:after="0" w:line="240" w:lineRule="auto"/>
        <w:jc w:val="both"/>
      </w:pPr>
      <w:r w:rsidRPr="00B80B1A">
        <w:rPr>
          <w:b/>
        </w:rPr>
        <w:t>FamilyNet Data</w:t>
      </w:r>
      <w:r w:rsidR="00941ABE" w:rsidRPr="00B80B1A">
        <w:rPr>
          <w:rStyle w:val="FootnoteReference"/>
          <w:b/>
        </w:rPr>
        <w:footnoteReference w:id="8"/>
      </w:r>
      <w:r w:rsidR="005845BC" w:rsidRPr="00B80B1A">
        <w:rPr>
          <w:b/>
        </w:rPr>
        <w:t xml:space="preserve"> –</w:t>
      </w:r>
      <w:r w:rsidRPr="00B80B1A">
        <w:rPr>
          <w:b/>
        </w:rPr>
        <w:t xml:space="preserve"> </w:t>
      </w:r>
      <w:r w:rsidR="005A35F6" w:rsidRPr="00B80B1A">
        <w:t xml:space="preserve">We </w:t>
      </w:r>
      <w:r w:rsidR="004832D3" w:rsidRPr="00B80B1A">
        <w:t xml:space="preserve">requested, received, cleaned, and </w:t>
      </w:r>
      <w:r w:rsidR="005A35F6" w:rsidRPr="00B80B1A">
        <w:t>a</w:t>
      </w:r>
      <w:r w:rsidR="0020768A" w:rsidRPr="00B80B1A">
        <w:t xml:space="preserve">nalyzed </w:t>
      </w:r>
      <w:r w:rsidR="00AC5A12" w:rsidRPr="00B80B1A">
        <w:t>16,000</w:t>
      </w:r>
      <w:r w:rsidR="005A35F6" w:rsidRPr="00B80B1A">
        <w:t xml:space="preserve"> lines of </w:t>
      </w:r>
      <w:r w:rsidR="00151DE2" w:rsidRPr="00B80B1A">
        <w:t>Fair Hearing</w:t>
      </w:r>
      <w:r w:rsidR="0020768A" w:rsidRPr="00B80B1A">
        <w:t xml:space="preserve"> data from the DCF electronic database (FamilyNet) </w:t>
      </w:r>
      <w:r w:rsidR="005A35F6" w:rsidRPr="00B80B1A">
        <w:t>for the 2</w:t>
      </w:r>
      <w:r w:rsidR="0009384A" w:rsidRPr="00B80B1A">
        <w:t>00</w:t>
      </w:r>
      <w:r w:rsidR="005A35F6" w:rsidRPr="00B80B1A">
        <w:t>5-2014 period</w:t>
      </w:r>
      <w:r w:rsidR="004832D3" w:rsidRPr="00B80B1A">
        <w:t>;</w:t>
      </w:r>
      <w:r w:rsidR="0020768A" w:rsidRPr="00B80B1A">
        <w:t xml:space="preserve"> </w:t>
      </w:r>
    </w:p>
    <w:p w14:paraId="4EB9A0D0" w14:textId="64E5AD8C" w:rsidR="0020768A" w:rsidRPr="00B80B1A" w:rsidRDefault="0020635D" w:rsidP="00037710">
      <w:pPr>
        <w:pStyle w:val="ListParagraph"/>
        <w:numPr>
          <w:ilvl w:val="0"/>
          <w:numId w:val="2"/>
        </w:numPr>
        <w:spacing w:after="0" w:line="240" w:lineRule="auto"/>
        <w:jc w:val="both"/>
      </w:pPr>
      <w:r w:rsidRPr="00B80B1A">
        <w:rPr>
          <w:b/>
        </w:rPr>
        <w:t>Regulations</w:t>
      </w:r>
      <w:r w:rsidR="0001752F" w:rsidRPr="00B80B1A">
        <w:rPr>
          <w:b/>
        </w:rPr>
        <w:t xml:space="preserve"> in other N</w:t>
      </w:r>
      <w:r w:rsidR="00602D92" w:rsidRPr="00B80B1A">
        <w:rPr>
          <w:b/>
        </w:rPr>
        <w:t>ortheastern states</w:t>
      </w:r>
      <w:r w:rsidRPr="00B80B1A">
        <w:rPr>
          <w:b/>
        </w:rPr>
        <w:t xml:space="preserve"> </w:t>
      </w:r>
      <w:r w:rsidR="005845BC" w:rsidRPr="00B80B1A">
        <w:rPr>
          <w:b/>
        </w:rPr>
        <w:t xml:space="preserve">– </w:t>
      </w:r>
      <w:r w:rsidR="005A35F6" w:rsidRPr="00B80B1A">
        <w:t>We b</w:t>
      </w:r>
      <w:r w:rsidR="0020768A" w:rsidRPr="00B80B1A">
        <w:t xml:space="preserve">enchmarked the Massachusetts DCF </w:t>
      </w:r>
      <w:r w:rsidR="00151DE2" w:rsidRPr="00B80B1A">
        <w:t>Fair Hearing</w:t>
      </w:r>
      <w:r w:rsidR="005A35F6" w:rsidRPr="00B80B1A">
        <w:t xml:space="preserve"> regulations</w:t>
      </w:r>
      <w:r w:rsidR="0009384A" w:rsidRPr="00B80B1A">
        <w:t>,</w:t>
      </w:r>
      <w:r w:rsidR="00734DE0" w:rsidRPr="00B80B1A">
        <w:t xml:space="preserve"> </w:t>
      </w:r>
      <w:r w:rsidR="005A35F6" w:rsidRPr="00B80B1A">
        <w:t>110 CMR 10</w:t>
      </w:r>
      <w:r w:rsidR="000D1310" w:rsidRPr="00B80B1A">
        <w:t>.</w:t>
      </w:r>
      <w:r w:rsidR="0020768A" w:rsidRPr="00B80B1A">
        <w:t>00, against five other Northeast</w:t>
      </w:r>
      <w:r w:rsidR="0009384A" w:rsidRPr="00B80B1A">
        <w:t>ern</w:t>
      </w:r>
      <w:r w:rsidR="0020768A" w:rsidRPr="00B80B1A">
        <w:t xml:space="preserve"> states (Connecticut, </w:t>
      </w:r>
      <w:r w:rsidR="009D6BC0" w:rsidRPr="00B80B1A">
        <w:t xml:space="preserve">New Hampshire, New York, </w:t>
      </w:r>
      <w:r w:rsidR="0020768A" w:rsidRPr="00B80B1A">
        <w:t xml:space="preserve">Rhode Island, </w:t>
      </w:r>
      <w:r w:rsidR="009D6BC0" w:rsidRPr="00B80B1A">
        <w:t>and Vermont</w:t>
      </w:r>
      <w:r w:rsidR="0020768A" w:rsidRPr="00B80B1A">
        <w:t>)</w:t>
      </w:r>
      <w:r w:rsidR="003D18AC" w:rsidRPr="00B80B1A">
        <w:t xml:space="preserve"> and held phone conversations with the counterparts of the DCF </w:t>
      </w:r>
      <w:r w:rsidR="00151DE2" w:rsidRPr="00B80B1A">
        <w:t>Fair Hearing</w:t>
      </w:r>
      <w:r w:rsidR="003D18AC" w:rsidRPr="00B80B1A">
        <w:t>s Director</w:t>
      </w:r>
      <w:r w:rsidR="00AC1378" w:rsidRPr="00B80B1A">
        <w:t xml:space="preserve"> in all of these states</w:t>
      </w:r>
      <w:r w:rsidR="004832D3" w:rsidRPr="00B80B1A">
        <w:t>;</w:t>
      </w:r>
      <w:r w:rsidR="0020768A" w:rsidRPr="00B80B1A">
        <w:t xml:space="preserve"> </w:t>
      </w:r>
    </w:p>
    <w:p w14:paraId="425B17D7" w14:textId="64D16D05" w:rsidR="004832D3" w:rsidRPr="00B80B1A" w:rsidRDefault="00151DE2" w:rsidP="00037710">
      <w:pPr>
        <w:pStyle w:val="ListParagraph"/>
        <w:numPr>
          <w:ilvl w:val="0"/>
          <w:numId w:val="2"/>
        </w:numPr>
        <w:spacing w:after="0" w:line="240" w:lineRule="auto"/>
        <w:jc w:val="both"/>
      </w:pPr>
      <w:r w:rsidRPr="00B80B1A">
        <w:rPr>
          <w:b/>
        </w:rPr>
        <w:t>Fair Hearing</w:t>
      </w:r>
      <w:r w:rsidR="00602D92" w:rsidRPr="00B80B1A">
        <w:rPr>
          <w:b/>
        </w:rPr>
        <w:t xml:space="preserve"> Recordings</w:t>
      </w:r>
      <w:r w:rsidR="0001752F" w:rsidRPr="00B80B1A">
        <w:rPr>
          <w:b/>
        </w:rPr>
        <w:t xml:space="preserve"> &amp; Observations</w:t>
      </w:r>
      <w:r w:rsidR="005845BC" w:rsidRPr="00B80B1A">
        <w:rPr>
          <w:b/>
        </w:rPr>
        <w:t xml:space="preserve"> –</w:t>
      </w:r>
      <w:r w:rsidR="00602D92" w:rsidRPr="00B80B1A">
        <w:rPr>
          <w:b/>
        </w:rPr>
        <w:t xml:space="preserve"> </w:t>
      </w:r>
      <w:r w:rsidR="005A35F6" w:rsidRPr="00B80B1A">
        <w:t xml:space="preserve">We </w:t>
      </w:r>
      <w:r w:rsidR="004832D3" w:rsidRPr="00B80B1A">
        <w:t xml:space="preserve">listened to </w:t>
      </w:r>
      <w:r w:rsidR="004C225B" w:rsidRPr="00B80B1A">
        <w:t xml:space="preserve">the recordings </w:t>
      </w:r>
      <w:r w:rsidR="004832D3" w:rsidRPr="00B80B1A">
        <w:t xml:space="preserve">and </w:t>
      </w:r>
      <w:r w:rsidR="004C225B" w:rsidRPr="00B80B1A">
        <w:t xml:space="preserve">carefully </w:t>
      </w:r>
      <w:r w:rsidR="004832D3" w:rsidRPr="00B80B1A">
        <w:t>studied</w:t>
      </w:r>
      <w:r w:rsidR="002A518E" w:rsidRPr="00B80B1A">
        <w:t xml:space="preserve"> 32 randomly selected </w:t>
      </w:r>
      <w:r w:rsidRPr="00B80B1A">
        <w:t>Fair Hearing</w:t>
      </w:r>
      <w:r w:rsidR="00A923E2" w:rsidRPr="00B80B1A">
        <w:t>s</w:t>
      </w:r>
      <w:r w:rsidR="0020768A" w:rsidRPr="00B80B1A">
        <w:t xml:space="preserve"> from </w:t>
      </w:r>
      <w:r w:rsidR="001B46B5" w:rsidRPr="00B80B1A">
        <w:t>2011 to 2014</w:t>
      </w:r>
      <w:r w:rsidR="002A518E" w:rsidRPr="00B80B1A">
        <w:t>, requiring at least one reversal and one upheld case</w:t>
      </w:r>
      <w:r w:rsidR="00312309" w:rsidRPr="00B80B1A">
        <w:t xml:space="preserve"> from all</w:t>
      </w:r>
      <w:r w:rsidR="001F74FB" w:rsidRPr="00B80B1A">
        <w:t xml:space="preserve"> four </w:t>
      </w:r>
      <w:r w:rsidR="00312309" w:rsidRPr="00B80B1A">
        <w:t>regions</w:t>
      </w:r>
      <w:r w:rsidR="004832D3" w:rsidRPr="00B80B1A">
        <w:t xml:space="preserve">; in addition, we </w:t>
      </w:r>
      <w:r w:rsidR="008A3A2F" w:rsidRPr="00B80B1A">
        <w:t xml:space="preserve">personally </w:t>
      </w:r>
      <w:r w:rsidR="004832D3" w:rsidRPr="00B80B1A">
        <w:t xml:space="preserve">observed three </w:t>
      </w:r>
      <w:r w:rsidRPr="00B80B1A">
        <w:t>Fair Hearing</w:t>
      </w:r>
      <w:r w:rsidR="004832D3" w:rsidRPr="00B80B1A">
        <w:t>s (two in Malden, one in Framingham);</w:t>
      </w:r>
    </w:p>
    <w:p w14:paraId="3BAE6980" w14:textId="56E7E333" w:rsidR="0020768A" w:rsidRPr="00B80B1A" w:rsidRDefault="00151DE2" w:rsidP="00037710">
      <w:pPr>
        <w:pStyle w:val="ListParagraph"/>
        <w:numPr>
          <w:ilvl w:val="0"/>
          <w:numId w:val="2"/>
        </w:numPr>
        <w:spacing w:after="0" w:line="240" w:lineRule="auto"/>
        <w:jc w:val="both"/>
      </w:pPr>
      <w:r w:rsidRPr="00B80B1A">
        <w:rPr>
          <w:b/>
        </w:rPr>
        <w:t>Fair Hearing</w:t>
      </w:r>
      <w:r w:rsidR="00602D92" w:rsidRPr="00B80B1A">
        <w:rPr>
          <w:b/>
        </w:rPr>
        <w:t xml:space="preserve"> </w:t>
      </w:r>
      <w:r w:rsidR="0001752F" w:rsidRPr="00B80B1A">
        <w:rPr>
          <w:b/>
        </w:rPr>
        <w:t xml:space="preserve">Staff Meeting </w:t>
      </w:r>
      <w:r w:rsidR="00EA276C" w:rsidRPr="00B80B1A">
        <w:rPr>
          <w:b/>
        </w:rPr>
        <w:t>Observation</w:t>
      </w:r>
      <w:r w:rsidR="005845BC" w:rsidRPr="00B80B1A">
        <w:rPr>
          <w:b/>
        </w:rPr>
        <w:t xml:space="preserve"> –</w:t>
      </w:r>
      <w:r w:rsidR="00602D92" w:rsidRPr="00B80B1A">
        <w:rPr>
          <w:b/>
        </w:rPr>
        <w:t xml:space="preserve"> </w:t>
      </w:r>
      <w:r w:rsidR="008520A9" w:rsidRPr="00B80B1A">
        <w:t>We observed</w:t>
      </w:r>
      <w:r w:rsidR="004832D3" w:rsidRPr="00B80B1A">
        <w:t xml:space="preserve"> a </w:t>
      </w:r>
      <w:r w:rsidRPr="00B80B1A">
        <w:t>Fair Hearing</w:t>
      </w:r>
      <w:r w:rsidR="004832D3" w:rsidRPr="00B80B1A">
        <w:t xml:space="preserve"> Unit staff meeting at DCF;</w:t>
      </w:r>
    </w:p>
    <w:p w14:paraId="2D121789" w14:textId="0FC7C545" w:rsidR="0020768A" w:rsidRPr="00B80B1A" w:rsidRDefault="00602D92" w:rsidP="00037710">
      <w:pPr>
        <w:pStyle w:val="ListParagraph"/>
        <w:numPr>
          <w:ilvl w:val="0"/>
          <w:numId w:val="2"/>
        </w:numPr>
        <w:spacing w:after="0" w:line="240" w:lineRule="auto"/>
        <w:jc w:val="both"/>
      </w:pPr>
      <w:r w:rsidRPr="00B80B1A">
        <w:rPr>
          <w:b/>
        </w:rPr>
        <w:t>Appellant Survey</w:t>
      </w:r>
      <w:r w:rsidR="005845BC" w:rsidRPr="00B80B1A">
        <w:rPr>
          <w:b/>
        </w:rPr>
        <w:t xml:space="preserve"> –</w:t>
      </w:r>
      <w:r w:rsidRPr="00B80B1A">
        <w:rPr>
          <w:b/>
        </w:rPr>
        <w:t xml:space="preserve"> </w:t>
      </w:r>
      <w:r w:rsidR="005A35F6" w:rsidRPr="00B80B1A">
        <w:t>We f</w:t>
      </w:r>
      <w:r w:rsidR="0020768A" w:rsidRPr="00B80B1A">
        <w:t>ielded an appellant survey to 1,0</w:t>
      </w:r>
      <w:r w:rsidR="004832D3" w:rsidRPr="00B80B1A">
        <w:t>00+</w:t>
      </w:r>
      <w:r w:rsidR="0020768A" w:rsidRPr="00B80B1A">
        <w:t xml:space="preserve"> past appellants </w:t>
      </w:r>
      <w:r w:rsidR="005A35F6" w:rsidRPr="00B80B1A">
        <w:t>from</w:t>
      </w:r>
      <w:r w:rsidR="0020768A" w:rsidRPr="00B80B1A">
        <w:t xml:space="preserve"> the 2007-2014 </w:t>
      </w:r>
      <w:proofErr w:type="gramStart"/>
      <w:r w:rsidR="0020768A" w:rsidRPr="00B80B1A">
        <w:t>period</w:t>
      </w:r>
      <w:proofErr w:type="gramEnd"/>
      <w:r w:rsidR="0020768A" w:rsidRPr="00B80B1A">
        <w:t xml:space="preserve">. </w:t>
      </w:r>
      <w:r w:rsidR="005A35F6" w:rsidRPr="00B80B1A">
        <w:t>We received and analyzed 11</w:t>
      </w:r>
      <w:r w:rsidR="0009384A" w:rsidRPr="00B80B1A">
        <w:t>6</w:t>
      </w:r>
      <w:r w:rsidR="005A35F6" w:rsidRPr="00B80B1A">
        <w:t xml:space="preserve"> responses</w:t>
      </w:r>
      <w:r w:rsidR="00443BC9" w:rsidRPr="00B80B1A">
        <w:t>;</w:t>
      </w:r>
    </w:p>
    <w:p w14:paraId="2A1DB9EA" w14:textId="7DE7B0D1" w:rsidR="004C225B" w:rsidRPr="00B80B1A" w:rsidRDefault="00602D92" w:rsidP="00037710">
      <w:pPr>
        <w:pStyle w:val="ListParagraph"/>
        <w:numPr>
          <w:ilvl w:val="0"/>
          <w:numId w:val="2"/>
        </w:numPr>
        <w:spacing w:after="0" w:line="240" w:lineRule="auto"/>
        <w:jc w:val="both"/>
      </w:pPr>
      <w:r w:rsidRPr="00B80B1A">
        <w:rPr>
          <w:b/>
        </w:rPr>
        <w:t>Focus Group</w:t>
      </w:r>
      <w:r w:rsidR="005845BC" w:rsidRPr="00B80B1A">
        <w:rPr>
          <w:b/>
        </w:rPr>
        <w:t xml:space="preserve"> –</w:t>
      </w:r>
      <w:r w:rsidRPr="00B80B1A">
        <w:rPr>
          <w:b/>
        </w:rPr>
        <w:t xml:space="preserve"> </w:t>
      </w:r>
      <w:r w:rsidR="005A35F6" w:rsidRPr="00B80B1A">
        <w:t>We c</w:t>
      </w:r>
      <w:r w:rsidR="0020768A" w:rsidRPr="00B80B1A">
        <w:t xml:space="preserve">onducted a </w:t>
      </w:r>
      <w:r w:rsidR="00151DE2" w:rsidRPr="00B80B1A">
        <w:t xml:space="preserve">Fair </w:t>
      </w:r>
      <w:r w:rsidR="001A4961" w:rsidRPr="00B80B1A">
        <w:t>Hearing Officer</w:t>
      </w:r>
      <w:r w:rsidR="0020768A" w:rsidRPr="00B80B1A">
        <w:t xml:space="preserve"> focus group at DCF</w:t>
      </w:r>
      <w:r w:rsidR="00443BC9" w:rsidRPr="00B80B1A">
        <w:t>;</w:t>
      </w:r>
    </w:p>
    <w:p w14:paraId="51720300" w14:textId="3C775071" w:rsidR="0020768A" w:rsidRPr="00B80B1A" w:rsidRDefault="00602D92" w:rsidP="00037710">
      <w:pPr>
        <w:pStyle w:val="ListParagraph"/>
        <w:numPr>
          <w:ilvl w:val="0"/>
          <w:numId w:val="2"/>
        </w:numPr>
        <w:spacing w:after="0" w:line="240" w:lineRule="auto"/>
        <w:jc w:val="both"/>
      </w:pPr>
      <w:r w:rsidRPr="00B80B1A">
        <w:rPr>
          <w:b/>
        </w:rPr>
        <w:t>Media</w:t>
      </w:r>
      <w:r w:rsidR="005845BC" w:rsidRPr="00B80B1A">
        <w:rPr>
          <w:b/>
        </w:rPr>
        <w:t xml:space="preserve"> –</w:t>
      </w:r>
      <w:r w:rsidRPr="00B80B1A">
        <w:rPr>
          <w:b/>
        </w:rPr>
        <w:t xml:space="preserve"> </w:t>
      </w:r>
      <w:r w:rsidR="004C225B" w:rsidRPr="00B80B1A">
        <w:t xml:space="preserve">We researched </w:t>
      </w:r>
      <w:r w:rsidR="00A923E2" w:rsidRPr="00B80B1A">
        <w:t>DCF-</w:t>
      </w:r>
      <w:r w:rsidR="004C225B" w:rsidRPr="00B80B1A">
        <w:t>related blogs, news articles</w:t>
      </w:r>
      <w:r w:rsidR="00C96182" w:rsidRPr="00B80B1A">
        <w:t>,</w:t>
      </w:r>
      <w:r w:rsidR="004C225B" w:rsidRPr="00B80B1A">
        <w:t xml:space="preserve"> and other relevant content online;</w:t>
      </w:r>
      <w:r w:rsidR="00C55008" w:rsidRPr="00B80B1A">
        <w:t xml:space="preserve"> and</w:t>
      </w:r>
    </w:p>
    <w:p w14:paraId="701A2DEB" w14:textId="6B0FBB46" w:rsidR="003F7B60" w:rsidRPr="00F23F8B" w:rsidRDefault="00602D92" w:rsidP="00037710">
      <w:pPr>
        <w:pStyle w:val="ListParagraph"/>
        <w:numPr>
          <w:ilvl w:val="0"/>
          <w:numId w:val="2"/>
        </w:numPr>
        <w:spacing w:after="0" w:line="240" w:lineRule="auto"/>
        <w:jc w:val="both"/>
      </w:pPr>
      <w:r w:rsidRPr="00B80B1A">
        <w:rPr>
          <w:b/>
        </w:rPr>
        <w:t>OCA Project Steering Committee</w:t>
      </w:r>
      <w:r w:rsidR="00EA357A" w:rsidRPr="00B80B1A">
        <w:rPr>
          <w:b/>
        </w:rPr>
        <w:t xml:space="preserve"> –</w:t>
      </w:r>
      <w:r w:rsidRPr="00B80B1A">
        <w:rPr>
          <w:b/>
        </w:rPr>
        <w:t xml:space="preserve"> </w:t>
      </w:r>
      <w:r w:rsidR="005A35F6" w:rsidRPr="00B80B1A">
        <w:t xml:space="preserve">We </w:t>
      </w:r>
      <w:r w:rsidR="00443BC9" w:rsidRPr="00B80B1A">
        <w:t xml:space="preserve">discussed </w:t>
      </w:r>
      <w:r w:rsidR="00EA276C" w:rsidRPr="00B80B1A">
        <w:t>our</w:t>
      </w:r>
      <w:r w:rsidR="0020768A" w:rsidRPr="00B80B1A">
        <w:t xml:space="preserve"> observations </w:t>
      </w:r>
      <w:r w:rsidR="00443BC9" w:rsidRPr="00B80B1A">
        <w:t>with</w:t>
      </w:r>
      <w:r w:rsidR="0020768A" w:rsidRPr="00B80B1A">
        <w:t xml:space="preserve"> the </w:t>
      </w:r>
      <w:r w:rsidR="005A35F6" w:rsidRPr="00B80B1A">
        <w:t xml:space="preserve">OCA Project </w:t>
      </w:r>
      <w:r w:rsidR="0020768A" w:rsidRPr="00B80B1A">
        <w:t>Steering Committee on January 14, 2015</w:t>
      </w:r>
      <w:r w:rsidR="00C96182" w:rsidRPr="00B80B1A">
        <w:t>;</w:t>
      </w:r>
      <w:r w:rsidR="0020768A" w:rsidRPr="00B80B1A">
        <w:t xml:space="preserve"> March 11, 2015</w:t>
      </w:r>
      <w:r w:rsidR="00C96182" w:rsidRPr="00B80B1A">
        <w:t>;</w:t>
      </w:r>
      <w:r w:rsidR="00443BC9" w:rsidRPr="00B80B1A">
        <w:t xml:space="preserve"> </w:t>
      </w:r>
      <w:r w:rsidR="0020768A" w:rsidRPr="00B80B1A">
        <w:t>April 22, 2015</w:t>
      </w:r>
      <w:r w:rsidR="00C96182" w:rsidRPr="00B80B1A">
        <w:t>;</w:t>
      </w:r>
      <w:r w:rsidR="00443BC9" w:rsidRPr="00B80B1A">
        <w:t xml:space="preserve"> and May </w:t>
      </w:r>
      <w:r w:rsidR="00E2617F" w:rsidRPr="00B80B1A">
        <w:t>1</w:t>
      </w:r>
      <w:r w:rsidR="00443BC9" w:rsidRPr="00B80B1A">
        <w:t>4, 2015</w:t>
      </w:r>
      <w:r w:rsidR="005A35F6" w:rsidRPr="00B80B1A">
        <w:t>.</w:t>
      </w:r>
      <w:r w:rsidR="00443BC9" w:rsidRPr="00B80B1A">
        <w:t xml:space="preserve"> Key </w:t>
      </w:r>
      <w:r w:rsidR="00AC1378" w:rsidRPr="00B80B1A">
        <w:t xml:space="preserve">OCA and </w:t>
      </w:r>
      <w:r w:rsidR="00443BC9" w:rsidRPr="00B80B1A">
        <w:t xml:space="preserve">DCF </w:t>
      </w:r>
      <w:r w:rsidR="00C55008" w:rsidRPr="00B80B1A">
        <w:t xml:space="preserve">senior staff </w:t>
      </w:r>
      <w:r w:rsidR="00443BC9" w:rsidRPr="00B80B1A">
        <w:t xml:space="preserve">attended these meetings and had a chance to </w:t>
      </w:r>
      <w:r w:rsidR="00C55008" w:rsidRPr="00B80B1A">
        <w:t xml:space="preserve">provide feedback </w:t>
      </w:r>
      <w:r w:rsidR="00443BC9" w:rsidRPr="00B80B1A">
        <w:t>on our findings</w:t>
      </w:r>
      <w:r w:rsidR="00B467A9" w:rsidRPr="00B80B1A">
        <w:t xml:space="preserve">, </w:t>
      </w:r>
      <w:r w:rsidR="0062273A" w:rsidRPr="00B80B1A">
        <w:t>conclusions</w:t>
      </w:r>
      <w:r w:rsidR="00C96182" w:rsidRPr="00B80B1A">
        <w:t>,</w:t>
      </w:r>
      <w:r w:rsidR="00B467A9" w:rsidRPr="00B80B1A">
        <w:t xml:space="preserve"> and recommendations</w:t>
      </w:r>
      <w:r w:rsidR="00F23F8B">
        <w:t>.</w:t>
      </w:r>
    </w:p>
    <w:p w14:paraId="376078F9" w14:textId="77777777" w:rsidR="006A6DC3" w:rsidRPr="00B80B1A" w:rsidRDefault="00701779" w:rsidP="00037710">
      <w:pPr>
        <w:pStyle w:val="Heading1"/>
        <w:jc w:val="both"/>
        <w:rPr>
          <w:b/>
          <w:i/>
        </w:rPr>
      </w:pPr>
      <w:r w:rsidRPr="00B80B1A">
        <w:br w:type="page"/>
      </w:r>
      <w:bookmarkStart w:id="34" w:name="_Toc418852306"/>
      <w:bookmarkStart w:id="35" w:name="_Toc421781187"/>
      <w:r w:rsidR="00C70133" w:rsidRPr="00B80B1A">
        <w:rPr>
          <w:b/>
          <w:i/>
        </w:rPr>
        <w:lastRenderedPageBreak/>
        <w:t>Findings</w:t>
      </w:r>
      <w:bookmarkEnd w:id="34"/>
      <w:bookmarkEnd w:id="35"/>
    </w:p>
    <w:p w14:paraId="0B0DB1D1" w14:textId="77777777" w:rsidR="006A6DC3" w:rsidRPr="00B80B1A" w:rsidRDefault="006A6DC3" w:rsidP="00037710">
      <w:pPr>
        <w:spacing w:after="0" w:line="240" w:lineRule="auto"/>
        <w:jc w:val="both"/>
        <w:rPr>
          <w:b/>
          <w:i/>
        </w:rPr>
      </w:pPr>
    </w:p>
    <w:p w14:paraId="276B4BBC" w14:textId="5BF6B598" w:rsidR="00C70133" w:rsidRPr="00B80B1A" w:rsidRDefault="006A6DC3" w:rsidP="00037710">
      <w:pPr>
        <w:pStyle w:val="Heading2"/>
        <w:jc w:val="both"/>
        <w:rPr>
          <w:b/>
          <w:i/>
          <w:sz w:val="32"/>
          <w:szCs w:val="32"/>
        </w:rPr>
      </w:pPr>
      <w:bookmarkStart w:id="36" w:name="_Toc418852307"/>
      <w:bookmarkStart w:id="37" w:name="_Toc421781188"/>
      <w:r w:rsidRPr="00B80B1A">
        <w:rPr>
          <w:b/>
          <w:i/>
          <w:sz w:val="32"/>
          <w:szCs w:val="32"/>
        </w:rPr>
        <w:t>1.</w:t>
      </w:r>
      <w:r w:rsidR="00C70133" w:rsidRPr="00B80B1A">
        <w:rPr>
          <w:b/>
          <w:i/>
          <w:sz w:val="32"/>
          <w:szCs w:val="32"/>
        </w:rPr>
        <w:t xml:space="preserve"> </w:t>
      </w:r>
      <w:r w:rsidR="00151DE2" w:rsidRPr="00B80B1A">
        <w:rPr>
          <w:b/>
          <w:i/>
          <w:sz w:val="32"/>
          <w:szCs w:val="32"/>
        </w:rPr>
        <w:t>Timeliness</w:t>
      </w:r>
      <w:bookmarkEnd w:id="36"/>
      <w:bookmarkEnd w:id="37"/>
    </w:p>
    <w:p w14:paraId="5A453699" w14:textId="77777777" w:rsidR="000D4CCC" w:rsidRPr="00B80B1A" w:rsidRDefault="000D4CCC" w:rsidP="00037710">
      <w:pPr>
        <w:spacing w:after="0" w:line="240" w:lineRule="auto"/>
        <w:jc w:val="both"/>
        <w:rPr>
          <w:b/>
        </w:rPr>
      </w:pPr>
    </w:p>
    <w:p w14:paraId="57CD98A6" w14:textId="6195A256" w:rsidR="0001752F" w:rsidRPr="00B80B1A" w:rsidRDefault="0001752F" w:rsidP="00037710">
      <w:pPr>
        <w:shd w:val="clear" w:color="auto" w:fill="FFFFFF"/>
        <w:spacing w:after="0" w:line="240" w:lineRule="auto"/>
        <w:jc w:val="both"/>
        <w:rPr>
          <w:b/>
        </w:rPr>
      </w:pPr>
      <w:r w:rsidRPr="00B80B1A">
        <w:rPr>
          <w:b/>
        </w:rPr>
        <w:t xml:space="preserve">Despite significant improvements in Timeliness since 2010, the current trajectory is meeting </w:t>
      </w:r>
      <w:r w:rsidR="00E34A69" w:rsidRPr="00B80B1A">
        <w:rPr>
          <w:b/>
        </w:rPr>
        <w:t xml:space="preserve">neither </w:t>
      </w:r>
      <w:r w:rsidRPr="00B80B1A">
        <w:rPr>
          <w:b/>
        </w:rPr>
        <w:t xml:space="preserve">reasonable expectations </w:t>
      </w:r>
      <w:r w:rsidR="00585C52" w:rsidRPr="00B80B1A">
        <w:rPr>
          <w:b/>
        </w:rPr>
        <w:t xml:space="preserve">nor </w:t>
      </w:r>
      <w:r w:rsidRPr="00B80B1A">
        <w:rPr>
          <w:b/>
        </w:rPr>
        <w:t>regulatory mandates</w:t>
      </w:r>
      <w:r w:rsidR="00585C52" w:rsidRPr="00B80B1A">
        <w:rPr>
          <w:b/>
        </w:rPr>
        <w:t>.</w:t>
      </w:r>
    </w:p>
    <w:p w14:paraId="0D036D92" w14:textId="77777777" w:rsidR="000D4CCC" w:rsidRPr="00B80B1A" w:rsidRDefault="000D4CCC" w:rsidP="00037710">
      <w:pPr>
        <w:spacing w:after="0" w:line="240" w:lineRule="auto"/>
        <w:jc w:val="both"/>
      </w:pPr>
    </w:p>
    <w:p w14:paraId="518DF68F" w14:textId="6790EF4C" w:rsidR="00124545" w:rsidRPr="00B80B1A" w:rsidRDefault="006A6DC3" w:rsidP="00037710">
      <w:pPr>
        <w:spacing w:after="0" w:line="240" w:lineRule="auto"/>
        <w:jc w:val="both"/>
      </w:pPr>
      <w:r w:rsidRPr="00B80B1A">
        <w:t xml:space="preserve">As opposed to </w:t>
      </w:r>
      <w:r w:rsidR="00151DE2" w:rsidRPr="00B80B1A">
        <w:t>Fairness</w:t>
      </w:r>
      <w:r w:rsidRPr="00B80B1A">
        <w:t xml:space="preserve"> and </w:t>
      </w:r>
      <w:r w:rsidR="00151DE2" w:rsidRPr="00B80B1A">
        <w:t>Independence</w:t>
      </w:r>
      <w:r w:rsidRPr="00B80B1A">
        <w:t xml:space="preserve">, </w:t>
      </w:r>
      <w:r w:rsidR="00151DE2" w:rsidRPr="00B80B1A">
        <w:t>Timeliness</w:t>
      </w:r>
      <w:r w:rsidR="002368F2" w:rsidRPr="00B80B1A">
        <w:t xml:space="preserve"> is </w:t>
      </w:r>
      <w:r w:rsidR="009F5106" w:rsidRPr="00B80B1A">
        <w:t>simple</w:t>
      </w:r>
      <w:r w:rsidR="002368F2" w:rsidRPr="00B80B1A">
        <w:t xml:space="preserve"> to quantify and measure</w:t>
      </w:r>
      <w:r w:rsidR="00E34A69" w:rsidRPr="00B80B1A">
        <w:t>.</w:t>
      </w:r>
      <w:r w:rsidR="00C96182" w:rsidRPr="00B80B1A">
        <w:t xml:space="preserve"> </w:t>
      </w:r>
      <w:r w:rsidR="00E34A69" w:rsidRPr="00B80B1A">
        <w:t>T</w:t>
      </w:r>
      <w:r w:rsidR="00C96182" w:rsidRPr="00B80B1A">
        <w:t xml:space="preserve">he </w:t>
      </w:r>
      <w:r w:rsidR="0064369B" w:rsidRPr="00B80B1A">
        <w:t>DCF regulations provide</w:t>
      </w:r>
      <w:r w:rsidR="002368F2" w:rsidRPr="00B80B1A">
        <w:t xml:space="preserve"> clear guidelines on </w:t>
      </w:r>
      <w:r w:rsidR="009F5106" w:rsidRPr="00B80B1A">
        <w:t xml:space="preserve">the </w:t>
      </w:r>
      <w:r w:rsidR="002368F2" w:rsidRPr="00B80B1A">
        <w:t xml:space="preserve">expectations </w:t>
      </w:r>
      <w:r w:rsidR="009F5106" w:rsidRPr="00B80B1A">
        <w:t xml:space="preserve">for </w:t>
      </w:r>
      <w:r w:rsidR="00151DE2" w:rsidRPr="00B80B1A">
        <w:t>Fair Hearing</w:t>
      </w:r>
      <w:r w:rsidR="0003195A" w:rsidRPr="00B80B1A">
        <w:t>s</w:t>
      </w:r>
      <w:r w:rsidR="00C96182" w:rsidRPr="00B80B1A">
        <w:t>,</w:t>
      </w:r>
      <w:r w:rsidR="0003195A" w:rsidRPr="00B80B1A">
        <w:t xml:space="preserve"> and t</w:t>
      </w:r>
      <w:r w:rsidR="00624F99" w:rsidRPr="00B80B1A">
        <w:t>he d</w:t>
      </w:r>
      <w:r w:rsidR="0000784A" w:rsidRPr="00B80B1A">
        <w:t>ata</w:t>
      </w:r>
      <w:r w:rsidR="00002568" w:rsidRPr="00B80B1A">
        <w:t xml:space="preserve"> to </w:t>
      </w:r>
      <w:r w:rsidRPr="00B80B1A">
        <w:t xml:space="preserve">assess </w:t>
      </w:r>
      <w:r w:rsidR="00151DE2" w:rsidRPr="00B80B1A">
        <w:t>Timeliness</w:t>
      </w:r>
      <w:r w:rsidR="0000784A" w:rsidRPr="00B80B1A">
        <w:t xml:space="preserve">, </w:t>
      </w:r>
      <w:r w:rsidR="006B6AF5" w:rsidRPr="00B80B1A">
        <w:t xml:space="preserve">while </w:t>
      </w:r>
      <w:r w:rsidR="0000784A" w:rsidRPr="00B80B1A">
        <w:t xml:space="preserve">not perfect, is available over many years. Using </w:t>
      </w:r>
      <w:r w:rsidR="00E42D79" w:rsidRPr="00B80B1A">
        <w:t xml:space="preserve">this </w:t>
      </w:r>
      <w:r w:rsidR="00523864" w:rsidRPr="00B80B1A">
        <w:t xml:space="preserve">longitudinal </w:t>
      </w:r>
      <w:r w:rsidR="0000784A" w:rsidRPr="00B80B1A">
        <w:t>data, w</w:t>
      </w:r>
      <w:r w:rsidR="002368F2" w:rsidRPr="00B80B1A">
        <w:t xml:space="preserve">e have observed a dramatic improvement in </w:t>
      </w:r>
      <w:r w:rsidR="00151DE2" w:rsidRPr="00B80B1A">
        <w:t>Timeliness</w:t>
      </w:r>
      <w:r w:rsidR="002368F2" w:rsidRPr="00B80B1A">
        <w:t xml:space="preserve"> in recent years. </w:t>
      </w:r>
      <w:r w:rsidR="00C96182" w:rsidRPr="00B80B1A">
        <w:t>The</w:t>
      </w:r>
      <w:r w:rsidR="002368F2" w:rsidRPr="00B80B1A">
        <w:t xml:space="preserve"> Department</w:t>
      </w:r>
      <w:r w:rsidR="00C96182" w:rsidRPr="00B80B1A">
        <w:t>, however,</w:t>
      </w:r>
      <w:r w:rsidR="002368F2" w:rsidRPr="00B80B1A">
        <w:t xml:space="preserve"> is still operating </w:t>
      </w:r>
      <w:r w:rsidR="00C55008" w:rsidRPr="00B80B1A">
        <w:t xml:space="preserve">beyond </w:t>
      </w:r>
      <w:r w:rsidR="002368F2" w:rsidRPr="00B80B1A">
        <w:t xml:space="preserve">the regulatory </w:t>
      </w:r>
      <w:r w:rsidR="00871E52" w:rsidRPr="00B80B1A">
        <w:t>mandates</w:t>
      </w:r>
      <w:r w:rsidR="004579A7" w:rsidRPr="00B80B1A">
        <w:t xml:space="preserve">. </w:t>
      </w:r>
      <w:r w:rsidR="00E42D79" w:rsidRPr="00B80B1A">
        <w:t>Moreover</w:t>
      </w:r>
      <w:r w:rsidR="00C55008" w:rsidRPr="00B80B1A">
        <w:t xml:space="preserve">, </w:t>
      </w:r>
      <w:r w:rsidR="002368F2" w:rsidRPr="00B80B1A">
        <w:t xml:space="preserve">the regulations </w:t>
      </w:r>
      <w:r w:rsidR="0003195A" w:rsidRPr="00B80B1A">
        <w:t xml:space="preserve">regarding </w:t>
      </w:r>
      <w:r w:rsidR="00151DE2" w:rsidRPr="00B80B1A">
        <w:t>Timeliness</w:t>
      </w:r>
      <w:r w:rsidR="002368F2" w:rsidRPr="00B80B1A">
        <w:t xml:space="preserve"> </w:t>
      </w:r>
      <w:r w:rsidR="004F7066" w:rsidRPr="00B80B1A">
        <w:t>afford</w:t>
      </w:r>
      <w:r w:rsidR="002368F2" w:rsidRPr="00B80B1A">
        <w:t xml:space="preserve"> </w:t>
      </w:r>
      <w:r w:rsidR="00050186" w:rsidRPr="00B80B1A">
        <w:t>DCF</w:t>
      </w:r>
      <w:r w:rsidR="002368F2" w:rsidRPr="00B80B1A">
        <w:t xml:space="preserve"> </w:t>
      </w:r>
      <w:r w:rsidR="004F7066" w:rsidRPr="00B80B1A">
        <w:t>more time than</w:t>
      </w:r>
      <w:r w:rsidR="009F5106" w:rsidRPr="00B80B1A">
        <w:t xml:space="preserve"> those of</w:t>
      </w:r>
      <w:r w:rsidR="002368F2" w:rsidRPr="00B80B1A">
        <w:t xml:space="preserve"> other states</w:t>
      </w:r>
      <w:r w:rsidR="00A16BB6" w:rsidRPr="00B80B1A">
        <w:t xml:space="preserve"> </w:t>
      </w:r>
      <w:r w:rsidR="00BD40CB" w:rsidRPr="00B80B1A">
        <w:t xml:space="preserve">we </w:t>
      </w:r>
      <w:r w:rsidR="00A16BB6" w:rsidRPr="00B80B1A">
        <w:t>reviewed.</w:t>
      </w:r>
      <w:r w:rsidR="002368F2" w:rsidRPr="00B80B1A">
        <w:t xml:space="preserve"> </w:t>
      </w:r>
      <w:r w:rsidR="006D650B" w:rsidRPr="00B80B1A">
        <w:t>Our k</w:t>
      </w:r>
      <w:r w:rsidR="002368F2" w:rsidRPr="00B80B1A">
        <w:t>ey</w:t>
      </w:r>
      <w:r w:rsidR="0020635D" w:rsidRPr="00B80B1A">
        <w:t xml:space="preserve"> findings are summarized below.</w:t>
      </w:r>
    </w:p>
    <w:p w14:paraId="11F71A3E" w14:textId="77777777" w:rsidR="0020635D" w:rsidRPr="00B80B1A" w:rsidRDefault="0020635D" w:rsidP="00037710">
      <w:pPr>
        <w:spacing w:after="0" w:line="240" w:lineRule="auto"/>
        <w:jc w:val="both"/>
      </w:pPr>
    </w:p>
    <w:p w14:paraId="4E389AB3" w14:textId="1BEA2AF9" w:rsidR="00A15C1C" w:rsidRPr="00B80B1A" w:rsidRDefault="004F391B" w:rsidP="00037710">
      <w:pPr>
        <w:spacing w:after="0" w:line="240" w:lineRule="auto"/>
        <w:jc w:val="both"/>
      </w:pPr>
      <w:r w:rsidRPr="00B80B1A">
        <w:t xml:space="preserve">Using </w:t>
      </w:r>
      <w:r w:rsidR="00151DE2" w:rsidRPr="00B80B1A">
        <w:t>Fair Hearing</w:t>
      </w:r>
      <w:r w:rsidRPr="00B80B1A">
        <w:t xml:space="preserve"> data in DCF’s FamilyNet database, w</w:t>
      </w:r>
      <w:r w:rsidR="00A15C1C" w:rsidRPr="00B80B1A">
        <w:t xml:space="preserve">e evaluated the </w:t>
      </w:r>
      <w:r w:rsidR="00151DE2" w:rsidRPr="00B80B1A">
        <w:t>Timeliness</w:t>
      </w:r>
      <w:r w:rsidR="00A15C1C" w:rsidRPr="00B80B1A">
        <w:t xml:space="preserve"> of </w:t>
      </w:r>
      <w:r w:rsidR="00151DE2" w:rsidRPr="00B80B1A">
        <w:t>Fair Hearing</w:t>
      </w:r>
      <w:r w:rsidR="00A15C1C" w:rsidRPr="00B80B1A">
        <w:t>s in two distinct phases and then for the totality of</w:t>
      </w:r>
      <w:r w:rsidR="00F23F8B">
        <w:t xml:space="preserve"> the two phases of the process:</w:t>
      </w:r>
    </w:p>
    <w:p w14:paraId="32177E04" w14:textId="77777777" w:rsidR="0020635D" w:rsidRPr="00B80B1A" w:rsidRDefault="0020635D" w:rsidP="00037710">
      <w:pPr>
        <w:spacing w:after="0" w:line="240" w:lineRule="auto"/>
        <w:jc w:val="both"/>
      </w:pPr>
    </w:p>
    <w:p w14:paraId="6C939B31" w14:textId="7C925F68" w:rsidR="00A15C1C" w:rsidRPr="00B80B1A" w:rsidRDefault="0020635D" w:rsidP="00037710">
      <w:pPr>
        <w:pStyle w:val="ListParagraph"/>
        <w:numPr>
          <w:ilvl w:val="0"/>
          <w:numId w:val="9"/>
        </w:numPr>
        <w:spacing w:after="0" w:line="240" w:lineRule="auto"/>
        <w:jc w:val="both"/>
      </w:pPr>
      <w:r w:rsidRPr="00B80B1A">
        <w:rPr>
          <w:b/>
        </w:rPr>
        <w:t xml:space="preserve">Phase </w:t>
      </w:r>
      <w:r w:rsidR="009C59E2" w:rsidRPr="00B80B1A">
        <w:rPr>
          <w:b/>
        </w:rPr>
        <w:t>1</w:t>
      </w:r>
      <w:r w:rsidRPr="00B80B1A">
        <w:rPr>
          <w:b/>
        </w:rPr>
        <w:t>:</w:t>
      </w:r>
      <w:r w:rsidRPr="00B80B1A">
        <w:t xml:space="preserve"> </w:t>
      </w:r>
      <w:r w:rsidR="00B4367D" w:rsidRPr="00B80B1A">
        <w:t>The number of business days f</w:t>
      </w:r>
      <w:r w:rsidR="00A15C1C" w:rsidRPr="00B80B1A">
        <w:t xml:space="preserve">rom the appellant’s initial request for a hearing to the actual </w:t>
      </w:r>
      <w:r w:rsidR="00151DE2" w:rsidRPr="00B80B1A">
        <w:t>Fair Hearing</w:t>
      </w:r>
      <w:r w:rsidR="00A15C1C" w:rsidRPr="00B80B1A">
        <w:t xml:space="preserve"> day</w:t>
      </w:r>
      <w:r w:rsidR="00C96182" w:rsidRPr="00B80B1A">
        <w:t>;</w:t>
      </w:r>
    </w:p>
    <w:p w14:paraId="75B5A2A8" w14:textId="166312C4" w:rsidR="00A15C1C" w:rsidRPr="00B80B1A" w:rsidRDefault="00602D92" w:rsidP="00037710">
      <w:pPr>
        <w:pStyle w:val="ListParagraph"/>
        <w:numPr>
          <w:ilvl w:val="0"/>
          <w:numId w:val="9"/>
        </w:numPr>
        <w:spacing w:after="0" w:line="240" w:lineRule="auto"/>
        <w:jc w:val="both"/>
      </w:pPr>
      <w:r w:rsidRPr="00B80B1A">
        <w:rPr>
          <w:b/>
        </w:rPr>
        <w:t xml:space="preserve">Phase </w:t>
      </w:r>
      <w:r w:rsidR="009C59E2" w:rsidRPr="00B80B1A">
        <w:rPr>
          <w:b/>
        </w:rPr>
        <w:t>2</w:t>
      </w:r>
      <w:r w:rsidRPr="00B80B1A">
        <w:rPr>
          <w:b/>
        </w:rPr>
        <w:t>:</w:t>
      </w:r>
      <w:r w:rsidRPr="00B80B1A">
        <w:t xml:space="preserve"> </w:t>
      </w:r>
      <w:r w:rsidR="00B4367D" w:rsidRPr="00B80B1A">
        <w:t>The number of business days f</w:t>
      </w:r>
      <w:r w:rsidR="00A15C1C" w:rsidRPr="00B80B1A">
        <w:t xml:space="preserve">rom the </w:t>
      </w:r>
      <w:r w:rsidR="00151DE2" w:rsidRPr="00B80B1A">
        <w:t>Fair Hearing</w:t>
      </w:r>
      <w:r w:rsidR="00A15C1C" w:rsidRPr="00B80B1A">
        <w:t xml:space="preserve"> day to the issuance of the decision to the appellant</w:t>
      </w:r>
      <w:r w:rsidR="00C96182" w:rsidRPr="00B80B1A">
        <w:t>;</w:t>
      </w:r>
    </w:p>
    <w:p w14:paraId="542DEA9C" w14:textId="3902E496" w:rsidR="00A15C1C" w:rsidRPr="00B80B1A" w:rsidRDefault="00C96182" w:rsidP="00037710">
      <w:pPr>
        <w:pStyle w:val="ListParagraph"/>
        <w:numPr>
          <w:ilvl w:val="0"/>
          <w:numId w:val="9"/>
        </w:numPr>
        <w:spacing w:after="0" w:line="240" w:lineRule="auto"/>
        <w:jc w:val="both"/>
      </w:pPr>
      <w:r w:rsidRPr="00B80B1A">
        <w:rPr>
          <w:b/>
        </w:rPr>
        <w:t xml:space="preserve">Total: </w:t>
      </w:r>
      <w:r w:rsidR="00A15C1C" w:rsidRPr="00B80B1A">
        <w:t xml:space="preserve">The total number of business days between the appellant’s initial </w:t>
      </w:r>
      <w:proofErr w:type="gramStart"/>
      <w:r w:rsidR="00A15C1C" w:rsidRPr="00B80B1A">
        <w:t>request</w:t>
      </w:r>
      <w:proofErr w:type="gramEnd"/>
      <w:r w:rsidR="00A15C1C" w:rsidRPr="00B80B1A">
        <w:t xml:space="preserve"> for a hearing to the issuance of the decision to the appellant.</w:t>
      </w:r>
    </w:p>
    <w:p w14:paraId="119313B4" w14:textId="77777777" w:rsidR="0020635D" w:rsidRPr="00B80B1A" w:rsidRDefault="0020635D" w:rsidP="00037710">
      <w:pPr>
        <w:spacing w:after="0" w:line="240" w:lineRule="auto"/>
        <w:jc w:val="both"/>
      </w:pPr>
    </w:p>
    <w:p w14:paraId="3DA43369" w14:textId="77777777" w:rsidR="00F23F8B" w:rsidRDefault="00602D92" w:rsidP="00F23F8B">
      <w:pPr>
        <w:spacing w:after="0" w:line="240" w:lineRule="auto"/>
        <w:jc w:val="both"/>
      </w:pPr>
      <w:r w:rsidRPr="00B80B1A">
        <w:t xml:space="preserve">Our findings suggest that the </w:t>
      </w:r>
      <w:r w:rsidR="00151DE2" w:rsidRPr="00B80B1A">
        <w:t>Timeliness</w:t>
      </w:r>
      <w:r w:rsidR="0020635D" w:rsidRPr="00B80B1A">
        <w:t xml:space="preserve"> of the </w:t>
      </w:r>
      <w:r w:rsidR="00151DE2" w:rsidRPr="00B80B1A">
        <w:t>Fair Hearing</w:t>
      </w:r>
      <w:r w:rsidR="0020635D" w:rsidRPr="00B80B1A">
        <w:t xml:space="preserve"> </w:t>
      </w:r>
      <w:r w:rsidR="00382858">
        <w:t>p</w:t>
      </w:r>
      <w:r w:rsidR="0020635D" w:rsidRPr="00B80B1A">
        <w:t>rocess has been improving significantly under the leadership of the current DCF General Counsel. As illustrated in the charts on the next page, the changes have been remarkable in all phases, with steady improvement since 2005 and particularly impressive since 2010, excluding backlogged cases</w:t>
      </w:r>
      <w:r w:rsidR="00F23F8B">
        <w:t>.</w:t>
      </w:r>
    </w:p>
    <w:p w14:paraId="2685B8AC" w14:textId="21D81B8C" w:rsidR="00F23F8B" w:rsidRDefault="00602D92" w:rsidP="00F23F8B">
      <w:pPr>
        <w:spacing w:after="0" w:line="240" w:lineRule="auto"/>
        <w:jc w:val="center"/>
        <w:rPr>
          <w:sz w:val="20"/>
        </w:rPr>
      </w:pPr>
      <w:r w:rsidRPr="00B80B1A">
        <w:rPr>
          <w:noProof/>
        </w:rPr>
        <w:lastRenderedPageBreak/>
        <w:drawing>
          <wp:inline distT="0" distB="0" distL="0" distR="0" wp14:anchorId="0DBDFEA1" wp14:editId="69F81B61">
            <wp:extent cx="6122670" cy="7494270"/>
            <wp:effectExtent l="19050" t="19050" r="11430" b="11430"/>
            <wp:docPr id="30" name="Picture 30" descr="Bar graphs showing the average number of business days from request to fair hearing, from fair hearing to decision issuance, and request to decision issuance.  Data provided in context below." title="Bar graphs of average number of business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Timeliness Slide Jpeg.jpg"/>
                    <pic:cNvPicPr/>
                  </pic:nvPicPr>
                  <pic:blipFill>
                    <a:blip r:embed="rId10">
                      <a:extLst>
                        <a:ext uri="{28A0092B-C50C-407E-A947-70E740481C1C}">
                          <a14:useLocalDpi xmlns:a14="http://schemas.microsoft.com/office/drawing/2010/main" val="0"/>
                        </a:ext>
                      </a:extLst>
                    </a:blip>
                    <a:stretch>
                      <a:fillRect/>
                    </a:stretch>
                  </pic:blipFill>
                  <pic:spPr>
                    <a:xfrm>
                      <a:off x="0" y="0"/>
                      <a:ext cx="6122670" cy="7494270"/>
                    </a:xfrm>
                    <a:prstGeom prst="rect">
                      <a:avLst/>
                    </a:prstGeom>
                    <a:ln>
                      <a:solidFill>
                        <a:schemeClr val="bg1">
                          <a:lumMod val="85000"/>
                        </a:schemeClr>
                      </a:solidFill>
                    </a:ln>
                  </pic:spPr>
                </pic:pic>
              </a:graphicData>
            </a:graphic>
          </wp:inline>
        </w:drawing>
      </w:r>
    </w:p>
    <w:p w14:paraId="5DCCFD4D" w14:textId="77777777" w:rsidR="0009531D" w:rsidRDefault="0009531D" w:rsidP="0009531D">
      <w:pPr>
        <w:spacing w:after="0" w:line="240" w:lineRule="auto"/>
        <w:jc w:val="center"/>
        <w:rPr>
          <w:sz w:val="20"/>
        </w:rPr>
      </w:pPr>
      <w:r w:rsidRPr="0009531D">
        <w:rPr>
          <w:sz w:val="20"/>
        </w:rPr>
        <w:t>Source: Appendix FamilyNet Data Analysis</w:t>
      </w:r>
    </w:p>
    <w:p w14:paraId="52D72954" w14:textId="77777777" w:rsidR="0009531D" w:rsidRDefault="0009531D" w:rsidP="00037710">
      <w:pPr>
        <w:spacing w:after="0" w:line="240" w:lineRule="auto"/>
        <w:jc w:val="both"/>
        <w:rPr>
          <w:sz w:val="20"/>
        </w:rPr>
      </w:pPr>
    </w:p>
    <w:p w14:paraId="0D10A68A" w14:textId="1C1E5608" w:rsidR="00BD49E5" w:rsidRPr="00B80B1A" w:rsidRDefault="008D46BB" w:rsidP="00037710">
      <w:pPr>
        <w:spacing w:after="0" w:line="240" w:lineRule="auto"/>
        <w:jc w:val="both"/>
      </w:pPr>
      <w:r w:rsidRPr="00B80B1A">
        <w:t>The time f</w:t>
      </w:r>
      <w:r w:rsidR="0003195A" w:rsidRPr="00B80B1A">
        <w:t>rom the appellant’s r</w:t>
      </w:r>
      <w:r w:rsidR="009F434F" w:rsidRPr="00B80B1A">
        <w:t xml:space="preserve">equest to </w:t>
      </w:r>
      <w:r w:rsidR="0003195A" w:rsidRPr="00B80B1A">
        <w:t xml:space="preserve">the actual </w:t>
      </w:r>
      <w:r w:rsidR="00151DE2" w:rsidRPr="00B80B1A">
        <w:t>Fair Hearing</w:t>
      </w:r>
      <w:r w:rsidR="009F434F" w:rsidRPr="00B80B1A">
        <w:t xml:space="preserve"> </w:t>
      </w:r>
      <w:r w:rsidRPr="00B80B1A">
        <w:t>was</w:t>
      </w:r>
      <w:r w:rsidR="00BD49E5" w:rsidRPr="00B80B1A">
        <w:t xml:space="preserve"> 418 days </w:t>
      </w:r>
      <w:r w:rsidR="0003195A" w:rsidRPr="00B80B1A">
        <w:t xml:space="preserve">on average </w:t>
      </w:r>
      <w:r w:rsidR="00BD49E5" w:rsidRPr="00B80B1A">
        <w:t>in 2005</w:t>
      </w:r>
      <w:r w:rsidRPr="00B80B1A">
        <w:t>;</w:t>
      </w:r>
      <w:r w:rsidR="00BD49E5" w:rsidRPr="00B80B1A">
        <w:t xml:space="preserve"> </w:t>
      </w:r>
      <w:r w:rsidR="009E57B7" w:rsidRPr="00B80B1A">
        <w:t>whereas</w:t>
      </w:r>
      <w:r w:rsidR="00BD49E5" w:rsidRPr="00B80B1A">
        <w:t xml:space="preserve"> i</w:t>
      </w:r>
      <w:r w:rsidR="00AC632C" w:rsidRPr="00B80B1A">
        <w:t>n 2014</w:t>
      </w:r>
      <w:r w:rsidR="00BD49E5" w:rsidRPr="00B80B1A">
        <w:t xml:space="preserve"> the average was 68 business days, ve</w:t>
      </w:r>
      <w:r w:rsidR="00E72452" w:rsidRPr="00B80B1A">
        <w:t>ry close to the 65 business day</w:t>
      </w:r>
      <w:r w:rsidR="00BD49E5" w:rsidRPr="00B80B1A">
        <w:t xml:space="preserve"> requirement in the </w:t>
      </w:r>
      <w:r w:rsidR="00BD49E5" w:rsidRPr="00B80B1A">
        <w:lastRenderedPageBreak/>
        <w:t>current regulations</w:t>
      </w:r>
      <w:r w:rsidR="004579A7" w:rsidRPr="00B80B1A">
        <w:t xml:space="preserve">. </w:t>
      </w:r>
      <w:r w:rsidR="00BD49E5" w:rsidRPr="00B80B1A">
        <w:t>Similarly, the average duration</w:t>
      </w:r>
      <w:r w:rsidR="009F434F" w:rsidRPr="00B80B1A">
        <w:t xml:space="preserve"> from the </w:t>
      </w:r>
      <w:r w:rsidR="00151DE2" w:rsidRPr="00B80B1A">
        <w:t>Fair Hearing</w:t>
      </w:r>
      <w:r w:rsidR="009F434F" w:rsidRPr="00B80B1A">
        <w:t xml:space="preserve"> to decision</w:t>
      </w:r>
      <w:r w:rsidR="00BD49E5" w:rsidRPr="00B80B1A">
        <w:t xml:space="preserve"> </w:t>
      </w:r>
      <w:r w:rsidR="0003195A" w:rsidRPr="00B80B1A">
        <w:t xml:space="preserve">issuance </w:t>
      </w:r>
      <w:r w:rsidR="00BD49E5" w:rsidRPr="00B80B1A">
        <w:t>decreased from 393 business days in 2005 to 100 business days in 2014, only 10 business days above the upper regulatory limit.</w:t>
      </w:r>
      <w:r w:rsidR="0071139F" w:rsidRPr="00B80B1A">
        <w:rPr>
          <w:rStyle w:val="FootnoteReference"/>
        </w:rPr>
        <w:footnoteReference w:id="9"/>
      </w:r>
      <w:r w:rsidR="00BD49E5" w:rsidRPr="00B80B1A">
        <w:t xml:space="preserve"> When the entire decision cycle from the appellant’s hearing request to decision </w:t>
      </w:r>
      <w:r w:rsidR="0003195A" w:rsidRPr="00B80B1A">
        <w:t xml:space="preserve">issuance </w:t>
      </w:r>
      <w:r w:rsidR="00BD49E5" w:rsidRPr="00B80B1A">
        <w:t xml:space="preserve">is considered, the improvement is particularly impressive: from 810 business days to 168 business days in the same </w:t>
      </w:r>
      <w:r w:rsidR="00780D46" w:rsidRPr="00B80B1A">
        <w:t xml:space="preserve">time </w:t>
      </w:r>
      <w:r w:rsidR="00BD49E5" w:rsidRPr="00B80B1A">
        <w:t>period</w:t>
      </w:r>
      <w:r w:rsidR="009F434F" w:rsidRPr="00B80B1A">
        <w:t xml:space="preserve">, which, again, is </w:t>
      </w:r>
      <w:r w:rsidR="00F06D21" w:rsidRPr="00B80B1A">
        <w:t xml:space="preserve">very close to the </w:t>
      </w:r>
      <w:r w:rsidR="003E2460" w:rsidRPr="00B80B1A">
        <w:t xml:space="preserve">regulatory </w:t>
      </w:r>
      <w:r w:rsidR="00F06D21" w:rsidRPr="00B80B1A">
        <w:t>upper limit of 155 business days.</w:t>
      </w:r>
    </w:p>
    <w:p w14:paraId="0C807365" w14:textId="77777777" w:rsidR="003B7D55" w:rsidRPr="00B80B1A" w:rsidRDefault="003B7D55" w:rsidP="00037710">
      <w:pPr>
        <w:spacing w:after="0" w:line="240" w:lineRule="auto"/>
        <w:jc w:val="both"/>
      </w:pPr>
    </w:p>
    <w:p w14:paraId="52D1C0D7" w14:textId="3544A27A" w:rsidR="003E2460" w:rsidRPr="00B80B1A" w:rsidRDefault="000F64FA" w:rsidP="00037710">
      <w:pPr>
        <w:spacing w:after="0" w:line="240" w:lineRule="auto"/>
        <w:jc w:val="both"/>
      </w:pPr>
      <w:r w:rsidRPr="00B80B1A">
        <w:t>Possibly a</w:t>
      </w:r>
      <w:r w:rsidR="004F391B" w:rsidRPr="00B80B1A">
        <w:t>s a re</w:t>
      </w:r>
      <w:r w:rsidR="001B455E" w:rsidRPr="00B80B1A">
        <w:t>flection</w:t>
      </w:r>
      <w:r w:rsidR="004F391B" w:rsidRPr="00B80B1A">
        <w:t xml:space="preserve"> of improving </w:t>
      </w:r>
      <w:r w:rsidR="00151DE2" w:rsidRPr="00B80B1A">
        <w:t>Timeliness</w:t>
      </w:r>
      <w:r w:rsidR="004F391B" w:rsidRPr="00B80B1A">
        <w:t xml:space="preserve"> metrics, appellants’ voluntary</w:t>
      </w:r>
      <w:r w:rsidR="007A572C" w:rsidRPr="00B80B1A">
        <w:t xml:space="preserve"> withdrawal rates</w:t>
      </w:r>
      <w:r w:rsidR="004F391B" w:rsidRPr="00B80B1A">
        <w:t xml:space="preserve"> </w:t>
      </w:r>
      <w:r w:rsidR="00780D46" w:rsidRPr="00B80B1A">
        <w:t>after having requested</w:t>
      </w:r>
      <w:r w:rsidR="00651964" w:rsidRPr="00B80B1A">
        <w:t xml:space="preserve"> a </w:t>
      </w:r>
      <w:r w:rsidR="00151DE2" w:rsidRPr="00B80B1A">
        <w:t>Fair Hearing</w:t>
      </w:r>
      <w:r w:rsidR="00651964" w:rsidRPr="00B80B1A">
        <w:t xml:space="preserve"> </w:t>
      </w:r>
      <w:r w:rsidR="004F391B" w:rsidRPr="00B80B1A">
        <w:t>declined from a staggering 67% in 2005 to 4-7% in the past</w:t>
      </w:r>
      <w:r w:rsidR="00F500F5" w:rsidRPr="00B80B1A">
        <w:t xml:space="preserve"> two</w:t>
      </w:r>
      <w:r w:rsidR="004F391B" w:rsidRPr="00B80B1A">
        <w:t xml:space="preserve"> years.</w:t>
      </w:r>
    </w:p>
    <w:p w14:paraId="47E32EE0" w14:textId="77777777" w:rsidR="00602D92" w:rsidRPr="00B80B1A" w:rsidRDefault="00602D92" w:rsidP="00037710">
      <w:pPr>
        <w:spacing w:after="0" w:line="240" w:lineRule="auto"/>
        <w:jc w:val="both"/>
      </w:pPr>
    </w:p>
    <w:p w14:paraId="2647575E" w14:textId="1FCE912A" w:rsidR="00BA2EC3" w:rsidRPr="00B80B1A" w:rsidRDefault="00BA2EC3" w:rsidP="00037710">
      <w:pPr>
        <w:pStyle w:val="Heading3"/>
        <w:numPr>
          <w:ilvl w:val="0"/>
          <w:numId w:val="33"/>
        </w:numPr>
        <w:jc w:val="both"/>
        <w:rPr>
          <w:i/>
          <w:sz w:val="28"/>
        </w:rPr>
      </w:pPr>
      <w:bookmarkStart w:id="38" w:name="_Toc421781189"/>
      <w:r w:rsidRPr="00B80B1A">
        <w:rPr>
          <w:i/>
          <w:sz w:val="28"/>
        </w:rPr>
        <w:t>Backlog</w:t>
      </w:r>
      <w:bookmarkEnd w:id="38"/>
    </w:p>
    <w:p w14:paraId="19EF7749" w14:textId="77777777" w:rsidR="00BA2EC3" w:rsidRPr="00B80B1A" w:rsidRDefault="00BA2EC3" w:rsidP="00037710">
      <w:pPr>
        <w:spacing w:after="0" w:line="240" w:lineRule="auto"/>
        <w:jc w:val="both"/>
      </w:pPr>
    </w:p>
    <w:p w14:paraId="4FC4BD36" w14:textId="0F4CF4E1" w:rsidR="00930686" w:rsidRPr="00B80B1A" w:rsidRDefault="00033869" w:rsidP="00037710">
      <w:pPr>
        <w:spacing w:after="0" w:line="240" w:lineRule="auto"/>
        <w:jc w:val="both"/>
      </w:pPr>
      <w:r w:rsidRPr="00B80B1A">
        <w:t>The</w:t>
      </w:r>
      <w:r w:rsidR="003E2460" w:rsidRPr="00B80B1A">
        <w:t xml:space="preserve"> above </w:t>
      </w:r>
      <w:r w:rsidRPr="00B80B1A">
        <w:t xml:space="preserve">charts </w:t>
      </w:r>
      <w:r w:rsidR="00002568" w:rsidRPr="00B80B1A">
        <w:t xml:space="preserve">unfortunately </w:t>
      </w:r>
      <w:r w:rsidR="003E2460" w:rsidRPr="00B80B1A">
        <w:t>unders</w:t>
      </w:r>
      <w:r w:rsidR="004A1383" w:rsidRPr="00B80B1A">
        <w:t xml:space="preserve">tate the </w:t>
      </w:r>
      <w:r w:rsidR="002B69A5" w:rsidRPr="00B80B1A">
        <w:t xml:space="preserve">magnitude of the Timeliness </w:t>
      </w:r>
      <w:r w:rsidR="004A1383" w:rsidRPr="00B80B1A">
        <w:t>problem as they ignore</w:t>
      </w:r>
      <w:r w:rsidR="00002568" w:rsidRPr="00B80B1A">
        <w:t xml:space="preserve"> the backlog</w:t>
      </w:r>
      <w:r w:rsidR="003E2460" w:rsidRPr="00B80B1A">
        <w:t>. In fact</w:t>
      </w:r>
      <w:r w:rsidR="007A572C" w:rsidRPr="00B80B1A">
        <w:t xml:space="preserve">, the number of </w:t>
      </w:r>
      <w:r w:rsidR="008F0A29" w:rsidRPr="00B80B1A">
        <w:t>open</w:t>
      </w:r>
      <w:r w:rsidR="007A572C" w:rsidRPr="00B80B1A">
        <w:t xml:space="preserve"> </w:t>
      </w:r>
      <w:r w:rsidR="008F0A29" w:rsidRPr="00B80B1A">
        <w:t xml:space="preserve">and backlogged </w:t>
      </w:r>
      <w:r w:rsidR="002B69A5" w:rsidRPr="00B80B1A">
        <w:t>cases is too substantial</w:t>
      </w:r>
      <w:r w:rsidR="00930686" w:rsidRPr="00B80B1A">
        <w:t xml:space="preserve"> for the entire process</w:t>
      </w:r>
      <w:r w:rsidR="00651964" w:rsidRPr="00B80B1A">
        <w:t xml:space="preserve"> to qualify</w:t>
      </w:r>
      <w:r w:rsidR="008F0A29" w:rsidRPr="00B80B1A">
        <w:t xml:space="preserve"> as timely</w:t>
      </w:r>
      <w:r w:rsidR="004579A7" w:rsidRPr="00B80B1A">
        <w:t xml:space="preserve">. </w:t>
      </w:r>
      <w:r w:rsidR="008F0A29" w:rsidRPr="00B80B1A">
        <w:t xml:space="preserve">An open case is </w:t>
      </w:r>
      <w:r w:rsidR="0003195A" w:rsidRPr="00B80B1A">
        <w:t xml:space="preserve">defined as </w:t>
      </w:r>
      <w:r w:rsidR="008F0A29" w:rsidRPr="00B80B1A">
        <w:t xml:space="preserve">one that has been in the pipeline without closure for </w:t>
      </w:r>
      <w:r w:rsidR="008D46BB" w:rsidRPr="00B80B1A">
        <w:t xml:space="preserve">fewer </w:t>
      </w:r>
      <w:r w:rsidR="008F0A29" w:rsidRPr="00B80B1A">
        <w:t xml:space="preserve">than </w:t>
      </w:r>
      <w:r w:rsidR="00A84FD1" w:rsidRPr="00B80B1A">
        <w:t xml:space="preserve">180 days, and a backlogged case </w:t>
      </w:r>
      <w:r w:rsidR="0003195A" w:rsidRPr="00B80B1A">
        <w:t>as</w:t>
      </w:r>
      <w:r w:rsidR="008F0A29" w:rsidRPr="00B80B1A">
        <w:t xml:space="preserve"> one that has been in the pipeline without closure </w:t>
      </w:r>
      <w:r w:rsidR="009F434F" w:rsidRPr="00B80B1A">
        <w:t xml:space="preserve">for </w:t>
      </w:r>
      <w:r w:rsidR="008F0A29" w:rsidRPr="00B80B1A">
        <w:t>more than 180 days.</w:t>
      </w:r>
    </w:p>
    <w:p w14:paraId="3F27E3C9" w14:textId="77777777" w:rsidR="00253270" w:rsidRPr="00B80B1A" w:rsidRDefault="00253270" w:rsidP="00037710">
      <w:pPr>
        <w:spacing w:after="0" w:line="240" w:lineRule="auto"/>
        <w:jc w:val="both"/>
      </w:pPr>
    </w:p>
    <w:p w14:paraId="3DDE41FC" w14:textId="44B6CF78" w:rsidR="00955BAE" w:rsidRPr="00B80B1A" w:rsidRDefault="00201782" w:rsidP="00037710">
      <w:pPr>
        <w:spacing w:after="0" w:line="240" w:lineRule="auto"/>
        <w:ind w:left="720"/>
        <w:jc w:val="center"/>
      </w:pPr>
      <w:r w:rsidRPr="00B80B1A">
        <w:rPr>
          <w:noProof/>
        </w:rPr>
        <w:drawing>
          <wp:inline distT="0" distB="0" distL="0" distR="0" wp14:anchorId="3442098F" wp14:editId="4BA34ECF">
            <wp:extent cx="4965589" cy="2466753"/>
            <wp:effectExtent l="0" t="0" r="6985" b="0"/>
            <wp:docPr id="12" name="Picture 12" descr="Data provided in context below." title="Open and Backlogged Cases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8989"/>
                    <a:stretch/>
                  </pic:blipFill>
                  <pic:spPr bwMode="auto">
                    <a:xfrm>
                      <a:off x="0" y="0"/>
                      <a:ext cx="4992090" cy="2479918"/>
                    </a:xfrm>
                    <a:prstGeom prst="rect">
                      <a:avLst/>
                    </a:prstGeom>
                    <a:ln>
                      <a:noFill/>
                    </a:ln>
                    <a:extLst>
                      <a:ext uri="{53640926-AAD7-44D8-BBD7-CCE9431645EC}">
                        <a14:shadowObscured xmlns:a14="http://schemas.microsoft.com/office/drawing/2010/main"/>
                      </a:ext>
                    </a:extLst>
                  </pic:spPr>
                </pic:pic>
              </a:graphicData>
            </a:graphic>
          </wp:inline>
        </w:drawing>
      </w:r>
    </w:p>
    <w:p w14:paraId="2D2ED42C" w14:textId="68207C9F" w:rsidR="00837636" w:rsidRPr="00B80B1A" w:rsidRDefault="0064369B" w:rsidP="00FF2382">
      <w:pPr>
        <w:spacing w:after="0" w:line="240" w:lineRule="auto"/>
        <w:ind w:firstLine="720"/>
        <w:jc w:val="center"/>
        <w:rPr>
          <w:sz w:val="20"/>
          <w:szCs w:val="20"/>
        </w:rPr>
      </w:pPr>
      <w:r w:rsidRPr="00B80B1A">
        <w:rPr>
          <w:sz w:val="20"/>
          <w:szCs w:val="20"/>
        </w:rPr>
        <w:t xml:space="preserve">Source: </w:t>
      </w:r>
      <w:r w:rsidR="00DD09B4" w:rsidRPr="00B80B1A">
        <w:rPr>
          <w:sz w:val="20"/>
          <w:szCs w:val="20"/>
        </w:rPr>
        <w:t xml:space="preserve">Appendix </w:t>
      </w:r>
      <w:r w:rsidRPr="00B80B1A">
        <w:rPr>
          <w:sz w:val="20"/>
          <w:szCs w:val="20"/>
        </w:rPr>
        <w:t>FamilyNet Data</w:t>
      </w:r>
      <w:r w:rsidR="00DD09B4" w:rsidRPr="00B80B1A">
        <w:rPr>
          <w:sz w:val="20"/>
          <w:szCs w:val="20"/>
        </w:rPr>
        <w:t xml:space="preserve"> Analysis</w:t>
      </w:r>
    </w:p>
    <w:p w14:paraId="785A65F7" w14:textId="77777777" w:rsidR="00253270" w:rsidRPr="00B80B1A" w:rsidRDefault="00253270" w:rsidP="00037710">
      <w:pPr>
        <w:spacing w:after="0" w:line="240" w:lineRule="auto"/>
        <w:jc w:val="both"/>
      </w:pPr>
    </w:p>
    <w:p w14:paraId="712DEFEC" w14:textId="165B277E" w:rsidR="008F0A29" w:rsidRPr="00B80B1A" w:rsidRDefault="008F0A29" w:rsidP="00037710">
      <w:pPr>
        <w:spacing w:after="0" w:line="240" w:lineRule="auto"/>
        <w:jc w:val="both"/>
      </w:pPr>
      <w:r w:rsidRPr="00B80B1A">
        <w:t>As of</w:t>
      </w:r>
      <w:r w:rsidR="001B455E" w:rsidRPr="00B80B1A">
        <w:t xml:space="preserve"> </w:t>
      </w:r>
      <w:r w:rsidR="008D46BB" w:rsidRPr="00B80B1A">
        <w:t>December 31, 2014</w:t>
      </w:r>
      <w:r w:rsidRPr="00B80B1A">
        <w:t>, there were 2,126 open and backlogged cases in the pipeline</w:t>
      </w:r>
      <w:r w:rsidR="004579A7" w:rsidRPr="00B80B1A">
        <w:t xml:space="preserve">. </w:t>
      </w:r>
      <w:r w:rsidR="003E2460" w:rsidRPr="00B80B1A">
        <w:t>Some of the</w:t>
      </w:r>
      <w:r w:rsidR="0064369B" w:rsidRPr="00B80B1A">
        <w:t>se cases go as far back as 2005.</w:t>
      </w:r>
      <w:r w:rsidR="003E2460" w:rsidRPr="00B80B1A">
        <w:t xml:space="preserve"> </w:t>
      </w:r>
      <w:r w:rsidR="00DC7499" w:rsidRPr="00B80B1A">
        <w:t>This volume consists</w:t>
      </w:r>
      <w:r w:rsidR="00001AD1" w:rsidRPr="00B80B1A">
        <w:t xml:space="preserve"> of </w:t>
      </w:r>
      <w:r w:rsidR="00850D7B" w:rsidRPr="00B80B1A">
        <w:t xml:space="preserve">three </w:t>
      </w:r>
      <w:r w:rsidR="00001AD1" w:rsidRPr="00B80B1A">
        <w:t>components:</w:t>
      </w:r>
    </w:p>
    <w:p w14:paraId="0A5A34E9" w14:textId="77777777" w:rsidR="00A2395D" w:rsidRPr="00B80B1A" w:rsidRDefault="00A2395D" w:rsidP="00037710">
      <w:pPr>
        <w:spacing w:after="0" w:line="240" w:lineRule="auto"/>
        <w:ind w:left="720"/>
        <w:jc w:val="both"/>
      </w:pPr>
    </w:p>
    <w:p w14:paraId="41AC9201" w14:textId="6244E1CE" w:rsidR="00001AD1" w:rsidRPr="00B80B1A" w:rsidRDefault="00001AD1" w:rsidP="00037710">
      <w:pPr>
        <w:pStyle w:val="ListParagraph"/>
        <w:numPr>
          <w:ilvl w:val="0"/>
          <w:numId w:val="17"/>
        </w:numPr>
        <w:spacing w:after="0" w:line="240" w:lineRule="auto"/>
        <w:jc w:val="both"/>
      </w:pPr>
      <w:r w:rsidRPr="00B80B1A">
        <w:t xml:space="preserve">A </w:t>
      </w:r>
      <w:r w:rsidR="001A4961" w:rsidRPr="00B80B1A">
        <w:t>Hearing Officer</w:t>
      </w:r>
      <w:r w:rsidRPr="00B80B1A">
        <w:t xml:space="preserve"> segment: </w:t>
      </w:r>
      <w:r w:rsidR="00F4740C" w:rsidRPr="00B80B1A">
        <w:t xml:space="preserve">1,307 </w:t>
      </w:r>
      <w:r w:rsidRPr="00B80B1A">
        <w:t xml:space="preserve">cases </w:t>
      </w:r>
      <w:r w:rsidR="00B4367D" w:rsidRPr="00B80B1A">
        <w:t>for which</w:t>
      </w:r>
      <w:r w:rsidR="0081551F" w:rsidRPr="00B80B1A">
        <w:t xml:space="preserve"> </w:t>
      </w:r>
      <w:r w:rsidR="001A4961" w:rsidRPr="00B80B1A">
        <w:t>Hearing Officer</w:t>
      </w:r>
      <w:r w:rsidRPr="00B80B1A">
        <w:t>s did not yet hear, rule</w:t>
      </w:r>
      <w:r w:rsidR="00EC76A0" w:rsidRPr="00B80B1A">
        <w:t>,</w:t>
      </w:r>
      <w:r w:rsidRPr="00B80B1A">
        <w:t xml:space="preserve"> or issue a decision</w:t>
      </w:r>
      <w:r w:rsidR="0081551F" w:rsidRPr="00B80B1A">
        <w:t xml:space="preserve"> </w:t>
      </w:r>
      <w:r w:rsidR="00F4740C" w:rsidRPr="00B80B1A">
        <w:t>(59% backlogged, 41% open)</w:t>
      </w:r>
      <w:r w:rsidR="00EC76A0" w:rsidRPr="00B80B1A">
        <w:t>;</w:t>
      </w:r>
    </w:p>
    <w:p w14:paraId="146A1585" w14:textId="5BD43775" w:rsidR="00001AD1" w:rsidRPr="00B80B1A" w:rsidRDefault="00001AD1" w:rsidP="00037710">
      <w:pPr>
        <w:pStyle w:val="ListParagraph"/>
        <w:numPr>
          <w:ilvl w:val="0"/>
          <w:numId w:val="17"/>
        </w:numPr>
        <w:spacing w:after="0" w:line="240" w:lineRule="auto"/>
        <w:jc w:val="both"/>
      </w:pPr>
      <w:r w:rsidRPr="00B80B1A">
        <w:t xml:space="preserve">A </w:t>
      </w:r>
      <w:r w:rsidR="00151DE2" w:rsidRPr="00B80B1A">
        <w:t>Supervisor</w:t>
      </w:r>
      <w:r w:rsidRPr="00B80B1A">
        <w:t xml:space="preserve"> segment: </w:t>
      </w:r>
      <w:r w:rsidR="00833A00" w:rsidRPr="00B80B1A">
        <w:t>60</w:t>
      </w:r>
      <w:r w:rsidR="00F4740C" w:rsidRPr="00B80B1A">
        <w:t xml:space="preserve">4 </w:t>
      </w:r>
      <w:r w:rsidRPr="00B80B1A">
        <w:t xml:space="preserve">cases </w:t>
      </w:r>
      <w:r w:rsidR="0060506B">
        <w:t xml:space="preserve">on which </w:t>
      </w:r>
      <w:r w:rsidRPr="00B80B1A">
        <w:t xml:space="preserve">a </w:t>
      </w:r>
      <w:r w:rsidR="001A4961" w:rsidRPr="00B80B1A">
        <w:t>Hearing Officer</w:t>
      </w:r>
      <w:r w:rsidRPr="00B80B1A">
        <w:t xml:space="preserve"> issued a decision</w:t>
      </w:r>
      <w:r w:rsidR="0081551F" w:rsidRPr="00B80B1A">
        <w:t xml:space="preserve"> </w:t>
      </w:r>
      <w:r w:rsidRPr="00B80B1A">
        <w:t>, but</w:t>
      </w:r>
      <w:r w:rsidR="0052089B" w:rsidRPr="00B80B1A">
        <w:t xml:space="preserve"> a </w:t>
      </w:r>
      <w:r w:rsidR="00151DE2" w:rsidRPr="00B80B1A">
        <w:t>Supervisor</w:t>
      </w:r>
      <w:r w:rsidR="0052089B" w:rsidRPr="00B80B1A">
        <w:t xml:space="preserve"> h</w:t>
      </w:r>
      <w:r w:rsidR="0081551F" w:rsidRPr="00B80B1A">
        <w:t>as not yet reviewed and signed</w:t>
      </w:r>
      <w:r w:rsidR="00B16A1F" w:rsidRPr="00B80B1A">
        <w:t xml:space="preserve"> (89</w:t>
      </w:r>
      <w:r w:rsidR="00F4740C" w:rsidRPr="00B80B1A">
        <w:t>% backlogged</w:t>
      </w:r>
      <w:r w:rsidR="00B16A1F" w:rsidRPr="00B80B1A">
        <w:t>, 11</w:t>
      </w:r>
      <w:r w:rsidR="00F4740C" w:rsidRPr="00B80B1A">
        <w:t>% open)</w:t>
      </w:r>
      <w:r w:rsidR="00EC76A0" w:rsidRPr="00B80B1A">
        <w:t>;</w:t>
      </w:r>
    </w:p>
    <w:p w14:paraId="2519FEC9" w14:textId="01247833" w:rsidR="00780D46" w:rsidRPr="00B80B1A" w:rsidRDefault="00001AD1" w:rsidP="00037710">
      <w:pPr>
        <w:pStyle w:val="ListParagraph"/>
        <w:numPr>
          <w:ilvl w:val="0"/>
          <w:numId w:val="17"/>
        </w:numPr>
        <w:spacing w:after="0" w:line="240" w:lineRule="auto"/>
        <w:jc w:val="both"/>
      </w:pPr>
      <w:r w:rsidRPr="00B80B1A">
        <w:t xml:space="preserve">An unscheduled segment: </w:t>
      </w:r>
      <w:r w:rsidR="00F4740C" w:rsidRPr="00B80B1A">
        <w:t xml:space="preserve">215 </w:t>
      </w:r>
      <w:r w:rsidRPr="00B80B1A">
        <w:t xml:space="preserve">cases that were accepted but </w:t>
      </w:r>
      <w:r w:rsidR="0052089B" w:rsidRPr="00B80B1A">
        <w:t xml:space="preserve">have not </w:t>
      </w:r>
      <w:r w:rsidR="00850D7B" w:rsidRPr="00B80B1A">
        <w:t xml:space="preserve">yet </w:t>
      </w:r>
      <w:r w:rsidR="0052089B" w:rsidRPr="00B80B1A">
        <w:t xml:space="preserve">been </w:t>
      </w:r>
      <w:r w:rsidRPr="00B80B1A">
        <w:t xml:space="preserve">scheduled for a </w:t>
      </w:r>
      <w:r w:rsidR="00151DE2" w:rsidRPr="00B80B1A">
        <w:t>Fair Hearing</w:t>
      </w:r>
      <w:r w:rsidRPr="00B80B1A">
        <w:t xml:space="preserve"> </w:t>
      </w:r>
      <w:r w:rsidR="00B16A1F" w:rsidRPr="00B80B1A">
        <w:t>(100% backlogged)</w:t>
      </w:r>
      <w:r w:rsidR="00EC76A0" w:rsidRPr="00B80B1A">
        <w:t>.</w:t>
      </w:r>
    </w:p>
    <w:p w14:paraId="299D483D" w14:textId="77777777" w:rsidR="00780D46" w:rsidRPr="00B80B1A" w:rsidRDefault="00780D46" w:rsidP="00780D46">
      <w:pPr>
        <w:pStyle w:val="ListParagraph"/>
        <w:spacing w:after="0" w:line="240" w:lineRule="auto"/>
        <w:ind w:left="1080"/>
        <w:jc w:val="both"/>
      </w:pPr>
    </w:p>
    <w:p w14:paraId="729F79D6" w14:textId="71501E0A" w:rsidR="0046641D" w:rsidRPr="00B80B1A" w:rsidRDefault="0046641D" w:rsidP="00780D46">
      <w:pPr>
        <w:spacing w:after="0" w:line="240" w:lineRule="auto"/>
        <w:jc w:val="both"/>
      </w:pPr>
      <w:r w:rsidRPr="00B80B1A">
        <w:lastRenderedPageBreak/>
        <w:t>As of December 31,</w:t>
      </w:r>
      <w:r w:rsidR="00B467A9" w:rsidRPr="00B80B1A">
        <w:t xml:space="preserve"> 2014</w:t>
      </w:r>
      <w:r w:rsidRPr="00B80B1A">
        <w:t xml:space="preserve"> there was no backlog of reversals awaiting Commissioner </w:t>
      </w:r>
      <w:proofErr w:type="gramStart"/>
      <w:r w:rsidRPr="00B80B1A">
        <w:t>review</w:t>
      </w:r>
      <w:proofErr w:type="gramEnd"/>
      <w:r w:rsidRPr="00B80B1A">
        <w:t>.</w:t>
      </w:r>
    </w:p>
    <w:p w14:paraId="52F36931" w14:textId="77777777" w:rsidR="00A2395D" w:rsidRPr="00B80B1A" w:rsidRDefault="00A2395D" w:rsidP="00037710">
      <w:pPr>
        <w:spacing w:after="0" w:line="240" w:lineRule="auto"/>
        <w:ind w:left="720" w:firstLine="720"/>
        <w:jc w:val="both"/>
      </w:pPr>
    </w:p>
    <w:p w14:paraId="5F175D3B" w14:textId="3DB4887E" w:rsidR="0000784A" w:rsidRPr="00B80B1A" w:rsidRDefault="0000784A" w:rsidP="00037710">
      <w:pPr>
        <w:spacing w:after="0" w:line="240" w:lineRule="auto"/>
        <w:jc w:val="both"/>
      </w:pPr>
      <w:r w:rsidRPr="00B80B1A">
        <w:t xml:space="preserve">Considering the average incoming </w:t>
      </w:r>
      <w:r w:rsidR="00151DE2" w:rsidRPr="00B80B1A">
        <w:t>Fair Hearing</w:t>
      </w:r>
      <w:r w:rsidRPr="00B80B1A">
        <w:t xml:space="preserve"> volumes over recent years, the accumulated open and backlogged cases are </w:t>
      </w:r>
      <w:r w:rsidR="00F41FCE" w:rsidRPr="00B80B1A">
        <w:t xml:space="preserve">equivalent to </w:t>
      </w:r>
      <w:r w:rsidR="00644A46" w:rsidRPr="00B80B1A">
        <w:t>more than one full year’s</w:t>
      </w:r>
      <w:r w:rsidRPr="00B80B1A">
        <w:t xml:space="preserve"> worth of </w:t>
      </w:r>
      <w:r w:rsidR="00151DE2" w:rsidRPr="00B80B1A">
        <w:t>Fair Hearing</w:t>
      </w:r>
      <w:r w:rsidRPr="00B80B1A">
        <w:t xml:space="preserve"> requests for the Department. </w:t>
      </w:r>
      <w:r w:rsidR="00050186" w:rsidRPr="00B80B1A">
        <w:t xml:space="preserve">In other words, for </w:t>
      </w:r>
      <w:r w:rsidR="00151DE2" w:rsidRPr="00B80B1A">
        <w:t>Fair Hearing</w:t>
      </w:r>
      <w:r w:rsidR="00002568" w:rsidRPr="00B80B1A">
        <w:t>s</w:t>
      </w:r>
      <w:r w:rsidR="00050186" w:rsidRPr="00B80B1A">
        <w:t xml:space="preserve"> to be timely, the Department must process </w:t>
      </w:r>
      <w:r w:rsidR="00644A46" w:rsidRPr="00B80B1A">
        <w:t xml:space="preserve">at least </w:t>
      </w:r>
      <w:r w:rsidR="00050186" w:rsidRPr="00B80B1A">
        <w:t>twice as</w:t>
      </w:r>
      <w:r w:rsidR="00F24824" w:rsidRPr="00B80B1A">
        <w:t xml:space="preserve"> </w:t>
      </w:r>
      <w:r w:rsidR="00050186" w:rsidRPr="00B80B1A">
        <w:t xml:space="preserve">high a </w:t>
      </w:r>
      <w:r w:rsidR="002B69A5" w:rsidRPr="00B80B1A">
        <w:t xml:space="preserve">decision </w:t>
      </w:r>
      <w:r w:rsidR="00050186" w:rsidRPr="00B80B1A">
        <w:t>volume in the next year</w:t>
      </w:r>
      <w:r w:rsidR="00644A46" w:rsidRPr="00B80B1A">
        <w:t>.</w:t>
      </w:r>
    </w:p>
    <w:p w14:paraId="1E6097DF" w14:textId="77777777" w:rsidR="0000784A" w:rsidRPr="00B80B1A" w:rsidRDefault="0000784A" w:rsidP="00037710">
      <w:pPr>
        <w:spacing w:after="0" w:line="240" w:lineRule="auto"/>
        <w:jc w:val="both"/>
      </w:pPr>
    </w:p>
    <w:p w14:paraId="442803C1" w14:textId="1D761F36" w:rsidR="00253270" w:rsidRPr="00B80B1A" w:rsidRDefault="00253270" w:rsidP="00037710">
      <w:pPr>
        <w:pStyle w:val="Heading3"/>
        <w:numPr>
          <w:ilvl w:val="0"/>
          <w:numId w:val="33"/>
        </w:numPr>
        <w:spacing w:before="0" w:line="240" w:lineRule="auto"/>
        <w:jc w:val="both"/>
        <w:rPr>
          <w:i/>
          <w:sz w:val="28"/>
        </w:rPr>
      </w:pPr>
      <w:bookmarkStart w:id="39" w:name="_Toc421781190"/>
      <w:r w:rsidRPr="00B80B1A">
        <w:rPr>
          <w:i/>
          <w:sz w:val="28"/>
        </w:rPr>
        <w:t>Regulations</w:t>
      </w:r>
      <w:bookmarkEnd w:id="39"/>
    </w:p>
    <w:p w14:paraId="4E24DF80" w14:textId="77777777" w:rsidR="00253270" w:rsidRPr="00B80B1A" w:rsidRDefault="00253270" w:rsidP="00037710">
      <w:pPr>
        <w:spacing w:after="0" w:line="240" w:lineRule="auto"/>
        <w:jc w:val="both"/>
      </w:pPr>
    </w:p>
    <w:p w14:paraId="7AAF0E04" w14:textId="06854DE9" w:rsidR="0000784A" w:rsidRPr="00B80B1A" w:rsidRDefault="0000784A" w:rsidP="00037710">
      <w:pPr>
        <w:spacing w:after="0" w:line="240" w:lineRule="auto"/>
        <w:jc w:val="both"/>
      </w:pPr>
      <w:r w:rsidRPr="00B80B1A">
        <w:t xml:space="preserve">Massachusetts </w:t>
      </w:r>
      <w:r w:rsidR="00151DE2" w:rsidRPr="00B80B1A">
        <w:t>Fair Hearing</w:t>
      </w:r>
      <w:r w:rsidRPr="00B80B1A">
        <w:t xml:space="preserve"> regulations</w:t>
      </w:r>
      <w:r w:rsidR="00092BDA" w:rsidRPr="00B80B1A">
        <w:t>, revised recently in September 2013,</w:t>
      </w:r>
      <w:r w:rsidRPr="00B80B1A">
        <w:t xml:space="preserve"> are not mandating scheduling and decision issuance standards as strict as</w:t>
      </w:r>
      <w:r w:rsidR="00EC76A0" w:rsidRPr="00B80B1A">
        <w:t xml:space="preserve"> those in</w:t>
      </w:r>
      <w:r w:rsidRPr="00B80B1A">
        <w:t xml:space="preserve"> other Northeastern states.</w:t>
      </w:r>
    </w:p>
    <w:p w14:paraId="28B99EA6" w14:textId="77777777" w:rsidR="0000784A" w:rsidRPr="00B80B1A" w:rsidRDefault="0000784A" w:rsidP="00037710">
      <w:pPr>
        <w:spacing w:after="0" w:line="240" w:lineRule="auto"/>
        <w:jc w:val="both"/>
      </w:pPr>
    </w:p>
    <w:p w14:paraId="74080F0F" w14:textId="3616C156" w:rsidR="0000784A" w:rsidRPr="00B80B1A" w:rsidRDefault="0000784A" w:rsidP="00037710">
      <w:pPr>
        <w:spacing w:after="0" w:line="240" w:lineRule="auto"/>
        <w:jc w:val="both"/>
      </w:pPr>
      <w:r w:rsidRPr="00B80B1A">
        <w:t xml:space="preserve">To evaluate the Department’s regulations for </w:t>
      </w:r>
      <w:r w:rsidR="00151DE2" w:rsidRPr="00B80B1A">
        <w:t>Timeliness</w:t>
      </w:r>
      <w:r w:rsidRPr="00B80B1A">
        <w:t xml:space="preserve">, we assessed the time that the Department allows itself and the appellant throughout the </w:t>
      </w:r>
      <w:r w:rsidR="00151DE2" w:rsidRPr="00B80B1A">
        <w:t>Fair Hearing</w:t>
      </w:r>
      <w:r w:rsidRPr="00B80B1A">
        <w:t xml:space="preserve"> process</w:t>
      </w:r>
      <w:r w:rsidR="00B4367D" w:rsidRPr="00B80B1A">
        <w:t>:</w:t>
      </w:r>
      <w:r w:rsidRPr="00B80B1A">
        <w:t xml:space="preserve"> in particular, the window </w:t>
      </w:r>
      <w:r w:rsidR="00780D46" w:rsidRPr="00B80B1A">
        <w:t xml:space="preserve">the appellant is allowed </w:t>
      </w:r>
      <w:r w:rsidRPr="00B80B1A">
        <w:t xml:space="preserve">for requesting an appeal, the time given to the Department to schedule a </w:t>
      </w:r>
      <w:r w:rsidR="00151DE2" w:rsidRPr="00B80B1A">
        <w:t>Fair Hearing</w:t>
      </w:r>
      <w:r w:rsidRPr="00B80B1A">
        <w:t xml:space="preserve"> from the time of the request, and the time given to the Department to issue a decision following the conclusion of a hearing.</w:t>
      </w:r>
    </w:p>
    <w:p w14:paraId="74369A99" w14:textId="77777777" w:rsidR="0000784A" w:rsidRPr="00B80B1A" w:rsidRDefault="0000784A" w:rsidP="00037710">
      <w:pPr>
        <w:spacing w:after="0" w:line="240" w:lineRule="auto"/>
        <w:ind w:left="720"/>
        <w:jc w:val="both"/>
      </w:pPr>
    </w:p>
    <w:p w14:paraId="6DD5CC00" w14:textId="3A8B541D" w:rsidR="0000784A" w:rsidRPr="00B80B1A" w:rsidRDefault="0000784A" w:rsidP="00037710">
      <w:pPr>
        <w:pStyle w:val="ListParagraph"/>
        <w:numPr>
          <w:ilvl w:val="0"/>
          <w:numId w:val="76"/>
        </w:numPr>
        <w:spacing w:after="0" w:line="240" w:lineRule="auto"/>
        <w:ind w:left="810"/>
        <w:jc w:val="both"/>
      </w:pPr>
      <w:r w:rsidRPr="00B80B1A">
        <w:t>The Department timeframe for an appellant to request a hearing is in line with other states</w:t>
      </w:r>
      <w:r w:rsidR="004579A7" w:rsidRPr="00B80B1A">
        <w:t xml:space="preserve">. </w:t>
      </w:r>
      <w:r w:rsidRPr="00B80B1A">
        <w:t>In Massachusetts, an appellant is given 30 calendar days from the issuance of an initial decision</w:t>
      </w:r>
      <w:r w:rsidR="00A5452B" w:rsidRPr="00B80B1A">
        <w:t>, ruling, or denial of service</w:t>
      </w:r>
      <w:r w:rsidRPr="00B80B1A">
        <w:t xml:space="preserve"> to request a </w:t>
      </w:r>
      <w:r w:rsidR="00151DE2" w:rsidRPr="00B80B1A">
        <w:t>Fair Hearing</w:t>
      </w:r>
      <w:r w:rsidRPr="00B80B1A">
        <w:t>.</w:t>
      </w:r>
      <w:r w:rsidRPr="00B80B1A">
        <w:rPr>
          <w:rStyle w:val="FootnoteReference"/>
        </w:rPr>
        <w:footnoteReference w:id="10"/>
      </w:r>
      <w:r w:rsidRPr="00B80B1A">
        <w:t xml:space="preserve"> </w:t>
      </w:r>
      <w:r w:rsidR="00A467FE" w:rsidRPr="00B80B1A">
        <w:t>Similarly</w:t>
      </w:r>
      <w:r w:rsidRPr="00B80B1A">
        <w:t xml:space="preserve">, Connecticut, New Hampshire, Rhode Island, </w:t>
      </w:r>
      <w:r w:rsidR="00A467FE" w:rsidRPr="00B80B1A">
        <w:t>and Vermont offer</w:t>
      </w:r>
      <w:r w:rsidRPr="00B80B1A">
        <w:t xml:space="preserve"> a 30-day timeframe in which the appellant can submit an appeal request</w:t>
      </w:r>
      <w:r w:rsidR="00B467A9" w:rsidRPr="00B80B1A">
        <w:t>.</w:t>
      </w:r>
      <w:r w:rsidR="000B7233" w:rsidRPr="00B80B1A">
        <w:t xml:space="preserve"> </w:t>
      </w:r>
      <w:r w:rsidR="00B467A9" w:rsidRPr="00B80B1A">
        <w:t xml:space="preserve">The </w:t>
      </w:r>
      <w:r w:rsidRPr="00B80B1A">
        <w:t xml:space="preserve">comparable regulations in New York are more generous, allowing up to 90 days </w:t>
      </w:r>
      <w:proofErr w:type="gramStart"/>
      <w:r w:rsidRPr="00B80B1A">
        <w:t>to request</w:t>
      </w:r>
      <w:proofErr w:type="gramEnd"/>
      <w:r w:rsidRPr="00B80B1A">
        <w:t xml:space="preserve"> a </w:t>
      </w:r>
      <w:r w:rsidR="00151DE2" w:rsidRPr="00B80B1A">
        <w:t>Fair Hearing</w:t>
      </w:r>
      <w:r w:rsidR="009F7ABA" w:rsidRPr="00B80B1A">
        <w:t xml:space="preserve"> for a substantiated decision of abuse or neglect</w:t>
      </w:r>
      <w:r w:rsidRPr="00B80B1A">
        <w:t>.</w:t>
      </w:r>
      <w:r w:rsidRPr="00B80B1A">
        <w:rPr>
          <w:rStyle w:val="FootnoteReference"/>
        </w:rPr>
        <w:footnoteReference w:id="11"/>
      </w:r>
    </w:p>
    <w:p w14:paraId="3E0015E9" w14:textId="77607385" w:rsidR="0000784A" w:rsidRPr="00B80B1A" w:rsidRDefault="00EC76A0" w:rsidP="00037710">
      <w:pPr>
        <w:pStyle w:val="ListParagraph"/>
        <w:numPr>
          <w:ilvl w:val="0"/>
          <w:numId w:val="76"/>
        </w:numPr>
        <w:spacing w:after="0" w:line="240" w:lineRule="auto"/>
        <w:ind w:left="810"/>
        <w:jc w:val="both"/>
      </w:pPr>
      <w:r w:rsidRPr="00B80B1A">
        <w:t>The</w:t>
      </w:r>
      <w:r w:rsidR="0000784A" w:rsidRPr="00B80B1A">
        <w:t xml:space="preserve"> Department regulations and those of other states’ agencies</w:t>
      </w:r>
      <w:r w:rsidR="00686CA1" w:rsidRPr="00B80B1A">
        <w:t xml:space="preserve"> </w:t>
      </w:r>
      <w:r w:rsidR="0000784A" w:rsidRPr="00B80B1A">
        <w:t xml:space="preserve">diverge </w:t>
      </w:r>
      <w:r w:rsidR="00850D7B" w:rsidRPr="00B80B1A">
        <w:t xml:space="preserve">significantly </w:t>
      </w:r>
      <w:r w:rsidR="0000784A" w:rsidRPr="00B80B1A">
        <w:t>following the receipt of a request for</w:t>
      </w:r>
      <w:r w:rsidR="00850D7B" w:rsidRPr="00B80B1A">
        <w:t xml:space="preserve"> a</w:t>
      </w:r>
      <w:r w:rsidR="0000784A" w:rsidRPr="00B80B1A">
        <w:t xml:space="preserve"> hearing. In Connecticut and New York, the regulatory timeframe for scheduling a </w:t>
      </w:r>
      <w:r w:rsidR="00151DE2" w:rsidRPr="00B80B1A">
        <w:t>Fair Hearing</w:t>
      </w:r>
      <w:r w:rsidR="0000784A" w:rsidRPr="00B80B1A">
        <w:t xml:space="preserve"> following an appeal request is 30 days</w:t>
      </w:r>
      <w:r w:rsidR="000B7233" w:rsidRPr="00B80B1A">
        <w:t>; and in Vermont it is 60 days</w:t>
      </w:r>
      <w:r w:rsidR="0000784A" w:rsidRPr="00B80B1A">
        <w:t>.</w:t>
      </w:r>
      <w:r w:rsidR="0000784A" w:rsidRPr="00B80B1A">
        <w:rPr>
          <w:rStyle w:val="FootnoteReference"/>
        </w:rPr>
        <w:footnoteReference w:id="12"/>
      </w:r>
      <w:r w:rsidRPr="00B80B1A">
        <w:t xml:space="preserve"> </w:t>
      </w:r>
      <w:r w:rsidR="0000784A" w:rsidRPr="00B80B1A">
        <w:t xml:space="preserve">In contrast, the Department timeframe for scheduling a </w:t>
      </w:r>
      <w:r w:rsidR="00151DE2" w:rsidRPr="00B80B1A">
        <w:t>Fair Hearing</w:t>
      </w:r>
      <w:r w:rsidR="0000784A" w:rsidRPr="00B80B1A">
        <w:t xml:space="preserve"> is significantly </w:t>
      </w:r>
      <w:r w:rsidR="00201012">
        <w:t>longer</w:t>
      </w:r>
      <w:r w:rsidR="00201012" w:rsidRPr="00B80B1A">
        <w:t xml:space="preserve"> </w:t>
      </w:r>
      <w:r w:rsidR="0000784A" w:rsidRPr="00B80B1A">
        <w:t>at 90 days.</w:t>
      </w:r>
      <w:r w:rsidR="0000784A" w:rsidRPr="00B80B1A">
        <w:rPr>
          <w:rStyle w:val="FootnoteReference"/>
        </w:rPr>
        <w:footnoteReference w:id="13"/>
      </w:r>
      <w:r w:rsidR="0000784A" w:rsidRPr="00B80B1A">
        <w:t xml:space="preserve"> New Hampshire and Rhode Island do not explicitly state a time requirement for scheduling a hearing. While we recognize the value of additional time in processing the existing caseload for </w:t>
      </w:r>
      <w:r w:rsidR="001A4961" w:rsidRPr="00B80B1A">
        <w:t>Hearing Officer</w:t>
      </w:r>
      <w:r w:rsidR="0000784A" w:rsidRPr="00B80B1A">
        <w:t xml:space="preserve">s, the disparity between Massachusetts and other states suggests a longer than </w:t>
      </w:r>
      <w:r w:rsidR="00DA7A70" w:rsidRPr="00B80B1A">
        <w:t>usual</w:t>
      </w:r>
      <w:r w:rsidR="0000784A" w:rsidRPr="00B80B1A">
        <w:t xml:space="preserve"> timeframe for scheduling a </w:t>
      </w:r>
      <w:r w:rsidR="00151DE2" w:rsidRPr="00B80B1A">
        <w:t>Fair Hearing</w:t>
      </w:r>
      <w:r w:rsidR="0000784A" w:rsidRPr="00B80B1A">
        <w:t>.</w:t>
      </w:r>
    </w:p>
    <w:p w14:paraId="60658942" w14:textId="77777777" w:rsidR="00FF2382" w:rsidRDefault="0024415E" w:rsidP="00037710">
      <w:pPr>
        <w:pStyle w:val="ListParagraph"/>
        <w:numPr>
          <w:ilvl w:val="0"/>
          <w:numId w:val="76"/>
        </w:numPr>
        <w:spacing w:after="0" w:line="240" w:lineRule="auto"/>
        <w:ind w:left="810"/>
        <w:jc w:val="both"/>
      </w:pPr>
      <w:r>
        <w:t>Massachusetts regulations are</w:t>
      </w:r>
      <w:r w:rsidR="0000784A" w:rsidRPr="00B80B1A">
        <w:t xml:space="preserve"> also relatively</w:t>
      </w:r>
      <w:r>
        <w:t xml:space="preserve"> lenient</w:t>
      </w:r>
      <w:r w:rsidR="002A6DA0">
        <w:t xml:space="preserve"> i</w:t>
      </w:r>
      <w:r w:rsidR="0000784A" w:rsidRPr="00B80B1A">
        <w:t>n issuing decisions</w:t>
      </w:r>
      <w:r w:rsidR="004579A7" w:rsidRPr="00B80B1A">
        <w:t xml:space="preserve">. </w:t>
      </w:r>
      <w:r w:rsidR="0000784A" w:rsidRPr="00B80B1A">
        <w:t xml:space="preserve">Department </w:t>
      </w:r>
    </w:p>
    <w:p w14:paraId="24555381" w14:textId="324F8271" w:rsidR="0000784A" w:rsidRPr="00B80B1A" w:rsidRDefault="00780DE3" w:rsidP="00FF2382">
      <w:pPr>
        <w:pStyle w:val="ListParagraph"/>
        <w:spacing w:after="0" w:line="240" w:lineRule="auto"/>
        <w:ind w:left="810"/>
        <w:jc w:val="both"/>
      </w:pPr>
      <w:proofErr w:type="gramStart"/>
      <w:r w:rsidRPr="00B80B1A">
        <w:t>regulations</w:t>
      </w:r>
      <w:proofErr w:type="gramEnd"/>
      <w:r w:rsidRPr="00B80B1A">
        <w:t xml:space="preserve"> provide 84-</w:t>
      </w:r>
      <w:r w:rsidR="0000784A" w:rsidRPr="00B80B1A">
        <w:t>12</w:t>
      </w:r>
      <w:r w:rsidRPr="00B80B1A">
        <w:t xml:space="preserve">6 calendar days following </w:t>
      </w:r>
      <w:r w:rsidR="0000784A" w:rsidRPr="00B80B1A">
        <w:t>a hearing to issue a decision.</w:t>
      </w:r>
      <w:r w:rsidR="0000784A" w:rsidRPr="00B80B1A">
        <w:rPr>
          <w:rStyle w:val="FootnoteReference"/>
        </w:rPr>
        <w:footnoteReference w:id="14"/>
      </w:r>
      <w:r w:rsidR="0000784A" w:rsidRPr="00B80B1A">
        <w:t xml:space="preserve"> No other state we studied allows the </w:t>
      </w:r>
      <w:r w:rsidR="00780D46" w:rsidRPr="00B80B1A">
        <w:t>d</w:t>
      </w:r>
      <w:r w:rsidR="00032E69" w:rsidRPr="00B80B1A">
        <w:t>epartment</w:t>
      </w:r>
      <w:r w:rsidR="00780D46" w:rsidRPr="00B80B1A">
        <w:t>al agency</w:t>
      </w:r>
      <w:r w:rsidR="0000784A" w:rsidRPr="00B80B1A">
        <w:t xml:space="preserve"> </w:t>
      </w:r>
      <w:r w:rsidR="00850D7B" w:rsidRPr="00B80B1A">
        <w:t xml:space="preserve">such a </w:t>
      </w:r>
      <w:r w:rsidR="0000784A" w:rsidRPr="00B80B1A">
        <w:t xml:space="preserve">long timeframe </w:t>
      </w:r>
      <w:r w:rsidR="00850D7B" w:rsidRPr="00B80B1A">
        <w:t>for</w:t>
      </w:r>
      <w:r w:rsidR="0000784A" w:rsidRPr="00B80B1A">
        <w:t xml:space="preserve"> a </w:t>
      </w:r>
      <w:r w:rsidR="00780D46" w:rsidRPr="00B80B1A">
        <w:t>hearing o</w:t>
      </w:r>
      <w:r w:rsidR="001A4961" w:rsidRPr="00B80B1A">
        <w:t>fficer</w:t>
      </w:r>
      <w:r w:rsidR="0000784A" w:rsidRPr="00B80B1A">
        <w:t xml:space="preserve"> </w:t>
      </w:r>
      <w:r w:rsidR="00850D7B" w:rsidRPr="00B80B1A">
        <w:t xml:space="preserve">to </w:t>
      </w:r>
      <w:r w:rsidRPr="00B80B1A">
        <w:t>produce</w:t>
      </w:r>
      <w:r w:rsidR="006C16E6" w:rsidRPr="00B80B1A">
        <w:t xml:space="preserve"> </w:t>
      </w:r>
      <w:r w:rsidR="00850D7B" w:rsidRPr="00B80B1A">
        <w:t>a</w:t>
      </w:r>
      <w:r w:rsidR="0000784A" w:rsidRPr="00B80B1A">
        <w:t xml:space="preserve"> decision. Rhode Island mandate</w:t>
      </w:r>
      <w:r w:rsidR="000B7233" w:rsidRPr="00B80B1A">
        <w:t>s</w:t>
      </w:r>
      <w:r w:rsidR="0000784A" w:rsidRPr="00B80B1A">
        <w:t xml:space="preserve"> 14 days,</w:t>
      </w:r>
      <w:r w:rsidR="000B7233" w:rsidRPr="00B80B1A">
        <w:t xml:space="preserve"> whereas Connecticut and Vermont </w:t>
      </w:r>
      <w:r w:rsidR="000B7233" w:rsidRPr="00B80B1A">
        <w:lastRenderedPageBreak/>
        <w:t>mandate</w:t>
      </w:r>
      <w:r w:rsidR="0000784A" w:rsidRPr="00B80B1A">
        <w:t xml:space="preserve"> 30 days; New York mandates a window of up to either 60 or 90 days</w:t>
      </w:r>
      <w:r w:rsidR="008E4BF6" w:rsidRPr="00B80B1A">
        <w:t xml:space="preserve"> following the record of a hearing being closed</w:t>
      </w:r>
      <w:r w:rsidR="00EC76A0" w:rsidRPr="00B80B1A">
        <w:t>,</w:t>
      </w:r>
      <w:r w:rsidR="0000784A" w:rsidRPr="00B80B1A">
        <w:t xml:space="preserve"> depending on the type of case undergoing a </w:t>
      </w:r>
      <w:r w:rsidR="00E62DAA">
        <w:t>F</w:t>
      </w:r>
      <w:r w:rsidR="00780D46" w:rsidRPr="00B80B1A">
        <w:t xml:space="preserve">air </w:t>
      </w:r>
      <w:r w:rsidR="00E62DAA">
        <w:t>H</w:t>
      </w:r>
      <w:r w:rsidR="00151DE2" w:rsidRPr="00B80B1A">
        <w:t>earing</w:t>
      </w:r>
      <w:r w:rsidR="0000784A" w:rsidRPr="00B80B1A">
        <w:t>.</w:t>
      </w:r>
      <w:r w:rsidR="0000784A" w:rsidRPr="00B80B1A">
        <w:rPr>
          <w:rStyle w:val="FootnoteReference"/>
        </w:rPr>
        <w:footnoteReference w:id="15"/>
      </w:r>
    </w:p>
    <w:p w14:paraId="2ECC05BF" w14:textId="77777777" w:rsidR="00C630E4" w:rsidRPr="00B80B1A" w:rsidRDefault="00C630E4" w:rsidP="00C630E4">
      <w:pPr>
        <w:pStyle w:val="ListParagraph"/>
        <w:spacing w:after="0" w:line="240" w:lineRule="auto"/>
        <w:ind w:left="810"/>
        <w:jc w:val="both"/>
      </w:pPr>
    </w:p>
    <w:p w14:paraId="51608AFE" w14:textId="50E870E2" w:rsidR="00C630E4" w:rsidRPr="00B80B1A" w:rsidRDefault="00C630E4" w:rsidP="00C630E4">
      <w:pPr>
        <w:pStyle w:val="Heading3"/>
        <w:numPr>
          <w:ilvl w:val="0"/>
          <w:numId w:val="33"/>
        </w:numPr>
        <w:spacing w:before="0" w:line="240" w:lineRule="auto"/>
        <w:jc w:val="both"/>
        <w:rPr>
          <w:i/>
          <w:sz w:val="28"/>
        </w:rPr>
      </w:pPr>
      <w:bookmarkStart w:id="40" w:name="_Toc421781191"/>
      <w:r w:rsidRPr="00B80B1A">
        <w:rPr>
          <w:i/>
          <w:sz w:val="28"/>
        </w:rPr>
        <w:t>Appellant, Hearing Officer, Attorney Perspectives</w:t>
      </w:r>
      <w:bookmarkEnd w:id="40"/>
    </w:p>
    <w:p w14:paraId="7FC11EEA" w14:textId="77777777" w:rsidR="00C630E4" w:rsidRPr="00B80B1A" w:rsidRDefault="00C630E4" w:rsidP="00037710">
      <w:pPr>
        <w:spacing w:after="0" w:line="240" w:lineRule="auto"/>
        <w:jc w:val="both"/>
      </w:pPr>
    </w:p>
    <w:p w14:paraId="2A4E817A" w14:textId="67F15AB8" w:rsidR="0000784A" w:rsidRPr="00B80B1A" w:rsidRDefault="00CA286D" w:rsidP="00037710">
      <w:pPr>
        <w:spacing w:after="0" w:line="240" w:lineRule="auto"/>
        <w:jc w:val="both"/>
      </w:pPr>
      <w:r w:rsidRPr="00B80B1A">
        <w:t xml:space="preserve">Actual </w:t>
      </w:r>
      <w:r w:rsidR="009C59E2" w:rsidRPr="00B80B1A">
        <w:t xml:space="preserve">FamilyNet </w:t>
      </w:r>
      <w:r w:rsidR="000D1310" w:rsidRPr="00B80B1A">
        <w:t>data above clearly demonstrate</w:t>
      </w:r>
      <w:r w:rsidR="00A84FD1" w:rsidRPr="00B80B1A">
        <w:t xml:space="preserve"> </w:t>
      </w:r>
      <w:r w:rsidR="00373346" w:rsidRPr="00B80B1A">
        <w:t xml:space="preserve">that </w:t>
      </w:r>
      <w:r w:rsidR="00151DE2" w:rsidRPr="00B80B1A">
        <w:t>Fair Hearing</w:t>
      </w:r>
      <w:r w:rsidR="00A84FD1" w:rsidRPr="00B80B1A">
        <w:t xml:space="preserve">s </w:t>
      </w:r>
      <w:r w:rsidR="00373346" w:rsidRPr="00B80B1A">
        <w:t>are not</w:t>
      </w:r>
      <w:r w:rsidR="00A84FD1" w:rsidRPr="00B80B1A">
        <w:t xml:space="preserve"> timely</w:t>
      </w:r>
      <w:r w:rsidRPr="00B80B1A">
        <w:t xml:space="preserve"> </w:t>
      </w:r>
      <w:r w:rsidR="00373346" w:rsidRPr="00B80B1A">
        <w:t xml:space="preserve">when measured against </w:t>
      </w:r>
      <w:r w:rsidR="00AC632C" w:rsidRPr="00B80B1A">
        <w:t xml:space="preserve">regulatory requirements, </w:t>
      </w:r>
      <w:r w:rsidRPr="00B80B1A">
        <w:t>despite</w:t>
      </w:r>
      <w:r w:rsidR="00AC632C" w:rsidRPr="00B80B1A">
        <w:t xml:space="preserve"> </w:t>
      </w:r>
      <w:r w:rsidR="00A84FD1" w:rsidRPr="00B80B1A">
        <w:t xml:space="preserve">the </w:t>
      </w:r>
      <w:r w:rsidR="00EA276C" w:rsidRPr="00B80B1A">
        <w:t>D</w:t>
      </w:r>
      <w:r w:rsidR="00A84FD1" w:rsidRPr="00B80B1A">
        <w:t xml:space="preserve">epartment </w:t>
      </w:r>
      <w:r w:rsidR="00AC632C" w:rsidRPr="00B80B1A">
        <w:t>having</w:t>
      </w:r>
      <w:r w:rsidRPr="00B80B1A">
        <w:t xml:space="preserve"> regulations that are m</w:t>
      </w:r>
      <w:r w:rsidR="00780DE3" w:rsidRPr="00B80B1A">
        <w:t>ore favorable than other states</w:t>
      </w:r>
      <w:r w:rsidRPr="00B80B1A">
        <w:t xml:space="preserve"> in terms of </w:t>
      </w:r>
      <w:r w:rsidR="00151DE2" w:rsidRPr="00B80B1A">
        <w:t>Timeliness</w:t>
      </w:r>
      <w:r w:rsidRPr="00B80B1A">
        <w:t>.</w:t>
      </w:r>
    </w:p>
    <w:p w14:paraId="5568C53B" w14:textId="77777777" w:rsidR="003D4A15" w:rsidRPr="00B80B1A" w:rsidRDefault="003D4A15" w:rsidP="00037710">
      <w:pPr>
        <w:spacing w:after="0" w:line="240" w:lineRule="auto"/>
        <w:jc w:val="both"/>
      </w:pPr>
    </w:p>
    <w:p w14:paraId="7C9A043E" w14:textId="519D3AFC" w:rsidR="00050186" w:rsidRPr="00B80B1A" w:rsidRDefault="00E90759" w:rsidP="00037710">
      <w:pPr>
        <w:spacing w:after="0" w:line="240" w:lineRule="auto"/>
        <w:jc w:val="both"/>
      </w:pPr>
      <w:r w:rsidRPr="00B80B1A">
        <w:t>A</w:t>
      </w:r>
      <w:r w:rsidR="00050186" w:rsidRPr="00B80B1A">
        <w:t xml:space="preserve">ppellants, </w:t>
      </w:r>
      <w:r w:rsidR="001A4961" w:rsidRPr="00B80B1A">
        <w:t>Hearing Officer</w:t>
      </w:r>
      <w:r w:rsidR="00050186" w:rsidRPr="00B80B1A">
        <w:t>s</w:t>
      </w:r>
      <w:r w:rsidR="00545E8F" w:rsidRPr="00B80B1A">
        <w:t>,</w:t>
      </w:r>
      <w:r w:rsidR="00EA276C" w:rsidRPr="00B80B1A">
        <w:t xml:space="preserve"> and attorneys also</w:t>
      </w:r>
      <w:r w:rsidR="00050186" w:rsidRPr="00B80B1A">
        <w:t xml:space="preserve"> state </w:t>
      </w:r>
      <w:r w:rsidR="00B663C9" w:rsidRPr="00B80B1A">
        <w:t xml:space="preserve">that </w:t>
      </w:r>
      <w:r w:rsidR="00C67E2A" w:rsidRPr="00B80B1A">
        <w:t xml:space="preserve">Massachusetts’ </w:t>
      </w:r>
      <w:r w:rsidR="00050186" w:rsidRPr="00B80B1A">
        <w:t>process is not timely</w:t>
      </w:r>
      <w:r w:rsidR="008D4F38" w:rsidRPr="00B80B1A">
        <w:t>:</w:t>
      </w:r>
    </w:p>
    <w:p w14:paraId="3BA1A926" w14:textId="50FC765E" w:rsidR="00050186" w:rsidRPr="00B80B1A" w:rsidRDefault="00050186" w:rsidP="00037710">
      <w:pPr>
        <w:pStyle w:val="ListParagraph"/>
        <w:numPr>
          <w:ilvl w:val="0"/>
          <w:numId w:val="75"/>
        </w:numPr>
        <w:spacing w:after="0" w:line="240" w:lineRule="auto"/>
        <w:ind w:left="810"/>
        <w:jc w:val="both"/>
      </w:pPr>
      <w:r w:rsidRPr="00B80B1A">
        <w:t xml:space="preserve">As a reflection of the delays in the </w:t>
      </w:r>
      <w:r w:rsidR="00151DE2" w:rsidRPr="00B80B1A">
        <w:t>Fair Hearing</w:t>
      </w:r>
      <w:r w:rsidRPr="00B80B1A">
        <w:t xml:space="preserve"> </w:t>
      </w:r>
      <w:r w:rsidR="00382858">
        <w:t>p</w:t>
      </w:r>
      <w:r w:rsidRPr="00B80B1A">
        <w:t>rocess, the respondents in our appellant</w:t>
      </w:r>
      <w:r w:rsidR="00C67E2A" w:rsidRPr="00B80B1A">
        <w:t xml:space="preserve"> </w:t>
      </w:r>
      <w:r w:rsidRPr="00B80B1A">
        <w:t xml:space="preserve">survey rated </w:t>
      </w:r>
      <w:r w:rsidR="00151DE2" w:rsidRPr="00B80B1A">
        <w:t>Timeliness</w:t>
      </w:r>
      <w:r w:rsidRPr="00B80B1A">
        <w:t xml:space="preserve"> (“My case was handled in a timely manner”) 1.9 out of 5.0.</w:t>
      </w:r>
      <w:r w:rsidR="00645B32" w:rsidRPr="00B80B1A">
        <w:rPr>
          <w:rStyle w:val="FootnoteReference"/>
        </w:rPr>
        <w:footnoteReference w:id="16"/>
      </w:r>
      <w:r w:rsidRPr="00B80B1A">
        <w:t xml:space="preserve"> As a reference point, </w:t>
      </w:r>
      <w:r w:rsidR="006C1EC3" w:rsidRPr="00B80B1A">
        <w:t xml:space="preserve">this finding can be compared to the results of </w:t>
      </w:r>
      <w:r w:rsidRPr="00B80B1A">
        <w:t xml:space="preserve">the 2007-2008 Massachusetts Trial Court </w:t>
      </w:r>
      <w:r w:rsidR="004D06B4" w:rsidRPr="00B80B1A">
        <w:t xml:space="preserve">“Access &amp; </w:t>
      </w:r>
      <w:r w:rsidR="00151DE2" w:rsidRPr="00B80B1A">
        <w:t>Fairness</w:t>
      </w:r>
      <w:r w:rsidR="004D06B4" w:rsidRPr="00B80B1A">
        <w:t xml:space="preserve">” </w:t>
      </w:r>
      <w:r w:rsidRPr="00B80B1A">
        <w:t>survey</w:t>
      </w:r>
      <w:r w:rsidR="006C1EC3" w:rsidRPr="00B80B1A">
        <w:t xml:space="preserve">, which focused on the </w:t>
      </w:r>
      <w:r w:rsidR="00151DE2" w:rsidRPr="00B80B1A">
        <w:t>Timeliness</w:t>
      </w:r>
      <w:r w:rsidR="006C1EC3" w:rsidRPr="00B80B1A">
        <w:t xml:space="preserve">, </w:t>
      </w:r>
      <w:r w:rsidR="00151DE2" w:rsidRPr="00B80B1A">
        <w:t>Fairness</w:t>
      </w:r>
      <w:r w:rsidR="00780DE3" w:rsidRPr="00B80B1A">
        <w:t>, and A</w:t>
      </w:r>
      <w:r w:rsidR="006C1EC3" w:rsidRPr="00B80B1A">
        <w:t xml:space="preserve">ccessibility of </w:t>
      </w:r>
      <w:r w:rsidR="00373346" w:rsidRPr="00B80B1A">
        <w:t xml:space="preserve">the </w:t>
      </w:r>
      <w:r w:rsidR="006C1EC3" w:rsidRPr="00B80B1A">
        <w:t>Trial Court system</w:t>
      </w:r>
      <w:r w:rsidR="00B70076" w:rsidRPr="00B80B1A">
        <w:t xml:space="preserve"> through a detailed </w:t>
      </w:r>
      <w:proofErr w:type="gramStart"/>
      <w:r w:rsidR="00A84FD1" w:rsidRPr="00B80B1A">
        <w:t>assessment</w:t>
      </w:r>
      <w:proofErr w:type="gramEnd"/>
      <w:r w:rsidR="00A84FD1" w:rsidRPr="00B80B1A">
        <w:t xml:space="preserve"> by</w:t>
      </w:r>
      <w:r w:rsidR="00B70076" w:rsidRPr="00B80B1A">
        <w:t xml:space="preserve"> Court </w:t>
      </w:r>
      <w:r w:rsidR="00A84FD1" w:rsidRPr="00B80B1A">
        <w:t>users</w:t>
      </w:r>
      <w:r w:rsidR="006C1EC3" w:rsidRPr="00B80B1A">
        <w:t>.</w:t>
      </w:r>
      <w:r w:rsidR="0004232A" w:rsidRPr="00B80B1A">
        <w:rPr>
          <w:rStyle w:val="FootnoteReference"/>
        </w:rPr>
        <w:footnoteReference w:id="17"/>
      </w:r>
      <w:r w:rsidRPr="00B80B1A">
        <w:t xml:space="preserve"> </w:t>
      </w:r>
      <w:r w:rsidR="00A84FD1" w:rsidRPr="00B80B1A">
        <w:t xml:space="preserve">The Trial Court </w:t>
      </w:r>
      <w:r w:rsidRPr="00B80B1A">
        <w:t>received a score of 3.8 out of 5.0</w:t>
      </w:r>
      <w:r w:rsidR="00B70076" w:rsidRPr="00B80B1A">
        <w:t xml:space="preserve"> on </w:t>
      </w:r>
      <w:r w:rsidR="00151DE2" w:rsidRPr="00B80B1A">
        <w:t>Timeliness</w:t>
      </w:r>
      <w:r w:rsidR="004579A7" w:rsidRPr="00B80B1A">
        <w:t xml:space="preserve">. </w:t>
      </w:r>
      <w:r w:rsidR="00BC0C59" w:rsidRPr="00B80B1A">
        <w:t xml:space="preserve">To </w:t>
      </w:r>
      <w:r w:rsidR="00373346" w:rsidRPr="00B80B1A">
        <w:t xml:space="preserve">underscore </w:t>
      </w:r>
      <w:r w:rsidR="00BC0C59" w:rsidRPr="00B80B1A">
        <w:t xml:space="preserve">the </w:t>
      </w:r>
      <w:r w:rsidR="00151DE2" w:rsidRPr="00B80B1A">
        <w:t>Timeliness</w:t>
      </w:r>
      <w:r w:rsidRPr="00B80B1A">
        <w:t xml:space="preserve"> point, one of the many relevant quotes from the </w:t>
      </w:r>
      <w:r w:rsidR="00151DE2" w:rsidRPr="00B80B1A">
        <w:t>Fair Hearing</w:t>
      </w:r>
      <w:r w:rsidR="00B70076" w:rsidRPr="00B80B1A">
        <w:t xml:space="preserve"> </w:t>
      </w:r>
      <w:r w:rsidRPr="00B80B1A">
        <w:t>appellant survey read: “[It has] been over 8 months since the original incident and still no decision has been made</w:t>
      </w:r>
      <w:r w:rsidR="001E0FD0" w:rsidRPr="00B80B1A">
        <w:t xml:space="preserve"> </w:t>
      </w:r>
      <w:r w:rsidR="00A16BB6" w:rsidRPr="00B80B1A">
        <w:t xml:space="preserve">[…] </w:t>
      </w:r>
      <w:r w:rsidR="004939CA" w:rsidRPr="00B80B1A">
        <w:t>S</w:t>
      </w:r>
      <w:r w:rsidRPr="00B80B1A">
        <w:t>eems</w:t>
      </w:r>
      <w:r w:rsidR="00F23F8B">
        <w:t xml:space="preserve"> extremely long for an appeal.”</w:t>
      </w:r>
    </w:p>
    <w:p w14:paraId="43E2DC90" w14:textId="5D3034BD" w:rsidR="00050186" w:rsidRPr="00B80B1A" w:rsidRDefault="00050186" w:rsidP="00037710">
      <w:pPr>
        <w:pStyle w:val="ListParagraph"/>
        <w:numPr>
          <w:ilvl w:val="0"/>
          <w:numId w:val="75"/>
        </w:numPr>
        <w:spacing w:after="0" w:line="240" w:lineRule="auto"/>
        <w:ind w:left="810"/>
        <w:jc w:val="both"/>
      </w:pPr>
      <w:r w:rsidRPr="00B80B1A">
        <w:t xml:space="preserve">Echoing the appellants’ opinions, in the </w:t>
      </w:r>
      <w:r w:rsidR="00151DE2" w:rsidRPr="00B80B1A">
        <w:t xml:space="preserve">Fair </w:t>
      </w:r>
      <w:r w:rsidR="001A4961" w:rsidRPr="00B80B1A">
        <w:t>Hearing Officer</w:t>
      </w:r>
      <w:r w:rsidRPr="00B80B1A">
        <w:t xml:space="preserve"> focus group we conducted, the participants were vocal about </w:t>
      </w:r>
      <w:r w:rsidR="00151DE2" w:rsidRPr="00B80B1A">
        <w:t>Timeliness</w:t>
      </w:r>
      <w:r w:rsidRPr="00B80B1A">
        <w:t xml:space="preserve"> issues and the respective caseloads</w:t>
      </w:r>
      <w:r w:rsidR="004579A7" w:rsidRPr="00B80B1A">
        <w:t xml:space="preserve">. </w:t>
      </w:r>
      <w:r w:rsidRPr="00B80B1A">
        <w:t xml:space="preserve">One </w:t>
      </w:r>
      <w:r w:rsidR="001A4961" w:rsidRPr="00B80B1A">
        <w:t>Hearing Officer</w:t>
      </w:r>
      <w:r w:rsidRPr="00B80B1A">
        <w:t xml:space="preserve"> stated: “When the timeline regulations went into effect September 2013, it was good for a while. I was keeping up to the new timeline, never mind the backlog; then increases came. I am waiting to see what else we are picking up. Our </w:t>
      </w:r>
      <w:r w:rsidR="00151DE2" w:rsidRPr="00B80B1A">
        <w:t>Supervisor</w:t>
      </w:r>
      <w:r w:rsidR="00AC632C" w:rsidRPr="00B80B1A">
        <w:t xml:space="preserve">s have a caseload themselves. </w:t>
      </w:r>
      <w:r w:rsidR="00F77CD7" w:rsidRPr="00B80B1A">
        <w:t xml:space="preserve">I have over 100 cases </w:t>
      </w:r>
      <w:r w:rsidRPr="00B80B1A">
        <w:t xml:space="preserve">backlogged that have never been </w:t>
      </w:r>
      <w:r w:rsidR="00780D46" w:rsidRPr="00B80B1A">
        <w:t>re</w:t>
      </w:r>
      <w:r w:rsidR="00F23F8B">
        <w:t>solved.”</w:t>
      </w:r>
    </w:p>
    <w:p w14:paraId="71345E45" w14:textId="2760B6E5" w:rsidR="00050186" w:rsidRPr="00B80B1A" w:rsidRDefault="00E90759" w:rsidP="00037710">
      <w:pPr>
        <w:pStyle w:val="ListParagraph"/>
        <w:numPr>
          <w:ilvl w:val="0"/>
          <w:numId w:val="75"/>
        </w:numPr>
        <w:spacing w:after="0" w:line="240" w:lineRule="auto"/>
        <w:ind w:left="810"/>
        <w:jc w:val="both"/>
      </w:pPr>
      <w:r w:rsidRPr="00B80B1A">
        <w:t>I</w:t>
      </w:r>
      <w:r w:rsidR="00050186" w:rsidRPr="00B80B1A">
        <w:t xml:space="preserve">ndependent attorneys who work in the </w:t>
      </w:r>
      <w:r w:rsidR="00151DE2" w:rsidRPr="00B80B1A">
        <w:t>Fair Hearing</w:t>
      </w:r>
      <w:r w:rsidR="00050186" w:rsidRPr="00B80B1A">
        <w:t xml:space="preserve"> field indicated in our one-on-one interviews with them that the sched</w:t>
      </w:r>
      <w:r w:rsidR="00AC632C" w:rsidRPr="00B80B1A">
        <w:t>uling step has been improving</w:t>
      </w:r>
      <w:r w:rsidR="00050186" w:rsidRPr="00B80B1A">
        <w:t xml:space="preserve"> recently but decisions are still signific</w:t>
      </w:r>
      <w:r w:rsidR="00B663C9" w:rsidRPr="00B80B1A">
        <w:t xml:space="preserve">antly delayed, referring to </w:t>
      </w:r>
      <w:r w:rsidR="00050186" w:rsidRPr="00B80B1A">
        <w:t>backlogged cases.</w:t>
      </w:r>
    </w:p>
    <w:p w14:paraId="15B7E08F" w14:textId="77777777" w:rsidR="0000784A" w:rsidRPr="00B80B1A" w:rsidRDefault="0000784A" w:rsidP="00037710">
      <w:pPr>
        <w:spacing w:after="0" w:line="240" w:lineRule="auto"/>
        <w:contextualSpacing/>
        <w:jc w:val="both"/>
      </w:pPr>
    </w:p>
    <w:p w14:paraId="778C5439" w14:textId="72791C00" w:rsidR="0000784A" w:rsidRPr="00B80B1A" w:rsidRDefault="0000784A" w:rsidP="00037710">
      <w:pPr>
        <w:pStyle w:val="Heading3"/>
        <w:numPr>
          <w:ilvl w:val="0"/>
          <w:numId w:val="33"/>
        </w:numPr>
        <w:jc w:val="both"/>
        <w:rPr>
          <w:i/>
          <w:sz w:val="28"/>
          <w:szCs w:val="28"/>
        </w:rPr>
      </w:pPr>
      <w:bookmarkStart w:id="41" w:name="_Toc418852308"/>
      <w:bookmarkStart w:id="42" w:name="_Toc421781192"/>
      <w:r w:rsidRPr="00B80B1A">
        <w:rPr>
          <w:i/>
          <w:sz w:val="28"/>
          <w:szCs w:val="28"/>
        </w:rPr>
        <w:t>Discussion</w:t>
      </w:r>
      <w:bookmarkEnd w:id="41"/>
      <w:bookmarkEnd w:id="42"/>
    </w:p>
    <w:p w14:paraId="0A712593" w14:textId="77777777" w:rsidR="003B7D55" w:rsidRPr="00B80B1A" w:rsidRDefault="003B7D55" w:rsidP="00037710">
      <w:pPr>
        <w:spacing w:after="0" w:line="240" w:lineRule="auto"/>
        <w:contextualSpacing/>
        <w:jc w:val="both"/>
      </w:pPr>
    </w:p>
    <w:p w14:paraId="5D87FB5A" w14:textId="5265EEBB" w:rsidR="007A572C" w:rsidRPr="00B80B1A" w:rsidRDefault="00C94BAE" w:rsidP="00037710">
      <w:pPr>
        <w:spacing w:after="0" w:line="240" w:lineRule="auto"/>
        <w:contextualSpacing/>
        <w:jc w:val="both"/>
      </w:pPr>
      <w:r w:rsidRPr="00B80B1A">
        <w:t>What is driving</w:t>
      </w:r>
      <w:r w:rsidR="00364278" w:rsidRPr="00B80B1A">
        <w:t xml:space="preserve"> </w:t>
      </w:r>
      <w:r w:rsidR="003E37D4" w:rsidRPr="00B80B1A">
        <w:t xml:space="preserve">the </w:t>
      </w:r>
      <w:r w:rsidR="00151DE2" w:rsidRPr="00B80B1A">
        <w:t>Timeliness</w:t>
      </w:r>
      <w:r w:rsidR="0000784A" w:rsidRPr="00B80B1A">
        <w:t xml:space="preserve"> </w:t>
      </w:r>
      <w:r w:rsidR="003E37D4" w:rsidRPr="00B80B1A">
        <w:t xml:space="preserve">issues </w:t>
      </w:r>
      <w:r w:rsidR="0000784A" w:rsidRPr="00B80B1A">
        <w:t xml:space="preserve">and </w:t>
      </w:r>
      <w:r w:rsidR="00780DE3" w:rsidRPr="00B80B1A">
        <w:t xml:space="preserve">the underlying </w:t>
      </w:r>
      <w:r w:rsidR="00364278" w:rsidRPr="00B80B1A">
        <w:t>backlogged cases?</w:t>
      </w:r>
      <w:r w:rsidR="00A2395D" w:rsidRPr="00B80B1A">
        <w:t xml:space="preserve"> </w:t>
      </w:r>
      <w:r w:rsidR="00556E99" w:rsidRPr="00B80B1A">
        <w:t>While Distr</w:t>
      </w:r>
      <w:r w:rsidR="00734DE0" w:rsidRPr="00B80B1A">
        <w:t xml:space="preserve">ict Attorney </w:t>
      </w:r>
      <w:proofErr w:type="gramStart"/>
      <w:r w:rsidR="00734DE0" w:rsidRPr="00B80B1A">
        <w:t>stays</w:t>
      </w:r>
      <w:proofErr w:type="gramEnd"/>
      <w:r w:rsidR="00734DE0" w:rsidRPr="00B80B1A">
        <w:t xml:space="preserve"> and appellant</w:t>
      </w:r>
      <w:r w:rsidR="009C59E2" w:rsidRPr="00B80B1A">
        <w:t>—</w:t>
      </w:r>
      <w:r w:rsidR="00556E99" w:rsidRPr="00B80B1A">
        <w:t>or Departmen</w:t>
      </w:r>
      <w:r w:rsidR="009C59E2" w:rsidRPr="00B80B1A">
        <w:t>t—</w:t>
      </w:r>
      <w:r w:rsidR="00556E99" w:rsidRPr="00B80B1A">
        <w:t>requested continuances do lead to delays in the process, we should emphasize that they account for only 18% of open and backlogged cases</w:t>
      </w:r>
      <w:r w:rsidR="00F47B96" w:rsidRPr="00B80B1A">
        <w:t>.</w:t>
      </w:r>
      <w:r w:rsidR="00F47B96" w:rsidRPr="00B80B1A">
        <w:rPr>
          <w:rStyle w:val="FootnoteReference"/>
        </w:rPr>
        <w:footnoteReference w:id="18"/>
      </w:r>
      <w:r w:rsidR="00556E99" w:rsidRPr="00B80B1A">
        <w:t xml:space="preserve"> </w:t>
      </w:r>
      <w:r w:rsidR="00A2395D" w:rsidRPr="00B80B1A">
        <w:t xml:space="preserve">In our analysis, we identified </w:t>
      </w:r>
      <w:r w:rsidR="00050186" w:rsidRPr="00B80B1A">
        <w:t>several</w:t>
      </w:r>
      <w:r w:rsidR="00A2395D" w:rsidRPr="00B80B1A">
        <w:t xml:space="preserve"> </w:t>
      </w:r>
      <w:r w:rsidR="00556E99" w:rsidRPr="00B80B1A">
        <w:t xml:space="preserve">major </w:t>
      </w:r>
      <w:r w:rsidR="00A2395D" w:rsidRPr="00B80B1A">
        <w:t>elements that are co</w:t>
      </w:r>
      <w:r w:rsidRPr="00B80B1A">
        <w:t xml:space="preserve">ntributing to the accumulation of the </w:t>
      </w:r>
      <w:r w:rsidR="001A4961" w:rsidRPr="00B80B1A">
        <w:t>Hearing Officer</w:t>
      </w:r>
      <w:r w:rsidRPr="00B80B1A">
        <w:t xml:space="preserve"> and </w:t>
      </w:r>
      <w:r w:rsidR="00151DE2" w:rsidRPr="00B80B1A">
        <w:t>Supervisor</w:t>
      </w:r>
      <w:r w:rsidR="00A2395D" w:rsidRPr="00B80B1A">
        <w:t xml:space="preserve"> backlog</w:t>
      </w:r>
      <w:r w:rsidR="00F23F8B">
        <w:t>.</w:t>
      </w:r>
    </w:p>
    <w:p w14:paraId="011C3D64" w14:textId="77777777" w:rsidR="00B103C7" w:rsidRPr="00B80B1A" w:rsidRDefault="00B103C7" w:rsidP="005C1757">
      <w:pPr>
        <w:spacing w:after="0" w:line="240" w:lineRule="auto"/>
        <w:jc w:val="both"/>
      </w:pPr>
    </w:p>
    <w:p w14:paraId="7D003EBC" w14:textId="2F58684C" w:rsidR="00B71044" w:rsidRPr="00B80B1A" w:rsidRDefault="00B71044" w:rsidP="006F77C6">
      <w:pPr>
        <w:pStyle w:val="Heading4"/>
        <w:numPr>
          <w:ilvl w:val="0"/>
          <w:numId w:val="84"/>
        </w:numPr>
        <w:rPr>
          <w:sz w:val="28"/>
        </w:rPr>
      </w:pPr>
      <w:r w:rsidRPr="00B80B1A">
        <w:rPr>
          <w:sz w:val="28"/>
        </w:rPr>
        <w:lastRenderedPageBreak/>
        <w:t>Fair Hearing Request Volume</w:t>
      </w:r>
    </w:p>
    <w:p w14:paraId="0A1C5BF3" w14:textId="57B1E5BE" w:rsidR="00B71044" w:rsidRPr="00B80B1A" w:rsidRDefault="00B71044" w:rsidP="00037710">
      <w:pPr>
        <w:spacing w:after="0" w:line="240" w:lineRule="auto"/>
        <w:jc w:val="both"/>
      </w:pPr>
    </w:p>
    <w:p w14:paraId="2ECE2360" w14:textId="5DE7CA85" w:rsidR="00F23F8B" w:rsidRDefault="00557BEB" w:rsidP="00037710">
      <w:pPr>
        <w:spacing w:after="0" w:line="240" w:lineRule="auto"/>
        <w:jc w:val="both"/>
      </w:pPr>
      <w:r w:rsidRPr="00B80B1A">
        <w:t>First and foremost, t</w:t>
      </w:r>
      <w:r w:rsidR="00F0447C" w:rsidRPr="00B80B1A">
        <w:t xml:space="preserve">he DCF </w:t>
      </w:r>
      <w:r w:rsidR="00151DE2" w:rsidRPr="00B80B1A">
        <w:t>Fair Hearing</w:t>
      </w:r>
      <w:r w:rsidR="007A572C" w:rsidRPr="00B80B1A">
        <w:t xml:space="preserve"> request volume </w:t>
      </w:r>
      <w:r w:rsidR="00F0447C" w:rsidRPr="00B80B1A">
        <w:t>r</w:t>
      </w:r>
      <w:r w:rsidR="00833A00" w:rsidRPr="00B80B1A">
        <w:t>ose 62% from 1,183</w:t>
      </w:r>
      <w:r w:rsidR="00921F8D" w:rsidRPr="00B80B1A">
        <w:t xml:space="preserve"> cases in 2012</w:t>
      </w:r>
      <w:r w:rsidR="00F0447C" w:rsidRPr="00B80B1A">
        <w:t xml:space="preserve"> to 1,918 cases in 2014.</w:t>
      </w:r>
      <w:r w:rsidR="00924BB2" w:rsidRPr="00B80B1A">
        <w:rPr>
          <w:rStyle w:val="FootnoteReference"/>
        </w:rPr>
        <w:footnoteReference w:id="19"/>
      </w:r>
      <w:r w:rsidR="00F0447C" w:rsidRPr="00B80B1A">
        <w:t xml:space="preserve"> This increase is </w:t>
      </w:r>
      <w:r w:rsidR="00217547" w:rsidRPr="00B80B1A">
        <w:t>likely</w:t>
      </w:r>
      <w:r w:rsidR="00A32F75" w:rsidRPr="00B80B1A">
        <w:t xml:space="preserve"> </w:t>
      </w:r>
      <w:r w:rsidRPr="00B80B1A">
        <w:t xml:space="preserve">anchored in </w:t>
      </w:r>
      <w:r w:rsidR="00780DE3" w:rsidRPr="00B80B1A">
        <w:t xml:space="preserve">the tragic Jeremiah Oliver case in </w:t>
      </w:r>
      <w:r w:rsidR="00B4367D" w:rsidRPr="00B80B1A">
        <w:t xml:space="preserve">December </w:t>
      </w:r>
      <w:r w:rsidR="00780DE3" w:rsidRPr="00B80B1A">
        <w:t>2013</w:t>
      </w:r>
      <w:r w:rsidR="000F64FA" w:rsidRPr="00B80B1A">
        <w:t>.</w:t>
      </w:r>
    </w:p>
    <w:p w14:paraId="20512DE7" w14:textId="77777777" w:rsidR="00FF2382" w:rsidRPr="00B80B1A" w:rsidRDefault="00FF2382" w:rsidP="00037710">
      <w:pPr>
        <w:spacing w:after="0" w:line="240" w:lineRule="auto"/>
        <w:jc w:val="both"/>
      </w:pPr>
    </w:p>
    <w:p w14:paraId="4ABE1488" w14:textId="19288612" w:rsidR="00DD09B4" w:rsidRPr="00B80B1A" w:rsidRDefault="000F64FA" w:rsidP="00F23F8B">
      <w:pPr>
        <w:spacing w:after="0" w:line="240" w:lineRule="auto"/>
        <w:jc w:val="center"/>
        <w:rPr>
          <w:sz w:val="20"/>
          <w:szCs w:val="20"/>
        </w:rPr>
      </w:pPr>
      <w:r w:rsidRPr="00B80B1A">
        <w:rPr>
          <w:noProof/>
        </w:rPr>
        <w:drawing>
          <wp:inline distT="0" distB="0" distL="0" distR="0" wp14:anchorId="76C48016" wp14:editId="64517A43">
            <wp:extent cx="3396553" cy="1977656"/>
            <wp:effectExtent l="0" t="0" r="0" b="3810"/>
            <wp:docPr id="20" name="Picture 20" descr="Bar graph illustrates the number of fair hearing cases.  In 2005, there were 1,795.  In 2006, there were 1,734.  In 2007, there were 1,864.  In 2008, in lieu of two high profile cases, there were 2,153.  In 2009, there were 1,885.  In 2010, there were 1,387.  In 2011, there were 1,214.  In 2012, there were 1,183.  In 2013, there were 1,339.  And in 2014, there were 1,918." title="Fair Hearing Request Volum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5661" cy="1977137"/>
                    </a:xfrm>
                    <a:prstGeom prst="rect">
                      <a:avLst/>
                    </a:prstGeom>
                    <a:noFill/>
                  </pic:spPr>
                </pic:pic>
              </a:graphicData>
            </a:graphic>
          </wp:inline>
        </w:drawing>
      </w:r>
    </w:p>
    <w:p w14:paraId="0A02547B" w14:textId="422726E6" w:rsidR="00B61A71" w:rsidRDefault="00DD09B4" w:rsidP="00FF2382">
      <w:pPr>
        <w:spacing w:after="0" w:line="240" w:lineRule="auto"/>
        <w:jc w:val="center"/>
        <w:rPr>
          <w:sz w:val="20"/>
          <w:szCs w:val="20"/>
        </w:rPr>
      </w:pPr>
      <w:r w:rsidRPr="00B80B1A">
        <w:rPr>
          <w:sz w:val="20"/>
          <w:szCs w:val="20"/>
        </w:rPr>
        <w:t xml:space="preserve">Source: Appendix </w:t>
      </w:r>
      <w:r w:rsidR="00B61A71" w:rsidRPr="00B80B1A">
        <w:rPr>
          <w:sz w:val="20"/>
          <w:szCs w:val="20"/>
        </w:rPr>
        <w:t>FamilyNet Data</w:t>
      </w:r>
      <w:r w:rsidRPr="00B80B1A">
        <w:rPr>
          <w:sz w:val="20"/>
          <w:szCs w:val="20"/>
        </w:rPr>
        <w:t xml:space="preserve"> Analysis</w:t>
      </w:r>
    </w:p>
    <w:p w14:paraId="5523646E" w14:textId="77777777" w:rsidR="00FF2382" w:rsidRPr="00FF2382" w:rsidRDefault="00FF2382" w:rsidP="00FF2382">
      <w:pPr>
        <w:spacing w:after="0" w:line="240" w:lineRule="auto"/>
        <w:jc w:val="center"/>
        <w:rPr>
          <w:sz w:val="16"/>
          <w:szCs w:val="16"/>
        </w:rPr>
      </w:pPr>
    </w:p>
    <w:p w14:paraId="6EC0A3FC" w14:textId="19D52ECE" w:rsidR="006E66F0" w:rsidRPr="00B80B1A" w:rsidRDefault="006E66F0" w:rsidP="006F77C6">
      <w:pPr>
        <w:pStyle w:val="Heading4"/>
        <w:numPr>
          <w:ilvl w:val="0"/>
          <w:numId w:val="84"/>
        </w:numPr>
        <w:rPr>
          <w:sz w:val="28"/>
        </w:rPr>
      </w:pPr>
      <w:r w:rsidRPr="00B80B1A">
        <w:rPr>
          <w:sz w:val="28"/>
        </w:rPr>
        <w:t xml:space="preserve">Capacity and </w:t>
      </w:r>
      <w:r w:rsidR="00822476" w:rsidRPr="00B80B1A">
        <w:rPr>
          <w:sz w:val="28"/>
        </w:rPr>
        <w:t>Productivity</w:t>
      </w:r>
    </w:p>
    <w:p w14:paraId="4ED5F87F" w14:textId="77777777" w:rsidR="006E66F0" w:rsidRPr="00B80B1A" w:rsidRDefault="006E66F0" w:rsidP="00037710">
      <w:pPr>
        <w:spacing w:after="0" w:line="240" w:lineRule="auto"/>
        <w:jc w:val="both"/>
      </w:pPr>
    </w:p>
    <w:p w14:paraId="1B6686AC" w14:textId="474930F4" w:rsidR="00FF2382" w:rsidRDefault="009C59E2" w:rsidP="00037710">
      <w:pPr>
        <w:spacing w:after="0" w:line="240" w:lineRule="auto"/>
        <w:jc w:val="both"/>
      </w:pPr>
      <w:r w:rsidRPr="00B80B1A">
        <w:t>In contrast, c</w:t>
      </w:r>
      <w:r w:rsidR="000B5428" w:rsidRPr="00B80B1A">
        <w:t>ompared</w:t>
      </w:r>
      <w:r w:rsidR="00050186" w:rsidRPr="00B80B1A">
        <w:t xml:space="preserve"> to the </w:t>
      </w:r>
      <w:r w:rsidR="006B4032" w:rsidRPr="00B80B1A">
        <w:t xml:space="preserve">62% </w:t>
      </w:r>
      <w:r w:rsidR="00050186" w:rsidRPr="00B80B1A">
        <w:t xml:space="preserve">growth </w:t>
      </w:r>
      <w:r w:rsidR="000B5428" w:rsidRPr="00B80B1A">
        <w:t>in</w:t>
      </w:r>
      <w:r w:rsidR="00050186" w:rsidRPr="00B80B1A">
        <w:t xml:space="preserve"> </w:t>
      </w:r>
      <w:r w:rsidR="00151DE2" w:rsidRPr="00B80B1A">
        <w:t>Fair Hearing</w:t>
      </w:r>
      <w:r w:rsidR="00050186" w:rsidRPr="00B80B1A">
        <w:t xml:space="preserve"> requests</w:t>
      </w:r>
      <w:r w:rsidR="00A32F75" w:rsidRPr="00B80B1A">
        <w:t xml:space="preserve">, </w:t>
      </w:r>
      <w:r w:rsidR="001A4961" w:rsidRPr="00B80B1A">
        <w:t>Hearing Officer</w:t>
      </w:r>
      <w:r w:rsidR="00B8371B" w:rsidRPr="00B80B1A">
        <w:t xml:space="preserve"> </w:t>
      </w:r>
      <w:proofErr w:type="gramStart"/>
      <w:r w:rsidR="00A32F75" w:rsidRPr="00B80B1A">
        <w:t>capacity</w:t>
      </w:r>
      <w:proofErr w:type="gramEnd"/>
      <w:r w:rsidR="00A32F75" w:rsidRPr="00B80B1A">
        <w:t xml:space="preserve"> </w:t>
      </w:r>
      <w:r w:rsidR="00C67E2A" w:rsidRPr="00B80B1A">
        <w:t>(</w:t>
      </w:r>
      <w:r w:rsidR="007A572C" w:rsidRPr="00B80B1A">
        <w:t xml:space="preserve">limited historically </w:t>
      </w:r>
      <w:r w:rsidR="00A32F75" w:rsidRPr="00B80B1A">
        <w:t>by</w:t>
      </w:r>
      <w:r w:rsidR="007A572C" w:rsidRPr="00B80B1A">
        <w:t xml:space="preserve"> budgetary constraints</w:t>
      </w:r>
      <w:r w:rsidR="00C67E2A" w:rsidRPr="00B80B1A">
        <w:t>)</w:t>
      </w:r>
      <w:r w:rsidR="00A32F75" w:rsidRPr="00B80B1A">
        <w:t xml:space="preserve"> rose </w:t>
      </w:r>
      <w:r w:rsidR="00F24824" w:rsidRPr="00B80B1A">
        <w:t xml:space="preserve">33% </w:t>
      </w:r>
      <w:r w:rsidR="00A32F75" w:rsidRPr="00B80B1A">
        <w:t>from 7.5 FTEs to</w:t>
      </w:r>
      <w:r w:rsidR="00096FAD" w:rsidRPr="00B80B1A">
        <w:t xml:space="preserve"> only</w:t>
      </w:r>
      <w:r w:rsidR="00A32F75" w:rsidRPr="00B80B1A">
        <w:t xml:space="preserve"> 10 FTEs</w:t>
      </w:r>
      <w:r w:rsidR="00C73375" w:rsidRPr="00B80B1A">
        <w:t xml:space="preserve"> </w:t>
      </w:r>
      <w:r w:rsidR="00A32F75" w:rsidRPr="00B80B1A">
        <w:t>in the same timeframe</w:t>
      </w:r>
      <w:r w:rsidR="00F23F8B">
        <w:t>.</w:t>
      </w:r>
    </w:p>
    <w:p w14:paraId="0EF7E1CF" w14:textId="77777777" w:rsidR="00FF2382" w:rsidRPr="00B80B1A" w:rsidRDefault="00FF2382" w:rsidP="00037710">
      <w:pPr>
        <w:spacing w:after="0" w:line="240" w:lineRule="auto"/>
        <w:jc w:val="both"/>
      </w:pPr>
    </w:p>
    <w:p w14:paraId="0117C289" w14:textId="52872B84" w:rsidR="003D4A15" w:rsidRPr="00B80B1A" w:rsidRDefault="006E66F0" w:rsidP="00F23F8B">
      <w:pPr>
        <w:spacing w:after="0" w:line="240" w:lineRule="auto"/>
        <w:jc w:val="center"/>
        <w:rPr>
          <w:sz w:val="20"/>
          <w:szCs w:val="20"/>
        </w:rPr>
      </w:pPr>
      <w:r w:rsidRPr="00B80B1A">
        <w:rPr>
          <w:noProof/>
        </w:rPr>
        <w:drawing>
          <wp:inline distT="0" distB="0" distL="0" distR="0" wp14:anchorId="33EF7091" wp14:editId="765C864F">
            <wp:extent cx="3392424" cy="1827259"/>
            <wp:effectExtent l="0" t="0" r="0" b="0"/>
            <wp:docPr id="29" name="Picture 29" descr="Bar graph illustrates the hearing officer capacity from 2005 until 2014.  In 2005, there were 3.0.  In &#10;2006, there were 4.0.  In 2007, there were 5.0.  In 2008, there were 5.5.  In 2009, there were 6.0.  In 2010, there were 6.0.  In 2011, there were 7.0.  In 2012, there were 7.5.  In 2013, there were 9.0.  And in 2014, there were 10.0." title="Capacity and Productivity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2424" cy="1827259"/>
                    </a:xfrm>
                    <a:prstGeom prst="rect">
                      <a:avLst/>
                    </a:prstGeom>
                    <a:noFill/>
                  </pic:spPr>
                </pic:pic>
              </a:graphicData>
            </a:graphic>
          </wp:inline>
        </w:drawing>
      </w:r>
    </w:p>
    <w:p w14:paraId="151FC0A5" w14:textId="3BAFB63A" w:rsidR="006F17FE" w:rsidRPr="00FF2382" w:rsidRDefault="00A231C4" w:rsidP="00FF2382">
      <w:pPr>
        <w:tabs>
          <w:tab w:val="left" w:pos="1578"/>
          <w:tab w:val="left" w:pos="2256"/>
          <w:tab w:val="center" w:pos="4680"/>
        </w:tabs>
        <w:spacing w:after="0"/>
        <w:jc w:val="center"/>
        <w:rPr>
          <w:sz w:val="20"/>
          <w:szCs w:val="20"/>
        </w:rPr>
      </w:pPr>
      <w:r w:rsidRPr="00FF2382">
        <w:rPr>
          <w:sz w:val="20"/>
          <w:szCs w:val="20"/>
        </w:rPr>
        <w:t>S</w:t>
      </w:r>
      <w:r w:rsidR="00924BB2" w:rsidRPr="00FF2382">
        <w:rPr>
          <w:sz w:val="20"/>
          <w:szCs w:val="20"/>
        </w:rPr>
        <w:t xml:space="preserve">ource: </w:t>
      </w:r>
      <w:r w:rsidR="00DD09B4" w:rsidRPr="00FF2382">
        <w:rPr>
          <w:sz w:val="20"/>
          <w:szCs w:val="20"/>
        </w:rPr>
        <w:t xml:space="preserve">Appendix </w:t>
      </w:r>
      <w:r w:rsidR="00924BB2" w:rsidRPr="00FF2382">
        <w:rPr>
          <w:sz w:val="20"/>
          <w:szCs w:val="20"/>
        </w:rPr>
        <w:t>FamilyNet Data Analysis</w:t>
      </w:r>
    </w:p>
    <w:p w14:paraId="7DB380AA" w14:textId="77777777" w:rsidR="00FF2382" w:rsidRPr="00B80B1A" w:rsidRDefault="00FF2382" w:rsidP="00FF2382">
      <w:pPr>
        <w:tabs>
          <w:tab w:val="left" w:pos="1578"/>
          <w:tab w:val="left" w:pos="2256"/>
          <w:tab w:val="center" w:pos="4680"/>
        </w:tabs>
        <w:rPr>
          <w:sz w:val="20"/>
          <w:szCs w:val="20"/>
        </w:rPr>
      </w:pPr>
    </w:p>
    <w:p w14:paraId="179873C2" w14:textId="5B36E433" w:rsidR="00AC632C" w:rsidRPr="00B80B1A" w:rsidRDefault="000B5428" w:rsidP="00037710">
      <w:pPr>
        <w:spacing w:after="0" w:line="240" w:lineRule="auto"/>
        <w:jc w:val="both"/>
      </w:pPr>
      <w:r w:rsidRPr="00B80B1A">
        <w:t xml:space="preserve">As a result of </w:t>
      </w:r>
      <w:r w:rsidR="00AC632C" w:rsidRPr="00B80B1A">
        <w:t>this mismatch between volume and capacity</w:t>
      </w:r>
      <w:r w:rsidRPr="00B80B1A">
        <w:t>,</w:t>
      </w:r>
      <w:r w:rsidR="00AC632C" w:rsidRPr="00B80B1A">
        <w:t xml:space="preserve"> </w:t>
      </w:r>
      <w:r w:rsidRPr="00B80B1A">
        <w:t xml:space="preserve">the </w:t>
      </w:r>
      <w:r w:rsidR="001A4961" w:rsidRPr="00B80B1A">
        <w:t>Hearing Officer</w:t>
      </w:r>
      <w:r w:rsidR="00AC632C" w:rsidRPr="00B80B1A">
        <w:t xml:space="preserve"> workload </w:t>
      </w:r>
      <w:r w:rsidRPr="00B80B1A">
        <w:t>is currently not</w:t>
      </w:r>
      <w:r w:rsidR="00AC632C" w:rsidRPr="00B80B1A">
        <w:t xml:space="preserve"> in equilibrium – </w:t>
      </w:r>
      <w:r w:rsidR="001A4961" w:rsidRPr="00B80B1A">
        <w:rPr>
          <w:b/>
        </w:rPr>
        <w:t>Hearing Officer</w:t>
      </w:r>
      <w:r w:rsidR="00AC632C" w:rsidRPr="00B80B1A">
        <w:rPr>
          <w:b/>
        </w:rPr>
        <w:t xml:space="preserve">s are not able to </w:t>
      </w:r>
      <w:r w:rsidR="009C59E2" w:rsidRPr="00B80B1A">
        <w:rPr>
          <w:b/>
        </w:rPr>
        <w:t>process</w:t>
      </w:r>
      <w:r w:rsidR="00644A46" w:rsidRPr="00B80B1A">
        <w:rPr>
          <w:b/>
        </w:rPr>
        <w:t xml:space="preserve"> </w:t>
      </w:r>
      <w:r w:rsidR="00AC632C" w:rsidRPr="00B80B1A">
        <w:rPr>
          <w:b/>
        </w:rPr>
        <w:t>current incoming volume even when backlogged cases are disregarded entirely.</w:t>
      </w:r>
    </w:p>
    <w:p w14:paraId="4E9D9C3D" w14:textId="77777777" w:rsidR="00A32F75" w:rsidRPr="00B80B1A" w:rsidRDefault="00A32F75" w:rsidP="00037710">
      <w:pPr>
        <w:pStyle w:val="ListParagraph"/>
        <w:spacing w:after="0" w:line="240" w:lineRule="auto"/>
        <w:ind w:left="1440"/>
        <w:jc w:val="both"/>
      </w:pPr>
    </w:p>
    <w:p w14:paraId="3F0A2321" w14:textId="2A118FE8" w:rsidR="004F7066" w:rsidRPr="00B80B1A" w:rsidRDefault="004848D4" w:rsidP="00C90F0C">
      <w:pPr>
        <w:spacing w:after="0" w:line="240" w:lineRule="auto"/>
        <w:jc w:val="both"/>
      </w:pPr>
      <w:r w:rsidRPr="00B80B1A">
        <w:t>Furthermore</w:t>
      </w:r>
      <w:r w:rsidR="006B4032" w:rsidRPr="00B80B1A">
        <w:t>,</w:t>
      </w:r>
      <w:r w:rsidR="003F7B60" w:rsidRPr="00B80B1A">
        <w:t xml:space="preserve"> </w:t>
      </w:r>
      <w:r w:rsidR="00B71044" w:rsidRPr="00B80B1A">
        <w:t xml:space="preserve">we </w:t>
      </w:r>
      <w:r w:rsidR="009715E8" w:rsidRPr="00B80B1A">
        <w:t>observed</w:t>
      </w:r>
      <w:r w:rsidR="00B71044" w:rsidRPr="00B80B1A">
        <w:t xml:space="preserve"> that </w:t>
      </w:r>
      <w:r w:rsidR="001A4961" w:rsidRPr="00B80B1A">
        <w:t>Hearing Officer</w:t>
      </w:r>
      <w:r w:rsidR="00B12450" w:rsidRPr="00B80B1A">
        <w:t xml:space="preserve"> </w:t>
      </w:r>
      <w:proofErr w:type="gramStart"/>
      <w:r w:rsidR="00B12450" w:rsidRPr="00B80B1A">
        <w:t>productivity</w:t>
      </w:r>
      <w:proofErr w:type="gramEnd"/>
      <w:r w:rsidR="00B12450" w:rsidRPr="00B80B1A">
        <w:t xml:space="preserve"> </w:t>
      </w:r>
      <w:r w:rsidR="00B71044" w:rsidRPr="00B80B1A">
        <w:t>seemed</w:t>
      </w:r>
      <w:r w:rsidR="006B4032" w:rsidRPr="00B80B1A">
        <w:t xml:space="preserve"> inconsistent; t</w:t>
      </w:r>
      <w:r w:rsidR="003F7B60" w:rsidRPr="00B80B1A">
        <w:t xml:space="preserve">he number of </w:t>
      </w:r>
      <w:r w:rsidR="0062531C" w:rsidRPr="00B80B1A">
        <w:t>cases</w:t>
      </w:r>
      <w:r w:rsidR="0001669B" w:rsidRPr="00B80B1A">
        <w:t xml:space="preserve"> undertaken</w:t>
      </w:r>
      <w:r w:rsidR="006B4032" w:rsidRPr="00B80B1A">
        <w:t xml:space="preserve"> and decisions</w:t>
      </w:r>
      <w:r w:rsidR="003F7B60" w:rsidRPr="00B80B1A">
        <w:t xml:space="preserve"> </w:t>
      </w:r>
      <w:r w:rsidR="0001669B" w:rsidRPr="00B80B1A">
        <w:t xml:space="preserve">issued </w:t>
      </w:r>
      <w:r w:rsidR="003F7B60" w:rsidRPr="00B80B1A">
        <w:t>var</w:t>
      </w:r>
      <w:r w:rsidR="0001669B" w:rsidRPr="00B80B1A">
        <w:t>ies</w:t>
      </w:r>
      <w:r w:rsidR="003F7B60" w:rsidRPr="00B80B1A">
        <w:t xml:space="preserve"> widely </w:t>
      </w:r>
      <w:r w:rsidR="0001669B" w:rsidRPr="00B80B1A">
        <w:t>by</w:t>
      </w:r>
      <w:r w:rsidR="003F7B60" w:rsidRPr="00B80B1A">
        <w:t xml:space="preserve"> </w:t>
      </w:r>
      <w:r w:rsidR="001A4961" w:rsidRPr="00B80B1A">
        <w:t>Hearing Officer</w:t>
      </w:r>
      <w:r w:rsidR="004579A7" w:rsidRPr="00B80B1A">
        <w:t xml:space="preserve">. </w:t>
      </w:r>
      <w:r w:rsidR="0062531C" w:rsidRPr="00B80B1A">
        <w:t xml:space="preserve">For example, in 2014, the highest-producing </w:t>
      </w:r>
      <w:r w:rsidR="001A4961" w:rsidRPr="00B80B1A">
        <w:t>Hearing Officer</w:t>
      </w:r>
      <w:r w:rsidR="0062531C" w:rsidRPr="00B80B1A">
        <w:t xml:space="preserve"> </w:t>
      </w:r>
      <w:r w:rsidR="004F7066" w:rsidRPr="00B80B1A">
        <w:t xml:space="preserve">processed </w:t>
      </w:r>
      <w:r w:rsidR="00042BAC" w:rsidRPr="00B80B1A">
        <w:t>160 cases</w:t>
      </w:r>
      <w:r w:rsidR="00A73ADF" w:rsidRPr="00B80B1A">
        <w:t>,</w:t>
      </w:r>
      <w:r w:rsidR="00042BAC" w:rsidRPr="00B80B1A">
        <w:t xml:space="preserve"> whereas the low end</w:t>
      </w:r>
      <w:r w:rsidR="0062531C" w:rsidRPr="00B80B1A">
        <w:t xml:space="preserve"> of the spectrum was marked by 75-80 </w:t>
      </w:r>
      <w:r w:rsidR="00BD40CB" w:rsidRPr="00B80B1A">
        <w:t xml:space="preserve">processed </w:t>
      </w:r>
      <w:r w:rsidR="0062531C" w:rsidRPr="00B80B1A">
        <w:t xml:space="preserve">cases per </w:t>
      </w:r>
      <w:r w:rsidR="001A4961" w:rsidRPr="00B80B1A">
        <w:t>Hearing Officer</w:t>
      </w:r>
      <w:r w:rsidR="004A441C" w:rsidRPr="00B80B1A">
        <w:t xml:space="preserve">, excluding partial-year </w:t>
      </w:r>
      <w:r w:rsidR="001A4961" w:rsidRPr="00B80B1A">
        <w:t>Hearing Officer</w:t>
      </w:r>
      <w:r w:rsidR="004A441C" w:rsidRPr="00B80B1A">
        <w:t>s</w:t>
      </w:r>
      <w:r w:rsidR="0062531C" w:rsidRPr="00B80B1A">
        <w:t xml:space="preserve">. This stark contrast </w:t>
      </w:r>
      <w:r w:rsidR="0062531C" w:rsidRPr="00B80B1A">
        <w:lastRenderedPageBreak/>
        <w:t xml:space="preserve">persisted </w:t>
      </w:r>
      <w:r w:rsidR="00283536" w:rsidRPr="00B80B1A">
        <w:t>also for</w:t>
      </w:r>
      <w:r w:rsidR="00BD40CB" w:rsidRPr="00B80B1A">
        <w:t xml:space="preserve"> the subset of cases where a</w:t>
      </w:r>
      <w:r w:rsidR="0062531C" w:rsidRPr="00B80B1A">
        <w:t xml:space="preserve"> decision</w:t>
      </w:r>
      <w:r w:rsidR="00BD40CB" w:rsidRPr="00B80B1A">
        <w:t xml:space="preserve"> was</w:t>
      </w:r>
      <w:r w:rsidR="0062531C" w:rsidRPr="00B80B1A">
        <w:t xml:space="preserve"> issued </w:t>
      </w:r>
      <w:r w:rsidR="00A73ADF" w:rsidRPr="00B80B1A">
        <w:t>during 2014</w:t>
      </w:r>
      <w:r w:rsidR="0062531C" w:rsidRPr="00B80B1A">
        <w:t xml:space="preserve">: 48 </w:t>
      </w:r>
      <w:r w:rsidR="00833A00" w:rsidRPr="00B80B1A">
        <w:t>decisions on the high end and 19</w:t>
      </w:r>
      <w:r w:rsidR="004A441C" w:rsidRPr="00B80B1A">
        <w:t xml:space="preserve"> </w:t>
      </w:r>
      <w:r w:rsidR="0062531C" w:rsidRPr="00B80B1A">
        <w:t xml:space="preserve">decisions on the low end per </w:t>
      </w:r>
      <w:r w:rsidR="001A4961" w:rsidRPr="00B80B1A">
        <w:t>Hearing Officer</w:t>
      </w:r>
      <w:r w:rsidR="0062531C" w:rsidRPr="00B80B1A">
        <w:t>.</w:t>
      </w:r>
      <w:r w:rsidR="0024712C" w:rsidRPr="00B80B1A">
        <w:rPr>
          <w:rStyle w:val="FootnoteReference"/>
        </w:rPr>
        <w:footnoteReference w:id="20"/>
      </w:r>
    </w:p>
    <w:p w14:paraId="02F26D1A" w14:textId="77777777" w:rsidR="004F7066" w:rsidRPr="00B80B1A" w:rsidRDefault="004F7066" w:rsidP="00C90F0C">
      <w:pPr>
        <w:spacing w:after="0" w:line="240" w:lineRule="auto"/>
        <w:jc w:val="both"/>
      </w:pPr>
    </w:p>
    <w:p w14:paraId="29503632" w14:textId="67E2672A" w:rsidR="004F7066" w:rsidRPr="00B80B1A" w:rsidRDefault="004F7066" w:rsidP="00C90F0C">
      <w:pPr>
        <w:spacing w:after="0" w:line="240" w:lineRule="auto"/>
        <w:jc w:val="both"/>
      </w:pPr>
      <w:r w:rsidRPr="00B80B1A">
        <w:t xml:space="preserve">While this type of numerical analysis admittedly does not differentiate based on the quality of decisions issued, it does point to an opportunity for improving Hearing Officer </w:t>
      </w:r>
      <w:proofErr w:type="gramStart"/>
      <w:r w:rsidRPr="00B80B1A">
        <w:t>productivity</w:t>
      </w:r>
      <w:proofErr w:type="gramEnd"/>
      <w:r w:rsidRPr="00B80B1A">
        <w:t xml:space="preserve"> through more effective training, supervision, and performance management. If below-median Hearing Officers were producing at the median level, overall productivity would increase by 11%, and </w:t>
      </w:r>
      <w:r w:rsidR="00743199" w:rsidRPr="00B80B1A">
        <w:t xml:space="preserve">a </w:t>
      </w:r>
      <w:r w:rsidRPr="00B80B1A">
        <w:t>steady-state on incoming volume would be reached.</w:t>
      </w:r>
    </w:p>
    <w:p w14:paraId="603015A8" w14:textId="77777777" w:rsidR="004F7066" w:rsidRPr="00B80B1A" w:rsidRDefault="004F7066" w:rsidP="00037710">
      <w:pPr>
        <w:spacing w:after="0" w:line="240" w:lineRule="auto"/>
        <w:jc w:val="both"/>
      </w:pPr>
    </w:p>
    <w:p w14:paraId="73562D2C" w14:textId="7ECA717F" w:rsidR="00BC6108" w:rsidRPr="00B80B1A" w:rsidRDefault="004848D4" w:rsidP="00037710">
      <w:pPr>
        <w:spacing w:after="0" w:line="240" w:lineRule="auto"/>
        <w:jc w:val="both"/>
      </w:pPr>
      <w:r w:rsidRPr="00B80B1A">
        <w:t>Additionally</w:t>
      </w:r>
      <w:r w:rsidR="00A227D5" w:rsidRPr="00B80B1A">
        <w:t xml:space="preserve">, a mismatch </w:t>
      </w:r>
      <w:r w:rsidR="0096372C" w:rsidRPr="00B80B1A">
        <w:t xml:space="preserve">between current Supervisor capacity and workload volume </w:t>
      </w:r>
      <w:r w:rsidR="00A227D5" w:rsidRPr="00B80B1A">
        <w:t xml:space="preserve">similar to the </w:t>
      </w:r>
      <w:r w:rsidR="001A4961" w:rsidRPr="00B80B1A">
        <w:t>Hearing Officer</w:t>
      </w:r>
      <w:r w:rsidR="00A227D5" w:rsidRPr="00B80B1A">
        <w:t xml:space="preserve"> situation </w:t>
      </w:r>
      <w:r w:rsidR="0096372C" w:rsidRPr="00B80B1A">
        <w:t xml:space="preserve">above </w:t>
      </w:r>
      <w:r w:rsidR="00A227D5" w:rsidRPr="00B80B1A">
        <w:t>is leading to a</w:t>
      </w:r>
      <w:r w:rsidR="00B12450" w:rsidRPr="00B80B1A">
        <w:t xml:space="preserve"> large</w:t>
      </w:r>
      <w:r w:rsidR="00A227D5" w:rsidRPr="00B80B1A">
        <w:t xml:space="preserve"> backlog</w:t>
      </w:r>
      <w:r w:rsidR="0096372C" w:rsidRPr="00B80B1A">
        <w:t xml:space="preserve"> of deci</w:t>
      </w:r>
      <w:r w:rsidR="00B71044" w:rsidRPr="00B80B1A">
        <w:t>sions that require</w:t>
      </w:r>
      <w:r w:rsidR="0096372C" w:rsidRPr="00B80B1A">
        <w:t xml:space="preserve"> Supervisor approval</w:t>
      </w:r>
      <w:r w:rsidR="004579A7" w:rsidRPr="00B80B1A">
        <w:t xml:space="preserve">. </w:t>
      </w:r>
      <w:r w:rsidR="00A227D5" w:rsidRPr="00B80B1A">
        <w:t xml:space="preserve">Current regulations mandate that the </w:t>
      </w:r>
      <w:r w:rsidR="00151DE2" w:rsidRPr="00B80B1A">
        <w:t>Supervisor</w:t>
      </w:r>
      <w:r w:rsidR="00A227D5" w:rsidRPr="00B80B1A">
        <w:t xml:space="preserve"> sign every </w:t>
      </w:r>
      <w:r w:rsidR="001A4961" w:rsidRPr="00B80B1A">
        <w:t>Hearing Officer</w:t>
      </w:r>
      <w:r w:rsidR="00A227D5" w:rsidRPr="00B80B1A">
        <w:t xml:space="preserve"> decision, regardless of the complexity of the case</w:t>
      </w:r>
      <w:r w:rsidR="004579A7" w:rsidRPr="00B80B1A">
        <w:t xml:space="preserve">. </w:t>
      </w:r>
      <w:r w:rsidR="00A67254" w:rsidRPr="00B80B1A">
        <w:t>Wi</w:t>
      </w:r>
      <w:r w:rsidR="00A227D5" w:rsidRPr="00B80B1A">
        <w:t>th only one full</w:t>
      </w:r>
      <w:r w:rsidR="008C5699" w:rsidRPr="00B80B1A">
        <w:t xml:space="preserve">-time hearing </w:t>
      </w:r>
      <w:r w:rsidR="00151DE2" w:rsidRPr="00B80B1A">
        <w:t>Supervisor</w:t>
      </w:r>
      <w:r w:rsidR="008C5699" w:rsidRPr="00B80B1A">
        <w:t xml:space="preserve"> on staf</w:t>
      </w:r>
      <w:r w:rsidR="00A227D5" w:rsidRPr="00B80B1A">
        <w:t>f</w:t>
      </w:r>
      <w:r w:rsidR="006E1753">
        <w:t xml:space="preserve"> </w:t>
      </w:r>
      <w:r w:rsidR="008C5699" w:rsidRPr="00B80B1A">
        <w:t xml:space="preserve">and only one new </w:t>
      </w:r>
      <w:r w:rsidR="00151DE2" w:rsidRPr="00B80B1A">
        <w:t>Supervisor</w:t>
      </w:r>
      <w:r w:rsidR="008C5699" w:rsidRPr="00B80B1A">
        <w:t xml:space="preserve"> hire planned</w:t>
      </w:r>
      <w:r w:rsidR="00A227D5" w:rsidRPr="00B80B1A">
        <w:t xml:space="preserve">, </w:t>
      </w:r>
      <w:r w:rsidR="006753C2" w:rsidRPr="00B80B1A">
        <w:t xml:space="preserve">however, </w:t>
      </w:r>
      <w:r w:rsidR="00A227D5" w:rsidRPr="00B80B1A">
        <w:t xml:space="preserve">this volume </w:t>
      </w:r>
      <w:r w:rsidR="00C33F9B" w:rsidRPr="00B80B1A">
        <w:t xml:space="preserve">becomes practically </w:t>
      </w:r>
      <w:r w:rsidR="00A227D5" w:rsidRPr="00B80B1A">
        <w:t>prohibitive</w:t>
      </w:r>
      <w:r w:rsidR="00EE4029">
        <w:t>,</w:t>
      </w:r>
      <w:r w:rsidR="00A227D5" w:rsidRPr="00B80B1A">
        <w:t xml:space="preserve"> even accounting for the part-time </w:t>
      </w:r>
      <w:r w:rsidR="00556E99" w:rsidRPr="00B80B1A">
        <w:t>involvement of the Director</w:t>
      </w:r>
      <w:r w:rsidR="00A227D5" w:rsidRPr="00B80B1A">
        <w:t xml:space="preserve"> of </w:t>
      </w:r>
      <w:r w:rsidR="00151DE2" w:rsidRPr="00B80B1A">
        <w:t>Fair Hearing</w:t>
      </w:r>
      <w:r w:rsidR="00A227D5" w:rsidRPr="00B80B1A">
        <w:t xml:space="preserve">s in reviewing </w:t>
      </w:r>
      <w:r w:rsidR="001A4961" w:rsidRPr="00B80B1A">
        <w:t>Hearing Officer</w:t>
      </w:r>
      <w:r w:rsidR="00B34E41" w:rsidRPr="00B80B1A">
        <w:t xml:space="preserve"> </w:t>
      </w:r>
      <w:proofErr w:type="gramStart"/>
      <w:r w:rsidR="00A227D5" w:rsidRPr="00B80B1A">
        <w:t>decisions</w:t>
      </w:r>
      <w:proofErr w:type="gramEnd"/>
      <w:r w:rsidR="004579A7" w:rsidRPr="00B80B1A">
        <w:t xml:space="preserve">. </w:t>
      </w:r>
      <w:r w:rsidR="00C33F9B" w:rsidRPr="00B80B1A">
        <w:t xml:space="preserve">The </w:t>
      </w:r>
      <w:r w:rsidR="00151DE2" w:rsidRPr="00B80B1A">
        <w:t>Supervisor</w:t>
      </w:r>
      <w:r w:rsidR="00C33F9B" w:rsidRPr="00B80B1A">
        <w:t xml:space="preserve"> and Director of </w:t>
      </w:r>
      <w:r w:rsidR="00151DE2" w:rsidRPr="00B80B1A">
        <w:t>Fair Hearing</w:t>
      </w:r>
      <w:r w:rsidR="00C33F9B" w:rsidRPr="00B80B1A">
        <w:t>s r</w:t>
      </w:r>
      <w:r w:rsidR="004D2D68" w:rsidRPr="00B80B1A">
        <w:t>oles are intended</w:t>
      </w:r>
      <w:r w:rsidR="00C33F9B" w:rsidRPr="00B80B1A">
        <w:t xml:space="preserve"> primarily </w:t>
      </w:r>
      <w:r w:rsidR="004D2D68" w:rsidRPr="00B80B1A">
        <w:t xml:space="preserve">as </w:t>
      </w:r>
      <w:r w:rsidR="00C33F9B" w:rsidRPr="00B80B1A">
        <w:t xml:space="preserve">managerial positions and </w:t>
      </w:r>
      <w:r w:rsidR="009715E8" w:rsidRPr="00B80B1A">
        <w:t xml:space="preserve">should </w:t>
      </w:r>
      <w:r w:rsidR="00C33F9B" w:rsidRPr="00B80B1A">
        <w:t xml:space="preserve">not </w:t>
      </w:r>
      <w:r w:rsidR="009715E8" w:rsidRPr="00B80B1A">
        <w:t>serve</w:t>
      </w:r>
      <w:r w:rsidR="00C33F9B" w:rsidRPr="00B80B1A">
        <w:t xml:space="preserve"> </w:t>
      </w:r>
      <w:r w:rsidR="009715E8" w:rsidRPr="00B80B1A">
        <w:t xml:space="preserve">as </w:t>
      </w:r>
      <w:r w:rsidR="004D2D68" w:rsidRPr="00B80B1A">
        <w:t xml:space="preserve">quality assurance resources for </w:t>
      </w:r>
      <w:r w:rsidR="001A4961" w:rsidRPr="00B80B1A">
        <w:t>Hearing Officer</w:t>
      </w:r>
      <w:r w:rsidR="004D2D68" w:rsidRPr="00B80B1A">
        <w:t>s.</w:t>
      </w:r>
    </w:p>
    <w:p w14:paraId="32F5A4C9" w14:textId="77777777" w:rsidR="0083316A" w:rsidRPr="00B80B1A" w:rsidRDefault="0083316A" w:rsidP="00037710">
      <w:pPr>
        <w:pStyle w:val="Heading3"/>
        <w:spacing w:before="0" w:line="240" w:lineRule="auto"/>
        <w:jc w:val="both"/>
        <w:rPr>
          <w:i/>
          <w:sz w:val="22"/>
          <w:szCs w:val="22"/>
        </w:rPr>
      </w:pPr>
    </w:p>
    <w:p w14:paraId="0501D92F" w14:textId="6E3DBEC0" w:rsidR="0083316A" w:rsidRPr="00B80B1A" w:rsidRDefault="0083316A" w:rsidP="006F77C6">
      <w:pPr>
        <w:pStyle w:val="Heading4"/>
        <w:numPr>
          <w:ilvl w:val="0"/>
          <w:numId w:val="84"/>
        </w:numPr>
        <w:rPr>
          <w:sz w:val="28"/>
        </w:rPr>
      </w:pPr>
      <w:r w:rsidRPr="00B80B1A">
        <w:rPr>
          <w:sz w:val="28"/>
        </w:rPr>
        <w:t>Operational Procedures</w:t>
      </w:r>
    </w:p>
    <w:p w14:paraId="4C0FF3CF" w14:textId="77777777" w:rsidR="00556E99" w:rsidRPr="00B80B1A" w:rsidRDefault="00556E99" w:rsidP="00037710">
      <w:pPr>
        <w:spacing w:after="0" w:line="240" w:lineRule="auto"/>
        <w:jc w:val="both"/>
      </w:pPr>
    </w:p>
    <w:p w14:paraId="1B092BBC" w14:textId="3EF1BE7F" w:rsidR="00BC6108" w:rsidRPr="00B80B1A" w:rsidRDefault="00B71044" w:rsidP="00037710">
      <w:pPr>
        <w:spacing w:after="0" w:line="240" w:lineRule="auto"/>
        <w:jc w:val="both"/>
      </w:pPr>
      <w:r w:rsidRPr="00B80B1A">
        <w:t>O</w:t>
      </w:r>
      <w:r w:rsidR="00BC6108" w:rsidRPr="00B80B1A">
        <w:t xml:space="preserve">perational procedures are not fully supporting </w:t>
      </w:r>
      <w:r w:rsidR="00151DE2" w:rsidRPr="00B80B1A">
        <w:t>Timeliness</w:t>
      </w:r>
      <w:r w:rsidR="00050186" w:rsidRPr="00B80B1A">
        <w:t xml:space="preserve">. </w:t>
      </w:r>
      <w:r w:rsidR="0030763D" w:rsidRPr="00B80B1A">
        <w:t>Cu</w:t>
      </w:r>
      <w:r w:rsidR="00A02604" w:rsidRPr="00B80B1A">
        <w:t>rrentl</w:t>
      </w:r>
      <w:r w:rsidR="002D37C0" w:rsidRPr="00B80B1A">
        <w:t xml:space="preserve">y, </w:t>
      </w:r>
      <w:r w:rsidR="001A4961" w:rsidRPr="00B80B1A">
        <w:t>Hearing Officer</w:t>
      </w:r>
      <w:r w:rsidR="00A02604" w:rsidRPr="00B80B1A">
        <w:t>s operate on</w:t>
      </w:r>
      <w:r w:rsidR="002F2ED4" w:rsidRPr="00B80B1A">
        <w:t xml:space="preserve"> a five</w:t>
      </w:r>
      <w:r w:rsidR="0030763D" w:rsidRPr="00B80B1A">
        <w:t xml:space="preserve">-week work cycle: They hold hearings for </w:t>
      </w:r>
      <w:r w:rsidR="009318ED" w:rsidRPr="00B80B1A">
        <w:t>four</w:t>
      </w:r>
      <w:r w:rsidR="0030763D" w:rsidRPr="00B80B1A">
        <w:t xml:space="preserve"> consecutive weeks (</w:t>
      </w:r>
      <w:r w:rsidR="00C47CEE" w:rsidRPr="00B80B1A">
        <w:t xml:space="preserve">up to </w:t>
      </w:r>
      <w:r w:rsidR="009318ED" w:rsidRPr="00B80B1A">
        <w:t>six</w:t>
      </w:r>
      <w:r w:rsidR="0030763D" w:rsidRPr="00B80B1A">
        <w:t xml:space="preserve"> hearings per week) and </w:t>
      </w:r>
      <w:r w:rsidR="00A02604" w:rsidRPr="00B80B1A">
        <w:t>dedicate the fifth week in the cycle to organizing and writing decisions</w:t>
      </w:r>
      <w:r w:rsidR="004579A7" w:rsidRPr="00B80B1A">
        <w:t xml:space="preserve">. </w:t>
      </w:r>
      <w:r w:rsidR="00A02604" w:rsidRPr="00B80B1A">
        <w:t xml:space="preserve">The analysis of the FamilyNet data indicates that this approach is resulting in only 54 decisions issued on average per </w:t>
      </w:r>
      <w:r w:rsidR="001A4961" w:rsidRPr="00B80B1A">
        <w:t>Hearing Officer</w:t>
      </w:r>
      <w:r w:rsidR="00A02604" w:rsidRPr="00B80B1A">
        <w:t xml:space="preserve"> </w:t>
      </w:r>
      <w:r w:rsidR="004F10CE" w:rsidRPr="00B80B1A">
        <w:t>per</w:t>
      </w:r>
      <w:r w:rsidR="00A02604" w:rsidRPr="00B80B1A">
        <w:t xml:space="preserve"> year, further contributing to the build-up of a </w:t>
      </w:r>
      <w:r w:rsidR="00151DE2" w:rsidRPr="00B80B1A">
        <w:t xml:space="preserve">Fair </w:t>
      </w:r>
      <w:r w:rsidR="001A4961" w:rsidRPr="00B80B1A">
        <w:t>Hearing Officer</w:t>
      </w:r>
      <w:r w:rsidR="00A02604" w:rsidRPr="00B80B1A">
        <w:t xml:space="preserve"> backlog</w:t>
      </w:r>
      <w:r w:rsidR="004579A7" w:rsidRPr="00B80B1A">
        <w:t xml:space="preserve">. </w:t>
      </w:r>
      <w:r w:rsidR="00A02604" w:rsidRPr="00B80B1A">
        <w:t xml:space="preserve">Specifically, the time that elapses between the first, second, and third week hearings and the fifth writing week is of particular concern as this </w:t>
      </w:r>
      <w:r w:rsidR="009318ED" w:rsidRPr="00B80B1A">
        <w:t>arrangement</w:t>
      </w:r>
      <w:r w:rsidR="00A02604" w:rsidRPr="00B80B1A">
        <w:t xml:space="preserve"> requires the </w:t>
      </w:r>
      <w:r w:rsidR="001A4961" w:rsidRPr="00B80B1A">
        <w:t>Hearing Officer</w:t>
      </w:r>
      <w:r w:rsidR="00A02604" w:rsidRPr="00B80B1A">
        <w:t xml:space="preserve">s to </w:t>
      </w:r>
      <w:r w:rsidR="002B24B6" w:rsidRPr="00B80B1A">
        <w:t xml:space="preserve">consult their </w:t>
      </w:r>
      <w:r w:rsidR="00151DE2" w:rsidRPr="00B80B1A">
        <w:t>Fair Hearing</w:t>
      </w:r>
      <w:r w:rsidR="002B24B6" w:rsidRPr="00B80B1A">
        <w:t xml:space="preserve"> notes and recordings in a time-consuming manner before they can structure and finalize their decision</w:t>
      </w:r>
      <w:r w:rsidR="004579A7" w:rsidRPr="00B80B1A">
        <w:t xml:space="preserve">. </w:t>
      </w:r>
      <w:r w:rsidR="00715733" w:rsidRPr="00B80B1A">
        <w:t xml:space="preserve">An alternate </w:t>
      </w:r>
      <w:r w:rsidR="009318ED" w:rsidRPr="00B80B1A">
        <w:t>arrangement</w:t>
      </w:r>
      <w:r w:rsidR="006753C2" w:rsidRPr="00B80B1A">
        <w:t>,</w:t>
      </w:r>
      <w:r w:rsidR="00715733" w:rsidRPr="00B80B1A">
        <w:t xml:space="preserve"> which would minimize the period between the hearing and the writing of the decision</w:t>
      </w:r>
      <w:r w:rsidR="006753C2" w:rsidRPr="00B80B1A">
        <w:t>,</w:t>
      </w:r>
      <w:r w:rsidR="00715733" w:rsidRPr="00B80B1A">
        <w:t xml:space="preserve"> would be more efficient and support </w:t>
      </w:r>
      <w:r w:rsidR="00151DE2" w:rsidRPr="00B80B1A">
        <w:t>Timeliness</w:t>
      </w:r>
      <w:r w:rsidR="00715733" w:rsidRPr="00B80B1A">
        <w:t xml:space="preserve"> (and likely accuracy</w:t>
      </w:r>
      <w:r w:rsidR="00EF1A61" w:rsidRPr="00B80B1A">
        <w:t xml:space="preserve"> and </w:t>
      </w:r>
      <w:r w:rsidR="00151DE2" w:rsidRPr="00B80B1A">
        <w:t>Fairness</w:t>
      </w:r>
      <w:r w:rsidR="00715733" w:rsidRPr="00B80B1A">
        <w:t>) more effectively</w:t>
      </w:r>
      <w:r w:rsidR="004579A7" w:rsidRPr="00B80B1A">
        <w:t xml:space="preserve">. </w:t>
      </w:r>
      <w:r w:rsidR="00715733" w:rsidRPr="00B80B1A">
        <w:t xml:space="preserve">Along those lines, at least one </w:t>
      </w:r>
      <w:r w:rsidR="001A4961" w:rsidRPr="00B80B1A">
        <w:t>Hearing Officer</w:t>
      </w:r>
      <w:r w:rsidR="00715733" w:rsidRPr="00B80B1A">
        <w:t xml:space="preserve"> expressed </w:t>
      </w:r>
      <w:r w:rsidR="004A68F0" w:rsidRPr="00B80B1A">
        <w:t>as a possible alternative</w:t>
      </w:r>
      <w:r w:rsidR="00715733" w:rsidRPr="00B80B1A">
        <w:t xml:space="preserve"> in the focus group </w:t>
      </w:r>
      <w:r w:rsidR="004A68F0" w:rsidRPr="00B80B1A">
        <w:t xml:space="preserve">that </w:t>
      </w:r>
      <w:r w:rsidR="00BB65E4" w:rsidRPr="00B80B1A">
        <w:t>Officers</w:t>
      </w:r>
      <w:r w:rsidR="004A68F0" w:rsidRPr="00B80B1A">
        <w:t xml:space="preserve"> could </w:t>
      </w:r>
      <w:r w:rsidR="00BB65E4" w:rsidRPr="00B80B1A">
        <w:t>perform</w:t>
      </w:r>
      <w:r w:rsidR="004A68F0" w:rsidRPr="00B80B1A">
        <w:t xml:space="preserve"> </w:t>
      </w:r>
      <w:r w:rsidR="00715733" w:rsidRPr="00B80B1A">
        <w:t xml:space="preserve">“one hearing in the morning and </w:t>
      </w:r>
      <w:r w:rsidR="004A68F0" w:rsidRPr="00B80B1A">
        <w:t xml:space="preserve">[have] </w:t>
      </w:r>
      <w:r w:rsidR="00715733" w:rsidRPr="00B80B1A">
        <w:t>the afternoon free [for writing purposes].”</w:t>
      </w:r>
    </w:p>
    <w:p w14:paraId="30A53572" w14:textId="77777777" w:rsidR="00B71044" w:rsidRPr="00B80B1A" w:rsidRDefault="00B71044" w:rsidP="00037710">
      <w:pPr>
        <w:spacing w:after="0" w:line="240" w:lineRule="auto"/>
        <w:jc w:val="both"/>
        <w:rPr>
          <w:b/>
          <w:sz w:val="28"/>
          <w:szCs w:val="28"/>
        </w:rPr>
      </w:pPr>
    </w:p>
    <w:p w14:paraId="21763C6B" w14:textId="623FD561" w:rsidR="00A17DE0" w:rsidRPr="00B80B1A" w:rsidRDefault="00A17DE0" w:rsidP="00037710">
      <w:pPr>
        <w:spacing w:after="0" w:line="240" w:lineRule="auto"/>
        <w:jc w:val="both"/>
      </w:pPr>
      <w:r w:rsidRPr="00B80B1A">
        <w:t>From a manage</w:t>
      </w:r>
      <w:r w:rsidR="001B455E" w:rsidRPr="00B80B1A">
        <w:t xml:space="preserve">rial </w:t>
      </w:r>
      <w:r w:rsidRPr="00B80B1A">
        <w:t xml:space="preserve">perspective, </w:t>
      </w:r>
      <w:r w:rsidR="00151DE2" w:rsidRPr="00B80B1A">
        <w:t>Timeliness</w:t>
      </w:r>
      <w:r w:rsidRPr="00B80B1A">
        <w:t xml:space="preserve"> metrics for the two phases described </w:t>
      </w:r>
      <w:r w:rsidR="00E90759" w:rsidRPr="00B80B1A">
        <w:t xml:space="preserve">on page </w:t>
      </w:r>
      <w:r w:rsidR="009C59E2" w:rsidRPr="00B80B1A">
        <w:t>1</w:t>
      </w:r>
      <w:r w:rsidR="0081551F" w:rsidRPr="00B80B1A">
        <w:t>2</w:t>
      </w:r>
      <w:r w:rsidR="00F500F5" w:rsidRPr="00B80B1A">
        <w:t xml:space="preserve"> </w:t>
      </w:r>
      <w:r w:rsidRPr="00B80B1A">
        <w:t>are currently not being tracked and reported in a systematic manner</w:t>
      </w:r>
      <w:r w:rsidR="004579A7" w:rsidRPr="00B80B1A">
        <w:t xml:space="preserve">. </w:t>
      </w:r>
      <w:r w:rsidRPr="00B80B1A">
        <w:t xml:space="preserve">While </w:t>
      </w:r>
      <w:r w:rsidR="00894E63" w:rsidRPr="00B80B1A">
        <w:t xml:space="preserve">the current </w:t>
      </w:r>
      <w:r w:rsidRPr="00B80B1A">
        <w:t xml:space="preserve">General Counsel collects and analyzes a series of metrics </w:t>
      </w:r>
      <w:r w:rsidR="00C9138F" w:rsidRPr="00B80B1A">
        <w:t>(</w:t>
      </w:r>
      <w:r w:rsidRPr="00B80B1A">
        <w:t>including backlog levels</w:t>
      </w:r>
      <w:r w:rsidR="00C9138F" w:rsidRPr="00B80B1A">
        <w:t>)</w:t>
      </w:r>
      <w:r w:rsidRPr="00B80B1A">
        <w:t xml:space="preserve">, he and his team (and DCF </w:t>
      </w:r>
      <w:r w:rsidR="00B71044" w:rsidRPr="00B80B1A">
        <w:t>L</w:t>
      </w:r>
      <w:r w:rsidRPr="00B80B1A">
        <w:t xml:space="preserve">eadership in general) have not had </w:t>
      </w:r>
      <w:r w:rsidR="00D0183D" w:rsidRPr="00B80B1A">
        <w:t xml:space="preserve">the </w:t>
      </w:r>
      <w:r w:rsidRPr="00B80B1A">
        <w:t xml:space="preserve">tools </w:t>
      </w:r>
      <w:r w:rsidR="00D0183D" w:rsidRPr="00B80B1A">
        <w:t xml:space="preserve">necessary </w:t>
      </w:r>
      <w:r w:rsidRPr="00B80B1A">
        <w:t xml:space="preserve">to keep a steady pulse on </w:t>
      </w:r>
      <w:r w:rsidR="00151DE2" w:rsidRPr="00B80B1A">
        <w:t>Timeliness</w:t>
      </w:r>
      <w:r w:rsidR="004579A7" w:rsidRPr="00B80B1A">
        <w:t xml:space="preserve">. </w:t>
      </w:r>
      <w:r w:rsidRPr="00B80B1A">
        <w:t xml:space="preserve">It should be noted that the </w:t>
      </w:r>
      <w:r w:rsidR="009715E8" w:rsidRPr="00B80B1A">
        <w:t>improved</w:t>
      </w:r>
      <w:r w:rsidR="000012C1" w:rsidRPr="00B80B1A">
        <w:t xml:space="preserve"> </w:t>
      </w:r>
      <w:proofErr w:type="spellStart"/>
      <w:r w:rsidR="000012C1" w:rsidRPr="00B80B1A">
        <w:t>iFamilyNet</w:t>
      </w:r>
      <w:proofErr w:type="spellEnd"/>
      <w:r w:rsidR="000012C1" w:rsidRPr="00B80B1A">
        <w:t xml:space="preserve"> system currently being implemented</w:t>
      </w:r>
      <w:r w:rsidRPr="00B80B1A">
        <w:t xml:space="preserve"> is expected to make such monitoring and reporting easier.</w:t>
      </w:r>
    </w:p>
    <w:p w14:paraId="4FF89934" w14:textId="77777777" w:rsidR="00A17DE0" w:rsidRPr="00B80B1A" w:rsidRDefault="00A17DE0" w:rsidP="00037710">
      <w:pPr>
        <w:spacing w:after="0" w:line="240" w:lineRule="auto"/>
        <w:jc w:val="both"/>
      </w:pPr>
    </w:p>
    <w:p w14:paraId="0F1A52E9" w14:textId="382048D9" w:rsidR="00A17DE0" w:rsidRPr="00B80B1A" w:rsidRDefault="00A17DE0" w:rsidP="00037710">
      <w:pPr>
        <w:spacing w:after="0" w:line="240" w:lineRule="auto"/>
        <w:jc w:val="both"/>
      </w:pPr>
      <w:r w:rsidRPr="00B80B1A">
        <w:t xml:space="preserve">Again, from a managerial standpoint, performance reviews do not incorporate </w:t>
      </w:r>
      <w:r w:rsidR="00151DE2" w:rsidRPr="00B80B1A">
        <w:t>Timeliness</w:t>
      </w:r>
      <w:r w:rsidRPr="00B80B1A">
        <w:t xml:space="preserve"> and productivity metrics for the </w:t>
      </w:r>
      <w:r w:rsidR="001A4961" w:rsidRPr="00B80B1A">
        <w:t>Hearing Officer</w:t>
      </w:r>
      <w:r w:rsidRPr="00B80B1A">
        <w:t xml:space="preserve">s, </w:t>
      </w:r>
      <w:r w:rsidR="00151DE2" w:rsidRPr="00B80B1A">
        <w:t>Supervisor</w:t>
      </w:r>
      <w:r w:rsidRPr="00B80B1A">
        <w:t>s</w:t>
      </w:r>
      <w:r w:rsidR="00C3612F" w:rsidRPr="00B80B1A">
        <w:t>,</w:t>
      </w:r>
      <w:r w:rsidRPr="00B80B1A">
        <w:t xml:space="preserve"> or the </w:t>
      </w:r>
      <w:r w:rsidR="00151DE2" w:rsidRPr="00B80B1A">
        <w:t>Fair Hearing</w:t>
      </w:r>
      <w:r w:rsidRPr="00B80B1A">
        <w:t xml:space="preserve"> Unit overall. For instance, the analysis we conducted comparing </w:t>
      </w:r>
      <w:r w:rsidR="001A4961" w:rsidRPr="00B80B1A">
        <w:t>Hearing Officer</w:t>
      </w:r>
      <w:r w:rsidR="00C3612F" w:rsidRPr="00B80B1A">
        <w:t>s’</w:t>
      </w:r>
      <w:r w:rsidRPr="00B80B1A">
        <w:t xml:space="preserve"> productivity </w:t>
      </w:r>
      <w:r w:rsidR="00B663C9" w:rsidRPr="00B80B1A">
        <w:t>has not been generated previously</w:t>
      </w:r>
      <w:r w:rsidR="004579A7" w:rsidRPr="00B80B1A">
        <w:t xml:space="preserve">. </w:t>
      </w:r>
      <w:r w:rsidRPr="00B80B1A">
        <w:t xml:space="preserve">Assuming these metrics can be generated and reported periodically with the new </w:t>
      </w:r>
      <w:proofErr w:type="spellStart"/>
      <w:r w:rsidRPr="00B80B1A">
        <w:t>iFamilyNet</w:t>
      </w:r>
      <w:proofErr w:type="spellEnd"/>
      <w:r w:rsidRPr="00B80B1A">
        <w:t xml:space="preserve"> system, </w:t>
      </w:r>
      <w:r w:rsidRPr="00B80B1A">
        <w:lastRenderedPageBreak/>
        <w:t xml:space="preserve">they could be included as performance targets for the </w:t>
      </w:r>
      <w:r w:rsidR="00151DE2" w:rsidRPr="00B80B1A">
        <w:t>Fair Hearing</w:t>
      </w:r>
      <w:r w:rsidRPr="00B80B1A">
        <w:t xml:space="preserve"> </w:t>
      </w:r>
      <w:r w:rsidR="00D82D85" w:rsidRPr="00B80B1A">
        <w:t>t</w:t>
      </w:r>
      <w:r w:rsidRPr="00B80B1A">
        <w:t>eam</w:t>
      </w:r>
      <w:r w:rsidR="004579A7" w:rsidRPr="00B80B1A">
        <w:t xml:space="preserve">. </w:t>
      </w:r>
      <w:r w:rsidRPr="00B80B1A">
        <w:t xml:space="preserve">Doing so would raise the level of awareness around </w:t>
      </w:r>
      <w:r w:rsidR="00151DE2" w:rsidRPr="00B80B1A">
        <w:t>Timeliness</w:t>
      </w:r>
      <w:r w:rsidRPr="00B80B1A">
        <w:t xml:space="preserve"> issue</w:t>
      </w:r>
      <w:r w:rsidR="00C3612F" w:rsidRPr="00B80B1A">
        <w:t>s</w:t>
      </w:r>
      <w:r w:rsidRPr="00B80B1A">
        <w:t xml:space="preserve"> and unify efforts toward resolving them.</w:t>
      </w:r>
    </w:p>
    <w:p w14:paraId="7FEB6126" w14:textId="77777777" w:rsidR="00A17DE0" w:rsidRPr="00B80B1A" w:rsidRDefault="00A17DE0" w:rsidP="00037710">
      <w:pPr>
        <w:spacing w:after="0" w:line="240" w:lineRule="auto"/>
        <w:jc w:val="both"/>
      </w:pPr>
    </w:p>
    <w:p w14:paraId="3CB017EB" w14:textId="735C246D" w:rsidR="00B71044" w:rsidRPr="00B80B1A" w:rsidRDefault="00B242E2" w:rsidP="00037710">
      <w:pPr>
        <w:spacing w:after="0" w:line="240" w:lineRule="auto"/>
        <w:jc w:val="both"/>
      </w:pPr>
      <w:r w:rsidRPr="00B80B1A">
        <w:t>Additionally</w:t>
      </w:r>
      <w:r w:rsidR="00D0183D" w:rsidRPr="00B80B1A">
        <w:t xml:space="preserve">, </w:t>
      </w:r>
      <w:r w:rsidR="00B71044" w:rsidRPr="00B80B1A">
        <w:t xml:space="preserve">Massachusetts regulations stipulate an option whereby the Area Office, at its sole discretion, can offer a pre-resolution </w:t>
      </w:r>
      <w:r w:rsidR="00A67254" w:rsidRPr="00B80B1A">
        <w:t>conference</w:t>
      </w:r>
      <w:r w:rsidR="00B71044" w:rsidRPr="00B80B1A">
        <w:t>.</w:t>
      </w:r>
      <w:r w:rsidR="00B71044" w:rsidRPr="00B80B1A">
        <w:rPr>
          <w:rStyle w:val="FootnoteReference"/>
        </w:rPr>
        <w:footnoteReference w:id="21"/>
      </w:r>
      <w:r w:rsidR="00B71044" w:rsidRPr="00B80B1A">
        <w:t xml:space="preserve"> When respondents in the appellant survey were asked if they were contacted by the Area Office prior to the Fair Hearing to resolve the matter, only 5% mentioned such an approach.</w:t>
      </w:r>
      <w:r w:rsidR="00B71044" w:rsidRPr="00B80B1A">
        <w:rPr>
          <w:rStyle w:val="FootnoteReference"/>
        </w:rPr>
        <w:footnoteReference w:id="22"/>
      </w:r>
      <w:r w:rsidR="00B71044" w:rsidRPr="00B80B1A">
        <w:t xml:space="preserve"> Consistently and effectively utilizing this pre-hearing </w:t>
      </w:r>
      <w:r w:rsidR="00A67254" w:rsidRPr="00B80B1A">
        <w:t xml:space="preserve">conference </w:t>
      </w:r>
      <w:r w:rsidR="00B71044" w:rsidRPr="00B80B1A">
        <w:t xml:space="preserve">could lead to a resolution before the actual Fair Hearing, expediting the process for both the appellant and the Department significantly, while helping to reduce backlogged cases. </w:t>
      </w:r>
      <w:r w:rsidR="00B4367D" w:rsidRPr="00B80B1A">
        <w:t>In</w:t>
      </w:r>
      <w:r w:rsidR="00B71044" w:rsidRPr="00B80B1A">
        <w:t xml:space="preserve"> contrast </w:t>
      </w:r>
      <w:r w:rsidR="00B4367D" w:rsidRPr="00B80B1A">
        <w:t>to</w:t>
      </w:r>
      <w:r w:rsidR="00B71044" w:rsidRPr="00B80B1A">
        <w:t xml:space="preserve"> Ma</w:t>
      </w:r>
      <w:r w:rsidR="0083316A" w:rsidRPr="00B80B1A">
        <w:t xml:space="preserve">ssachusetts, </w:t>
      </w:r>
      <w:r w:rsidR="00B71044" w:rsidRPr="00B80B1A">
        <w:t xml:space="preserve">a pre-hearing </w:t>
      </w:r>
      <w:r w:rsidR="00A67254" w:rsidRPr="00B80B1A">
        <w:t xml:space="preserve">conference </w:t>
      </w:r>
      <w:r w:rsidR="00B71044" w:rsidRPr="00B80B1A">
        <w:t xml:space="preserve">is a requirement in Vermont </w:t>
      </w:r>
      <w:r w:rsidR="009750E0" w:rsidRPr="00B80B1A">
        <w:t xml:space="preserve">before moving on to a hearing </w:t>
      </w:r>
      <w:r w:rsidR="00B71044" w:rsidRPr="00B80B1A">
        <w:t xml:space="preserve">and at either the appellant’s </w:t>
      </w:r>
      <w:r w:rsidR="00B71044" w:rsidRPr="00B80B1A">
        <w:rPr>
          <w:u w:val="single"/>
        </w:rPr>
        <w:t>or</w:t>
      </w:r>
      <w:r w:rsidR="00780D46" w:rsidRPr="00B80B1A">
        <w:t xml:space="preserve"> the d</w:t>
      </w:r>
      <w:r w:rsidR="00B71044" w:rsidRPr="00B80B1A">
        <w:t>epartment’s discretion in New Hampshire.</w:t>
      </w:r>
      <w:r w:rsidR="00B71044" w:rsidRPr="00B80B1A">
        <w:rPr>
          <w:rStyle w:val="FootnoteReference"/>
        </w:rPr>
        <w:footnoteReference w:id="23"/>
      </w:r>
      <w:r w:rsidR="00B71044" w:rsidRPr="00B80B1A">
        <w:t xml:space="preserve"> Furthermore, New York requires a short pre-hearing scheduling and information session</w:t>
      </w:r>
      <w:r w:rsidR="008E4BF6" w:rsidRPr="00B80B1A">
        <w:t xml:space="preserve"> for most cases</w:t>
      </w:r>
      <w:r w:rsidR="00B71044" w:rsidRPr="00B80B1A">
        <w:t>.</w:t>
      </w:r>
      <w:r w:rsidR="00B71044" w:rsidRPr="00B80B1A">
        <w:rPr>
          <w:rStyle w:val="FootnoteReference"/>
        </w:rPr>
        <w:footnoteReference w:id="24"/>
      </w:r>
    </w:p>
    <w:p w14:paraId="4C14B875" w14:textId="77777777" w:rsidR="00A17DE0" w:rsidRPr="00B80B1A" w:rsidRDefault="00A17DE0" w:rsidP="00037710">
      <w:pPr>
        <w:spacing w:after="0" w:line="240" w:lineRule="auto"/>
        <w:jc w:val="both"/>
      </w:pPr>
    </w:p>
    <w:p w14:paraId="04FA1F9D" w14:textId="658D0D1C" w:rsidR="00850DB0" w:rsidRPr="00B80B1A" w:rsidRDefault="009A17C9" w:rsidP="00037710">
      <w:pPr>
        <w:pStyle w:val="Heading2"/>
        <w:spacing w:line="240" w:lineRule="auto"/>
        <w:jc w:val="both"/>
        <w:rPr>
          <w:b/>
          <w:i/>
          <w:sz w:val="32"/>
          <w:szCs w:val="32"/>
        </w:rPr>
      </w:pPr>
      <w:bookmarkStart w:id="43" w:name="_Toc418852309"/>
      <w:bookmarkStart w:id="44" w:name="_Toc421781193"/>
      <w:r w:rsidRPr="00B80B1A">
        <w:rPr>
          <w:b/>
          <w:i/>
          <w:sz w:val="32"/>
          <w:szCs w:val="32"/>
        </w:rPr>
        <w:t xml:space="preserve">2. </w:t>
      </w:r>
      <w:r w:rsidR="00151DE2" w:rsidRPr="00B80B1A">
        <w:rPr>
          <w:b/>
          <w:i/>
          <w:sz w:val="32"/>
          <w:szCs w:val="32"/>
        </w:rPr>
        <w:t>Fairness</w:t>
      </w:r>
      <w:bookmarkEnd w:id="43"/>
      <w:bookmarkEnd w:id="44"/>
    </w:p>
    <w:p w14:paraId="0A9B6C48" w14:textId="77777777" w:rsidR="007C1A28" w:rsidRPr="00B80B1A" w:rsidRDefault="007C1A28" w:rsidP="00037710">
      <w:pPr>
        <w:spacing w:after="0" w:line="240" w:lineRule="auto"/>
        <w:jc w:val="both"/>
      </w:pPr>
    </w:p>
    <w:p w14:paraId="555751BC" w14:textId="26350147" w:rsidR="00E41222" w:rsidRPr="00B80B1A" w:rsidRDefault="00E41222" w:rsidP="00037710">
      <w:pPr>
        <w:spacing w:after="0" w:line="240" w:lineRule="auto"/>
        <w:jc w:val="both"/>
        <w:rPr>
          <w:b/>
        </w:rPr>
      </w:pPr>
      <w:r w:rsidRPr="00B80B1A">
        <w:rPr>
          <w:b/>
        </w:rPr>
        <w:t xml:space="preserve">Despite the </w:t>
      </w:r>
      <w:r w:rsidR="007A58CF" w:rsidRPr="00B80B1A">
        <w:rPr>
          <w:b/>
        </w:rPr>
        <w:t xml:space="preserve">best efforts </w:t>
      </w:r>
      <w:r w:rsidRPr="00B80B1A">
        <w:rPr>
          <w:b/>
        </w:rPr>
        <w:t>of Fair Hearing Officers, the current DCF Fair Hearing process cannot lead to consistently fair outcomes for appellants</w:t>
      </w:r>
      <w:r w:rsidR="00420627" w:rsidRPr="00B80B1A">
        <w:rPr>
          <w:b/>
        </w:rPr>
        <w:t xml:space="preserve"> due to procedural and regulatory factors</w:t>
      </w:r>
      <w:r w:rsidRPr="00B80B1A">
        <w:rPr>
          <w:b/>
        </w:rPr>
        <w:t>.</w:t>
      </w:r>
    </w:p>
    <w:p w14:paraId="05C73706" w14:textId="77777777" w:rsidR="0083316A" w:rsidRPr="00B80B1A" w:rsidRDefault="0083316A" w:rsidP="00037710">
      <w:pPr>
        <w:spacing w:after="0" w:line="240" w:lineRule="auto"/>
        <w:jc w:val="both"/>
      </w:pPr>
    </w:p>
    <w:p w14:paraId="61AE6A00" w14:textId="4EC4E9FA" w:rsidR="00510B62" w:rsidRPr="00B80B1A" w:rsidRDefault="00891C47" w:rsidP="00037710">
      <w:pPr>
        <w:spacing w:after="0" w:line="240" w:lineRule="auto"/>
        <w:jc w:val="both"/>
      </w:pPr>
      <w:r w:rsidRPr="00B80B1A">
        <w:t>T</w:t>
      </w:r>
      <w:r w:rsidR="00510B62" w:rsidRPr="00B80B1A">
        <w:t xml:space="preserve">he Fairness of </w:t>
      </w:r>
      <w:r w:rsidR="00761ACC" w:rsidRPr="00B80B1A">
        <w:t xml:space="preserve">a process </w:t>
      </w:r>
      <w:r w:rsidR="00250F84" w:rsidRPr="00B80B1A">
        <w:t xml:space="preserve">can </w:t>
      </w:r>
      <w:r w:rsidR="00510B62" w:rsidRPr="00B80B1A">
        <w:t xml:space="preserve">be judged </w:t>
      </w:r>
      <w:r w:rsidR="00250F84" w:rsidRPr="00B80B1A">
        <w:t xml:space="preserve">only </w:t>
      </w:r>
      <w:r w:rsidR="00510B62" w:rsidRPr="00B80B1A">
        <w:t>wh</w:t>
      </w:r>
      <w:r w:rsidR="001C1129" w:rsidRPr="00B80B1A">
        <w:t xml:space="preserve">en evaluating </w:t>
      </w:r>
      <w:r w:rsidR="00761ACC" w:rsidRPr="00B80B1A">
        <w:t>it</w:t>
      </w:r>
      <w:r w:rsidR="001C1129" w:rsidRPr="00B80B1A">
        <w:t xml:space="preserve"> holistically</w:t>
      </w:r>
      <w:r w:rsidR="00510B62" w:rsidRPr="00B80B1A">
        <w:t xml:space="preserve">. To use a simple metaphor, </w:t>
      </w:r>
      <w:r w:rsidR="009D43C4" w:rsidRPr="00B80B1A">
        <w:t xml:space="preserve">let us </w:t>
      </w:r>
      <w:r w:rsidR="00510B62" w:rsidRPr="00B80B1A">
        <w:t xml:space="preserve">think of a Fair Hearing as if it were the popular block-stacking game </w:t>
      </w:r>
      <w:proofErr w:type="spellStart"/>
      <w:r w:rsidR="00510B62" w:rsidRPr="00B80B1A">
        <w:t>Jenga</w:t>
      </w:r>
      <w:proofErr w:type="spellEnd"/>
      <w:r w:rsidR="00510B62" w:rsidRPr="00B80B1A">
        <w:t>. Each step in the process is like a building block supporting the structure, or Fairness, of the entire proceeding. Take one block away and the impact on the process is minimal, take away multipl</w:t>
      </w:r>
      <w:r w:rsidR="00250F84" w:rsidRPr="00B80B1A">
        <w:t xml:space="preserve">e </w:t>
      </w:r>
      <w:r w:rsidR="00A315A2" w:rsidRPr="00B80B1A">
        <w:t xml:space="preserve">blocks </w:t>
      </w:r>
      <w:r w:rsidR="00250F84" w:rsidRPr="00B80B1A">
        <w:t>and the entire structure may collapse</w:t>
      </w:r>
      <w:r w:rsidR="00510B62" w:rsidRPr="00B80B1A">
        <w:t xml:space="preserve">, regardless of how many supporting pieces </w:t>
      </w:r>
      <w:r w:rsidR="00761ACC" w:rsidRPr="00B80B1A">
        <w:t>are</w:t>
      </w:r>
      <w:r w:rsidR="00510B62" w:rsidRPr="00B80B1A">
        <w:t xml:space="preserve"> still left in</w:t>
      </w:r>
      <w:r w:rsidR="00A315A2" w:rsidRPr="00B80B1A">
        <w:t xml:space="preserve"> place</w:t>
      </w:r>
      <w:r w:rsidR="00510B62" w:rsidRPr="00B80B1A">
        <w:t>.</w:t>
      </w:r>
    </w:p>
    <w:p w14:paraId="7B2570F7" w14:textId="56997D55" w:rsidR="00510B62" w:rsidRPr="00B80B1A" w:rsidRDefault="00510B62" w:rsidP="00037710">
      <w:pPr>
        <w:spacing w:after="0" w:line="240" w:lineRule="auto"/>
        <w:jc w:val="center"/>
      </w:pPr>
    </w:p>
    <w:p w14:paraId="666BB44E" w14:textId="7350EAB8" w:rsidR="00510B62" w:rsidRPr="00B80B1A" w:rsidRDefault="00510B62" w:rsidP="00037710">
      <w:pPr>
        <w:spacing w:after="0" w:line="240" w:lineRule="auto"/>
        <w:jc w:val="both"/>
      </w:pPr>
      <w:r w:rsidRPr="00B80B1A">
        <w:t xml:space="preserve">Through our analysis below, we will </w:t>
      </w:r>
      <w:r w:rsidR="009C59E2" w:rsidRPr="00B80B1A">
        <w:t>argue</w:t>
      </w:r>
      <w:r w:rsidRPr="00B80B1A">
        <w:t xml:space="preserve"> that the Fair Hearings </w:t>
      </w:r>
      <w:r w:rsidR="00A315A2" w:rsidRPr="00B80B1A">
        <w:t xml:space="preserve">currently </w:t>
      </w:r>
      <w:r w:rsidRPr="00B80B1A">
        <w:t>have too many pieces missing, resulting in an unsound structure that ca</w:t>
      </w:r>
      <w:r w:rsidR="001367E3" w:rsidRPr="00B80B1A">
        <w:t xml:space="preserve">n </w:t>
      </w:r>
      <w:r w:rsidR="00891C47" w:rsidRPr="00B80B1A">
        <w:t>produce</w:t>
      </w:r>
      <w:r w:rsidRPr="00B80B1A">
        <w:t xml:space="preserve"> unfair outcome</w:t>
      </w:r>
      <w:r w:rsidR="001367E3" w:rsidRPr="00B80B1A">
        <w:t xml:space="preserve">s for </w:t>
      </w:r>
      <w:r w:rsidRPr="00B80B1A">
        <w:t>appellant</w:t>
      </w:r>
      <w:r w:rsidR="001367E3" w:rsidRPr="00B80B1A">
        <w:t>s</w:t>
      </w:r>
      <w:r w:rsidRPr="00B80B1A">
        <w:t xml:space="preserve">. Fair Hearing Officers are qualified and neutral, but procedural and regulatory issues </w:t>
      </w:r>
      <w:r w:rsidR="00B17601" w:rsidRPr="00B80B1A">
        <w:t>form potential barriers that at times stand in the way of Fairness</w:t>
      </w:r>
      <w:r w:rsidR="00B927E7" w:rsidRPr="00B80B1A">
        <w:t>.</w:t>
      </w:r>
    </w:p>
    <w:p w14:paraId="6C56FCB0" w14:textId="77777777" w:rsidR="000359BD" w:rsidRDefault="000359BD" w:rsidP="00037710">
      <w:pPr>
        <w:spacing w:after="0" w:line="240" w:lineRule="auto"/>
        <w:jc w:val="both"/>
      </w:pPr>
    </w:p>
    <w:p w14:paraId="4B6DD857" w14:textId="1056B8AB" w:rsidR="00C3612F" w:rsidRPr="00B80B1A" w:rsidRDefault="009B514F" w:rsidP="00037710">
      <w:pPr>
        <w:pStyle w:val="Heading3"/>
        <w:numPr>
          <w:ilvl w:val="0"/>
          <w:numId w:val="36"/>
        </w:numPr>
        <w:jc w:val="both"/>
        <w:rPr>
          <w:i/>
          <w:sz w:val="28"/>
        </w:rPr>
      </w:pPr>
      <w:bookmarkStart w:id="45" w:name="_Toc421781194"/>
      <w:r w:rsidRPr="00B80B1A">
        <w:rPr>
          <w:i/>
          <w:sz w:val="28"/>
        </w:rPr>
        <w:t>Hearing Officers</w:t>
      </w:r>
      <w:bookmarkEnd w:id="45"/>
    </w:p>
    <w:p w14:paraId="4635A758" w14:textId="77777777" w:rsidR="00C3612F" w:rsidRPr="00B80B1A" w:rsidRDefault="00C3612F" w:rsidP="00037710">
      <w:pPr>
        <w:spacing w:after="0" w:line="240" w:lineRule="auto"/>
        <w:jc w:val="both"/>
      </w:pPr>
    </w:p>
    <w:p w14:paraId="346A0D99" w14:textId="6B81910B" w:rsidR="00767AD2" w:rsidRPr="00B80B1A" w:rsidRDefault="00C67E87" w:rsidP="00037710">
      <w:pPr>
        <w:spacing w:after="0" w:line="240" w:lineRule="auto"/>
        <w:jc w:val="both"/>
      </w:pPr>
      <w:r w:rsidRPr="00B80B1A">
        <w:t>First and foremost, t</w:t>
      </w:r>
      <w:r w:rsidR="00767AD2" w:rsidRPr="00B80B1A">
        <w:t>he Hearing Officers who conduct the Fair Hearings are qualified, experienced, well-trained, and professional.</w:t>
      </w:r>
    </w:p>
    <w:p w14:paraId="63986FA3" w14:textId="5777FC8B" w:rsidR="00767AD2" w:rsidRPr="00B80B1A" w:rsidRDefault="00767AD2" w:rsidP="00037710">
      <w:pPr>
        <w:pStyle w:val="ListParagraph"/>
        <w:numPr>
          <w:ilvl w:val="0"/>
          <w:numId w:val="74"/>
        </w:numPr>
        <w:spacing w:after="0" w:line="240" w:lineRule="auto"/>
        <w:ind w:left="810"/>
        <w:jc w:val="both"/>
      </w:pPr>
      <w:r w:rsidRPr="00B80B1A">
        <w:t>The minimum education requirement for the Fair Hearing Officer position is a Bachelor’s degree in social work, psychology, sociology, counseling, counseling education, or human services.</w:t>
      </w:r>
      <w:r w:rsidRPr="00B80B1A">
        <w:rPr>
          <w:rStyle w:val="FootnoteReference"/>
        </w:rPr>
        <w:t xml:space="preserve"> </w:t>
      </w:r>
      <w:r w:rsidRPr="00B80B1A">
        <w:rPr>
          <w:rStyle w:val="FootnoteReference"/>
        </w:rPr>
        <w:footnoteReference w:id="25"/>
      </w:r>
      <w:r w:rsidRPr="00B80B1A">
        <w:t xml:space="preserve"> All current Hearing Officers/Supervisors well exceed this education requirement with degrees in</w:t>
      </w:r>
    </w:p>
    <w:p w14:paraId="69FF9DDF" w14:textId="4D7C5F9D" w:rsidR="00767AD2" w:rsidRPr="00B80B1A" w:rsidRDefault="00767AD2" w:rsidP="00037710">
      <w:pPr>
        <w:pStyle w:val="ListParagraph"/>
        <w:numPr>
          <w:ilvl w:val="1"/>
          <w:numId w:val="73"/>
        </w:numPr>
        <w:spacing w:after="0" w:line="240" w:lineRule="auto"/>
        <w:ind w:left="1530"/>
        <w:jc w:val="both"/>
      </w:pPr>
      <w:r w:rsidRPr="00B80B1A">
        <w:t>Master of Social Work and Juris Doctor (2)</w:t>
      </w:r>
      <w:r w:rsidR="00AD492F" w:rsidRPr="00B80B1A">
        <w:t>,</w:t>
      </w:r>
    </w:p>
    <w:p w14:paraId="0E58762A" w14:textId="376CDD0E" w:rsidR="00767AD2" w:rsidRPr="00B80B1A" w:rsidRDefault="00767AD2" w:rsidP="00037710">
      <w:pPr>
        <w:pStyle w:val="ListParagraph"/>
        <w:numPr>
          <w:ilvl w:val="1"/>
          <w:numId w:val="73"/>
        </w:numPr>
        <w:spacing w:after="0" w:line="240" w:lineRule="auto"/>
        <w:ind w:left="1530"/>
        <w:jc w:val="both"/>
      </w:pPr>
      <w:r w:rsidRPr="00B80B1A">
        <w:t>Juris Doctor (2)</w:t>
      </w:r>
      <w:r w:rsidR="00AD492F" w:rsidRPr="00B80B1A">
        <w:t>,</w:t>
      </w:r>
    </w:p>
    <w:p w14:paraId="72B9F049" w14:textId="666945D0" w:rsidR="00767AD2" w:rsidRPr="00B80B1A" w:rsidRDefault="00767AD2" w:rsidP="00037710">
      <w:pPr>
        <w:pStyle w:val="ListParagraph"/>
        <w:numPr>
          <w:ilvl w:val="1"/>
          <w:numId w:val="73"/>
        </w:numPr>
        <w:spacing w:after="0" w:line="240" w:lineRule="auto"/>
        <w:ind w:left="1530"/>
        <w:jc w:val="both"/>
      </w:pPr>
      <w:r w:rsidRPr="00B80B1A">
        <w:t>Master of Social Work (3)</w:t>
      </w:r>
      <w:r w:rsidR="00AD492F" w:rsidRPr="00B80B1A">
        <w:t>,</w:t>
      </w:r>
    </w:p>
    <w:p w14:paraId="62442837" w14:textId="6FA833B2" w:rsidR="00767AD2" w:rsidRPr="00B80B1A" w:rsidRDefault="00767AD2" w:rsidP="00037710">
      <w:pPr>
        <w:pStyle w:val="ListParagraph"/>
        <w:numPr>
          <w:ilvl w:val="1"/>
          <w:numId w:val="73"/>
        </w:numPr>
        <w:spacing w:after="0" w:line="240" w:lineRule="auto"/>
        <w:ind w:left="1530"/>
        <w:jc w:val="both"/>
      </w:pPr>
      <w:r w:rsidRPr="00B80B1A">
        <w:lastRenderedPageBreak/>
        <w:t>Master of Education (2)</w:t>
      </w:r>
      <w:r w:rsidR="00AD492F" w:rsidRPr="00B80B1A">
        <w:t>,</w:t>
      </w:r>
    </w:p>
    <w:p w14:paraId="6BC79E05" w14:textId="22D42C87" w:rsidR="00767AD2" w:rsidRPr="00B80B1A" w:rsidRDefault="00767AD2" w:rsidP="00037710">
      <w:pPr>
        <w:pStyle w:val="ListParagraph"/>
        <w:numPr>
          <w:ilvl w:val="1"/>
          <w:numId w:val="73"/>
        </w:numPr>
        <w:spacing w:after="0" w:line="240" w:lineRule="auto"/>
        <w:ind w:left="1530"/>
        <w:jc w:val="both"/>
      </w:pPr>
      <w:r w:rsidRPr="00B80B1A">
        <w:t>Master in Criminal Justice (1)</w:t>
      </w:r>
      <w:r w:rsidR="00AD492F" w:rsidRPr="00B80B1A">
        <w:t xml:space="preserve">, and </w:t>
      </w:r>
    </w:p>
    <w:p w14:paraId="64061010" w14:textId="37711A83" w:rsidR="00767AD2" w:rsidRPr="00B80B1A" w:rsidRDefault="00767AD2" w:rsidP="00037710">
      <w:pPr>
        <w:pStyle w:val="ListParagraph"/>
        <w:numPr>
          <w:ilvl w:val="1"/>
          <w:numId w:val="73"/>
        </w:numPr>
        <w:spacing w:after="0" w:line="240" w:lineRule="auto"/>
        <w:ind w:left="1530"/>
        <w:jc w:val="both"/>
      </w:pPr>
      <w:r w:rsidRPr="00B80B1A">
        <w:t>Master of Public Administration (1)</w:t>
      </w:r>
      <w:r w:rsidR="00AD492F" w:rsidRPr="00B80B1A">
        <w:t>.</w:t>
      </w:r>
    </w:p>
    <w:p w14:paraId="57A32588" w14:textId="324313A4" w:rsidR="00767AD2" w:rsidRPr="00B80B1A" w:rsidRDefault="00767AD2" w:rsidP="00037710">
      <w:pPr>
        <w:pStyle w:val="ListParagraph"/>
        <w:numPr>
          <w:ilvl w:val="0"/>
          <w:numId w:val="72"/>
        </w:numPr>
        <w:spacing w:after="0" w:line="240" w:lineRule="auto"/>
        <w:ind w:left="810"/>
        <w:jc w:val="both"/>
      </w:pPr>
      <w:r w:rsidRPr="00B80B1A">
        <w:t xml:space="preserve">Hearing Officers also easily meet the </w:t>
      </w:r>
      <w:r w:rsidR="00F500F5" w:rsidRPr="00B80B1A">
        <w:t>three</w:t>
      </w:r>
      <w:r w:rsidRPr="00B80B1A">
        <w:t>-year social work requirement</w:t>
      </w:r>
      <w:r w:rsidR="00AD492F" w:rsidRPr="00B80B1A">
        <w:t>; o</w:t>
      </w:r>
      <w:r w:rsidRPr="00B80B1A">
        <w:t>n average, they have more t</w:t>
      </w:r>
      <w:r w:rsidR="00F23F8B">
        <w:t>han 20 years of DCF experience.</w:t>
      </w:r>
    </w:p>
    <w:p w14:paraId="28E3A594" w14:textId="77777777" w:rsidR="00767AD2" w:rsidRPr="00B80B1A" w:rsidRDefault="00767AD2" w:rsidP="00037710">
      <w:pPr>
        <w:pStyle w:val="ListParagraph"/>
        <w:numPr>
          <w:ilvl w:val="0"/>
          <w:numId w:val="72"/>
        </w:numPr>
        <w:spacing w:after="0" w:line="240" w:lineRule="auto"/>
        <w:ind w:left="810"/>
        <w:jc w:val="both"/>
      </w:pPr>
      <w:r w:rsidRPr="00B80B1A">
        <w:t>Per regulation, Hearing Officers receive 25 hours of training annually in legal/administrative, trauma/abuse, health, poverty, conflict resolution, and conflict of interest areas.</w:t>
      </w:r>
    </w:p>
    <w:p w14:paraId="4053EA12" w14:textId="0BA5175C" w:rsidR="00767AD2" w:rsidRPr="00B80B1A" w:rsidRDefault="00767AD2" w:rsidP="00037710">
      <w:pPr>
        <w:pStyle w:val="ListParagraph"/>
        <w:numPr>
          <w:ilvl w:val="0"/>
          <w:numId w:val="72"/>
        </w:numPr>
        <w:spacing w:after="0" w:line="240" w:lineRule="auto"/>
        <w:ind w:left="810"/>
        <w:jc w:val="both"/>
      </w:pPr>
      <w:r w:rsidRPr="00B80B1A">
        <w:t>Hearing Officers leverage their qualifications and experience consistently to try to ensure the hearings are conducted professionally and according to regulations</w:t>
      </w:r>
      <w:r w:rsidR="004579A7" w:rsidRPr="00B80B1A">
        <w:t xml:space="preserve">. </w:t>
      </w:r>
      <w:r w:rsidR="007460B8" w:rsidRPr="00B80B1A">
        <w:t xml:space="preserve">The Hearing Officers exhibited </w:t>
      </w:r>
      <w:r w:rsidRPr="00B80B1A">
        <w:t xml:space="preserve">professionalism and dedication in the three hearings we attended and the </w:t>
      </w:r>
      <w:r w:rsidR="000A338F" w:rsidRPr="00B80B1A">
        <w:t xml:space="preserve">32 randomly selected </w:t>
      </w:r>
      <w:r w:rsidRPr="00B80B1A">
        <w:t>Fair Hearing recordings and decisions we studied: they approach</w:t>
      </w:r>
      <w:r w:rsidR="007460B8" w:rsidRPr="00B80B1A">
        <w:t>ed</w:t>
      </w:r>
      <w:r w:rsidRPr="00B80B1A">
        <w:t xml:space="preserve"> the appellants with empathy and courtesy, they listen</w:t>
      </w:r>
      <w:r w:rsidR="007460B8" w:rsidRPr="00B80B1A">
        <w:t>ed</w:t>
      </w:r>
      <w:r w:rsidRPr="00B80B1A">
        <w:t xml:space="preserve"> to </w:t>
      </w:r>
      <w:r w:rsidR="00AD492F" w:rsidRPr="00B80B1A">
        <w:t>the appellants</w:t>
      </w:r>
      <w:r w:rsidRPr="00B80B1A">
        <w:t xml:space="preserve"> intently, they assist</w:t>
      </w:r>
      <w:r w:rsidR="007460B8" w:rsidRPr="00B80B1A">
        <w:t>ed</w:t>
      </w:r>
      <w:r w:rsidRPr="00B80B1A">
        <w:t xml:space="preserve"> the appellants in presenting their case</w:t>
      </w:r>
      <w:r w:rsidR="001A3D52" w:rsidRPr="00B80B1A">
        <w:t>s</w:t>
      </w:r>
      <w:r w:rsidRPr="00B80B1A">
        <w:t xml:space="preserve"> effectively through cross-examination, they offer</w:t>
      </w:r>
      <w:r w:rsidR="007460B8" w:rsidRPr="00B80B1A">
        <w:t>ed</w:t>
      </w:r>
      <w:r w:rsidRPr="00B80B1A">
        <w:t xml:space="preserve"> appellants the opportunity to present evidence even following the hearing by keeping the case open, and they structure</w:t>
      </w:r>
      <w:r w:rsidR="007460B8" w:rsidRPr="00B80B1A">
        <w:t>d</w:t>
      </w:r>
      <w:r w:rsidRPr="00B80B1A">
        <w:t xml:space="preserve"> their decisions according to the entirety of the evidence presented.</w:t>
      </w:r>
      <w:r w:rsidR="00D4082E" w:rsidRPr="00B80B1A">
        <w:t xml:space="preserve"> </w:t>
      </w:r>
      <w:r w:rsidR="00B17601" w:rsidRPr="00B80B1A">
        <w:t>Timeliness, as mentioned in the previous section, constitutes the main improvement opportunity for Hearing Officers.</w:t>
      </w:r>
    </w:p>
    <w:p w14:paraId="6E477D11" w14:textId="77777777" w:rsidR="00767AD2" w:rsidRPr="00B80B1A" w:rsidRDefault="00767AD2" w:rsidP="00037710">
      <w:pPr>
        <w:pStyle w:val="ListParagraph"/>
        <w:numPr>
          <w:ilvl w:val="0"/>
          <w:numId w:val="72"/>
        </w:numPr>
        <w:spacing w:after="0" w:line="240" w:lineRule="auto"/>
        <w:ind w:left="810"/>
        <w:jc w:val="both"/>
      </w:pPr>
      <w:r w:rsidRPr="00B80B1A">
        <w:t xml:space="preserve">Annual performance reviews by a Supervisor are in place, rating Hearing Officers based on adherence to DCF regulations, Timeliness, accuracy, data entry diligence, and contributions to the operation of the Fair Hearing Unit. </w:t>
      </w:r>
    </w:p>
    <w:p w14:paraId="4795EEC9" w14:textId="7485168D" w:rsidR="00767AD2" w:rsidRPr="00B80B1A" w:rsidRDefault="00767AD2" w:rsidP="00037710">
      <w:pPr>
        <w:pStyle w:val="ListParagraph"/>
        <w:numPr>
          <w:ilvl w:val="0"/>
          <w:numId w:val="72"/>
        </w:numPr>
        <w:spacing w:after="0" w:line="240" w:lineRule="auto"/>
        <w:ind w:left="810"/>
        <w:jc w:val="both"/>
      </w:pPr>
      <w:r w:rsidRPr="00B80B1A">
        <w:t>Both internal (DCF) and external subject matter experts we interviewed agreed that Hearing Officers are professional and fair</w:t>
      </w:r>
      <w:r w:rsidR="004579A7" w:rsidRPr="00B80B1A">
        <w:t xml:space="preserve">. </w:t>
      </w:r>
      <w:r w:rsidRPr="00B80B1A">
        <w:t>As one Area Manager stated, “The Hearing Officers I have worked with are extremely professional”; and as an outside attorney indicated, “Hearing Officers are very fair [and] listen to both sides and evidence.”</w:t>
      </w:r>
    </w:p>
    <w:p w14:paraId="5DF6675D" w14:textId="4CD9319A" w:rsidR="00767AD2" w:rsidRPr="00B80B1A" w:rsidRDefault="00767AD2" w:rsidP="00037710">
      <w:pPr>
        <w:pStyle w:val="ListParagraph"/>
        <w:numPr>
          <w:ilvl w:val="0"/>
          <w:numId w:val="72"/>
        </w:numPr>
        <w:spacing w:after="0" w:line="240" w:lineRule="auto"/>
        <w:ind w:left="810"/>
        <w:jc w:val="both"/>
      </w:pPr>
      <w:r w:rsidRPr="00B80B1A">
        <w:t>Consistent with these observations, some respondents in our appellant survey also provided positive comments</w:t>
      </w:r>
      <w:r w:rsidR="004579A7" w:rsidRPr="00B80B1A">
        <w:t xml:space="preserve">. </w:t>
      </w:r>
      <w:r w:rsidRPr="00B80B1A">
        <w:t>For example, one respondent stated</w:t>
      </w:r>
      <w:r w:rsidR="001A3D52" w:rsidRPr="00B80B1A">
        <w:t>,</w:t>
      </w:r>
      <w:r w:rsidRPr="00B80B1A">
        <w:t xml:space="preserve"> “We are just happy there is a Fair Hearing process that takes all </w:t>
      </w:r>
      <w:r w:rsidR="002D6042">
        <w:t>[the information]</w:t>
      </w:r>
      <w:r w:rsidRPr="00B80B1A">
        <w:t xml:space="preserve"> and really thinks about things before judging a family,” highlighting the focus Hearing Officers place on neutrality. Another respondent stated, "I felt that throughout the hearing the [Fair Hearing Officer] had asked questions of the investigator similar to the question</w:t>
      </w:r>
      <w:r w:rsidR="00780D46" w:rsidRPr="00B80B1A">
        <w:t>s asked of my a</w:t>
      </w:r>
      <w:r w:rsidRPr="00B80B1A">
        <w:t>ttorney and self," alluding to Fairness towards both sides by Hearing Officers.</w:t>
      </w:r>
    </w:p>
    <w:p w14:paraId="50E84C87" w14:textId="2DBB3AA4" w:rsidR="00767AD2" w:rsidRPr="00B80B1A" w:rsidRDefault="00767AD2" w:rsidP="00037710">
      <w:pPr>
        <w:pStyle w:val="ListParagraph"/>
        <w:numPr>
          <w:ilvl w:val="0"/>
          <w:numId w:val="72"/>
        </w:numPr>
        <w:spacing w:after="0" w:line="240" w:lineRule="auto"/>
        <w:ind w:left="810"/>
        <w:jc w:val="both"/>
      </w:pPr>
      <w:r w:rsidRPr="00B80B1A">
        <w:t xml:space="preserve">Appeals to the Superior Court rarely result in an overturning of the Hearing Officer’s (or Department’s) decision:  The Superior Court reversal rate for the 2008-2014 </w:t>
      </w:r>
      <w:proofErr w:type="gramStart"/>
      <w:r w:rsidRPr="00B80B1A">
        <w:t>period</w:t>
      </w:r>
      <w:proofErr w:type="gramEnd"/>
      <w:r w:rsidRPr="00B80B1A">
        <w:t xml:space="preserve"> is only 8%</w:t>
      </w:r>
      <w:r w:rsidR="00C3612F" w:rsidRPr="00B80B1A">
        <w:t xml:space="preserve">, </w:t>
      </w:r>
      <w:r w:rsidR="00B17601" w:rsidRPr="00B80B1A">
        <w:t>which provides further support</w:t>
      </w:r>
      <w:r w:rsidRPr="00B80B1A">
        <w:t xml:space="preserve"> for the Hearing Officers’ Fairness.</w:t>
      </w:r>
      <w:r w:rsidR="00781BEB" w:rsidRPr="00B80B1A">
        <w:rPr>
          <w:rStyle w:val="FootnoteReference"/>
        </w:rPr>
        <w:footnoteReference w:id="26"/>
      </w:r>
    </w:p>
    <w:p w14:paraId="181DF1A0" w14:textId="6903799E" w:rsidR="00767AD2" w:rsidRPr="00B80B1A" w:rsidRDefault="00767AD2" w:rsidP="00037710">
      <w:pPr>
        <w:spacing w:after="0" w:line="240" w:lineRule="auto"/>
        <w:jc w:val="both"/>
      </w:pPr>
      <w:r w:rsidRPr="00B80B1A">
        <w:t xml:space="preserve">Our analysis of the DCF data </w:t>
      </w:r>
      <w:r w:rsidR="006B618C" w:rsidRPr="00B80B1A">
        <w:t xml:space="preserve">further </w:t>
      </w:r>
      <w:r w:rsidRPr="00B80B1A">
        <w:t xml:space="preserve">supports </w:t>
      </w:r>
      <w:r w:rsidR="007460B8" w:rsidRPr="00B80B1A">
        <w:t>our findings</w:t>
      </w:r>
      <w:r w:rsidRPr="00B80B1A">
        <w:t>, with no discriminatory bias by the Department observable in the data.</w:t>
      </w:r>
    </w:p>
    <w:p w14:paraId="4FCB3368" w14:textId="77777777" w:rsidR="00767AD2" w:rsidRPr="00B80B1A" w:rsidRDefault="00767AD2" w:rsidP="00037710">
      <w:pPr>
        <w:pStyle w:val="ListParagraph"/>
        <w:numPr>
          <w:ilvl w:val="0"/>
          <w:numId w:val="70"/>
        </w:numPr>
        <w:spacing w:after="0" w:line="240" w:lineRule="auto"/>
        <w:ind w:left="810"/>
        <w:jc w:val="both"/>
      </w:pPr>
      <w:r w:rsidRPr="00B80B1A">
        <w:t xml:space="preserve">We saw no apparent systemic bias in Timeliness by race, gender, or age as illustrated by the charts below: </w:t>
      </w:r>
    </w:p>
    <w:p w14:paraId="41800408" w14:textId="07A61583" w:rsidR="00767AD2" w:rsidRPr="00B80B1A" w:rsidRDefault="00767AD2" w:rsidP="00037710">
      <w:pPr>
        <w:pStyle w:val="ListParagraph"/>
        <w:numPr>
          <w:ilvl w:val="2"/>
          <w:numId w:val="71"/>
        </w:numPr>
        <w:spacing w:after="0" w:line="240" w:lineRule="auto"/>
        <w:ind w:left="1350"/>
        <w:jc w:val="both"/>
      </w:pPr>
      <w:r w:rsidRPr="00B80B1A">
        <w:t>In 2014, metrics for the first phase of Timeliness ranged from 65 to 69 business days across self-reported race identifiers</w:t>
      </w:r>
      <w:r w:rsidR="001A3D52" w:rsidRPr="00B80B1A">
        <w:t>, while t</w:t>
      </w:r>
      <w:r w:rsidRPr="00B80B1A">
        <w:t>he second phase</w:t>
      </w:r>
      <w:r w:rsidR="001A3D52" w:rsidRPr="00B80B1A">
        <w:t xml:space="preserve"> ranged from</w:t>
      </w:r>
      <w:r w:rsidRPr="00B80B1A">
        <w:t xml:space="preserve"> 98 to 106 business days</w:t>
      </w:r>
      <w:r w:rsidR="001A3D52" w:rsidRPr="00B80B1A">
        <w:t>.</w:t>
      </w:r>
      <w:r w:rsidRPr="00B80B1A">
        <w:t xml:space="preserve"> </w:t>
      </w:r>
      <w:r w:rsidR="001A3D52" w:rsidRPr="00B80B1A">
        <w:t xml:space="preserve">In total, </w:t>
      </w:r>
      <w:r w:rsidRPr="00B80B1A">
        <w:t>the</w:t>
      </w:r>
      <w:r w:rsidR="001A3D52" w:rsidRPr="00B80B1A">
        <w:t xml:space="preserve"> </w:t>
      </w:r>
      <w:r w:rsidRPr="00B80B1A">
        <w:t>phases</w:t>
      </w:r>
      <w:r w:rsidR="001A3D52" w:rsidRPr="00B80B1A">
        <w:t xml:space="preserve"> </w:t>
      </w:r>
      <w:r w:rsidR="00F04E92" w:rsidRPr="00B80B1A">
        <w:t>spanned</w:t>
      </w:r>
      <w:r w:rsidRPr="00B80B1A">
        <w:t xml:space="preserve"> </w:t>
      </w:r>
      <w:r w:rsidR="009D576E" w:rsidRPr="00B80B1A">
        <w:t xml:space="preserve">between </w:t>
      </w:r>
      <w:r w:rsidRPr="00B80B1A">
        <w:t>165 to 171 business days</w:t>
      </w:r>
      <w:r w:rsidR="004579A7" w:rsidRPr="00B80B1A">
        <w:t xml:space="preserve">. </w:t>
      </w:r>
      <w:r w:rsidRPr="00B80B1A">
        <w:t>In all phases, the ranges are narrow, showing no apparent bias for race.</w:t>
      </w:r>
    </w:p>
    <w:p w14:paraId="67278C48" w14:textId="77777777" w:rsidR="00767AD2" w:rsidRPr="00B80B1A" w:rsidRDefault="00767AD2" w:rsidP="00037710">
      <w:pPr>
        <w:pStyle w:val="ListParagraph"/>
        <w:numPr>
          <w:ilvl w:val="2"/>
          <w:numId w:val="71"/>
        </w:numPr>
        <w:spacing w:after="0" w:line="240" w:lineRule="auto"/>
        <w:ind w:left="1350"/>
        <w:jc w:val="both"/>
      </w:pPr>
      <w:r w:rsidRPr="00B80B1A">
        <w:t>Again, narrow ranges for Timeliness were observed across genders: 67 to 69 business days for the first phase, 99 to 102 business days for the second phase, and 166 to 171 business days for the sum of both phases.</w:t>
      </w:r>
    </w:p>
    <w:p w14:paraId="733D9D24" w14:textId="3265D4EB" w:rsidR="00767AD2" w:rsidRDefault="00767AD2" w:rsidP="00037710">
      <w:pPr>
        <w:pStyle w:val="ListParagraph"/>
        <w:numPr>
          <w:ilvl w:val="2"/>
          <w:numId w:val="71"/>
        </w:numPr>
        <w:spacing w:after="0" w:line="240" w:lineRule="auto"/>
        <w:ind w:left="1350"/>
        <w:jc w:val="both"/>
      </w:pPr>
      <w:r w:rsidRPr="00B80B1A">
        <w:lastRenderedPageBreak/>
        <w:t xml:space="preserve">Across age groups, the Timeliness ranges were wider </w:t>
      </w:r>
      <w:r w:rsidR="001A3D52" w:rsidRPr="00B80B1A">
        <w:t>(</w:t>
      </w:r>
      <w:r w:rsidRPr="00B80B1A">
        <w:t>likely due to smaller sample sizes as age data was not provided consistently in the FamilyNet data</w:t>
      </w:r>
      <w:r w:rsidR="006B618C" w:rsidRPr="00B80B1A">
        <w:t>base</w:t>
      </w:r>
      <w:r w:rsidR="001A3D52" w:rsidRPr="00B80B1A">
        <w:t>)</w:t>
      </w:r>
      <w:r w:rsidRPr="00B80B1A">
        <w:t>, but not wide enough to indicate any bias.</w:t>
      </w:r>
    </w:p>
    <w:p w14:paraId="52553C4A" w14:textId="77777777" w:rsidR="00F23F8B" w:rsidRPr="00B80B1A" w:rsidRDefault="00F23F8B" w:rsidP="00F23F8B">
      <w:pPr>
        <w:pStyle w:val="ListParagraph"/>
        <w:spacing w:after="0" w:line="240" w:lineRule="auto"/>
        <w:ind w:left="1350"/>
        <w:jc w:val="both"/>
      </w:pPr>
    </w:p>
    <w:p w14:paraId="1DC25901" w14:textId="77777777" w:rsidR="00767AD2" w:rsidRDefault="00767AD2" w:rsidP="00FF2382">
      <w:pPr>
        <w:spacing w:after="0" w:line="240" w:lineRule="auto"/>
        <w:jc w:val="center"/>
      </w:pPr>
      <w:r w:rsidRPr="00B80B1A">
        <w:rPr>
          <w:noProof/>
        </w:rPr>
        <w:drawing>
          <wp:inline distT="0" distB="0" distL="0" distR="0" wp14:anchorId="625A61C9" wp14:editId="1BEE5EDB">
            <wp:extent cx="3536315" cy="1828800"/>
            <wp:effectExtent l="0" t="0" r="0" b="0"/>
            <wp:docPr id="8" name="Picture 8" descr="Bar graph illustrates the average number of business days for the following activities by race.  From request to fair hearing, white was 69 days, black was 66 days, Hispanic was 65 days, and other / unknown was 68 days.   From fair hearing to close, white was 98 days, black was 99 days, Hispanic was 106 days, and other / unknown was 100 days." title="Average Time by Race – 2014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2662" cy="1837254"/>
                    </a:xfrm>
                    <a:prstGeom prst="rect">
                      <a:avLst/>
                    </a:prstGeom>
                    <a:noFill/>
                  </pic:spPr>
                </pic:pic>
              </a:graphicData>
            </a:graphic>
          </wp:inline>
        </w:drawing>
      </w:r>
    </w:p>
    <w:p w14:paraId="43DD36A2" w14:textId="77777777" w:rsidR="00767AD2" w:rsidRDefault="00767AD2" w:rsidP="00FF2382">
      <w:pPr>
        <w:spacing w:after="0" w:line="240" w:lineRule="auto"/>
        <w:jc w:val="center"/>
      </w:pPr>
      <w:r w:rsidRPr="00B80B1A">
        <w:rPr>
          <w:noProof/>
        </w:rPr>
        <w:drawing>
          <wp:inline distT="0" distB="0" distL="0" distR="0" wp14:anchorId="2F0A099E" wp14:editId="6497E8B2">
            <wp:extent cx="3536315" cy="1889760"/>
            <wp:effectExtent l="0" t="0" r="0" b="0"/>
            <wp:docPr id="9" name="Picture 9" descr="Bar graph illustrates the average number of business days for the following activities by gender.  From request to fair hearing, male was 69 days and female was 67 days.   From fair hearing to close, male was 102 days and female was 99 days." title="Average Time by Gender – 2014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52416" cy="1898364"/>
                    </a:xfrm>
                    <a:prstGeom prst="rect">
                      <a:avLst/>
                    </a:prstGeom>
                    <a:noFill/>
                  </pic:spPr>
                </pic:pic>
              </a:graphicData>
            </a:graphic>
          </wp:inline>
        </w:drawing>
      </w:r>
    </w:p>
    <w:p w14:paraId="1885B255" w14:textId="77777777" w:rsidR="00767AD2" w:rsidRPr="00B80B1A" w:rsidRDefault="00767AD2" w:rsidP="00FF2382">
      <w:pPr>
        <w:spacing w:after="0" w:line="240" w:lineRule="auto"/>
        <w:jc w:val="center"/>
      </w:pPr>
      <w:r w:rsidRPr="00B80B1A">
        <w:rPr>
          <w:noProof/>
        </w:rPr>
        <w:drawing>
          <wp:inline distT="0" distB="0" distL="0" distR="0" wp14:anchorId="6F980C9A" wp14:editId="473B35B1">
            <wp:extent cx="3561198" cy="1836420"/>
            <wp:effectExtent l="0" t="0" r="0" b="0"/>
            <wp:docPr id="11" name="Picture 11" descr="Bar graph illustrates the average number of business days for the following activities by age.  From request to fair hearing, 0-20 was 63 days, 21-40 was 67 days, 41-60 was 70 days, and 61-80 was 76 days.   From fair hearing to close, 0-20 was 91 days, 21-40 was 100 days, 41-60 was 102 days, and 61-80 was 106 days." title="Average Time by Age – 2014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20575" cy="1867039"/>
                    </a:xfrm>
                    <a:prstGeom prst="rect">
                      <a:avLst/>
                    </a:prstGeom>
                    <a:noFill/>
                  </pic:spPr>
                </pic:pic>
              </a:graphicData>
            </a:graphic>
          </wp:inline>
        </w:drawing>
      </w:r>
    </w:p>
    <w:p w14:paraId="12CA607F" w14:textId="334E4639" w:rsidR="00DD09B4" w:rsidRDefault="00DD09B4" w:rsidP="00A95EDB">
      <w:pPr>
        <w:spacing w:after="0" w:line="240" w:lineRule="auto"/>
        <w:jc w:val="center"/>
      </w:pPr>
      <w:r w:rsidRPr="00B80B1A">
        <w:t>Source: Appendix FamilyNet Data Analysis</w:t>
      </w:r>
    </w:p>
    <w:p w14:paraId="2AF6C830" w14:textId="77777777" w:rsidR="00F23F8B" w:rsidRPr="00B80B1A" w:rsidRDefault="00F23F8B" w:rsidP="00965378">
      <w:pPr>
        <w:spacing w:after="0" w:line="240" w:lineRule="auto"/>
        <w:ind w:left="2160" w:firstLine="720"/>
        <w:jc w:val="both"/>
      </w:pPr>
    </w:p>
    <w:p w14:paraId="5C17134F" w14:textId="1654316A" w:rsidR="00767AD2" w:rsidRPr="00B80B1A" w:rsidRDefault="00767AD2" w:rsidP="00037710">
      <w:pPr>
        <w:pStyle w:val="ListParagraph"/>
        <w:numPr>
          <w:ilvl w:val="0"/>
          <w:numId w:val="67"/>
        </w:numPr>
        <w:spacing w:after="0" w:line="240" w:lineRule="auto"/>
        <w:ind w:left="810"/>
        <w:jc w:val="both"/>
      </w:pPr>
      <w:r w:rsidRPr="00B80B1A">
        <w:t>We observed no apparent systemic bias in reversal rates by race, gender or age</w:t>
      </w:r>
      <w:r w:rsidR="00C3612F" w:rsidRPr="00B80B1A">
        <w:t>:</w:t>
      </w:r>
    </w:p>
    <w:p w14:paraId="7C4CB2E2" w14:textId="77DDF912" w:rsidR="00767AD2" w:rsidRPr="00B80B1A" w:rsidRDefault="00767AD2" w:rsidP="00037710">
      <w:pPr>
        <w:pStyle w:val="ListParagraph"/>
        <w:numPr>
          <w:ilvl w:val="2"/>
          <w:numId w:val="68"/>
        </w:numPr>
        <w:spacing w:after="0" w:line="240" w:lineRule="auto"/>
        <w:ind w:left="1350"/>
        <w:jc w:val="both"/>
      </w:pPr>
      <w:r w:rsidRPr="00B80B1A">
        <w:t>In 2014, reversal rates ranged from 23% to 29% across self-reported race identifier</w:t>
      </w:r>
      <w:r w:rsidR="006B618C" w:rsidRPr="00B80B1A">
        <w:t>s and 23% to 24% across genders as captured in the table below.</w:t>
      </w:r>
    </w:p>
    <w:p w14:paraId="25778B9A" w14:textId="77777777" w:rsidR="00767AD2" w:rsidRPr="00B80B1A" w:rsidRDefault="00767AD2" w:rsidP="00037710">
      <w:pPr>
        <w:pStyle w:val="ListParagraph"/>
        <w:numPr>
          <w:ilvl w:val="2"/>
          <w:numId w:val="68"/>
        </w:numPr>
        <w:spacing w:after="0" w:line="240" w:lineRule="auto"/>
        <w:ind w:left="1350"/>
        <w:jc w:val="both"/>
      </w:pPr>
      <w:r w:rsidRPr="00B80B1A">
        <w:t>Across age groups, reversal rate ranges were wider due to data limitations, but not indicative of bias.</w:t>
      </w:r>
    </w:p>
    <w:p w14:paraId="5EC59DF1" w14:textId="77777777" w:rsidR="00F23F8B" w:rsidRDefault="00767AD2" w:rsidP="00A95EDB">
      <w:pPr>
        <w:spacing w:after="0" w:line="240" w:lineRule="auto"/>
        <w:jc w:val="center"/>
      </w:pPr>
      <w:r w:rsidRPr="00B80B1A">
        <w:rPr>
          <w:noProof/>
        </w:rPr>
        <w:lastRenderedPageBreak/>
        <w:drawing>
          <wp:inline distT="0" distB="0" distL="0" distR="0" wp14:anchorId="20EE06F9" wp14:editId="4B2EEF5D">
            <wp:extent cx="4555008" cy="1169581"/>
            <wp:effectExtent l="0" t="0" r="0" b="0"/>
            <wp:docPr id="10" name="Picture 10" descr="Table illustrates that reversal rates by race were the following.  White, 23%;  Black, 24%; Hispanic, 23%;  Asian, 29%; and Other / Unknown, 23%.  Reversal rates by gender were 23% for males and 24% for females.  Reversal rates by age were 0-20, 26%; 21-40, 21%, 41-60, 27%, and 61-80, 9%." title="2014 reversal rate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b="9836"/>
                    <a:stretch/>
                  </pic:blipFill>
                  <pic:spPr bwMode="auto">
                    <a:xfrm>
                      <a:off x="0" y="0"/>
                      <a:ext cx="4559935" cy="1170846"/>
                    </a:xfrm>
                    <a:prstGeom prst="rect">
                      <a:avLst/>
                    </a:prstGeom>
                    <a:noFill/>
                    <a:ln>
                      <a:noFill/>
                    </a:ln>
                    <a:extLst>
                      <a:ext uri="{53640926-AAD7-44D8-BBD7-CCE9431645EC}">
                        <a14:shadowObscured xmlns:a14="http://schemas.microsoft.com/office/drawing/2010/main"/>
                      </a:ext>
                    </a:extLst>
                  </pic:spPr>
                </pic:pic>
              </a:graphicData>
            </a:graphic>
          </wp:inline>
        </w:drawing>
      </w:r>
    </w:p>
    <w:p w14:paraId="73AE0815" w14:textId="5D8F2F34" w:rsidR="00767AD2" w:rsidRPr="00B80B1A" w:rsidRDefault="00767AD2" w:rsidP="00A95EDB">
      <w:pPr>
        <w:spacing w:after="0" w:line="240" w:lineRule="auto"/>
        <w:jc w:val="center"/>
      </w:pPr>
      <w:r w:rsidRPr="00B80B1A">
        <w:t>Source: Appendix FamilyNet Data Analysis</w:t>
      </w:r>
    </w:p>
    <w:p w14:paraId="76790C8E" w14:textId="77777777" w:rsidR="00767AD2" w:rsidRPr="00B80B1A" w:rsidRDefault="00767AD2" w:rsidP="00037710">
      <w:pPr>
        <w:spacing w:after="0" w:line="240" w:lineRule="auto"/>
        <w:jc w:val="both"/>
      </w:pPr>
    </w:p>
    <w:p w14:paraId="1CE39867" w14:textId="024978F4" w:rsidR="00767AD2" w:rsidRPr="00B80B1A" w:rsidRDefault="00767AD2" w:rsidP="00037710">
      <w:pPr>
        <w:pStyle w:val="ListParagraph"/>
        <w:numPr>
          <w:ilvl w:val="2"/>
          <w:numId w:val="69"/>
        </w:numPr>
        <w:spacing w:after="0" w:line="240" w:lineRule="auto"/>
        <w:ind w:left="1350"/>
        <w:jc w:val="both"/>
      </w:pPr>
      <w:r w:rsidRPr="00B80B1A">
        <w:t>In addition, we confirmed that denial rates have been steady in the 5%-10% range over time, proving consistency in screening for Fair Hearings</w:t>
      </w:r>
      <w:r w:rsidR="004579A7" w:rsidRPr="00B80B1A">
        <w:t xml:space="preserve">. </w:t>
      </w:r>
      <w:r w:rsidRPr="00B80B1A">
        <w:t xml:space="preserve">Denial rates refer to the number of Fair Hearing requests that were not granted due to the nature or </w:t>
      </w:r>
      <w:r w:rsidR="00A315A2" w:rsidRPr="00B80B1A">
        <w:t xml:space="preserve">lack of </w:t>
      </w:r>
      <w:r w:rsidR="00891C47" w:rsidRPr="00B80B1A">
        <w:t>t</w:t>
      </w:r>
      <w:r w:rsidRPr="00B80B1A">
        <w:t>imeliness of the request as defined by regulations</w:t>
      </w:r>
      <w:r w:rsidR="004579A7" w:rsidRPr="00B80B1A">
        <w:t xml:space="preserve">. </w:t>
      </w:r>
      <w:r w:rsidRPr="00B80B1A">
        <w:t>An inconsistent denial rate trend could be indicative of systemic Fairness issues.</w:t>
      </w:r>
    </w:p>
    <w:p w14:paraId="5DE5E067" w14:textId="72365894" w:rsidR="005A540B" w:rsidRPr="00B80B1A" w:rsidRDefault="005A540B" w:rsidP="00037710">
      <w:pPr>
        <w:spacing w:after="0" w:line="240" w:lineRule="auto"/>
        <w:ind w:left="720"/>
        <w:jc w:val="both"/>
      </w:pPr>
    </w:p>
    <w:p w14:paraId="6E49C615" w14:textId="25668FA3" w:rsidR="009B514F" w:rsidRPr="00B80B1A" w:rsidRDefault="009B514F" w:rsidP="00037710">
      <w:pPr>
        <w:pStyle w:val="Heading3"/>
        <w:numPr>
          <w:ilvl w:val="0"/>
          <w:numId w:val="36"/>
        </w:numPr>
        <w:spacing w:before="0" w:line="240" w:lineRule="auto"/>
        <w:jc w:val="both"/>
        <w:rPr>
          <w:i/>
          <w:sz w:val="28"/>
        </w:rPr>
      </w:pPr>
      <w:bookmarkStart w:id="46" w:name="_Toc421781195"/>
      <w:r w:rsidRPr="00B80B1A">
        <w:rPr>
          <w:i/>
          <w:sz w:val="28"/>
        </w:rPr>
        <w:t>Operational Procedures</w:t>
      </w:r>
      <w:bookmarkEnd w:id="46"/>
    </w:p>
    <w:p w14:paraId="6AA12705" w14:textId="77777777" w:rsidR="00477A78" w:rsidRPr="00B80B1A" w:rsidRDefault="00477A78" w:rsidP="00BA6DAA">
      <w:pPr>
        <w:spacing w:after="0" w:line="240" w:lineRule="auto"/>
        <w:contextualSpacing/>
        <w:jc w:val="both"/>
      </w:pPr>
    </w:p>
    <w:p w14:paraId="0DE6C32D" w14:textId="6EB687BE" w:rsidR="00B4367D" w:rsidRPr="00B80B1A" w:rsidRDefault="0093734D" w:rsidP="00037710">
      <w:pPr>
        <w:spacing w:after="0" w:line="240" w:lineRule="auto"/>
        <w:jc w:val="both"/>
      </w:pPr>
      <w:r w:rsidRPr="00B80B1A">
        <w:t>There</w:t>
      </w:r>
      <w:r w:rsidR="00767AD2" w:rsidRPr="00B80B1A">
        <w:t xml:space="preserve"> are significant procedural issues</w:t>
      </w:r>
      <w:r w:rsidR="005E686C" w:rsidRPr="00B80B1A">
        <w:t xml:space="preserve"> </w:t>
      </w:r>
      <w:r w:rsidR="00767AD2" w:rsidRPr="00B80B1A">
        <w:t xml:space="preserve">that can impact the appellants’ ability to </w:t>
      </w:r>
      <w:r w:rsidR="00A315A2" w:rsidRPr="00B80B1A">
        <w:t>present their case</w:t>
      </w:r>
      <w:r w:rsidR="00F23F8B">
        <w:t>.</w:t>
      </w:r>
    </w:p>
    <w:p w14:paraId="239BD417" w14:textId="46C0A9EF" w:rsidR="00D026E9" w:rsidRPr="00B80B1A" w:rsidRDefault="00D026E9" w:rsidP="00037710">
      <w:pPr>
        <w:spacing w:after="0" w:line="240" w:lineRule="auto"/>
        <w:jc w:val="both"/>
      </w:pPr>
    </w:p>
    <w:p w14:paraId="16DBF1D7" w14:textId="08681EA2" w:rsidR="00767AD2" w:rsidRPr="00B80B1A" w:rsidRDefault="00767AD2" w:rsidP="00037710">
      <w:pPr>
        <w:spacing w:after="0" w:line="240" w:lineRule="auto"/>
        <w:jc w:val="both"/>
      </w:pPr>
      <w:r w:rsidRPr="00B80B1A">
        <w:t xml:space="preserve">To start, the initial investigation and Department decision </w:t>
      </w:r>
      <w:r w:rsidR="0093734D" w:rsidRPr="00B80B1A">
        <w:t>(</w:t>
      </w:r>
      <w:r w:rsidRPr="00B80B1A">
        <w:t>on which th</w:t>
      </w:r>
      <w:r w:rsidR="006B618C" w:rsidRPr="00B80B1A">
        <w:t>e appeal is based</w:t>
      </w:r>
      <w:r w:rsidR="0093734D" w:rsidRPr="00B80B1A">
        <w:t>)</w:t>
      </w:r>
      <w:r w:rsidR="006B618C" w:rsidRPr="00B80B1A">
        <w:t xml:space="preserve"> at times appear to be</w:t>
      </w:r>
      <w:r w:rsidRPr="00B80B1A">
        <w:t xml:space="preserve"> problematic</w:t>
      </w:r>
      <w:r w:rsidR="00A16BB6" w:rsidRPr="00B80B1A">
        <w:t xml:space="preserve"> based on our review of randomly selected cases</w:t>
      </w:r>
      <w:r w:rsidR="000A338F" w:rsidRPr="00B80B1A">
        <w:t xml:space="preserve"> </w:t>
      </w:r>
      <w:r w:rsidR="00F23F8B">
        <w:t xml:space="preserve">and Hearing Officer </w:t>
      </w:r>
      <w:proofErr w:type="gramStart"/>
      <w:r w:rsidR="00F23F8B">
        <w:t>comments</w:t>
      </w:r>
      <w:proofErr w:type="gramEnd"/>
      <w:r w:rsidR="00F23F8B">
        <w:t>.</w:t>
      </w:r>
    </w:p>
    <w:p w14:paraId="0ED98087" w14:textId="51A8E43C" w:rsidR="00767AD2" w:rsidRPr="00B80B1A" w:rsidRDefault="00767AD2" w:rsidP="00037710">
      <w:pPr>
        <w:pStyle w:val="ListParagraph"/>
        <w:numPr>
          <w:ilvl w:val="0"/>
          <w:numId w:val="66"/>
        </w:numPr>
        <w:tabs>
          <w:tab w:val="left" w:pos="810"/>
        </w:tabs>
        <w:spacing w:after="0" w:line="240" w:lineRule="auto"/>
        <w:ind w:left="810"/>
        <w:jc w:val="both"/>
      </w:pPr>
      <w:r w:rsidRPr="00B80B1A">
        <w:t>In our review of 32 randomly selected decisions (including documentation on the initial investigation), we found multiple instances where, in our opinion, the quality of the initial investigation was</w:t>
      </w:r>
      <w:r w:rsidR="00B4367D" w:rsidRPr="00B80B1A">
        <w:t xml:space="preserve"> not sufficiently comprehensive</w:t>
      </w:r>
      <w:r w:rsidR="00F23F8B">
        <w:t>.</w:t>
      </w:r>
    </w:p>
    <w:p w14:paraId="49247018" w14:textId="66A90C4D" w:rsidR="00767AD2" w:rsidRPr="00B80B1A" w:rsidRDefault="00767AD2" w:rsidP="00037710">
      <w:pPr>
        <w:pStyle w:val="ListParagraph"/>
        <w:numPr>
          <w:ilvl w:val="2"/>
          <w:numId w:val="65"/>
        </w:numPr>
        <w:spacing w:after="0" w:line="240" w:lineRule="auto"/>
        <w:ind w:left="1350"/>
        <w:jc w:val="both"/>
      </w:pPr>
      <w:r w:rsidRPr="00B80B1A">
        <w:t xml:space="preserve">In one case involving serious allegations, for </w:t>
      </w:r>
      <w:r w:rsidR="006B618C" w:rsidRPr="00B80B1A">
        <w:t xml:space="preserve">example, the investigator </w:t>
      </w:r>
      <w:r w:rsidR="0093734D" w:rsidRPr="00B80B1A">
        <w:t>neither</w:t>
      </w:r>
      <w:r w:rsidR="007460B8" w:rsidRPr="00B80B1A">
        <w:t xml:space="preserve"> </w:t>
      </w:r>
      <w:r w:rsidRPr="00B80B1A">
        <w:t>interview</w:t>
      </w:r>
      <w:r w:rsidR="0093734D" w:rsidRPr="00B80B1A">
        <w:t>ed</w:t>
      </w:r>
      <w:r w:rsidRPr="00B80B1A">
        <w:t xml:space="preserve"> the teenage victim</w:t>
      </w:r>
      <w:r w:rsidR="003F7FBF" w:rsidRPr="00B80B1A">
        <w:t xml:space="preserve"> despite no </w:t>
      </w:r>
      <w:r w:rsidR="007460B8" w:rsidRPr="00B80B1A">
        <w:t xml:space="preserve">apparent </w:t>
      </w:r>
      <w:r w:rsidR="003F7FBF" w:rsidRPr="00B80B1A">
        <w:t>factors negating the need to do so</w:t>
      </w:r>
      <w:r w:rsidR="0093734D" w:rsidRPr="00B80B1A">
        <w:t xml:space="preserve"> nor</w:t>
      </w:r>
      <w:r w:rsidRPr="00B80B1A">
        <w:t xml:space="preserve"> </w:t>
      </w:r>
      <w:r w:rsidR="0093734D" w:rsidRPr="00B80B1A">
        <w:t>gathered</w:t>
      </w:r>
      <w:r w:rsidRPr="00B80B1A">
        <w:t xml:space="preserve"> readily available evidence from obvious sources. </w:t>
      </w:r>
      <w:r w:rsidR="00E543F8" w:rsidRPr="00B80B1A">
        <w:t xml:space="preserve">We do not know </w:t>
      </w:r>
      <w:r w:rsidR="00DB7AEA" w:rsidRPr="00B80B1A">
        <w:t xml:space="preserve">if </w:t>
      </w:r>
      <w:r w:rsidR="00E543F8" w:rsidRPr="00B80B1A">
        <w:t>there were restrictions imposed on this investigation by the District Attorney.</w:t>
      </w:r>
    </w:p>
    <w:p w14:paraId="15ED1346" w14:textId="7EE87E4F" w:rsidR="00767AD2" w:rsidRPr="00B80B1A" w:rsidRDefault="00767AD2" w:rsidP="00037710">
      <w:pPr>
        <w:pStyle w:val="ListParagraph"/>
        <w:numPr>
          <w:ilvl w:val="2"/>
          <w:numId w:val="65"/>
        </w:numPr>
        <w:spacing w:after="0" w:line="240" w:lineRule="auto"/>
        <w:ind w:left="1350"/>
        <w:jc w:val="both"/>
      </w:pPr>
      <w:r w:rsidRPr="00B80B1A">
        <w:t xml:space="preserve">In another case where a seasoned teacher was found </w:t>
      </w:r>
      <w:r w:rsidR="00271087" w:rsidRPr="00B80B1A">
        <w:t>to be neglectful</w:t>
      </w:r>
      <w:r w:rsidRPr="00B80B1A">
        <w:t xml:space="preserve">, the Area Office investigation relied solely on the testimony of a </w:t>
      </w:r>
      <w:r w:rsidR="00F500F5" w:rsidRPr="00B80B1A">
        <w:t>six</w:t>
      </w:r>
      <w:r w:rsidRPr="00B80B1A">
        <w:t>-year</w:t>
      </w:r>
      <w:r w:rsidR="00F500F5" w:rsidRPr="00B80B1A">
        <w:t>-o</w:t>
      </w:r>
      <w:r w:rsidRPr="00B80B1A">
        <w:t>ld child with a known history of complications and failed to consult with others who were present at the alleged scene (these witnesses fully supported the appellant at the Fair Hearing and the decision was reversed).</w:t>
      </w:r>
    </w:p>
    <w:p w14:paraId="43093401" w14:textId="6C7160E6" w:rsidR="00767AD2" w:rsidRPr="00B80B1A" w:rsidRDefault="00767AD2" w:rsidP="00037710">
      <w:pPr>
        <w:pStyle w:val="ListParagraph"/>
        <w:numPr>
          <w:ilvl w:val="0"/>
          <w:numId w:val="64"/>
        </w:numPr>
        <w:spacing w:after="0" w:line="240" w:lineRule="auto"/>
        <w:ind w:left="810"/>
        <w:jc w:val="both"/>
      </w:pPr>
      <w:r w:rsidRPr="00B80B1A">
        <w:t>Hearing Officers also explicitly voiced c</w:t>
      </w:r>
      <w:r w:rsidR="006B618C" w:rsidRPr="00B80B1A">
        <w:t>oncerns about the quality of some</w:t>
      </w:r>
      <w:r w:rsidRPr="00B80B1A">
        <w:t xml:space="preserve"> Area Office investigations on which they </w:t>
      </w:r>
      <w:r w:rsidR="00A315A2" w:rsidRPr="00B80B1A">
        <w:t xml:space="preserve">held </w:t>
      </w:r>
      <w:r w:rsidRPr="00B80B1A">
        <w:t>hearings</w:t>
      </w:r>
      <w:r w:rsidR="004579A7" w:rsidRPr="00B80B1A">
        <w:t xml:space="preserve">. </w:t>
      </w:r>
      <w:r w:rsidRPr="00B80B1A">
        <w:t>When asked what their personal wish list would include for</w:t>
      </w:r>
      <w:r w:rsidR="006B618C" w:rsidRPr="00B80B1A">
        <w:t xml:space="preserve"> enhancements</w:t>
      </w:r>
      <w:r w:rsidRPr="00B80B1A">
        <w:t xml:space="preserve"> in the process, one Hearing Officer stated, “[One improvement] I would like to see, a huge issue on my mind lately, is the quality of the investigations.”</w:t>
      </w:r>
    </w:p>
    <w:p w14:paraId="6746B6EC" w14:textId="77777777" w:rsidR="000A338F" w:rsidRPr="00B80B1A" w:rsidRDefault="000A338F" w:rsidP="00037710">
      <w:pPr>
        <w:spacing w:after="0" w:line="240" w:lineRule="auto"/>
        <w:jc w:val="both"/>
      </w:pPr>
    </w:p>
    <w:p w14:paraId="29096F2C" w14:textId="2EE1ED62" w:rsidR="00767AD2" w:rsidRPr="00B80B1A" w:rsidRDefault="00767AD2" w:rsidP="00037710">
      <w:pPr>
        <w:spacing w:after="0" w:line="240" w:lineRule="auto"/>
        <w:jc w:val="both"/>
      </w:pPr>
      <w:r w:rsidRPr="00B80B1A">
        <w:t>Additionally, in our review of randomly selected Fair Hear</w:t>
      </w:r>
      <w:r w:rsidR="006B618C" w:rsidRPr="00B80B1A">
        <w:t>ing recordings and analysis of</w:t>
      </w:r>
      <w:r w:rsidRPr="00B80B1A">
        <w:t xml:space="preserve"> appellant survey results, we observed procedural failures, often prior to the Fair Hearing, which m</w:t>
      </w:r>
      <w:r w:rsidR="00326FD0" w:rsidRPr="00B80B1A">
        <w:t>a</w:t>
      </w:r>
      <w:r w:rsidR="00271087" w:rsidRPr="00B80B1A">
        <w:t>de</w:t>
      </w:r>
      <w:r w:rsidRPr="00B80B1A">
        <w:t xml:space="preserve"> it harder for the appellant to understand </w:t>
      </w:r>
      <w:r w:rsidR="008005ED" w:rsidRPr="00B80B1A">
        <w:t xml:space="preserve">or </w:t>
      </w:r>
      <w:r w:rsidR="00780D46" w:rsidRPr="00B80B1A">
        <w:t>present</w:t>
      </w:r>
      <w:r w:rsidRPr="00B80B1A">
        <w:t xml:space="preserve"> </w:t>
      </w:r>
      <w:r w:rsidR="00A315A2" w:rsidRPr="00B80B1A">
        <w:t>his</w:t>
      </w:r>
      <w:r w:rsidR="008857B0" w:rsidRPr="00B80B1A">
        <w:t xml:space="preserve"> or her</w:t>
      </w:r>
      <w:r w:rsidR="00A315A2" w:rsidRPr="00B80B1A">
        <w:t xml:space="preserve"> </w:t>
      </w:r>
      <w:r w:rsidRPr="00B80B1A">
        <w:t>case</w:t>
      </w:r>
      <w:r w:rsidR="008857B0" w:rsidRPr="00B80B1A">
        <w:t>:</w:t>
      </w:r>
    </w:p>
    <w:p w14:paraId="69FAA67A" w14:textId="77777777" w:rsidR="00767AD2" w:rsidRPr="00B80B1A" w:rsidRDefault="00767AD2" w:rsidP="00037710">
      <w:pPr>
        <w:spacing w:after="0" w:line="240" w:lineRule="auto"/>
        <w:jc w:val="both"/>
      </w:pPr>
    </w:p>
    <w:p w14:paraId="4FD178B3" w14:textId="1AA5559D" w:rsidR="00767AD2" w:rsidRPr="00B80B1A" w:rsidRDefault="00767AD2" w:rsidP="00037710">
      <w:pPr>
        <w:pStyle w:val="ListParagraph"/>
        <w:numPr>
          <w:ilvl w:val="0"/>
          <w:numId w:val="63"/>
        </w:numPr>
        <w:spacing w:after="0" w:line="240" w:lineRule="auto"/>
        <w:ind w:left="810"/>
        <w:jc w:val="both"/>
      </w:pPr>
      <w:r w:rsidRPr="00B80B1A">
        <w:t>Oversights were not uncommon in cases we studied. For example, in one recording the appellant had not received the actual written support decision letter from the Area Office</w:t>
      </w:r>
      <w:r w:rsidR="004579A7" w:rsidRPr="00B80B1A">
        <w:t xml:space="preserve">. </w:t>
      </w:r>
      <w:r w:rsidRPr="00B80B1A">
        <w:t>In another, the appellant had requested a copy of his case file from the Area Office in a timely manner but had not received it prior to the hearing</w:t>
      </w:r>
      <w:r w:rsidR="004579A7" w:rsidRPr="00B80B1A">
        <w:t xml:space="preserve">. </w:t>
      </w:r>
      <w:r w:rsidRPr="00B80B1A">
        <w:t xml:space="preserve">In a third recording, we observed that the </w:t>
      </w:r>
      <w:r w:rsidRPr="00B80B1A">
        <w:lastRenderedPageBreak/>
        <w:t>appellant’s attorney did not receive the scheduling letter (it was unclear whether an appearance was filed) and consequently was not present at the hearing. Finally, we witnessed</w:t>
      </w:r>
      <w:r w:rsidR="00F243D0" w:rsidRPr="00B80B1A">
        <w:t xml:space="preserve"> a situation where</w:t>
      </w:r>
      <w:r w:rsidRPr="00B80B1A">
        <w:t xml:space="preserve"> </w:t>
      </w:r>
      <w:r w:rsidR="005D1AE7" w:rsidRPr="00B80B1A">
        <w:t>neither the appellant nor the appellant’s attorney w</w:t>
      </w:r>
      <w:r w:rsidR="00695793" w:rsidRPr="00B80B1A">
        <w:t>as</w:t>
      </w:r>
      <w:r w:rsidR="005D1AE7" w:rsidRPr="00B80B1A">
        <w:t xml:space="preserve"> notified prior to the Fair Hearing that a subpoenaed DCF investigator would not be in attendance due to a personal matter </w:t>
      </w:r>
      <w:r w:rsidRPr="00B80B1A">
        <w:t>(the appellant’s attorney agreed to proceed without the investigator</w:t>
      </w:r>
      <w:r w:rsidR="00DB7AEA" w:rsidRPr="00B80B1A">
        <w:t>,</w:t>
      </w:r>
      <w:r w:rsidRPr="00B80B1A">
        <w:t xml:space="preserve"> conceivably s</w:t>
      </w:r>
      <w:r w:rsidR="00F23F8B">
        <w:t>o as not to delay the process).</w:t>
      </w:r>
    </w:p>
    <w:p w14:paraId="321057D3" w14:textId="3F1CFAC3" w:rsidR="00767AD2" w:rsidRPr="00B80B1A" w:rsidRDefault="00767AD2" w:rsidP="00037710">
      <w:pPr>
        <w:pStyle w:val="ListParagraph"/>
        <w:numPr>
          <w:ilvl w:val="0"/>
          <w:numId w:val="63"/>
        </w:numPr>
        <w:spacing w:after="0" w:line="240" w:lineRule="auto"/>
        <w:ind w:left="810"/>
        <w:jc w:val="both"/>
      </w:pPr>
      <w:r w:rsidRPr="00B80B1A">
        <w:t xml:space="preserve">In our appellant survey, 27% of appellants who requested their files stated they did not </w:t>
      </w:r>
      <w:r w:rsidR="008857B0" w:rsidRPr="00B80B1A">
        <w:t>receive</w:t>
      </w:r>
      <w:r w:rsidRPr="00B80B1A">
        <w:t xml:space="preserve"> their files within 60 days; 22% indicated t</w:t>
      </w:r>
      <w:r w:rsidR="00F23F8B">
        <w:t>hey never received their files.</w:t>
      </w:r>
    </w:p>
    <w:p w14:paraId="3806099A" w14:textId="1E8B0E4A" w:rsidR="00767AD2" w:rsidRPr="00B80B1A" w:rsidRDefault="00767AD2" w:rsidP="00037710">
      <w:pPr>
        <w:pStyle w:val="ListParagraph"/>
        <w:numPr>
          <w:ilvl w:val="0"/>
          <w:numId w:val="63"/>
        </w:numPr>
        <w:spacing w:after="0" w:line="240" w:lineRule="auto"/>
        <w:ind w:left="810"/>
        <w:jc w:val="both"/>
      </w:pPr>
      <w:r w:rsidRPr="00B80B1A">
        <w:t xml:space="preserve">Ancillary to the above, Hearing Officers also touched upon frequent procedural breakdowns as illustrated in the following comment from the Hearing Officer focus group: “We’ve had many, many, many hearings where the people have never seen the </w:t>
      </w:r>
      <w:r w:rsidR="00EA5211" w:rsidRPr="00B80B1A">
        <w:t>[investigation report]</w:t>
      </w:r>
      <w:r w:rsidRPr="00B80B1A">
        <w:t xml:space="preserve"> before. They get the support letter and it says ‘supported physical abuse,’ ‘supported neglect,’ and that’s all they know. So, of course they come. They want to be heard. They advocate for themselves, as they should. But they’ll come and say, ‘I’ve requested three times for a copy, here I have it in writing, I sent in a request.’ The </w:t>
      </w:r>
      <w:r w:rsidR="00A315A2" w:rsidRPr="00B80B1A">
        <w:t>Area Offices</w:t>
      </w:r>
      <w:r w:rsidRPr="00B80B1A">
        <w:t xml:space="preserve"> just can’t keep up with the demand.”</w:t>
      </w:r>
    </w:p>
    <w:p w14:paraId="61695FE3" w14:textId="55CCDB63" w:rsidR="003B7D55" w:rsidRPr="00B80B1A" w:rsidRDefault="00767AD2" w:rsidP="00037710">
      <w:pPr>
        <w:pStyle w:val="ListParagraph"/>
        <w:numPr>
          <w:ilvl w:val="0"/>
          <w:numId w:val="63"/>
        </w:numPr>
        <w:spacing w:after="0" w:line="240" w:lineRule="auto"/>
        <w:ind w:left="810"/>
        <w:jc w:val="both"/>
      </w:pPr>
      <w:r w:rsidRPr="00B80B1A">
        <w:t xml:space="preserve">In a more specific comment, one Hearing Officer </w:t>
      </w:r>
      <w:r w:rsidR="002B0C67">
        <w:t>remarked</w:t>
      </w:r>
      <w:r w:rsidR="002B0C67" w:rsidRPr="00B80B1A">
        <w:t xml:space="preserve"> </w:t>
      </w:r>
      <w:r w:rsidRPr="00B80B1A">
        <w:t xml:space="preserve">on the </w:t>
      </w:r>
      <w:r w:rsidR="00780D46" w:rsidRPr="00B80B1A">
        <w:t xml:space="preserve">limited </w:t>
      </w:r>
      <w:r w:rsidRPr="00B80B1A">
        <w:t xml:space="preserve">availability of interpreters: “Access to quality interpreters in different languages is an issue. I think if you want a Spanish interpreter, that’s not too much of a problem, but if it’s another language, like an African dialect, a Middle Eastern language, it’s much more difficult to find interpreters in languages not spoken as frequently as Spanish.” Another Hearing Officer </w:t>
      </w:r>
      <w:r w:rsidR="009E69D9" w:rsidRPr="00B80B1A">
        <w:t>questioned whether</w:t>
      </w:r>
      <w:r w:rsidRPr="00B80B1A">
        <w:t xml:space="preserve"> interpreters provided by Area Offices </w:t>
      </w:r>
      <w:r w:rsidR="009E69D9" w:rsidRPr="00B80B1A">
        <w:t>were</w:t>
      </w:r>
      <w:r w:rsidRPr="00B80B1A">
        <w:t xml:space="preserve"> </w:t>
      </w:r>
      <w:r w:rsidR="009E69D9" w:rsidRPr="00B80B1A">
        <w:t xml:space="preserve">adequately </w:t>
      </w:r>
      <w:r w:rsidRPr="00B80B1A">
        <w:t xml:space="preserve">qualified to translate legal </w:t>
      </w:r>
      <w:r w:rsidR="00271087" w:rsidRPr="00B80B1A">
        <w:t>proceeding</w:t>
      </w:r>
      <w:r w:rsidRPr="00B80B1A">
        <w:t>s</w:t>
      </w:r>
      <w:r w:rsidR="004579A7" w:rsidRPr="00B80B1A">
        <w:t xml:space="preserve">. </w:t>
      </w:r>
      <w:r w:rsidRPr="00B80B1A">
        <w:t xml:space="preserve">Appellants have the right to an interpreter, and providing a qualified interpreter is the role of the Area Office. </w:t>
      </w:r>
      <w:r w:rsidR="008857B0" w:rsidRPr="00B80B1A">
        <w:t>We</w:t>
      </w:r>
      <w:r w:rsidRPr="00B80B1A">
        <w:t xml:space="preserve"> do recognize</w:t>
      </w:r>
      <w:r w:rsidR="008857B0" w:rsidRPr="00B80B1A">
        <w:t>, however,</w:t>
      </w:r>
      <w:r w:rsidRPr="00B80B1A">
        <w:t xml:space="preserve"> that DCF uses state-wide translation vendors and does not have </w:t>
      </w:r>
      <w:r w:rsidR="00A315A2" w:rsidRPr="00B80B1A">
        <w:t xml:space="preserve">direct input </w:t>
      </w:r>
      <w:r w:rsidRPr="00B80B1A">
        <w:t xml:space="preserve">on the range or quality of the </w:t>
      </w:r>
      <w:r w:rsidR="002B0C67">
        <w:t>interpreters who appear.</w:t>
      </w:r>
    </w:p>
    <w:p w14:paraId="5BD65C01" w14:textId="2F0948EC" w:rsidR="001D4387" w:rsidRPr="00B80B1A" w:rsidRDefault="001D4387" w:rsidP="00037710">
      <w:pPr>
        <w:pStyle w:val="ListParagraph"/>
        <w:spacing w:after="0" w:line="240" w:lineRule="auto"/>
        <w:ind w:left="1080"/>
        <w:jc w:val="both"/>
      </w:pPr>
    </w:p>
    <w:p w14:paraId="6B40181E" w14:textId="25A8E433" w:rsidR="009B514F" w:rsidRPr="00B80B1A" w:rsidRDefault="009B514F" w:rsidP="00037710">
      <w:pPr>
        <w:pStyle w:val="Heading3"/>
        <w:numPr>
          <w:ilvl w:val="0"/>
          <w:numId w:val="36"/>
        </w:numPr>
        <w:jc w:val="both"/>
        <w:rPr>
          <w:i/>
          <w:sz w:val="28"/>
        </w:rPr>
      </w:pPr>
      <w:bookmarkStart w:id="47" w:name="_Toc421781196"/>
      <w:r w:rsidRPr="00B80B1A">
        <w:rPr>
          <w:i/>
          <w:sz w:val="28"/>
        </w:rPr>
        <w:t>Regulations</w:t>
      </w:r>
      <w:bookmarkEnd w:id="47"/>
    </w:p>
    <w:p w14:paraId="1C8F29DB" w14:textId="77777777" w:rsidR="003B7D55" w:rsidRPr="00B80B1A" w:rsidRDefault="003B7D55" w:rsidP="00BA6DAA">
      <w:pPr>
        <w:spacing w:after="0" w:line="240" w:lineRule="auto"/>
        <w:jc w:val="both"/>
      </w:pPr>
    </w:p>
    <w:p w14:paraId="73D1B8CA" w14:textId="3CF1F47C" w:rsidR="00D026E9" w:rsidRPr="00B80B1A" w:rsidRDefault="00781BEB" w:rsidP="00037710">
      <w:pPr>
        <w:jc w:val="both"/>
      </w:pPr>
      <w:r w:rsidRPr="00B80B1A">
        <w:t>T</w:t>
      </w:r>
      <w:r w:rsidR="00767AD2" w:rsidRPr="00B80B1A">
        <w:t xml:space="preserve">he </w:t>
      </w:r>
      <w:r w:rsidR="00DB1D2D" w:rsidRPr="00B80B1A">
        <w:t xml:space="preserve">Fair Hearings </w:t>
      </w:r>
      <w:r w:rsidR="00767AD2" w:rsidRPr="00B80B1A">
        <w:t>regulations as t</w:t>
      </w:r>
      <w:r w:rsidR="00965378">
        <w:t>hey are currently written</w:t>
      </w:r>
      <w:r w:rsidR="00767AD2" w:rsidRPr="00B80B1A">
        <w:t xml:space="preserve"> provide </w:t>
      </w:r>
      <w:r w:rsidR="00965378">
        <w:t xml:space="preserve">less </w:t>
      </w:r>
      <w:r w:rsidR="00382858">
        <w:t>adequate</w:t>
      </w:r>
      <w:r w:rsidR="00767AD2" w:rsidRPr="00B80B1A">
        <w:t xml:space="preserve"> protections for the appellant</w:t>
      </w:r>
      <w:r w:rsidR="00965378">
        <w:t xml:space="preserve"> than in the other states we reviewed</w:t>
      </w:r>
      <w:r w:rsidR="00767AD2" w:rsidRPr="00B80B1A">
        <w:t>.</w:t>
      </w:r>
    </w:p>
    <w:p w14:paraId="0ACF6208" w14:textId="293D1F40" w:rsidR="00767AD2" w:rsidRPr="00B80B1A" w:rsidRDefault="00767AD2" w:rsidP="00382858">
      <w:pPr>
        <w:pStyle w:val="ListParagraph"/>
        <w:numPr>
          <w:ilvl w:val="0"/>
          <w:numId w:val="62"/>
        </w:numPr>
        <w:spacing w:after="0" w:line="240" w:lineRule="auto"/>
        <w:jc w:val="both"/>
      </w:pPr>
      <w:r w:rsidRPr="00B80B1A">
        <w:rPr>
          <w:b/>
        </w:rPr>
        <w:t>The Burden of Proof</w:t>
      </w:r>
      <w:r w:rsidR="00DB7AEA" w:rsidRPr="00B80B1A">
        <w:rPr>
          <w:b/>
        </w:rPr>
        <w:t xml:space="preserve"> –</w:t>
      </w:r>
      <w:r w:rsidRPr="00B80B1A">
        <w:rPr>
          <w:b/>
        </w:rPr>
        <w:t xml:space="preserve"> </w:t>
      </w:r>
      <w:r w:rsidR="001642D0" w:rsidRPr="00B80B1A">
        <w:t xml:space="preserve">In Massachusetts, </w:t>
      </w:r>
      <w:r w:rsidR="002B4FD9" w:rsidRPr="00B80B1A">
        <w:t>t</w:t>
      </w:r>
      <w:r w:rsidRPr="00B80B1A">
        <w:t xml:space="preserve">he burden of proof </w:t>
      </w:r>
      <w:r w:rsidR="001642D0" w:rsidRPr="00B80B1A">
        <w:t xml:space="preserve">for administrative hearings </w:t>
      </w:r>
      <w:r w:rsidRPr="00B80B1A">
        <w:t>is</w:t>
      </w:r>
      <w:r w:rsidR="001642D0" w:rsidRPr="00B80B1A">
        <w:t xml:space="preserve"> </w:t>
      </w:r>
      <w:r w:rsidR="006575FA" w:rsidRPr="00B80B1A">
        <w:t xml:space="preserve">always </w:t>
      </w:r>
      <w:r w:rsidRPr="00B80B1A">
        <w:t>on the appellant.</w:t>
      </w:r>
      <w:r w:rsidR="002B4FD9" w:rsidRPr="00B80B1A">
        <w:t xml:space="preserve"> </w:t>
      </w:r>
      <w:r w:rsidR="001642D0" w:rsidRPr="00B80B1A">
        <w:t>Although DCF regulations do require the Department to present its case first, DCF conforms to state practice and places the burden of proof upon the appellant.</w:t>
      </w:r>
      <w:r w:rsidR="001642D0" w:rsidRPr="00B80B1A">
        <w:rPr>
          <w:rStyle w:val="FootnoteReference"/>
        </w:rPr>
        <w:footnoteReference w:id="27"/>
      </w:r>
      <w:r w:rsidR="001642D0" w:rsidRPr="00B80B1A">
        <w:t xml:space="preserve"> </w:t>
      </w:r>
      <w:r w:rsidR="002B4FD9" w:rsidRPr="00B80B1A">
        <w:t>In contrast, a</w:t>
      </w:r>
      <w:r w:rsidRPr="00B80B1A">
        <w:t>mong the various states we studied, there was a clear trend towards placing the burden of proof upon the departmental agency. Connecticut, for instance, places the burden solely upon the agency for any matter that c</w:t>
      </w:r>
      <w:r w:rsidR="00271087" w:rsidRPr="00B80B1A">
        <w:t xml:space="preserve">omes </w:t>
      </w:r>
      <w:r w:rsidR="00780D46" w:rsidRPr="00B80B1A">
        <w:t xml:space="preserve">before a </w:t>
      </w:r>
      <w:r w:rsidR="00D901CE">
        <w:t>F</w:t>
      </w:r>
      <w:r w:rsidR="00780D46" w:rsidRPr="00B80B1A">
        <w:t xml:space="preserve">air </w:t>
      </w:r>
      <w:r w:rsidR="00D901CE">
        <w:t>H</w:t>
      </w:r>
      <w:r w:rsidRPr="00B80B1A">
        <w:t>earing.</w:t>
      </w:r>
      <w:r w:rsidRPr="00B80B1A">
        <w:rPr>
          <w:rStyle w:val="FootnoteReference"/>
        </w:rPr>
        <w:footnoteReference w:id="28"/>
      </w:r>
      <w:r w:rsidRPr="00B80B1A">
        <w:t xml:space="preserve">  Alternatively, New Hampshire, New York, and Rhode Island place the burden upon the agency in any matter involving a</w:t>
      </w:r>
      <w:r w:rsidR="00137757" w:rsidRPr="00B80B1A">
        <w:t>n abuse or neglect</w:t>
      </w:r>
      <w:r w:rsidRPr="00B80B1A">
        <w:t xml:space="preserve"> decision</w:t>
      </w:r>
      <w:r w:rsidR="00382858">
        <w:t xml:space="preserve"> (</w:t>
      </w:r>
      <w:r w:rsidR="00382858" w:rsidRPr="00382858">
        <w:t>Abuse or neglect decisions constitute the majority of DCF Fair Hearing cases.</w:t>
      </w:r>
      <w:r w:rsidR="00382858">
        <w:t>)</w:t>
      </w:r>
      <w:r w:rsidRPr="00B80B1A">
        <w:t>.</w:t>
      </w:r>
      <w:r w:rsidRPr="00B80B1A">
        <w:rPr>
          <w:rStyle w:val="FootnoteReference"/>
        </w:rPr>
        <w:footnoteReference w:id="29"/>
      </w:r>
      <w:r w:rsidRPr="00B80B1A">
        <w:t xml:space="preserve"> Given the deference Hearing Officers must show to the clinical judgements </w:t>
      </w:r>
      <w:r w:rsidR="006B618C" w:rsidRPr="00B80B1A">
        <w:t>of DCF investigators, and</w:t>
      </w:r>
      <w:r w:rsidRPr="00B80B1A">
        <w:t xml:space="preserve"> the potential</w:t>
      </w:r>
      <w:r w:rsidR="00271087" w:rsidRPr="00B80B1A">
        <w:t>ly</w:t>
      </w:r>
      <w:r w:rsidRPr="00B80B1A">
        <w:t xml:space="preserve"> life-altering effects of any supported dec</w:t>
      </w:r>
      <w:r w:rsidR="006B618C" w:rsidRPr="00B80B1A">
        <w:t xml:space="preserve">ision, it would seem </w:t>
      </w:r>
      <w:r w:rsidRPr="00B80B1A">
        <w:t>more</w:t>
      </w:r>
      <w:r w:rsidR="006B618C" w:rsidRPr="00B80B1A">
        <w:t xml:space="preserve"> equitable to require that the </w:t>
      </w:r>
      <w:r w:rsidR="006B618C" w:rsidRPr="00B80B1A">
        <w:lastRenderedPageBreak/>
        <w:t>D</w:t>
      </w:r>
      <w:r w:rsidRPr="00B80B1A">
        <w:t>epartment prove its case</w:t>
      </w:r>
      <w:r w:rsidR="004579A7" w:rsidRPr="00B80B1A">
        <w:t xml:space="preserve">. </w:t>
      </w:r>
      <w:r w:rsidR="006B618C" w:rsidRPr="00B80B1A">
        <w:t>The burden of proof point, taken in isolation</w:t>
      </w:r>
      <w:r w:rsidR="008A7D5E" w:rsidRPr="00B80B1A">
        <w:t>, may not constitute a major concern</w:t>
      </w:r>
      <w:r w:rsidR="004579A7" w:rsidRPr="00B80B1A">
        <w:t xml:space="preserve">. </w:t>
      </w:r>
      <w:r w:rsidR="008857B0" w:rsidRPr="00B80B1A">
        <w:t>When</w:t>
      </w:r>
      <w:r w:rsidR="008A7D5E" w:rsidRPr="00B80B1A">
        <w:t xml:space="preserve"> it is combined with other regulatory and procedural gaps, </w:t>
      </w:r>
      <w:r w:rsidR="008857B0" w:rsidRPr="00B80B1A">
        <w:t xml:space="preserve">however, </w:t>
      </w:r>
      <w:r w:rsidR="008A7D5E" w:rsidRPr="00B80B1A">
        <w:t>its impact on Fairness is amplified.</w:t>
      </w:r>
    </w:p>
    <w:p w14:paraId="50F095BC" w14:textId="1E5F240F" w:rsidR="00767AD2" w:rsidRPr="00B80B1A" w:rsidRDefault="00767AD2" w:rsidP="00037710">
      <w:pPr>
        <w:pStyle w:val="ListParagraph"/>
        <w:numPr>
          <w:ilvl w:val="0"/>
          <w:numId w:val="62"/>
        </w:numPr>
        <w:spacing w:after="0" w:line="240" w:lineRule="auto"/>
        <w:ind w:left="810"/>
        <w:jc w:val="both"/>
      </w:pPr>
      <w:r w:rsidRPr="00B80B1A">
        <w:rPr>
          <w:b/>
        </w:rPr>
        <w:t>Case Files</w:t>
      </w:r>
      <w:r w:rsidR="00DB7AEA" w:rsidRPr="00B80B1A">
        <w:rPr>
          <w:b/>
        </w:rPr>
        <w:t xml:space="preserve"> –</w:t>
      </w:r>
      <w:r w:rsidRPr="00B80B1A">
        <w:rPr>
          <w:b/>
        </w:rPr>
        <w:t xml:space="preserve"> </w:t>
      </w:r>
      <w:r w:rsidRPr="00B80B1A">
        <w:t>Appellants’ access to relevant evidence and documentation is not streamlined</w:t>
      </w:r>
      <w:r w:rsidR="004579A7" w:rsidRPr="00B80B1A">
        <w:t xml:space="preserve">. </w:t>
      </w:r>
      <w:r w:rsidRPr="00B80B1A">
        <w:t>In Massachusetts, an appellant must request his or her case file from DCF in order to receive a copy.</w:t>
      </w:r>
      <w:r w:rsidRPr="00B80B1A">
        <w:rPr>
          <w:rStyle w:val="FootnoteReference"/>
        </w:rPr>
        <w:footnoteReference w:id="30"/>
      </w:r>
      <w:r w:rsidRPr="00B80B1A">
        <w:t xml:space="preserve"> While some of the other states we reviewed as part of this study also required the appellant to request his or her case file, Connecticut and Vermont are noteworthy in sending appellants the</w:t>
      </w:r>
      <w:r w:rsidR="005D1AE7" w:rsidRPr="00B80B1A">
        <w:t xml:space="preserve"> relevant documentation</w:t>
      </w:r>
      <w:r w:rsidRPr="00B80B1A">
        <w:t xml:space="preserve"> automatically upon acceptance of a hearing request.</w:t>
      </w:r>
      <w:r w:rsidRPr="00B80B1A">
        <w:rPr>
          <w:rStyle w:val="FootnoteReference"/>
        </w:rPr>
        <w:footnoteReference w:id="31"/>
      </w:r>
      <w:r w:rsidRPr="00B80B1A">
        <w:t xml:space="preserve"> By doing so, they </w:t>
      </w:r>
      <w:r w:rsidR="009E69D9" w:rsidRPr="00B80B1A">
        <w:t xml:space="preserve">attempt to ensure </w:t>
      </w:r>
      <w:r w:rsidRPr="00B80B1A">
        <w:t xml:space="preserve">that appellants receive their case </w:t>
      </w:r>
      <w:r w:rsidR="001D6D83" w:rsidRPr="00B80B1A">
        <w:t xml:space="preserve">documents </w:t>
      </w:r>
      <w:r w:rsidRPr="00B80B1A">
        <w:t xml:space="preserve">before the hearing date and have a chance to review </w:t>
      </w:r>
      <w:r w:rsidR="00DB7AEA" w:rsidRPr="00B80B1A">
        <w:t>them</w:t>
      </w:r>
      <w:r w:rsidRPr="00B80B1A">
        <w:t xml:space="preserve">, thereby allowing for better informed, </w:t>
      </w:r>
      <w:r w:rsidR="00326FD0" w:rsidRPr="00B80B1A">
        <w:t xml:space="preserve">more </w:t>
      </w:r>
      <w:r w:rsidRPr="00B80B1A">
        <w:t>fair presentation</w:t>
      </w:r>
      <w:r w:rsidR="00DB7AEA" w:rsidRPr="00B80B1A">
        <w:t>s</w:t>
      </w:r>
      <w:r w:rsidRPr="00B80B1A">
        <w:t xml:space="preserve"> of their case</w:t>
      </w:r>
      <w:r w:rsidR="00DB7AEA" w:rsidRPr="00B80B1A">
        <w:t>s</w:t>
      </w:r>
      <w:r w:rsidRPr="00B80B1A">
        <w:t>.</w:t>
      </w:r>
    </w:p>
    <w:p w14:paraId="38AD3C6B" w14:textId="28A98BAD" w:rsidR="00767AD2" w:rsidRPr="00B80B1A" w:rsidRDefault="006F3444" w:rsidP="00037710">
      <w:pPr>
        <w:pStyle w:val="ListParagraph"/>
        <w:numPr>
          <w:ilvl w:val="0"/>
          <w:numId w:val="62"/>
        </w:numPr>
        <w:spacing w:after="0" w:line="240" w:lineRule="auto"/>
        <w:ind w:left="810"/>
        <w:jc w:val="both"/>
      </w:pPr>
      <w:r>
        <w:rPr>
          <w:b/>
        </w:rPr>
        <w:t>Departmental</w:t>
      </w:r>
      <w:r w:rsidR="00767AD2" w:rsidRPr="00B80B1A">
        <w:rPr>
          <w:b/>
        </w:rPr>
        <w:t xml:space="preserve"> Review and</w:t>
      </w:r>
      <w:r>
        <w:rPr>
          <w:b/>
        </w:rPr>
        <w:t xml:space="preserve"> Pre-hearing Appellant</w:t>
      </w:r>
      <w:r w:rsidR="00767AD2" w:rsidRPr="00B80B1A">
        <w:rPr>
          <w:b/>
        </w:rPr>
        <w:t xml:space="preserve"> </w:t>
      </w:r>
      <w:r w:rsidR="000359BD" w:rsidRPr="00B80B1A">
        <w:rPr>
          <w:b/>
        </w:rPr>
        <w:t>Conference</w:t>
      </w:r>
      <w:r w:rsidR="00DB7AEA" w:rsidRPr="00B80B1A">
        <w:rPr>
          <w:b/>
        </w:rPr>
        <w:t xml:space="preserve"> –</w:t>
      </w:r>
      <w:r w:rsidR="00767AD2" w:rsidRPr="00B80B1A">
        <w:rPr>
          <w:b/>
        </w:rPr>
        <w:t xml:space="preserve"> </w:t>
      </w:r>
      <w:r>
        <w:t>The departmental review</w:t>
      </w:r>
      <w:r w:rsidR="000359BD" w:rsidRPr="00B80B1A">
        <w:t xml:space="preserve"> of appealed decisions</w:t>
      </w:r>
      <w:r w:rsidR="00767AD2" w:rsidRPr="00B80B1A">
        <w:t xml:space="preserve">, as well as an additional pre-hearing resolution </w:t>
      </w:r>
      <w:r w:rsidR="00E35153" w:rsidRPr="00B80B1A">
        <w:t xml:space="preserve">conference </w:t>
      </w:r>
      <w:r w:rsidR="00767AD2" w:rsidRPr="00B80B1A">
        <w:t xml:space="preserve">with the appellant (also mentioned previously in the Timeliness section), </w:t>
      </w:r>
      <w:r>
        <w:t xml:space="preserve">while recommended by DCF regulations, </w:t>
      </w:r>
      <w:r w:rsidR="00767AD2" w:rsidRPr="00B80B1A">
        <w:t>are at the discretion of the Area Office</w:t>
      </w:r>
      <w:r w:rsidR="008857B0" w:rsidRPr="00B80B1A">
        <w:t xml:space="preserve">. </w:t>
      </w:r>
      <w:r w:rsidR="00DB7AEA" w:rsidRPr="00B80B1A">
        <w:t>O</w:t>
      </w:r>
      <w:r w:rsidR="00767AD2" w:rsidRPr="00B80B1A">
        <w:t>ther states we studied</w:t>
      </w:r>
      <w:r>
        <w:t xml:space="preserve"> largely require</w:t>
      </w:r>
      <w:r w:rsidR="00767AD2" w:rsidRPr="00B80B1A">
        <w:t xml:space="preserve"> some sort of pre-hearing administrative review </w:t>
      </w:r>
      <w:r w:rsidR="003E49F3" w:rsidRPr="00B80B1A">
        <w:t>or</w:t>
      </w:r>
      <w:r w:rsidR="00767AD2" w:rsidRPr="00B80B1A">
        <w:t xml:space="preserve"> </w:t>
      </w:r>
      <w:r w:rsidR="00E35153" w:rsidRPr="00B80B1A">
        <w:t xml:space="preserve">conference </w:t>
      </w:r>
      <w:r w:rsidR="00767AD2" w:rsidRPr="00B80B1A">
        <w:t>before proceeding with a hearing.</w:t>
      </w:r>
      <w:r w:rsidR="00767AD2" w:rsidRPr="00B80B1A">
        <w:rPr>
          <w:rStyle w:val="FootnoteReference"/>
        </w:rPr>
        <w:footnoteReference w:id="32"/>
      </w:r>
      <w:r w:rsidR="00767AD2" w:rsidRPr="00B80B1A">
        <w:t xml:space="preserve"> In particular, </w:t>
      </w:r>
      <w:r w:rsidR="000359BD" w:rsidRPr="00B80B1A">
        <w:t xml:space="preserve">Connecticut requires an administrative review as part of its normal process, while </w:t>
      </w:r>
      <w:r w:rsidR="00767AD2" w:rsidRPr="00B80B1A">
        <w:t xml:space="preserve">Vermont </w:t>
      </w:r>
      <w:r w:rsidR="000359BD" w:rsidRPr="00B80B1A">
        <w:t xml:space="preserve">requires </w:t>
      </w:r>
      <w:r w:rsidR="00E35153" w:rsidRPr="00B80B1A">
        <w:t xml:space="preserve">a </w:t>
      </w:r>
      <w:r w:rsidR="00767AD2" w:rsidRPr="00B80B1A">
        <w:t xml:space="preserve">pre-hearing </w:t>
      </w:r>
      <w:r w:rsidR="009750E0" w:rsidRPr="00B80B1A">
        <w:t xml:space="preserve">“review </w:t>
      </w:r>
      <w:r w:rsidR="00E35153" w:rsidRPr="00B80B1A">
        <w:t>conference</w:t>
      </w:r>
      <w:r w:rsidR="009750E0" w:rsidRPr="00B80B1A">
        <w:t>”</w:t>
      </w:r>
      <w:r w:rsidR="00767AD2" w:rsidRPr="00B80B1A">
        <w:t xml:space="preserve"> </w:t>
      </w:r>
      <w:r w:rsidR="00766472" w:rsidRPr="00B80B1A">
        <w:t>t</w:t>
      </w:r>
      <w:r w:rsidR="000359BD" w:rsidRPr="00B80B1A">
        <w:t>hat fulfills a similar role</w:t>
      </w:r>
      <w:r w:rsidR="00BE26E0" w:rsidRPr="00B80B1A">
        <w:t>.</w:t>
      </w:r>
      <w:r w:rsidR="000359BD" w:rsidRPr="00B80B1A">
        <w:rPr>
          <w:rStyle w:val="FootnoteReference"/>
        </w:rPr>
        <w:footnoteReference w:id="33"/>
      </w:r>
      <w:r w:rsidR="00BE26E0" w:rsidRPr="00B80B1A">
        <w:t xml:space="preserve"> Rhode</w:t>
      </w:r>
      <w:r w:rsidR="00780D46" w:rsidRPr="00B80B1A">
        <w:t xml:space="preserve"> Island regulations </w:t>
      </w:r>
      <w:r w:rsidR="00D96E24" w:rsidRPr="00B80B1A">
        <w:t xml:space="preserve">require a review and </w:t>
      </w:r>
      <w:r w:rsidR="00780D46" w:rsidRPr="00B80B1A">
        <w:t>state</w:t>
      </w:r>
      <w:r w:rsidR="0055325A" w:rsidRPr="00B80B1A">
        <w:t>,</w:t>
      </w:r>
      <w:r w:rsidR="00767AD2" w:rsidRPr="00B80B1A">
        <w:t xml:space="preserve"> “</w:t>
      </w:r>
      <w:r w:rsidR="0055325A" w:rsidRPr="00B80B1A">
        <w:t>A</w:t>
      </w:r>
      <w:r w:rsidR="00767AD2" w:rsidRPr="00B80B1A">
        <w:t>n attempt should be made to resolve appeals at the level where the decision was made through a discussion with the staff member who made the decision.”</w:t>
      </w:r>
      <w:r w:rsidR="00767AD2" w:rsidRPr="00B80B1A">
        <w:rPr>
          <w:rStyle w:val="FootnoteReference"/>
        </w:rPr>
        <w:footnoteReference w:id="34"/>
      </w:r>
      <w:r w:rsidR="00767AD2" w:rsidRPr="00B80B1A">
        <w:t xml:space="preserve"> Additionally, New Hampshire makes the pre-hearing </w:t>
      </w:r>
      <w:r w:rsidR="00E35153" w:rsidRPr="00B80B1A">
        <w:t xml:space="preserve">conference </w:t>
      </w:r>
      <w:r w:rsidR="00767AD2" w:rsidRPr="00B80B1A">
        <w:t>optional, at either the appellant or agency’s discretion.</w:t>
      </w:r>
      <w:r w:rsidR="00767AD2" w:rsidRPr="00B80B1A">
        <w:rPr>
          <w:rStyle w:val="FootnoteReference"/>
        </w:rPr>
        <w:footnoteReference w:id="35"/>
      </w:r>
      <w:r w:rsidR="00767AD2" w:rsidRPr="00B80B1A">
        <w:t xml:space="preserve"> New York</w:t>
      </w:r>
      <w:r w:rsidR="009F7ABA" w:rsidRPr="00B80B1A">
        <w:t xml:space="preserve"> requires an administrative review as part of its normal process</w:t>
      </w:r>
      <w:r w:rsidR="00F06DF2" w:rsidRPr="00B80B1A">
        <w:t xml:space="preserve"> and</w:t>
      </w:r>
      <w:r w:rsidR="008E4BF6" w:rsidRPr="00B80B1A">
        <w:t>, in most cases,</w:t>
      </w:r>
      <w:r w:rsidR="00F06DF2" w:rsidRPr="00B80B1A">
        <w:t xml:space="preserve"> </w:t>
      </w:r>
      <w:r w:rsidR="00767AD2" w:rsidRPr="00B80B1A">
        <w:t>require</w:t>
      </w:r>
      <w:r w:rsidR="00865195" w:rsidRPr="00B80B1A">
        <w:t>s</w:t>
      </w:r>
      <w:r w:rsidR="00767AD2" w:rsidRPr="00B80B1A">
        <w:t xml:space="preserve"> that appellants appear briefly before the appeals unit to schedule the hearing and learn about their rights prior to the </w:t>
      </w:r>
      <w:r w:rsidR="00271087" w:rsidRPr="00B80B1A">
        <w:t>h</w:t>
      </w:r>
      <w:r w:rsidR="00767AD2" w:rsidRPr="00B80B1A">
        <w:t>earing.</w:t>
      </w:r>
      <w:r w:rsidR="00767AD2" w:rsidRPr="00B80B1A">
        <w:rPr>
          <w:rStyle w:val="FootnoteReference"/>
        </w:rPr>
        <w:footnoteReference w:id="36"/>
      </w:r>
      <w:r w:rsidR="006E1753">
        <w:t xml:space="preserve"> </w:t>
      </w:r>
      <w:r w:rsidR="00767AD2" w:rsidRPr="00B80B1A">
        <w:t>In addition to the potential for reconsideration brought about by an additional review of the initial decision, the pre-hearing meeting is both an opportunity for appellants to be heard, as well as</w:t>
      </w:r>
      <w:r w:rsidR="00DB1D2D" w:rsidRPr="00B80B1A">
        <w:t xml:space="preserve"> </w:t>
      </w:r>
      <w:r w:rsidR="0055325A" w:rsidRPr="00B80B1A">
        <w:t xml:space="preserve">to </w:t>
      </w:r>
      <w:r w:rsidR="00767AD2" w:rsidRPr="00B80B1A">
        <w:t>learn more about the particular findings of the Department in its case against them. It can lead to swifter resolution of appeal</w:t>
      </w:r>
      <w:r w:rsidR="0055325A" w:rsidRPr="00B80B1A">
        <w:t>s</w:t>
      </w:r>
      <w:r w:rsidR="00767AD2" w:rsidRPr="00B80B1A">
        <w:t xml:space="preserve"> and may eliminate the need </w:t>
      </w:r>
      <w:r w:rsidR="000359BD" w:rsidRPr="00B80B1A">
        <w:t>for</w:t>
      </w:r>
      <w:r w:rsidR="00767AD2" w:rsidRPr="00B80B1A">
        <w:t xml:space="preserve"> </w:t>
      </w:r>
      <w:r w:rsidR="0055325A" w:rsidRPr="00B80B1A">
        <w:t xml:space="preserve">some </w:t>
      </w:r>
      <w:r w:rsidR="00767AD2" w:rsidRPr="00B80B1A">
        <w:t>Fair Hearing</w:t>
      </w:r>
      <w:r w:rsidR="0055325A" w:rsidRPr="00B80B1A">
        <w:t>s</w:t>
      </w:r>
      <w:r w:rsidR="004579A7" w:rsidRPr="00B80B1A">
        <w:t xml:space="preserve">. </w:t>
      </w:r>
      <w:r w:rsidR="00767AD2" w:rsidRPr="00B80B1A">
        <w:t>Furthermore, it provides appellants the opportunity to learn directl</w:t>
      </w:r>
      <w:r w:rsidR="003E49F3" w:rsidRPr="00B80B1A">
        <w:t xml:space="preserve">y about their rights </w:t>
      </w:r>
      <w:r w:rsidR="00437126">
        <w:t xml:space="preserve">from the outset of </w:t>
      </w:r>
      <w:r w:rsidR="009426FD" w:rsidRPr="00B80B1A">
        <w:t>the Fair Hearing</w:t>
      </w:r>
      <w:r w:rsidR="003E49F3" w:rsidRPr="00B80B1A">
        <w:t xml:space="preserve"> process</w:t>
      </w:r>
      <w:r w:rsidR="00767AD2" w:rsidRPr="00B80B1A">
        <w:t>.</w:t>
      </w:r>
    </w:p>
    <w:p w14:paraId="68F396A8" w14:textId="2374B100" w:rsidR="00767AD2" w:rsidRPr="00B80B1A" w:rsidRDefault="00767AD2" w:rsidP="00037710">
      <w:pPr>
        <w:pStyle w:val="ListParagraph"/>
        <w:numPr>
          <w:ilvl w:val="0"/>
          <w:numId w:val="62"/>
        </w:numPr>
        <w:spacing w:after="0" w:line="240" w:lineRule="auto"/>
        <w:ind w:left="810"/>
        <w:jc w:val="both"/>
      </w:pPr>
      <w:r w:rsidRPr="00B80B1A">
        <w:rPr>
          <w:b/>
        </w:rPr>
        <w:t>Legal Representation</w:t>
      </w:r>
      <w:r w:rsidR="0055325A" w:rsidRPr="00B80B1A">
        <w:rPr>
          <w:b/>
        </w:rPr>
        <w:t xml:space="preserve"> – </w:t>
      </w:r>
      <w:r w:rsidRPr="00B80B1A">
        <w:t xml:space="preserve">Appellant access to legal representation, including </w:t>
      </w:r>
      <w:r w:rsidRPr="00B80B1A">
        <w:rPr>
          <w:i/>
        </w:rPr>
        <w:t>pro bono</w:t>
      </w:r>
      <w:r w:rsidRPr="00B80B1A">
        <w:t xml:space="preserve"> re</w:t>
      </w:r>
      <w:r w:rsidR="006F3444">
        <w:t xml:space="preserve">presentation, is not explicitly </w:t>
      </w:r>
      <w:r w:rsidRPr="00B80B1A">
        <w:t>encouraged in Massachusetts</w:t>
      </w:r>
      <w:r w:rsidR="00194C32" w:rsidRPr="00B80B1A">
        <w:t xml:space="preserve"> for administrative matters</w:t>
      </w:r>
      <w:r w:rsidRPr="00B80B1A">
        <w:t>.</w:t>
      </w:r>
      <w:r w:rsidR="00194C32" w:rsidRPr="00B80B1A">
        <w:t xml:space="preserve"> </w:t>
      </w:r>
      <w:r w:rsidRPr="00B80B1A">
        <w:t>DCF</w:t>
      </w:r>
      <w:r w:rsidR="00437126">
        <w:t xml:space="preserve"> regulations</w:t>
      </w:r>
      <w:r w:rsidRPr="00B80B1A">
        <w:t xml:space="preserve"> give the appellant the right to have an authorized representative at the hearing</w:t>
      </w:r>
      <w:r w:rsidR="004579A7" w:rsidRPr="00B80B1A">
        <w:t xml:space="preserve">. </w:t>
      </w:r>
      <w:r w:rsidRPr="00B80B1A">
        <w:t>DCF does not</w:t>
      </w:r>
      <w:r w:rsidR="005C1D7F" w:rsidRPr="00B80B1A">
        <w:t>, however,</w:t>
      </w:r>
      <w:r w:rsidRPr="00B80B1A">
        <w:t xml:space="preserve"> specify in the </w:t>
      </w:r>
      <w:r w:rsidR="00137757" w:rsidRPr="00B80B1A">
        <w:t>A</w:t>
      </w:r>
      <w:r w:rsidRPr="00B80B1A">
        <w:t>ppellant</w:t>
      </w:r>
      <w:r w:rsidR="00D82D85" w:rsidRPr="00B80B1A">
        <w:t xml:space="preserve"> </w:t>
      </w:r>
      <w:r w:rsidR="00137757" w:rsidRPr="00B80B1A">
        <w:t>R</w:t>
      </w:r>
      <w:r w:rsidRPr="00B80B1A">
        <w:t xml:space="preserve">ights </w:t>
      </w:r>
      <w:r w:rsidR="00137757" w:rsidRPr="00B80B1A">
        <w:t>Form</w:t>
      </w:r>
      <w:r w:rsidRPr="00B80B1A">
        <w:t xml:space="preserve"> that the</w:t>
      </w:r>
      <w:r w:rsidR="00271087" w:rsidRPr="00B80B1A">
        <w:t xml:space="preserve"> authorized representative may be an attorney</w:t>
      </w:r>
      <w:r w:rsidR="006F3444">
        <w:t>; and r</w:t>
      </w:r>
      <w:r w:rsidR="00DB1D2D" w:rsidRPr="00B80B1A">
        <w:t>egulations do not require</w:t>
      </w:r>
      <w:r w:rsidR="00644A46" w:rsidRPr="00B80B1A">
        <w:t xml:space="preserve"> DCF </w:t>
      </w:r>
      <w:r w:rsidRPr="00B80B1A">
        <w:t>to provide an attorney</w:t>
      </w:r>
      <w:r w:rsidR="00DB1D2D" w:rsidRPr="00B80B1A">
        <w:t xml:space="preserve">, </w:t>
      </w:r>
      <w:r w:rsidRPr="00B80B1A">
        <w:t>as the hearing is informal</w:t>
      </w:r>
      <w:r w:rsidR="001D6D83" w:rsidRPr="00B80B1A">
        <w:t>.</w:t>
      </w:r>
      <w:r w:rsidR="005C1D7F" w:rsidRPr="00B80B1A">
        <w:t xml:space="preserve"> </w:t>
      </w:r>
      <w:r w:rsidR="00DB1D2D" w:rsidRPr="00B80B1A">
        <w:t xml:space="preserve">DCF has </w:t>
      </w:r>
      <w:r w:rsidR="001D6D83" w:rsidRPr="00B80B1A">
        <w:t xml:space="preserve">already </w:t>
      </w:r>
      <w:r w:rsidR="00DB1D2D" w:rsidRPr="00B80B1A">
        <w:t xml:space="preserve">reached out </w:t>
      </w:r>
      <w:r w:rsidRPr="00B80B1A">
        <w:t>to the Committee for Public Counsel Services to provide representation for appellants</w:t>
      </w:r>
      <w:r w:rsidR="00780D46" w:rsidRPr="00B80B1A">
        <w:t xml:space="preserve"> with related ongoing court cases</w:t>
      </w:r>
      <w:r w:rsidR="001D6D83" w:rsidRPr="00B80B1A">
        <w:t>, however</w:t>
      </w:r>
      <w:r w:rsidRPr="00B80B1A">
        <w:t>.</w:t>
      </w:r>
      <w:r w:rsidRPr="00B80B1A">
        <w:rPr>
          <w:rStyle w:val="FootnoteReference"/>
        </w:rPr>
        <w:footnoteReference w:id="37"/>
      </w:r>
      <w:r w:rsidRPr="00B80B1A">
        <w:t xml:space="preserve"> New </w:t>
      </w:r>
      <w:r w:rsidRPr="00B80B1A">
        <w:lastRenderedPageBreak/>
        <w:t xml:space="preserve">Hampshire proactively provides a list of organizations </w:t>
      </w:r>
      <w:r w:rsidR="0055325A" w:rsidRPr="00B80B1A">
        <w:t xml:space="preserve">that </w:t>
      </w:r>
      <w:r w:rsidRPr="00B80B1A">
        <w:t>offer free or reduced cost legal services when sending out its notice of hearing.</w:t>
      </w:r>
      <w:r w:rsidRPr="00B80B1A">
        <w:rPr>
          <w:rStyle w:val="FootnoteReference"/>
        </w:rPr>
        <w:footnoteReference w:id="38"/>
      </w:r>
    </w:p>
    <w:p w14:paraId="63E7974D" w14:textId="5CEEA313" w:rsidR="00767AD2" w:rsidRPr="00B80B1A" w:rsidRDefault="00767AD2" w:rsidP="00037710">
      <w:pPr>
        <w:pStyle w:val="ListParagraph"/>
        <w:numPr>
          <w:ilvl w:val="0"/>
          <w:numId w:val="62"/>
        </w:numPr>
        <w:spacing w:after="0" w:line="240" w:lineRule="auto"/>
        <w:ind w:left="810"/>
        <w:jc w:val="both"/>
      </w:pPr>
      <w:r w:rsidRPr="00B80B1A">
        <w:rPr>
          <w:b/>
        </w:rPr>
        <w:t xml:space="preserve">Business </w:t>
      </w:r>
      <w:r w:rsidR="00271087" w:rsidRPr="00B80B1A">
        <w:rPr>
          <w:b/>
        </w:rPr>
        <w:t>versus</w:t>
      </w:r>
      <w:r w:rsidRPr="00B80B1A">
        <w:rPr>
          <w:b/>
        </w:rPr>
        <w:t xml:space="preserve"> Calendar Days</w:t>
      </w:r>
      <w:r w:rsidR="0055325A" w:rsidRPr="00B80B1A">
        <w:rPr>
          <w:b/>
        </w:rPr>
        <w:t xml:space="preserve"> –</w:t>
      </w:r>
      <w:r w:rsidRPr="00B80B1A">
        <w:rPr>
          <w:b/>
        </w:rPr>
        <w:t xml:space="preserve"> </w:t>
      </w:r>
      <w:r w:rsidRPr="00B80B1A">
        <w:t xml:space="preserve">The use of Timeliness standards in the </w:t>
      </w:r>
      <w:r w:rsidR="00437126">
        <w:t xml:space="preserve">DCF </w:t>
      </w:r>
      <w:r w:rsidRPr="00B80B1A">
        <w:t>regulations is inconsistent</w:t>
      </w:r>
      <w:r w:rsidR="004579A7" w:rsidRPr="00B80B1A">
        <w:t xml:space="preserve">. </w:t>
      </w:r>
      <w:r w:rsidRPr="00B80B1A">
        <w:t xml:space="preserve">Massachusetts regulations mention </w:t>
      </w:r>
      <w:r w:rsidRPr="00B80B1A">
        <w:rPr>
          <w:u w:val="single"/>
        </w:rPr>
        <w:t>business</w:t>
      </w:r>
      <w:r w:rsidRPr="00B80B1A">
        <w:t xml:space="preserve"> days as the unit of measure when stipulating the timeframe in which the Department must schedule a hearing or issue a decision.</w:t>
      </w:r>
      <w:r w:rsidRPr="00B80B1A">
        <w:rPr>
          <w:rStyle w:val="FootnoteReference"/>
        </w:rPr>
        <w:footnoteReference w:id="39"/>
      </w:r>
      <w:r w:rsidRPr="00B80B1A">
        <w:t xml:space="preserve">  </w:t>
      </w:r>
      <w:r w:rsidR="005C1D7F" w:rsidRPr="00B80B1A">
        <w:rPr>
          <w:u w:val="single"/>
        </w:rPr>
        <w:t>C</w:t>
      </w:r>
      <w:r w:rsidRPr="00B80B1A">
        <w:rPr>
          <w:u w:val="single"/>
        </w:rPr>
        <w:t>alendar</w:t>
      </w:r>
      <w:r w:rsidRPr="00B80B1A">
        <w:t xml:space="preserve"> days</w:t>
      </w:r>
      <w:r w:rsidR="005C1D7F" w:rsidRPr="00B80B1A">
        <w:t>, however,</w:t>
      </w:r>
      <w:r w:rsidRPr="00B80B1A">
        <w:t xml:space="preserve"> are cited for actions that the appellant must fulfill, such as requesting a Fair Hearing, requesting a subpoena, or requesting evidence.</w:t>
      </w:r>
      <w:r w:rsidRPr="00B80B1A">
        <w:rPr>
          <w:rStyle w:val="FootnoteReference"/>
        </w:rPr>
        <w:footnoteReference w:id="40"/>
      </w:r>
      <w:r w:rsidRPr="00B80B1A">
        <w:t xml:space="preserve"> It is also notable that all the other states we studied used calendar days consistently for all time computations in their regulations.</w:t>
      </w:r>
      <w:r w:rsidRPr="00B80B1A">
        <w:rPr>
          <w:rStyle w:val="FootnoteReference"/>
        </w:rPr>
        <w:footnoteReference w:id="41"/>
      </w:r>
      <w:r w:rsidRPr="00B80B1A">
        <w:t xml:space="preserve"> Calculations done in business days are longer as they leave out weekends and holidays</w:t>
      </w:r>
      <w:r w:rsidR="00DB1D2D" w:rsidRPr="00B80B1A">
        <w:t>. R</w:t>
      </w:r>
      <w:r w:rsidRPr="00B80B1A">
        <w:t xml:space="preserve">equiring the appellant to make </w:t>
      </w:r>
      <w:r w:rsidR="0055325A" w:rsidRPr="00B80B1A">
        <w:t>his or her</w:t>
      </w:r>
      <w:r w:rsidRPr="00B80B1A">
        <w:t xml:space="preserve"> request based on calendar days when the Department itself uses business days raises consistency and Fairness concerns.</w:t>
      </w:r>
    </w:p>
    <w:p w14:paraId="447645A0" w14:textId="26DEFA9E" w:rsidR="003E3208" w:rsidRPr="00B80B1A" w:rsidRDefault="003E3208" w:rsidP="00037710">
      <w:pPr>
        <w:pStyle w:val="ListParagraph"/>
        <w:numPr>
          <w:ilvl w:val="0"/>
          <w:numId w:val="62"/>
        </w:numPr>
        <w:spacing w:after="0" w:line="240" w:lineRule="auto"/>
        <w:ind w:left="810"/>
        <w:jc w:val="both"/>
      </w:pPr>
      <w:r w:rsidRPr="00B80B1A">
        <w:rPr>
          <w:b/>
        </w:rPr>
        <w:t>Subpoenas</w:t>
      </w:r>
      <w:r w:rsidR="001A1F51" w:rsidRPr="00B80B1A">
        <w:rPr>
          <w:b/>
        </w:rPr>
        <w:t xml:space="preserve"> –</w:t>
      </w:r>
      <w:r w:rsidRPr="00B80B1A">
        <w:t xml:space="preserve"> </w:t>
      </w:r>
      <w:r w:rsidR="00A16BB6" w:rsidRPr="00B80B1A">
        <w:t>Regulations regarding c</w:t>
      </w:r>
      <w:r w:rsidRPr="00B80B1A">
        <w:t xml:space="preserve">ontinuances for subpoenas are currently too lax. </w:t>
      </w:r>
      <w:r w:rsidR="00437126">
        <w:t>The r</w:t>
      </w:r>
      <w:r w:rsidR="00437126" w:rsidRPr="00B80B1A">
        <w:t xml:space="preserve">egulations </w:t>
      </w:r>
      <w:r w:rsidRPr="00B80B1A">
        <w:t>dealing with subpoenas of Departmental employees state that if a subpoenaed employee is unavailable to testify and the appellant decides to request a continuance until the employee is available, “the time requirement for scheduling as set for</w:t>
      </w:r>
      <w:r w:rsidR="00271087" w:rsidRPr="00B80B1A">
        <w:t>th</w:t>
      </w:r>
      <w:r w:rsidR="006F3444">
        <w:t xml:space="preserve"> in 110 CMR 10.</w:t>
      </w:r>
      <w:r w:rsidRPr="00B80B1A">
        <w:t>10,” which stipulates that hearings in which a continuance is requested be rescheduled within 45 days, “shall not apply.” Therefore</w:t>
      </w:r>
      <w:r w:rsidR="005C1D7F" w:rsidRPr="00B80B1A">
        <w:t>,</w:t>
      </w:r>
      <w:r w:rsidRPr="00B80B1A">
        <w:t xml:space="preserve"> the case can be delayed significantly due to a subpoenaed DCF employee not </w:t>
      </w:r>
      <w:r w:rsidR="005C1D7F" w:rsidRPr="00B80B1A">
        <w:t>appearing</w:t>
      </w:r>
      <w:r w:rsidRPr="00B80B1A">
        <w:t xml:space="preserve"> as requested.</w:t>
      </w:r>
    </w:p>
    <w:p w14:paraId="5B890988" w14:textId="77777777" w:rsidR="00AB30A1" w:rsidRPr="00B80B1A" w:rsidRDefault="00AB30A1" w:rsidP="00037710">
      <w:pPr>
        <w:spacing w:after="0" w:line="240" w:lineRule="auto"/>
        <w:ind w:firstLine="360"/>
        <w:jc w:val="both"/>
      </w:pPr>
    </w:p>
    <w:p w14:paraId="2AB10E50" w14:textId="75D2D575" w:rsidR="00AB30A1" w:rsidRPr="00B80B1A" w:rsidRDefault="00AB30A1" w:rsidP="00037710">
      <w:pPr>
        <w:pStyle w:val="Heading3"/>
        <w:numPr>
          <w:ilvl w:val="0"/>
          <w:numId w:val="36"/>
        </w:numPr>
        <w:jc w:val="both"/>
        <w:rPr>
          <w:i/>
          <w:sz w:val="28"/>
        </w:rPr>
      </w:pPr>
      <w:bookmarkStart w:id="48" w:name="_Toc421781197"/>
      <w:r w:rsidRPr="00B80B1A">
        <w:rPr>
          <w:i/>
          <w:sz w:val="28"/>
        </w:rPr>
        <w:t>Appellant Perspective</w:t>
      </w:r>
      <w:bookmarkEnd w:id="48"/>
    </w:p>
    <w:p w14:paraId="4EF786BF" w14:textId="1EBC9656" w:rsidR="00AB30A1" w:rsidRPr="00B80B1A" w:rsidRDefault="00AB30A1" w:rsidP="00037710">
      <w:pPr>
        <w:spacing w:after="0" w:line="240" w:lineRule="auto"/>
        <w:jc w:val="both"/>
      </w:pPr>
    </w:p>
    <w:p w14:paraId="022A7522" w14:textId="5EFBAA15" w:rsidR="00767AD2" w:rsidRPr="00B80B1A" w:rsidRDefault="004D015F" w:rsidP="00037710">
      <w:pPr>
        <w:spacing w:after="0" w:line="240" w:lineRule="auto"/>
        <w:jc w:val="both"/>
      </w:pPr>
      <w:r w:rsidRPr="00B80B1A">
        <w:t xml:space="preserve">It is important to re-focus on </w:t>
      </w:r>
      <w:r w:rsidR="00767AD2" w:rsidRPr="00B80B1A">
        <w:t>the primary agent throughout this</w:t>
      </w:r>
      <w:r w:rsidR="008A7D5E" w:rsidRPr="00B80B1A">
        <w:t xml:space="preserve"> process, the appellant</w:t>
      </w:r>
      <w:r w:rsidRPr="00B80B1A">
        <w:t>s</w:t>
      </w:r>
      <w:r w:rsidR="008A7D5E" w:rsidRPr="00B80B1A">
        <w:t>, and view</w:t>
      </w:r>
      <w:r w:rsidR="00767AD2" w:rsidRPr="00B80B1A">
        <w:t xml:space="preserve"> the problems p</w:t>
      </w:r>
      <w:r w:rsidR="00780D46" w:rsidRPr="00B80B1A">
        <w:t>resented above through the lens</w:t>
      </w:r>
      <w:r w:rsidR="00767AD2" w:rsidRPr="00B80B1A">
        <w:t xml:space="preserve"> of their experience. The clients DCF serves often come from lower educational backgrounds</w:t>
      </w:r>
      <w:r w:rsidR="003E49F3" w:rsidRPr="00B80B1A">
        <w:t xml:space="preserve"> </w:t>
      </w:r>
      <w:r w:rsidR="0055325A" w:rsidRPr="00B80B1A">
        <w:t>and/</w:t>
      </w:r>
      <w:r w:rsidR="003E49F3" w:rsidRPr="00B80B1A">
        <w:t>or do not have significant financial resources</w:t>
      </w:r>
      <w:r w:rsidR="00767AD2" w:rsidRPr="00B80B1A">
        <w:t>. Th</w:t>
      </w:r>
      <w:r w:rsidR="0055325A" w:rsidRPr="00B80B1A">
        <w:t>ese disadvantages</w:t>
      </w:r>
      <w:r w:rsidR="00767AD2" w:rsidRPr="00B80B1A">
        <w:t xml:space="preserve"> not only make it harder to naviga</w:t>
      </w:r>
      <w:r w:rsidR="008A7D5E" w:rsidRPr="00B80B1A">
        <w:t>t</w:t>
      </w:r>
      <w:r w:rsidR="0055325A" w:rsidRPr="00B80B1A">
        <w:t>e</w:t>
      </w:r>
      <w:r w:rsidR="00767AD2" w:rsidRPr="00B80B1A">
        <w:t xml:space="preserve"> administrative process</w:t>
      </w:r>
      <w:r w:rsidR="0055325A" w:rsidRPr="00B80B1A">
        <w:t>es</w:t>
      </w:r>
      <w:r w:rsidR="00767AD2" w:rsidRPr="00B80B1A">
        <w:t xml:space="preserve">, </w:t>
      </w:r>
      <w:r w:rsidR="00281F4D">
        <w:t>but</w:t>
      </w:r>
      <w:r w:rsidR="00767AD2" w:rsidRPr="00B80B1A">
        <w:t xml:space="preserve"> </w:t>
      </w:r>
      <w:r w:rsidR="005C1D7F" w:rsidRPr="00B80B1A">
        <w:t xml:space="preserve">also </w:t>
      </w:r>
      <w:r w:rsidR="00781BEB" w:rsidRPr="00B80B1A">
        <w:t>present</w:t>
      </w:r>
      <w:r w:rsidR="0055325A" w:rsidRPr="00B80B1A">
        <w:t xml:space="preserve"> </w:t>
      </w:r>
      <w:r w:rsidR="00781BEB" w:rsidRPr="00B80B1A">
        <w:t>challenge</w:t>
      </w:r>
      <w:r w:rsidR="0055325A" w:rsidRPr="00B80B1A">
        <w:t>s</w:t>
      </w:r>
      <w:r w:rsidR="00767AD2" w:rsidRPr="00B80B1A">
        <w:t xml:space="preserve"> for </w:t>
      </w:r>
      <w:r w:rsidR="005C1D7F" w:rsidRPr="00B80B1A">
        <w:t xml:space="preserve">appellants </w:t>
      </w:r>
      <w:r w:rsidR="00767AD2" w:rsidRPr="00B80B1A">
        <w:t xml:space="preserve">to secure the resources they might need, such </w:t>
      </w:r>
      <w:r w:rsidR="008A7D5E" w:rsidRPr="00B80B1A">
        <w:t xml:space="preserve">as </w:t>
      </w:r>
      <w:r w:rsidR="00767AD2" w:rsidRPr="00B80B1A">
        <w:t>a lawyer, to</w:t>
      </w:r>
      <w:r w:rsidR="008A7D5E" w:rsidRPr="00B80B1A">
        <w:t xml:space="preserve"> support their case</w:t>
      </w:r>
      <w:r w:rsidR="005C1D7F" w:rsidRPr="00B80B1A">
        <w:t>s</w:t>
      </w:r>
      <w:r w:rsidR="00F23F8B">
        <w:t>.</w:t>
      </w:r>
    </w:p>
    <w:p w14:paraId="31DC3F1E" w14:textId="77777777" w:rsidR="00767AD2" w:rsidRPr="00B80B1A" w:rsidRDefault="00767AD2" w:rsidP="00037710">
      <w:pPr>
        <w:spacing w:after="0" w:line="240" w:lineRule="auto"/>
        <w:jc w:val="both"/>
      </w:pPr>
    </w:p>
    <w:p w14:paraId="696E2A5B" w14:textId="467B4578" w:rsidR="00767AD2" w:rsidRPr="00B80B1A" w:rsidRDefault="00767AD2" w:rsidP="00037710">
      <w:pPr>
        <w:spacing w:after="0" w:line="240" w:lineRule="auto"/>
        <w:jc w:val="both"/>
      </w:pPr>
      <w:r w:rsidRPr="00B80B1A">
        <w:t>In line with this, many appellants we surveyed seemed to n</w:t>
      </w:r>
      <w:r w:rsidR="00281F4D">
        <w:t xml:space="preserve">either understand their rights </w:t>
      </w:r>
      <w:r w:rsidRPr="00B80B1A">
        <w:t>nor have the ability to argue their cases well:</w:t>
      </w:r>
    </w:p>
    <w:p w14:paraId="425BC857" w14:textId="73950F1E" w:rsidR="00767AD2" w:rsidRPr="00B80B1A" w:rsidRDefault="00767AD2" w:rsidP="00037710">
      <w:pPr>
        <w:pStyle w:val="ListParagraph"/>
        <w:numPr>
          <w:ilvl w:val="0"/>
          <w:numId w:val="61"/>
        </w:numPr>
        <w:ind w:left="810"/>
        <w:jc w:val="both"/>
      </w:pPr>
      <w:r w:rsidRPr="00B80B1A">
        <w:t xml:space="preserve">While every Fair Hearing </w:t>
      </w:r>
      <w:r w:rsidR="00601A6D">
        <w:t>s</w:t>
      </w:r>
      <w:r w:rsidRPr="00B80B1A">
        <w:t>cheduling letter is</w:t>
      </w:r>
      <w:r w:rsidR="000F3830" w:rsidRPr="00B80B1A">
        <w:t xml:space="preserve"> </w:t>
      </w:r>
      <w:r w:rsidRPr="00B80B1A">
        <w:t>accompanied by a statement of the appellants</w:t>
      </w:r>
      <w:r w:rsidR="008A7D5E" w:rsidRPr="00B80B1A">
        <w:t>’ r</w:t>
      </w:r>
      <w:r w:rsidRPr="00B80B1A">
        <w:t>ights, respondents in our appellant survey indicated that they were not fully aware of their rights: 23% did not know they could request their case files, 40% did not know they could request a subpoena, and 27% did not know th</w:t>
      </w:r>
      <w:r w:rsidR="008A7D5E" w:rsidRPr="00B80B1A">
        <w:t>ey could request additional</w:t>
      </w:r>
      <w:r w:rsidRPr="00B80B1A">
        <w:t xml:space="preserve"> time to present their case</w:t>
      </w:r>
      <w:r w:rsidR="004579A7" w:rsidRPr="00B80B1A">
        <w:t xml:space="preserve">. </w:t>
      </w:r>
      <w:r w:rsidRPr="00B80B1A">
        <w:t>37% of respondents whose case had been affirmed indicated they did not know they could appeal their decision to a Superior Court</w:t>
      </w:r>
      <w:r w:rsidR="004579A7" w:rsidRPr="00B80B1A">
        <w:t xml:space="preserve">. </w:t>
      </w:r>
      <w:r w:rsidRPr="00B80B1A">
        <w:t>Admittedly, these responses may be driven by the fact that some appellants do not read</w:t>
      </w:r>
      <w:r w:rsidR="00A16BB6" w:rsidRPr="00B80B1A">
        <w:t xml:space="preserve">, </w:t>
      </w:r>
      <w:r w:rsidRPr="00B80B1A">
        <w:t xml:space="preserve">do not understand </w:t>
      </w:r>
      <w:r w:rsidR="00A16BB6" w:rsidRPr="00B80B1A">
        <w:t xml:space="preserve">or do not recall </w:t>
      </w:r>
      <w:r w:rsidR="009E69D9" w:rsidRPr="00B80B1A">
        <w:t xml:space="preserve">reading </w:t>
      </w:r>
      <w:r w:rsidRPr="00B80B1A">
        <w:t xml:space="preserve">the </w:t>
      </w:r>
      <w:r w:rsidR="00B573AD" w:rsidRPr="00B80B1A">
        <w:t>A</w:t>
      </w:r>
      <w:r w:rsidRPr="00B80B1A">
        <w:t>ppellant Right</w:t>
      </w:r>
      <w:r w:rsidR="00D82D85" w:rsidRPr="00B80B1A">
        <w:t>s</w:t>
      </w:r>
      <w:r w:rsidRPr="00B80B1A">
        <w:t xml:space="preserve"> </w:t>
      </w:r>
      <w:r w:rsidR="00B573AD" w:rsidRPr="00B80B1A">
        <w:t xml:space="preserve">Form </w:t>
      </w:r>
      <w:r w:rsidRPr="00B80B1A">
        <w:t>included with their scheduling lette</w:t>
      </w:r>
      <w:r w:rsidR="00A6181A" w:rsidRPr="00B80B1A">
        <w:t>r</w:t>
      </w:r>
      <w:r w:rsidRPr="00B80B1A">
        <w:t xml:space="preserve">. The language in the </w:t>
      </w:r>
      <w:r w:rsidR="00137757" w:rsidRPr="00B80B1A">
        <w:t>A</w:t>
      </w:r>
      <w:r w:rsidRPr="00B80B1A">
        <w:t>ppellant</w:t>
      </w:r>
      <w:r w:rsidR="00137757" w:rsidRPr="00B80B1A">
        <w:t xml:space="preserve"> </w:t>
      </w:r>
      <w:r w:rsidRPr="00B80B1A">
        <w:t xml:space="preserve">Rights </w:t>
      </w:r>
      <w:r w:rsidR="00137757" w:rsidRPr="00B80B1A">
        <w:t xml:space="preserve">Form </w:t>
      </w:r>
      <w:r w:rsidRPr="00B80B1A">
        <w:t>is decidedly too complex for many appellants</w:t>
      </w:r>
      <w:r w:rsidR="004579A7" w:rsidRPr="00B80B1A">
        <w:t xml:space="preserve">. </w:t>
      </w:r>
      <w:r w:rsidRPr="00B80B1A">
        <w:t>Consider an example: “You may issue subpoenas for witnesses</w:t>
      </w:r>
      <w:r w:rsidR="004579A7" w:rsidRPr="00B80B1A">
        <w:t xml:space="preserve">. </w:t>
      </w:r>
      <w:r w:rsidRPr="00B80B1A">
        <w:t>The Department may issue subpoenas for witnesses upon your written request</w:t>
      </w:r>
      <w:r w:rsidR="004579A7" w:rsidRPr="00B80B1A">
        <w:t xml:space="preserve">. </w:t>
      </w:r>
      <w:r w:rsidRPr="00B80B1A">
        <w:t xml:space="preserve">The request must be made to the Fair Hearing Unit at least 15 calendar days in advance of the scheduled hearing and </w:t>
      </w:r>
      <w:r w:rsidRPr="00890B55">
        <w:t>you must include address of witness</w:t>
      </w:r>
      <w:r w:rsidRPr="00B80B1A">
        <w:t xml:space="preserve">.” To put this </w:t>
      </w:r>
      <w:r w:rsidRPr="00B80B1A">
        <w:lastRenderedPageBreak/>
        <w:t>comment in perspective, in one recording, we came across an 18-year</w:t>
      </w:r>
      <w:r w:rsidR="00FB44FB" w:rsidRPr="00B80B1A">
        <w:t>-</w:t>
      </w:r>
      <w:r w:rsidRPr="00B80B1A">
        <w:t>old appellant who had difficulty understanding the word “appeal.”</w:t>
      </w:r>
    </w:p>
    <w:p w14:paraId="56217EEE" w14:textId="7B259191" w:rsidR="00767AD2" w:rsidRPr="00B80B1A" w:rsidRDefault="00767AD2" w:rsidP="00037710">
      <w:pPr>
        <w:pStyle w:val="ListParagraph"/>
        <w:numPr>
          <w:ilvl w:val="0"/>
          <w:numId w:val="61"/>
        </w:numPr>
        <w:spacing w:after="0" w:line="240" w:lineRule="auto"/>
        <w:ind w:left="810"/>
        <w:jc w:val="both"/>
      </w:pPr>
      <w:r w:rsidRPr="00B80B1A">
        <w:t xml:space="preserve">In our review of Fair Hearing decisions, appellants </w:t>
      </w:r>
      <w:r w:rsidR="005C1D7F" w:rsidRPr="00B80B1A">
        <w:t xml:space="preserve">could </w:t>
      </w:r>
      <w:r w:rsidRPr="00B80B1A">
        <w:t xml:space="preserve">often make </w:t>
      </w:r>
      <w:r w:rsidR="005C1D7F" w:rsidRPr="00B80B1A">
        <w:t xml:space="preserve">neither </w:t>
      </w:r>
      <w:r w:rsidR="00645696" w:rsidRPr="00B80B1A">
        <w:t xml:space="preserve">effective use of evidence </w:t>
      </w:r>
      <w:r w:rsidRPr="00B80B1A">
        <w:t>nor coherent arguments that would have helped in</w:t>
      </w:r>
      <w:r w:rsidR="004331D0" w:rsidRPr="00B80B1A">
        <w:t xml:space="preserve"> securing</w:t>
      </w:r>
      <w:r w:rsidRPr="00B80B1A">
        <w:t xml:space="preserve"> a reversal decision. In one recording, we heard an appellant shed tears uncontrollably</w:t>
      </w:r>
      <w:r w:rsidR="005C1D7F" w:rsidRPr="00B80B1A">
        <w:t>;</w:t>
      </w:r>
      <w:r w:rsidRPr="00B80B1A">
        <w:t xml:space="preserve"> her case consisted mostly of one statement she repeated throughout the hearing: “I am not a bad mom.”</w:t>
      </w:r>
    </w:p>
    <w:p w14:paraId="5E0F5BAF" w14:textId="1444C52A" w:rsidR="00767AD2" w:rsidRPr="00B80B1A" w:rsidRDefault="00767AD2" w:rsidP="00037710">
      <w:pPr>
        <w:pStyle w:val="ListParagraph"/>
        <w:numPr>
          <w:ilvl w:val="0"/>
          <w:numId w:val="61"/>
        </w:numPr>
        <w:spacing w:after="0" w:line="240" w:lineRule="auto"/>
        <w:ind w:left="810"/>
        <w:jc w:val="both"/>
      </w:pPr>
      <w:r w:rsidRPr="00B80B1A">
        <w:t xml:space="preserve">30% of the appellant survey respondents had an attorney representing them in their Fair Hearing. Not surprisingly, our research revealed that appellants would like to have attorneys and </w:t>
      </w:r>
      <w:r w:rsidR="00DB1D2D" w:rsidRPr="00B80B1A">
        <w:t>fare</w:t>
      </w:r>
      <w:r w:rsidRPr="00B80B1A">
        <w:t xml:space="preserve"> better when they have one representing them. In our analysis of FamilyNet data, we observed that having an attorney improves the appellants’ likelihood to secure a reversal</w:t>
      </w:r>
      <w:r w:rsidR="004579A7" w:rsidRPr="00B80B1A">
        <w:t xml:space="preserve">. </w:t>
      </w:r>
      <w:r w:rsidRPr="00B80B1A">
        <w:t>For example, in 2014, the reversal rate without an attorney was 21% and significantly higher with an attorney at 28%</w:t>
      </w:r>
      <w:r w:rsidR="004579A7" w:rsidRPr="00B80B1A">
        <w:t xml:space="preserve">. </w:t>
      </w:r>
      <w:r w:rsidRPr="00B80B1A">
        <w:t xml:space="preserve">This trend has been consistent, as illustrated below, over the past </w:t>
      </w:r>
      <w:r w:rsidR="00F500F5" w:rsidRPr="00B80B1A">
        <w:t xml:space="preserve">three </w:t>
      </w:r>
      <w:r w:rsidRPr="00B80B1A">
        <w:t>years.</w:t>
      </w:r>
    </w:p>
    <w:p w14:paraId="0E3D1FA5" w14:textId="77777777" w:rsidR="00767AD2" w:rsidRPr="00B80B1A" w:rsidRDefault="00767AD2" w:rsidP="00037710">
      <w:pPr>
        <w:spacing w:after="0" w:line="240" w:lineRule="auto"/>
        <w:jc w:val="both"/>
      </w:pPr>
    </w:p>
    <w:p w14:paraId="59F3B2F7" w14:textId="77777777" w:rsidR="00767AD2" w:rsidRPr="00B80B1A" w:rsidRDefault="00767AD2" w:rsidP="0075562E">
      <w:pPr>
        <w:pStyle w:val="ListParagraph"/>
        <w:spacing w:after="0" w:line="240" w:lineRule="auto"/>
        <w:ind w:left="1080"/>
        <w:jc w:val="center"/>
      </w:pPr>
      <w:r w:rsidRPr="00B80B1A">
        <w:rPr>
          <w:noProof/>
        </w:rPr>
        <w:drawing>
          <wp:inline distT="0" distB="0" distL="0" distR="0" wp14:anchorId="7BB28EC9" wp14:editId="7D5D357A">
            <wp:extent cx="3562224" cy="1895021"/>
            <wp:effectExtent l="0" t="0" r="0" b="0"/>
            <wp:docPr id="13" name="Picture 13" descr="Bar graph showing that in 2012, reversal rates were 26% for those with an attorney and 10% for those without an attorney. In 2013, reversal rates were 27% for those with an attorney and 12% for those without an attorney.  In 2014, reversal rates were 28% for those with an attorney and 21% for those without an attorney." title="Reversal Rates with and without an Attorney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62224" cy="1895021"/>
                    </a:xfrm>
                    <a:prstGeom prst="rect">
                      <a:avLst/>
                    </a:prstGeom>
                    <a:noFill/>
                  </pic:spPr>
                </pic:pic>
              </a:graphicData>
            </a:graphic>
          </wp:inline>
        </w:drawing>
      </w:r>
    </w:p>
    <w:p w14:paraId="75258625" w14:textId="200867E1" w:rsidR="00767AD2" w:rsidRPr="00B80B1A" w:rsidRDefault="00767AD2" w:rsidP="00A95EDB">
      <w:pPr>
        <w:pStyle w:val="ListParagraph"/>
        <w:spacing w:after="0" w:line="240" w:lineRule="auto"/>
        <w:ind w:left="1080"/>
        <w:jc w:val="center"/>
        <w:rPr>
          <w:sz w:val="20"/>
        </w:rPr>
      </w:pPr>
      <w:r w:rsidRPr="00B80B1A">
        <w:rPr>
          <w:sz w:val="20"/>
        </w:rPr>
        <w:t xml:space="preserve">Source: </w:t>
      </w:r>
      <w:r w:rsidR="00DD09B4" w:rsidRPr="00B80B1A">
        <w:rPr>
          <w:sz w:val="20"/>
        </w:rPr>
        <w:t>Appendix FamilyNet Data Analysis</w:t>
      </w:r>
    </w:p>
    <w:p w14:paraId="3B98202B" w14:textId="77777777" w:rsidR="00767AD2" w:rsidRPr="00B80B1A" w:rsidRDefault="00767AD2" w:rsidP="00037710">
      <w:pPr>
        <w:spacing w:after="0" w:line="240" w:lineRule="auto"/>
        <w:ind w:left="720"/>
        <w:jc w:val="both"/>
      </w:pPr>
    </w:p>
    <w:p w14:paraId="5616ECA8" w14:textId="6D02132A" w:rsidR="00767AD2" w:rsidRPr="00B80B1A" w:rsidRDefault="00767AD2" w:rsidP="00037710">
      <w:pPr>
        <w:pStyle w:val="ListParagraph"/>
        <w:numPr>
          <w:ilvl w:val="0"/>
          <w:numId w:val="60"/>
        </w:numPr>
        <w:spacing w:after="0" w:line="240" w:lineRule="auto"/>
        <w:ind w:left="810"/>
        <w:jc w:val="both"/>
      </w:pPr>
      <w:r w:rsidRPr="00B80B1A">
        <w:t>61% of appellant survey respondents who had not retained an attorney for their hearing indicated that they would do so next time</w:t>
      </w:r>
      <w:r w:rsidR="004579A7" w:rsidRPr="00B80B1A">
        <w:t xml:space="preserve">. </w:t>
      </w:r>
      <w:r w:rsidRPr="00B80B1A">
        <w:t>One appellant stated, "Without an attorney, I would not have had any idea what to do or how to proceed with the hearing</w:t>
      </w:r>
      <w:r w:rsidR="004579A7" w:rsidRPr="00B80B1A">
        <w:t xml:space="preserve">. </w:t>
      </w:r>
      <w:r w:rsidRPr="00B80B1A">
        <w:t>Even with an attorney, I don't believe I was able to submit all information necessary."</w:t>
      </w:r>
    </w:p>
    <w:p w14:paraId="4881DD78" w14:textId="5C2AD978" w:rsidR="00767AD2" w:rsidRPr="00B80B1A" w:rsidRDefault="00767AD2" w:rsidP="00037710">
      <w:pPr>
        <w:pStyle w:val="ListParagraph"/>
        <w:numPr>
          <w:ilvl w:val="0"/>
          <w:numId w:val="60"/>
        </w:numPr>
        <w:spacing w:after="0" w:line="240" w:lineRule="auto"/>
        <w:ind w:left="810"/>
        <w:jc w:val="both"/>
      </w:pPr>
      <w:r w:rsidRPr="00B80B1A">
        <w:t xml:space="preserve">In the hearings we attended and recordings we </w:t>
      </w:r>
      <w:r w:rsidR="00EA21CE" w:rsidRPr="00B80B1A">
        <w:t>reviewed</w:t>
      </w:r>
      <w:r w:rsidRPr="00B80B1A">
        <w:t>, we noticed that a competent, well-prepared attorney helped the appellant’s case significantly</w:t>
      </w:r>
      <w:r w:rsidR="009D71C8" w:rsidRPr="00B80B1A">
        <w:t>.</w:t>
      </w:r>
      <w:r w:rsidR="00A11A3B" w:rsidRPr="00B80B1A">
        <w:t xml:space="preserve"> </w:t>
      </w:r>
      <w:r w:rsidR="00F3519A" w:rsidRPr="00B80B1A">
        <w:t>Inversely, a</w:t>
      </w:r>
      <w:r w:rsidR="00A16BB6" w:rsidRPr="00B80B1A">
        <w:t xml:space="preserve">n unprepared attorney </w:t>
      </w:r>
      <w:r w:rsidR="00F74FF7" w:rsidRPr="00B80B1A">
        <w:t xml:space="preserve">appeared to </w:t>
      </w:r>
      <w:r w:rsidR="003834FF" w:rsidRPr="00B80B1A">
        <w:t xml:space="preserve">negatively impact </w:t>
      </w:r>
      <w:r w:rsidR="00F3519A" w:rsidRPr="00B80B1A">
        <w:t>the appellant’s case.</w:t>
      </w:r>
    </w:p>
    <w:p w14:paraId="391A28C6" w14:textId="38F00D1B" w:rsidR="00767AD2" w:rsidRPr="00B80B1A" w:rsidRDefault="00767AD2" w:rsidP="00037710">
      <w:pPr>
        <w:pStyle w:val="ListParagraph"/>
        <w:numPr>
          <w:ilvl w:val="0"/>
          <w:numId w:val="60"/>
        </w:numPr>
        <w:spacing w:after="0" w:line="240" w:lineRule="auto"/>
        <w:ind w:left="810"/>
        <w:jc w:val="both"/>
      </w:pPr>
      <w:r w:rsidRPr="00B80B1A">
        <w:t>Confirming this observation, in our focus group, one Hearing Officer remarked, “The appellant has a lot of rights – they are very powerful rights.</w:t>
      </w:r>
      <w:r w:rsidR="004D015F" w:rsidRPr="00B80B1A">
        <w:t xml:space="preserve"> Maybe there could be </w:t>
      </w:r>
      <w:r w:rsidRPr="00B80B1A">
        <w:t>a bit more done to effectively communicate those rights to appellants. The fact that they can request witnesses, they can subpoena them, that they can request a lot of documents, I think a savvy appellant or an appellant represented by an attorney can really bring a lot to bear during a Fair Hearing.”</w:t>
      </w:r>
    </w:p>
    <w:p w14:paraId="3B9B0826" w14:textId="77777777" w:rsidR="00767AD2" w:rsidRPr="00B80B1A" w:rsidRDefault="00767AD2" w:rsidP="00037710">
      <w:pPr>
        <w:spacing w:after="0" w:line="240" w:lineRule="auto"/>
        <w:jc w:val="both"/>
      </w:pPr>
    </w:p>
    <w:p w14:paraId="459479F0" w14:textId="26272ED3" w:rsidR="00767AD2" w:rsidRPr="00B80B1A" w:rsidRDefault="00767AD2" w:rsidP="00037710">
      <w:pPr>
        <w:spacing w:after="0" w:line="240" w:lineRule="auto"/>
        <w:jc w:val="both"/>
      </w:pPr>
      <w:r w:rsidRPr="00B80B1A">
        <w:t>Understandably, appellants and</w:t>
      </w:r>
      <w:r w:rsidR="004D015F" w:rsidRPr="00B80B1A">
        <w:t xml:space="preserve"> attorneys have expressed concerns</w:t>
      </w:r>
      <w:r w:rsidRPr="00B80B1A">
        <w:t xml:space="preserve"> about the Fairness of Fair Hearings.</w:t>
      </w:r>
    </w:p>
    <w:p w14:paraId="6C16C7BF" w14:textId="76577E99" w:rsidR="00767AD2" w:rsidRPr="00B80B1A" w:rsidRDefault="00767AD2" w:rsidP="00037710">
      <w:pPr>
        <w:pStyle w:val="ListParagraph"/>
        <w:numPr>
          <w:ilvl w:val="0"/>
          <w:numId w:val="59"/>
        </w:numPr>
        <w:spacing w:after="0" w:line="240" w:lineRule="auto"/>
        <w:ind w:left="810"/>
        <w:jc w:val="both"/>
      </w:pPr>
      <w:r w:rsidRPr="00B80B1A">
        <w:t>Respondents in our appellant survey rated the overa</w:t>
      </w:r>
      <w:r w:rsidR="009426FD" w:rsidRPr="00B80B1A">
        <w:t>ll Fairness of the Fair Hearing</w:t>
      </w:r>
      <w:r w:rsidRPr="00B80B1A">
        <w:t xml:space="preserve"> process very low at 2.0 out of 5.0</w:t>
      </w:r>
      <w:r w:rsidR="004579A7" w:rsidRPr="00B80B1A">
        <w:t xml:space="preserve">. </w:t>
      </w:r>
      <w:r w:rsidRPr="00B80B1A">
        <w:t>As a reference point, the comparable rating on the 2007-2008 Massachusetts Trial Courts “Access &amp; Fairness” survey was 4.1 out of 5.0.</w:t>
      </w:r>
      <w:r w:rsidR="00B573AD" w:rsidRPr="00B80B1A">
        <w:rPr>
          <w:rStyle w:val="FootnoteReference"/>
        </w:rPr>
        <w:footnoteReference w:id="42"/>
      </w:r>
      <w:r w:rsidRPr="00B80B1A">
        <w:t xml:space="preserve"> Furthermore, respondents</w:t>
      </w:r>
      <w:r w:rsidR="00B573AD" w:rsidRPr="00B80B1A">
        <w:t xml:space="preserve"> to the appellant survey</w:t>
      </w:r>
      <w:r w:rsidRPr="00B80B1A">
        <w:t xml:space="preserve"> rated Area Office courtesy and respect toward appellants </w:t>
      </w:r>
      <w:r w:rsidRPr="00B80B1A">
        <w:lastRenderedPageBreak/>
        <w:t>at 2.4.</w:t>
      </w:r>
      <w:r w:rsidR="00B573AD" w:rsidRPr="00B80B1A">
        <w:rPr>
          <w:rStyle w:val="FootnoteReference"/>
        </w:rPr>
        <w:footnoteReference w:id="43"/>
      </w:r>
      <w:r w:rsidRPr="00B80B1A">
        <w:t xml:space="preserve"> In contrast, the Hearing Officer </w:t>
      </w:r>
      <w:r w:rsidR="004D015F" w:rsidRPr="00B80B1A">
        <w:t xml:space="preserve">courtesy and respect </w:t>
      </w:r>
      <w:r w:rsidRPr="00B80B1A">
        <w:t>rating was higher at 2.9.</w:t>
      </w:r>
      <w:r w:rsidRPr="00B80B1A">
        <w:rPr>
          <w:rStyle w:val="FootnoteReference"/>
        </w:rPr>
        <w:footnoteReference w:id="44"/>
      </w:r>
      <w:r w:rsidRPr="00B80B1A">
        <w:t xml:space="preserve"> Again, the comparable Trial Court </w:t>
      </w:r>
      <w:r w:rsidR="001D6D83" w:rsidRPr="00B80B1A">
        <w:t xml:space="preserve">Survey </w:t>
      </w:r>
      <w:r w:rsidRPr="00B80B1A">
        <w:t>metric is</w:t>
      </w:r>
      <w:r w:rsidR="001D6D83" w:rsidRPr="00B80B1A">
        <w:t xml:space="preserve"> significantly higher than both</w:t>
      </w:r>
      <w:r w:rsidRPr="00B80B1A">
        <w:t xml:space="preserve"> at 4.3.</w:t>
      </w:r>
      <w:r w:rsidR="00B573AD" w:rsidRPr="00B80B1A">
        <w:rPr>
          <w:rStyle w:val="FootnoteReference"/>
        </w:rPr>
        <w:footnoteReference w:id="45"/>
      </w:r>
      <w:r w:rsidRPr="00B80B1A">
        <w:t xml:space="preserve"> </w:t>
      </w:r>
    </w:p>
    <w:p w14:paraId="4E75B6EE" w14:textId="446C4977" w:rsidR="00767AD2" w:rsidRPr="00B80B1A" w:rsidRDefault="00767AD2" w:rsidP="00037710">
      <w:pPr>
        <w:pStyle w:val="ListParagraph"/>
        <w:numPr>
          <w:ilvl w:val="0"/>
          <w:numId w:val="59"/>
        </w:numPr>
        <w:spacing w:after="0" w:line="240" w:lineRule="auto"/>
        <w:ind w:left="810"/>
        <w:jc w:val="both"/>
      </w:pPr>
      <w:r w:rsidRPr="00B80B1A">
        <w:t>To further substantiate their point, many survey respondents provided lengthy quotes regarding their negative perception of the Fairness of the process</w:t>
      </w:r>
      <w:r w:rsidR="004579A7" w:rsidRPr="00B80B1A">
        <w:t xml:space="preserve">. </w:t>
      </w:r>
      <w:r w:rsidRPr="00B80B1A">
        <w:t xml:space="preserve">It should be noted here that appellants at large find it difficult to differentiate Area Office and Fair Hearing decisions. Many of the comments we received are rather </w:t>
      </w:r>
      <w:r w:rsidR="00FB44FB" w:rsidRPr="00B80B1A">
        <w:t xml:space="preserve">ambiguous </w:t>
      </w:r>
      <w:r w:rsidRPr="00B80B1A">
        <w:t>on this distinction despite specific survey questions.</w:t>
      </w:r>
    </w:p>
    <w:p w14:paraId="08878423" w14:textId="14F7A646" w:rsidR="00767AD2" w:rsidRPr="00B80B1A" w:rsidRDefault="00767AD2" w:rsidP="00037710">
      <w:pPr>
        <w:pStyle w:val="ListParagraph"/>
        <w:numPr>
          <w:ilvl w:val="0"/>
          <w:numId w:val="59"/>
        </w:numPr>
        <w:spacing w:after="0" w:line="240" w:lineRule="auto"/>
        <w:ind w:left="810"/>
        <w:jc w:val="both"/>
      </w:pPr>
      <w:r w:rsidRPr="00B80B1A">
        <w:t>The attorneys we interviewed had mixed views on Fairness. Some thought highly of the Hearing Officers while others were more critical of the process.</w:t>
      </w:r>
    </w:p>
    <w:p w14:paraId="43FC0EBF" w14:textId="77777777" w:rsidR="005C1757" w:rsidRPr="00B80B1A" w:rsidRDefault="005C1757" w:rsidP="00196279">
      <w:pPr>
        <w:pStyle w:val="ListParagraph"/>
        <w:spacing w:after="0" w:line="240" w:lineRule="auto"/>
        <w:ind w:left="810"/>
        <w:jc w:val="both"/>
      </w:pPr>
    </w:p>
    <w:p w14:paraId="71E3C4A7" w14:textId="77777777" w:rsidR="00196279" w:rsidRPr="00B80B1A" w:rsidRDefault="00196279" w:rsidP="00196279">
      <w:pPr>
        <w:pStyle w:val="Heading3"/>
        <w:numPr>
          <w:ilvl w:val="0"/>
          <w:numId w:val="36"/>
        </w:numPr>
        <w:jc w:val="both"/>
        <w:rPr>
          <w:i/>
          <w:sz w:val="28"/>
        </w:rPr>
      </w:pPr>
      <w:bookmarkStart w:id="49" w:name="_Toc421781198"/>
      <w:r w:rsidRPr="00B80B1A">
        <w:rPr>
          <w:i/>
          <w:sz w:val="28"/>
        </w:rPr>
        <w:t>Continuous Quality Improvement (CQI)</w:t>
      </w:r>
      <w:bookmarkEnd w:id="49"/>
    </w:p>
    <w:p w14:paraId="49FC1F99" w14:textId="77777777" w:rsidR="00196279" w:rsidRPr="00B80B1A" w:rsidRDefault="00196279" w:rsidP="00196279">
      <w:pPr>
        <w:spacing w:after="0" w:line="240" w:lineRule="auto"/>
        <w:jc w:val="both"/>
      </w:pPr>
    </w:p>
    <w:p w14:paraId="6854FDD5" w14:textId="77777777" w:rsidR="00196279" w:rsidRPr="00B80B1A" w:rsidRDefault="00196279" w:rsidP="00196279">
      <w:pPr>
        <w:spacing w:after="0" w:line="240" w:lineRule="auto"/>
        <w:jc w:val="both"/>
      </w:pPr>
      <w:r w:rsidRPr="00B80B1A">
        <w:rPr>
          <w:b/>
        </w:rPr>
        <w:t>The Timeliness and Fairness of the DCF Fair Hearings are currently affected by the lack of a formalized Continuous Quality Improvement process.</w:t>
      </w:r>
    </w:p>
    <w:p w14:paraId="1F9AB8A3" w14:textId="77777777" w:rsidR="00196279" w:rsidRPr="00B80B1A" w:rsidRDefault="00196279" w:rsidP="00196279">
      <w:pPr>
        <w:spacing w:after="0" w:line="240" w:lineRule="auto"/>
        <w:jc w:val="both"/>
      </w:pPr>
    </w:p>
    <w:p w14:paraId="0DA9FA0B" w14:textId="77777777" w:rsidR="00196279" w:rsidRPr="00B80B1A" w:rsidRDefault="00196279" w:rsidP="00196279">
      <w:pPr>
        <w:spacing w:after="0" w:line="240" w:lineRule="auto"/>
        <w:jc w:val="both"/>
      </w:pPr>
      <w:r w:rsidRPr="00B80B1A">
        <w:t xml:space="preserve">A further issue that has ramifications for both Timeliness and Fairness is the current lack of formalized checks and balances to ensure appellants are treated fairly and that the process is refined over time: </w:t>
      </w:r>
    </w:p>
    <w:p w14:paraId="4CEA2DA5" w14:textId="77777777" w:rsidR="00196279" w:rsidRPr="00B80B1A" w:rsidRDefault="00196279" w:rsidP="00196279">
      <w:pPr>
        <w:pStyle w:val="ListParagraph"/>
        <w:numPr>
          <w:ilvl w:val="0"/>
          <w:numId w:val="58"/>
        </w:numPr>
        <w:ind w:left="810"/>
        <w:jc w:val="both"/>
      </w:pPr>
      <w:r w:rsidRPr="00B80B1A">
        <w:t>Procedural failures are not being tracked, and such measures are not being incorporated into the performance management system in any meaningful way. DCF Leadership cannot manage what it does not monitor.</w:t>
      </w:r>
    </w:p>
    <w:p w14:paraId="4EE5EEE1" w14:textId="77777777" w:rsidR="00196279" w:rsidRPr="00B80B1A" w:rsidRDefault="00196279" w:rsidP="007668C6">
      <w:pPr>
        <w:pStyle w:val="ListParagraph"/>
        <w:numPr>
          <w:ilvl w:val="0"/>
          <w:numId w:val="58"/>
        </w:numPr>
        <w:spacing w:after="0" w:line="240" w:lineRule="auto"/>
        <w:ind w:left="806"/>
        <w:jc w:val="both"/>
      </w:pPr>
      <w:r w:rsidRPr="00B80B1A">
        <w:t>At present, there is limited formal Continuous Quality Improvement (CQI) process in place. A formalized CQI process could enable DCF Leadership to set operational targets, measure progress toward those targets over time, solidify accountability, and make quality an overarching principle in the organization.</w:t>
      </w:r>
    </w:p>
    <w:p w14:paraId="774B7AA6" w14:textId="77777777" w:rsidR="00611068" w:rsidRPr="00B80B1A" w:rsidRDefault="00611068" w:rsidP="00037710">
      <w:pPr>
        <w:spacing w:after="0" w:line="240" w:lineRule="auto"/>
        <w:ind w:left="810"/>
        <w:jc w:val="both"/>
      </w:pPr>
    </w:p>
    <w:p w14:paraId="73D37C15" w14:textId="3B4B94C0" w:rsidR="00C465FF" w:rsidRPr="00B80B1A" w:rsidRDefault="00C52BD8" w:rsidP="00BA6DAA">
      <w:pPr>
        <w:pStyle w:val="Heading3"/>
        <w:numPr>
          <w:ilvl w:val="0"/>
          <w:numId w:val="36"/>
        </w:numPr>
        <w:spacing w:before="0" w:line="240" w:lineRule="auto"/>
        <w:jc w:val="both"/>
        <w:rPr>
          <w:i/>
          <w:sz w:val="28"/>
          <w:szCs w:val="28"/>
        </w:rPr>
      </w:pPr>
      <w:bookmarkStart w:id="50" w:name="_Toc418852310"/>
      <w:bookmarkStart w:id="51" w:name="_Toc421781199"/>
      <w:r w:rsidRPr="00B80B1A">
        <w:rPr>
          <w:i/>
          <w:sz w:val="28"/>
          <w:szCs w:val="28"/>
        </w:rPr>
        <w:t>Discussion</w:t>
      </w:r>
      <w:bookmarkEnd w:id="50"/>
      <w:bookmarkEnd w:id="51"/>
    </w:p>
    <w:p w14:paraId="193FDC18" w14:textId="77777777" w:rsidR="00767AD2" w:rsidRPr="00B80B1A" w:rsidRDefault="00767AD2" w:rsidP="00037710">
      <w:pPr>
        <w:spacing w:after="0" w:line="240" w:lineRule="auto"/>
        <w:jc w:val="both"/>
      </w:pPr>
    </w:p>
    <w:p w14:paraId="4AEE8617" w14:textId="0A5816ED" w:rsidR="000B7E22" w:rsidRPr="00B80B1A" w:rsidRDefault="00EA21CE" w:rsidP="00037710">
      <w:pPr>
        <w:spacing w:after="0" w:line="240" w:lineRule="auto"/>
        <w:jc w:val="both"/>
      </w:pPr>
      <w:r w:rsidRPr="00B80B1A">
        <w:t>I</w:t>
      </w:r>
      <w:r w:rsidR="000B7E22" w:rsidRPr="00B80B1A">
        <w:t>t is important to emphasize that our findings in this report cannot be de-coupled from the observations captured in the OCA DCF Employee Survey dated March 31, 2015</w:t>
      </w:r>
      <w:r w:rsidR="00510655" w:rsidRPr="00B80B1A">
        <w:t>.</w:t>
      </w:r>
      <w:r w:rsidR="004331D0" w:rsidRPr="00B80B1A">
        <w:rPr>
          <w:rStyle w:val="FootnoteReference"/>
        </w:rPr>
        <w:footnoteReference w:id="46"/>
      </w:r>
      <w:r w:rsidR="000B7E22" w:rsidRPr="00B80B1A">
        <w:t xml:space="preserve"> It is rational to assume that the overall climate issues prevalent at DCF </w:t>
      </w:r>
      <w:r w:rsidR="00F3519A" w:rsidRPr="00B80B1A">
        <w:t xml:space="preserve">may </w:t>
      </w:r>
      <w:r w:rsidR="000B7E22" w:rsidRPr="00B80B1A">
        <w:t xml:space="preserve">also impact the DCF employees involved in the Fair Hearing process, sometimes adversely impacting </w:t>
      </w:r>
      <w:r w:rsidR="00510655" w:rsidRPr="00B80B1A">
        <w:t>F</w:t>
      </w:r>
      <w:r w:rsidR="00281F4D">
        <w:t>airness. Moreover</w:t>
      </w:r>
      <w:r w:rsidR="000B7E22" w:rsidRPr="00B80B1A">
        <w:t xml:space="preserve">, it is clear that the Area Offices are overworked and cannot keep up with requirements such as redacting case files to be sent to appellants. The Area Office workload is beyond the scope of our analysis. It has been captured in previous studies on DCF operations and is being addressed. </w:t>
      </w:r>
      <w:r w:rsidR="000B7E22" w:rsidRPr="00B80B1A">
        <w:rPr>
          <w:b/>
        </w:rPr>
        <w:t xml:space="preserve">It is reasonable to assume that if Area Offices were operating at </w:t>
      </w:r>
      <w:proofErr w:type="gramStart"/>
      <w:r w:rsidR="000B7E22" w:rsidRPr="00B80B1A">
        <w:rPr>
          <w:b/>
        </w:rPr>
        <w:t>an equilibrium</w:t>
      </w:r>
      <w:proofErr w:type="gramEnd"/>
      <w:r w:rsidR="000B7E22" w:rsidRPr="00B80B1A">
        <w:rPr>
          <w:b/>
        </w:rPr>
        <w:t xml:space="preserve"> with reasonable caseloads, many of the procedural </w:t>
      </w:r>
      <w:r w:rsidR="00510655" w:rsidRPr="00B80B1A">
        <w:rPr>
          <w:b/>
        </w:rPr>
        <w:t>F</w:t>
      </w:r>
      <w:r w:rsidR="000B7E22" w:rsidRPr="00B80B1A">
        <w:rPr>
          <w:b/>
        </w:rPr>
        <w:t>airness issues we found in</w:t>
      </w:r>
      <w:r w:rsidR="002E48D1">
        <w:rPr>
          <w:b/>
        </w:rPr>
        <w:t xml:space="preserve"> the</w:t>
      </w:r>
      <w:r w:rsidR="000B7E22" w:rsidRPr="00B80B1A">
        <w:rPr>
          <w:b/>
        </w:rPr>
        <w:t xml:space="preserve"> Fair Hearing</w:t>
      </w:r>
      <w:r w:rsidR="002E48D1">
        <w:rPr>
          <w:b/>
        </w:rPr>
        <w:t xml:space="preserve"> system </w:t>
      </w:r>
      <w:r w:rsidR="00574F41" w:rsidRPr="00B80B1A">
        <w:rPr>
          <w:b/>
        </w:rPr>
        <w:t xml:space="preserve">could </w:t>
      </w:r>
      <w:r w:rsidR="00F23F8B">
        <w:rPr>
          <w:b/>
        </w:rPr>
        <w:t>be alleviated or eliminated.</w:t>
      </w:r>
    </w:p>
    <w:p w14:paraId="27D3BC89" w14:textId="77777777" w:rsidR="000B7E22" w:rsidRPr="00B80B1A" w:rsidRDefault="000B7E22" w:rsidP="00037710">
      <w:pPr>
        <w:spacing w:after="0" w:line="240" w:lineRule="auto"/>
        <w:jc w:val="both"/>
      </w:pPr>
    </w:p>
    <w:p w14:paraId="5B61A99A" w14:textId="7AC1DFF4" w:rsidR="001075C2" w:rsidRPr="00B80B1A" w:rsidRDefault="00510655" w:rsidP="00037710">
      <w:pPr>
        <w:spacing w:after="0" w:line="240" w:lineRule="auto"/>
        <w:jc w:val="both"/>
      </w:pPr>
      <w:r w:rsidRPr="00B80B1A">
        <w:t>Because</w:t>
      </w:r>
      <w:r w:rsidR="000B7E22" w:rsidRPr="00B80B1A">
        <w:t xml:space="preserve"> of the above</w:t>
      </w:r>
      <w:r w:rsidR="00B927E7" w:rsidRPr="00B80B1A">
        <w:t>,</w:t>
      </w:r>
      <w:r w:rsidRPr="00B80B1A">
        <w:t xml:space="preserve"> however,</w:t>
      </w:r>
      <w:r w:rsidR="00B927E7" w:rsidRPr="00B80B1A">
        <w:t xml:space="preserve"> we cannot state</w:t>
      </w:r>
      <w:r w:rsidR="00EA21CE" w:rsidRPr="00B80B1A">
        <w:t xml:space="preserve"> with full </w:t>
      </w:r>
      <w:r w:rsidR="00767AD2" w:rsidRPr="00B80B1A">
        <w:t xml:space="preserve">confidence that the system will respond </w:t>
      </w:r>
      <w:r w:rsidR="00FC1CD9" w:rsidRPr="00B80B1A">
        <w:t>equitably</w:t>
      </w:r>
      <w:r w:rsidR="00B927E7" w:rsidRPr="00B80B1A">
        <w:t xml:space="preserve"> when procedural issues arise</w:t>
      </w:r>
      <w:r w:rsidR="004579A7" w:rsidRPr="00B80B1A">
        <w:t xml:space="preserve">. </w:t>
      </w:r>
      <w:r w:rsidR="001075C2" w:rsidRPr="00B80B1A">
        <w:t xml:space="preserve">Furthermore, the Timeliness issues described in the first section negatively impact the Fairness of the process if one believes that “Justice </w:t>
      </w:r>
      <w:r w:rsidR="002E48D1">
        <w:t>d</w:t>
      </w:r>
      <w:r w:rsidR="001075C2" w:rsidRPr="00B80B1A">
        <w:t xml:space="preserve">elayed is </w:t>
      </w:r>
      <w:r w:rsidR="002E48D1">
        <w:t>j</w:t>
      </w:r>
      <w:r w:rsidR="001075C2" w:rsidRPr="00B80B1A">
        <w:t xml:space="preserve">ustice </w:t>
      </w:r>
      <w:r w:rsidR="002E48D1">
        <w:t>d</w:t>
      </w:r>
      <w:r w:rsidR="001075C2" w:rsidRPr="00B80B1A">
        <w:t>enied.”</w:t>
      </w:r>
    </w:p>
    <w:p w14:paraId="3D8AF2AC" w14:textId="77777777" w:rsidR="001075C2" w:rsidRPr="00B80B1A" w:rsidRDefault="001075C2" w:rsidP="00037710">
      <w:pPr>
        <w:spacing w:after="0" w:line="240" w:lineRule="auto"/>
        <w:jc w:val="both"/>
      </w:pPr>
    </w:p>
    <w:p w14:paraId="5A7730B8" w14:textId="000F7C39" w:rsidR="00767AD2" w:rsidRPr="00B80B1A" w:rsidRDefault="00767AD2" w:rsidP="00037710">
      <w:pPr>
        <w:spacing w:after="0" w:line="240" w:lineRule="auto"/>
        <w:jc w:val="both"/>
      </w:pPr>
      <w:r w:rsidRPr="00B80B1A">
        <w:lastRenderedPageBreak/>
        <w:t xml:space="preserve">DCF can absolutely </w:t>
      </w:r>
      <w:r w:rsidR="00FC1CD9" w:rsidRPr="00B80B1A">
        <w:t>implement measures</w:t>
      </w:r>
      <w:r w:rsidRPr="00B80B1A">
        <w:t xml:space="preserve"> to strengthen the safeguards of Fairness</w:t>
      </w:r>
      <w:r w:rsidR="00B927E7" w:rsidRPr="00B80B1A">
        <w:t xml:space="preserve"> and reduce the probability of unwarranted outcomes</w:t>
      </w:r>
      <w:r w:rsidR="004579A7" w:rsidRPr="00B80B1A">
        <w:t xml:space="preserve">. </w:t>
      </w:r>
      <w:r w:rsidRPr="00B80B1A">
        <w:t>Some of our recommendations below point to “low-hanging fruit</w:t>
      </w:r>
      <w:r w:rsidR="00510655" w:rsidRPr="00B80B1A">
        <w:t>,</w:t>
      </w:r>
      <w:r w:rsidRPr="00B80B1A">
        <w:t xml:space="preserve">” such as refining the </w:t>
      </w:r>
      <w:r w:rsidR="00137757" w:rsidRPr="00B80B1A">
        <w:t>A</w:t>
      </w:r>
      <w:r w:rsidRPr="00B80B1A">
        <w:t xml:space="preserve">ppellant </w:t>
      </w:r>
      <w:r w:rsidR="00137757" w:rsidRPr="00B80B1A">
        <w:t>R</w:t>
      </w:r>
      <w:r w:rsidRPr="00B80B1A">
        <w:t xml:space="preserve">ights </w:t>
      </w:r>
      <w:r w:rsidR="00137757" w:rsidRPr="00B80B1A">
        <w:t>Form</w:t>
      </w:r>
      <w:r w:rsidR="000528F7" w:rsidRPr="00B80B1A">
        <w:t xml:space="preserve"> and </w:t>
      </w:r>
      <w:r w:rsidRPr="00B80B1A">
        <w:t xml:space="preserve">compiling </w:t>
      </w:r>
      <w:r w:rsidR="000528F7" w:rsidRPr="00B80B1A">
        <w:t xml:space="preserve">a list of </w:t>
      </w:r>
      <w:r w:rsidRPr="00B80B1A">
        <w:t>attorneys for appellants</w:t>
      </w:r>
      <w:r w:rsidR="004579A7" w:rsidRPr="00B80B1A">
        <w:t xml:space="preserve">. </w:t>
      </w:r>
      <w:r w:rsidRPr="00B80B1A">
        <w:t>Others will require changes to regulations, injection of additional resources, and enhancements in management routines, which will take time a</w:t>
      </w:r>
      <w:r w:rsidR="00B927E7" w:rsidRPr="00B80B1A">
        <w:t>nd dedicated effort</w:t>
      </w:r>
      <w:r w:rsidR="004579A7" w:rsidRPr="00B80B1A">
        <w:t xml:space="preserve">. </w:t>
      </w:r>
      <w:r w:rsidR="00B927E7" w:rsidRPr="00B80B1A">
        <w:t>I</w:t>
      </w:r>
      <w:r w:rsidRPr="00B80B1A">
        <w:t>t is important to keep in mind that in ord</w:t>
      </w:r>
      <w:r w:rsidR="00B927E7" w:rsidRPr="00B80B1A">
        <w:t xml:space="preserve">er to fully rebuild the </w:t>
      </w:r>
      <w:proofErr w:type="spellStart"/>
      <w:r w:rsidR="00B927E7" w:rsidRPr="00B80B1A">
        <w:t>Jenga</w:t>
      </w:r>
      <w:proofErr w:type="spellEnd"/>
      <w:r w:rsidR="00B927E7" w:rsidRPr="00B80B1A">
        <w:t xml:space="preserve"> tower of Fairness, DCF will </w:t>
      </w:r>
      <w:r w:rsidRPr="00B80B1A">
        <w:t xml:space="preserve">need to address the previously identified issues </w:t>
      </w:r>
      <w:r w:rsidR="00B927E7" w:rsidRPr="00B80B1A">
        <w:t xml:space="preserve">starting with the </w:t>
      </w:r>
      <w:r w:rsidR="004331D0" w:rsidRPr="00B80B1A">
        <w:t xml:space="preserve">comprehensiveness </w:t>
      </w:r>
      <w:r w:rsidR="00B927E7" w:rsidRPr="00B80B1A">
        <w:t>of Area Office investigations</w:t>
      </w:r>
      <w:r w:rsidRPr="00B80B1A">
        <w:t xml:space="preserve"> as the</w:t>
      </w:r>
      <w:r w:rsidR="0073658B" w:rsidRPr="00B80B1A">
        <w:t>y</w:t>
      </w:r>
      <w:r w:rsidRPr="00B80B1A">
        <w:t xml:space="preserve"> have a major impact on the Fairness of the process as a whole.</w:t>
      </w:r>
    </w:p>
    <w:p w14:paraId="790062EA" w14:textId="77777777" w:rsidR="00307E8E" w:rsidRPr="00B80B1A" w:rsidRDefault="00307E8E" w:rsidP="00037710">
      <w:pPr>
        <w:spacing w:after="0" w:line="240" w:lineRule="auto"/>
        <w:jc w:val="both"/>
      </w:pPr>
    </w:p>
    <w:p w14:paraId="7A1C6335" w14:textId="7A70CEB6" w:rsidR="002E4490" w:rsidRPr="00B80B1A" w:rsidRDefault="00AB30A1" w:rsidP="00037710">
      <w:pPr>
        <w:pStyle w:val="Heading2"/>
        <w:spacing w:before="0" w:line="240" w:lineRule="auto"/>
        <w:jc w:val="both"/>
        <w:rPr>
          <w:b/>
          <w:i/>
          <w:sz w:val="32"/>
        </w:rPr>
      </w:pPr>
      <w:bookmarkStart w:id="52" w:name="_Toc421781200"/>
      <w:r w:rsidRPr="00B80B1A">
        <w:rPr>
          <w:b/>
          <w:i/>
          <w:sz w:val="32"/>
        </w:rPr>
        <w:t>3</w:t>
      </w:r>
      <w:r w:rsidR="002E4490" w:rsidRPr="00B80B1A">
        <w:rPr>
          <w:b/>
          <w:i/>
          <w:sz w:val="32"/>
        </w:rPr>
        <w:t>. Independence</w:t>
      </w:r>
      <w:bookmarkEnd w:id="52"/>
    </w:p>
    <w:p w14:paraId="0C2FBBD5" w14:textId="77777777" w:rsidR="009A17C9" w:rsidRPr="00B80B1A" w:rsidRDefault="009A17C9" w:rsidP="00037710">
      <w:pPr>
        <w:spacing w:after="0" w:line="240" w:lineRule="auto"/>
        <w:jc w:val="both"/>
        <w:rPr>
          <w:b/>
        </w:rPr>
      </w:pPr>
    </w:p>
    <w:p w14:paraId="6A7CF8FD" w14:textId="7AB98F0B" w:rsidR="009C609E" w:rsidRPr="00B80B1A" w:rsidRDefault="009C609E" w:rsidP="00037710">
      <w:pPr>
        <w:spacing w:after="0" w:line="240" w:lineRule="auto"/>
        <w:jc w:val="both"/>
        <w:rPr>
          <w:b/>
        </w:rPr>
      </w:pPr>
      <w:r w:rsidRPr="00B80B1A">
        <w:rPr>
          <w:b/>
        </w:rPr>
        <w:t>The Independence of the DCF Fair Hearings is limited by DCF regulations, and the organizational structure is leading to a perception of limited independence. Despite these limitations, Hearing Officers act impartially.</w:t>
      </w:r>
    </w:p>
    <w:p w14:paraId="6CB0841E" w14:textId="77777777" w:rsidR="009A17C9" w:rsidRPr="00B80B1A" w:rsidRDefault="009A17C9" w:rsidP="00037710">
      <w:pPr>
        <w:spacing w:after="0" w:line="240" w:lineRule="auto"/>
        <w:jc w:val="both"/>
      </w:pPr>
    </w:p>
    <w:p w14:paraId="6FBCE9FB" w14:textId="37320350" w:rsidR="009A17C9" w:rsidRPr="00B80B1A" w:rsidRDefault="009A17C9" w:rsidP="00037710">
      <w:pPr>
        <w:spacing w:after="0" w:line="240" w:lineRule="auto"/>
        <w:jc w:val="both"/>
      </w:pPr>
      <w:r w:rsidRPr="00B80B1A">
        <w:t xml:space="preserve">For the purposes of this study, we defined </w:t>
      </w:r>
      <w:r w:rsidR="00151DE2" w:rsidRPr="00B80B1A">
        <w:t>Independence</w:t>
      </w:r>
      <w:r w:rsidRPr="00B80B1A">
        <w:t xml:space="preserve"> as the ability of the </w:t>
      </w:r>
      <w:r w:rsidR="00151DE2" w:rsidRPr="00B80B1A">
        <w:t>Fair Hearing</w:t>
      </w:r>
      <w:r w:rsidRPr="00B80B1A">
        <w:t xml:space="preserve"> Unit to have</w:t>
      </w:r>
      <w:r w:rsidR="00A52769" w:rsidRPr="00B80B1A">
        <w:t xml:space="preserve"> </w:t>
      </w:r>
      <w:r w:rsidRPr="00B80B1A">
        <w:t xml:space="preserve">the final say on decisions without any undue pressure or consequences. As explained in the DCF </w:t>
      </w:r>
      <w:r w:rsidR="00151DE2" w:rsidRPr="00B80B1A">
        <w:t>Fair Hearing</w:t>
      </w:r>
      <w:r w:rsidRPr="00B80B1A">
        <w:t xml:space="preserve">s Background section, the decision of the </w:t>
      </w:r>
      <w:r w:rsidR="00151DE2" w:rsidRPr="00B80B1A">
        <w:t>Fair Hearing</w:t>
      </w:r>
      <w:r w:rsidRPr="00B80B1A">
        <w:t xml:space="preserve"> often entails serious consequences for the appellant</w:t>
      </w:r>
      <w:r w:rsidR="00CE575C" w:rsidRPr="00B80B1A">
        <w:t>,</w:t>
      </w:r>
      <w:r w:rsidRPr="00B80B1A">
        <w:t xml:space="preserve"> and it is therefore crucial that the </w:t>
      </w:r>
      <w:r w:rsidR="001A4961" w:rsidRPr="00B80B1A">
        <w:t>Hearing Officer</w:t>
      </w:r>
      <w:r w:rsidRPr="00B80B1A">
        <w:t xml:space="preserve">s be shielded from undue influence by any party, particularly from other </w:t>
      </w:r>
      <w:r w:rsidR="00032E69" w:rsidRPr="00B80B1A">
        <w:t>Department</w:t>
      </w:r>
      <w:r w:rsidRPr="00B80B1A">
        <w:t>al representatives</w:t>
      </w:r>
      <w:r w:rsidR="004579A7" w:rsidRPr="00B80B1A">
        <w:t xml:space="preserve">. </w:t>
      </w:r>
      <w:r w:rsidRPr="00B80B1A">
        <w:t>In the absence of this</w:t>
      </w:r>
      <w:r w:rsidR="00D13664" w:rsidRPr="00B80B1A">
        <w:t xml:space="preserve"> safeguard</w:t>
      </w:r>
      <w:r w:rsidRPr="00B80B1A">
        <w:t xml:space="preserve">, the balance of justice </w:t>
      </w:r>
      <w:r w:rsidR="00DB1D2D" w:rsidRPr="00B80B1A">
        <w:t xml:space="preserve">could </w:t>
      </w:r>
      <w:r w:rsidRPr="00B80B1A">
        <w:t>shift towards the Department and favor the affirmation of the original decisio</w:t>
      </w:r>
      <w:r w:rsidR="00F23F8B">
        <w:t>n.</w:t>
      </w:r>
    </w:p>
    <w:p w14:paraId="3D692B75" w14:textId="77777777" w:rsidR="009A17C9" w:rsidRPr="00B80B1A" w:rsidRDefault="009A17C9" w:rsidP="00037710">
      <w:pPr>
        <w:spacing w:after="0" w:line="240" w:lineRule="auto"/>
        <w:jc w:val="both"/>
      </w:pPr>
    </w:p>
    <w:p w14:paraId="782FB06F" w14:textId="59E55265" w:rsidR="00307E8E" w:rsidRPr="00B80B1A" w:rsidRDefault="00307E8E" w:rsidP="00037710">
      <w:pPr>
        <w:pStyle w:val="Heading3"/>
        <w:numPr>
          <w:ilvl w:val="0"/>
          <w:numId w:val="38"/>
        </w:numPr>
        <w:jc w:val="both"/>
        <w:rPr>
          <w:i/>
          <w:sz w:val="28"/>
        </w:rPr>
      </w:pPr>
      <w:bookmarkStart w:id="53" w:name="_Toc421781201"/>
      <w:r w:rsidRPr="00B80B1A">
        <w:rPr>
          <w:i/>
          <w:sz w:val="28"/>
        </w:rPr>
        <w:t>Regulatory Framework</w:t>
      </w:r>
      <w:bookmarkEnd w:id="53"/>
    </w:p>
    <w:p w14:paraId="589091C7" w14:textId="77777777" w:rsidR="00307E8E" w:rsidRPr="00B80B1A" w:rsidRDefault="00307E8E" w:rsidP="00037710">
      <w:pPr>
        <w:spacing w:after="0" w:line="240" w:lineRule="auto"/>
        <w:jc w:val="both"/>
      </w:pPr>
    </w:p>
    <w:p w14:paraId="06B5094A" w14:textId="3BB19F7E" w:rsidR="009A17C9" w:rsidRPr="00B80B1A" w:rsidRDefault="009A17C9" w:rsidP="00037710">
      <w:pPr>
        <w:spacing w:after="0" w:line="240" w:lineRule="auto"/>
        <w:jc w:val="both"/>
      </w:pPr>
      <w:r w:rsidRPr="00B80B1A">
        <w:t xml:space="preserve">To test whether or not the </w:t>
      </w:r>
      <w:r w:rsidR="00151DE2" w:rsidRPr="00B80B1A">
        <w:t>Fair Hearing</w:t>
      </w:r>
      <w:r w:rsidR="009426FD" w:rsidRPr="00B80B1A">
        <w:t xml:space="preserve"> </w:t>
      </w:r>
      <w:r w:rsidR="00382858">
        <w:t>p</w:t>
      </w:r>
      <w:r w:rsidRPr="00B80B1A">
        <w:t>rocess is independent using the definition above, we first evaluated the current DCF regulations and compared them to those of other Northeastern states, yield</w:t>
      </w:r>
      <w:r w:rsidR="00D13664" w:rsidRPr="00B80B1A">
        <w:t>ing the following findings</w:t>
      </w:r>
      <w:r w:rsidRPr="00B80B1A">
        <w:t>:</w:t>
      </w:r>
    </w:p>
    <w:p w14:paraId="6A3210EE" w14:textId="77777777" w:rsidR="009A17C9" w:rsidRPr="00B80B1A" w:rsidRDefault="009A17C9" w:rsidP="00037710">
      <w:pPr>
        <w:spacing w:after="0" w:line="240" w:lineRule="auto"/>
        <w:jc w:val="both"/>
      </w:pPr>
    </w:p>
    <w:p w14:paraId="1DC06B61" w14:textId="3255B26F" w:rsidR="009A17C9" w:rsidRPr="00B80B1A" w:rsidRDefault="009A17C9" w:rsidP="00037710">
      <w:pPr>
        <w:pStyle w:val="ListParagraph"/>
        <w:numPr>
          <w:ilvl w:val="0"/>
          <w:numId w:val="57"/>
        </w:numPr>
        <w:spacing w:after="0" w:line="240" w:lineRule="auto"/>
        <w:ind w:left="900"/>
        <w:jc w:val="both"/>
      </w:pPr>
      <w:r w:rsidRPr="00B80B1A">
        <w:t xml:space="preserve">The regulatory framework of the DCF </w:t>
      </w:r>
      <w:r w:rsidR="00151DE2" w:rsidRPr="00B80B1A">
        <w:t>Fair Hearing</w:t>
      </w:r>
      <w:r w:rsidR="009426FD" w:rsidRPr="00B80B1A">
        <w:t xml:space="preserve"> </w:t>
      </w:r>
      <w:r w:rsidR="002A6BD5">
        <w:t>p</w:t>
      </w:r>
      <w:r w:rsidRPr="00B80B1A">
        <w:t xml:space="preserve">rocess is relatively less </w:t>
      </w:r>
      <w:r w:rsidR="00E142D0" w:rsidRPr="00B80B1A">
        <w:t>I</w:t>
      </w:r>
      <w:r w:rsidRPr="00B80B1A">
        <w:t xml:space="preserve">ndependent in comparison to other Northeastern states, with </w:t>
      </w:r>
      <w:r w:rsidR="00BB056D">
        <w:t xml:space="preserve">a </w:t>
      </w:r>
      <w:r w:rsidRPr="00B80B1A">
        <w:t>problematic control measure</w:t>
      </w:r>
      <w:r w:rsidR="00BB056D">
        <w:t xml:space="preserve"> and reporting structure</w:t>
      </w:r>
      <w:r w:rsidRPr="00B80B1A">
        <w:t xml:space="preserve"> </w:t>
      </w:r>
      <w:r w:rsidR="00F2709A" w:rsidRPr="00B80B1A">
        <w:t xml:space="preserve">that </w:t>
      </w:r>
      <w:r w:rsidRPr="00B80B1A">
        <w:t xml:space="preserve">could have implications for the </w:t>
      </w:r>
      <w:r w:rsidR="00151DE2" w:rsidRPr="00B80B1A">
        <w:t>Independence</w:t>
      </w:r>
      <w:r w:rsidRPr="00B80B1A">
        <w:t xml:space="preserve"> of any rendered decisions.</w:t>
      </w:r>
    </w:p>
    <w:p w14:paraId="38425FE6" w14:textId="77777777" w:rsidR="00410A9A" w:rsidRPr="00B80B1A" w:rsidRDefault="00410A9A" w:rsidP="00037710">
      <w:pPr>
        <w:pStyle w:val="ListParagraph"/>
        <w:spacing w:after="0" w:line="240" w:lineRule="auto"/>
        <w:jc w:val="both"/>
      </w:pPr>
    </w:p>
    <w:p w14:paraId="433DFCA8" w14:textId="6A434931" w:rsidR="009A17C9" w:rsidRPr="00B80B1A" w:rsidRDefault="00151DE2" w:rsidP="00037710">
      <w:pPr>
        <w:pStyle w:val="ListParagraph"/>
        <w:numPr>
          <w:ilvl w:val="0"/>
          <w:numId w:val="23"/>
        </w:numPr>
        <w:spacing w:after="0" w:line="240" w:lineRule="auto"/>
        <w:jc w:val="both"/>
      </w:pPr>
      <w:r w:rsidRPr="00B80B1A">
        <w:rPr>
          <w:b/>
        </w:rPr>
        <w:t>Commissioner</w:t>
      </w:r>
      <w:r w:rsidR="00307E8E" w:rsidRPr="00B80B1A">
        <w:rPr>
          <w:b/>
        </w:rPr>
        <w:t>’s review</w:t>
      </w:r>
      <w:r w:rsidR="00D465FD" w:rsidRPr="00B80B1A">
        <w:rPr>
          <w:b/>
        </w:rPr>
        <w:t xml:space="preserve"> –</w:t>
      </w:r>
      <w:r w:rsidR="00307E8E" w:rsidRPr="00B80B1A">
        <w:rPr>
          <w:b/>
        </w:rPr>
        <w:t xml:space="preserve"> </w:t>
      </w:r>
      <w:r w:rsidR="009702C9" w:rsidRPr="00B80B1A">
        <w:t>O</w:t>
      </w:r>
      <w:r w:rsidR="009A17C9" w:rsidRPr="00B80B1A">
        <w:t xml:space="preserve">ut of the states we </w:t>
      </w:r>
      <w:proofErr w:type="gramStart"/>
      <w:r w:rsidR="00E142D0" w:rsidRPr="00B80B1A">
        <w:t>studied</w:t>
      </w:r>
      <w:r w:rsidR="009A17C9" w:rsidRPr="00B80B1A">
        <w:t>,</w:t>
      </w:r>
      <w:proofErr w:type="gramEnd"/>
      <w:r w:rsidR="009A17C9" w:rsidRPr="00B80B1A">
        <w:t xml:space="preserve"> only Massachusetts requires</w:t>
      </w:r>
      <w:r w:rsidR="00972BFD">
        <w:t xml:space="preserve"> a commiss</w:t>
      </w:r>
      <w:r w:rsidR="00BB056D">
        <w:t>ioner-level review of a reversal</w:t>
      </w:r>
      <w:r w:rsidR="00972BFD">
        <w:t xml:space="preserve"> decision.</w:t>
      </w:r>
      <w:r w:rsidR="009A17C9" w:rsidRPr="00B80B1A">
        <w:t xml:space="preserve"> </w:t>
      </w:r>
      <w:r w:rsidR="00972BFD">
        <w:t>T</w:t>
      </w:r>
      <w:r w:rsidR="009A17C9" w:rsidRPr="00B80B1A">
        <w:t xml:space="preserve">he DCF </w:t>
      </w:r>
      <w:r w:rsidRPr="00B80B1A">
        <w:t>Commissioner</w:t>
      </w:r>
      <w:r w:rsidR="009A17C9" w:rsidRPr="00B80B1A">
        <w:t xml:space="preserve"> </w:t>
      </w:r>
      <w:r w:rsidR="00972BFD">
        <w:t>must</w:t>
      </w:r>
      <w:r w:rsidR="00972BFD" w:rsidRPr="00B80B1A">
        <w:t xml:space="preserve"> </w:t>
      </w:r>
      <w:r w:rsidR="009A17C9" w:rsidRPr="00B80B1A">
        <w:t xml:space="preserve">review any case where an </w:t>
      </w:r>
      <w:r w:rsidRPr="00B80B1A">
        <w:t>Area Office</w:t>
      </w:r>
      <w:r w:rsidR="009A17C9" w:rsidRPr="00B80B1A">
        <w:t xml:space="preserve"> decision has been reversed.</w:t>
      </w:r>
      <w:r w:rsidR="009A17C9" w:rsidRPr="00B80B1A">
        <w:rPr>
          <w:rStyle w:val="FootnoteReference"/>
        </w:rPr>
        <w:footnoteReference w:id="47"/>
      </w:r>
      <w:r w:rsidR="009A17C9" w:rsidRPr="00B80B1A">
        <w:t xml:space="preserve"> The fact that any reversal decision a </w:t>
      </w:r>
      <w:r w:rsidR="001A4961" w:rsidRPr="00B80B1A">
        <w:t>Hearing Officer</w:t>
      </w:r>
      <w:r w:rsidR="009A17C9" w:rsidRPr="00B80B1A">
        <w:t xml:space="preserve"> makes will be scrutinized by a superior </w:t>
      </w:r>
      <w:r w:rsidR="00A11A3B" w:rsidRPr="00B80B1A">
        <w:t>might</w:t>
      </w:r>
      <w:r w:rsidR="009A17C9" w:rsidRPr="00B80B1A">
        <w:t xml:space="preserve"> potentially influence the decisions of that </w:t>
      </w:r>
      <w:r w:rsidR="001A4961" w:rsidRPr="00B80B1A">
        <w:t>Hearing Officer</w:t>
      </w:r>
      <w:r w:rsidR="009A17C9" w:rsidRPr="00B80B1A">
        <w:t xml:space="preserve">, while also essentially weakening protections against </w:t>
      </w:r>
      <w:r w:rsidR="009A17C9" w:rsidRPr="00B80B1A">
        <w:rPr>
          <w:i/>
        </w:rPr>
        <w:t>ex</w:t>
      </w:r>
      <w:r w:rsidR="002A6BD5">
        <w:rPr>
          <w:i/>
        </w:rPr>
        <w:t xml:space="preserve"> </w:t>
      </w:r>
      <w:r w:rsidR="009A17C9" w:rsidRPr="00B80B1A">
        <w:rPr>
          <w:i/>
        </w:rPr>
        <w:t>parte</w:t>
      </w:r>
      <w:r w:rsidR="009A17C9" w:rsidRPr="00B80B1A">
        <w:t xml:space="preserve"> communications as provided for in the regulations. In contrast, Connecticut, New Hampshire, and New York leave the possibility open for </w:t>
      </w:r>
      <w:r w:rsidRPr="00B80B1A">
        <w:t>Commissioner</w:t>
      </w:r>
      <w:r w:rsidR="009A17C9" w:rsidRPr="00B80B1A">
        <w:t xml:space="preserve"> review should she or he decide not to delegate decision-making authority, but generally the decisions of </w:t>
      </w:r>
      <w:r w:rsidR="002A6BD5">
        <w:t>he</w:t>
      </w:r>
      <w:r w:rsidR="001A4961" w:rsidRPr="00B80B1A">
        <w:t xml:space="preserve">aring </w:t>
      </w:r>
      <w:r w:rsidR="00972BFD">
        <w:t>o</w:t>
      </w:r>
      <w:r w:rsidR="001A4961" w:rsidRPr="00B80B1A">
        <w:t>fficer</w:t>
      </w:r>
      <w:r w:rsidR="009A17C9" w:rsidRPr="00B80B1A">
        <w:t xml:space="preserve">s </w:t>
      </w:r>
      <w:r w:rsidR="00571267" w:rsidRPr="00B80B1A">
        <w:t xml:space="preserve">in these states </w:t>
      </w:r>
      <w:r w:rsidR="009A17C9" w:rsidRPr="00B80B1A">
        <w:t xml:space="preserve">are final, barring appeal to a </w:t>
      </w:r>
      <w:r w:rsidRPr="00B80B1A">
        <w:t>Superior Court</w:t>
      </w:r>
      <w:r w:rsidR="009A17C9" w:rsidRPr="00B80B1A">
        <w:t>.</w:t>
      </w:r>
      <w:r w:rsidR="009A17C9" w:rsidRPr="00B80B1A">
        <w:rPr>
          <w:rStyle w:val="FootnoteReference"/>
        </w:rPr>
        <w:footnoteReference w:id="48"/>
      </w:r>
      <w:r w:rsidR="009A17C9" w:rsidRPr="00B80B1A">
        <w:t xml:space="preserve"> Going even further, Rhode Island makes the decisions of its </w:t>
      </w:r>
      <w:r w:rsidR="00EA21CE" w:rsidRPr="00B80B1A">
        <w:t>h</w:t>
      </w:r>
      <w:r w:rsidR="001A4961" w:rsidRPr="00B80B1A">
        <w:t xml:space="preserve">earing </w:t>
      </w:r>
      <w:r w:rsidR="00EA21CE" w:rsidRPr="00B80B1A">
        <w:t>o</w:t>
      </w:r>
      <w:r w:rsidR="001A4961" w:rsidRPr="00B80B1A">
        <w:t>fficer</w:t>
      </w:r>
      <w:r w:rsidR="009A17C9" w:rsidRPr="00B80B1A">
        <w:t xml:space="preserve">s not subject to </w:t>
      </w:r>
      <w:r w:rsidR="00B505CC" w:rsidRPr="00B80B1A">
        <w:t xml:space="preserve">review, barring appeal </w:t>
      </w:r>
      <w:r w:rsidR="00B505CC" w:rsidRPr="00B80B1A">
        <w:lastRenderedPageBreak/>
        <w:t>to a superior court</w:t>
      </w:r>
      <w:r w:rsidR="009A17C9" w:rsidRPr="00B80B1A">
        <w:t>.</w:t>
      </w:r>
      <w:r w:rsidR="009A17C9" w:rsidRPr="00B80B1A">
        <w:rPr>
          <w:rStyle w:val="FootnoteReference"/>
        </w:rPr>
        <w:footnoteReference w:id="49"/>
      </w:r>
      <w:r w:rsidR="009A17C9" w:rsidRPr="00B80B1A">
        <w:t xml:space="preserve"> </w:t>
      </w:r>
      <w:r w:rsidR="009A17C9" w:rsidRPr="00BB056D">
        <w:t xml:space="preserve">Vermont, however, does make the recommendations of a </w:t>
      </w:r>
      <w:r w:rsidR="00EA21CE" w:rsidRPr="00BB056D">
        <w:t>hearing o</w:t>
      </w:r>
      <w:r w:rsidR="001A4961" w:rsidRPr="00BB056D">
        <w:t>fficer</w:t>
      </w:r>
      <w:r w:rsidR="009A17C9" w:rsidRPr="00BB056D">
        <w:t xml:space="preserve"> subject to a vote by its independent appeals unit, the Human Services Board</w:t>
      </w:r>
      <w:r w:rsidR="009A17C9" w:rsidRPr="00B80B1A">
        <w:t>.</w:t>
      </w:r>
      <w:r w:rsidR="009A17C9" w:rsidRPr="00B80B1A">
        <w:rPr>
          <w:rStyle w:val="FootnoteReference"/>
        </w:rPr>
        <w:footnoteReference w:id="50"/>
      </w:r>
    </w:p>
    <w:p w14:paraId="684954B5" w14:textId="1FA480A5" w:rsidR="00410A9A" w:rsidRPr="00B80B1A" w:rsidRDefault="00410A9A" w:rsidP="00037710">
      <w:pPr>
        <w:pStyle w:val="ListParagraph"/>
        <w:numPr>
          <w:ilvl w:val="0"/>
          <w:numId w:val="23"/>
        </w:numPr>
        <w:spacing w:after="0" w:line="240" w:lineRule="auto"/>
        <w:jc w:val="both"/>
      </w:pPr>
      <w:r w:rsidRPr="00B80B1A">
        <w:rPr>
          <w:b/>
        </w:rPr>
        <w:t>Reporting structure</w:t>
      </w:r>
      <w:r w:rsidR="00D465FD" w:rsidRPr="00B80B1A">
        <w:t xml:space="preserve"> </w:t>
      </w:r>
      <w:r w:rsidR="00D465FD" w:rsidRPr="00B80B1A">
        <w:rPr>
          <w:b/>
        </w:rPr>
        <w:t>–</w:t>
      </w:r>
      <w:r w:rsidR="00510655" w:rsidRPr="00B80B1A">
        <w:t xml:space="preserve"> </w:t>
      </w:r>
      <w:r w:rsidRPr="00B80B1A">
        <w:t xml:space="preserve">According to </w:t>
      </w:r>
      <w:r w:rsidR="00593EA8" w:rsidRPr="00B80B1A">
        <w:t xml:space="preserve">DCF </w:t>
      </w:r>
      <w:r w:rsidRPr="00B80B1A">
        <w:t>regulations, Hearing Officers report within the Department.</w:t>
      </w:r>
      <w:r w:rsidRPr="00B80B1A">
        <w:rPr>
          <w:rStyle w:val="FootnoteReference"/>
        </w:rPr>
        <w:footnoteReference w:id="51"/>
      </w:r>
      <w:r w:rsidRPr="00B80B1A">
        <w:t xml:space="preserve"> This structure creates a perceived conflict of interest for the Department as i</w:t>
      </w:r>
      <w:r w:rsidR="00EA21CE" w:rsidRPr="00B80B1A">
        <w:t xml:space="preserve">t leads to a situation whereby </w:t>
      </w:r>
      <w:r w:rsidR="00972BFD">
        <w:t>H</w:t>
      </w:r>
      <w:r w:rsidR="00EA21CE" w:rsidRPr="00B80B1A">
        <w:t xml:space="preserve">earing </w:t>
      </w:r>
      <w:r w:rsidR="00972BFD">
        <w:t>O</w:t>
      </w:r>
      <w:r w:rsidRPr="00B80B1A">
        <w:t>fficers are reporting to stakeholders of the underlying contested decision. This structure is not unique to Massachusetts, but other Northeast</w:t>
      </w:r>
      <w:r w:rsidR="00F2709A" w:rsidRPr="00B80B1A">
        <w:t>ern</w:t>
      </w:r>
      <w:r w:rsidRPr="00B80B1A">
        <w:t xml:space="preserve"> states have taken steps to address it. In New Hampshire and Vermont, </w:t>
      </w:r>
      <w:r w:rsidR="00972BFD">
        <w:t>h</w:t>
      </w:r>
      <w:r w:rsidRPr="00B80B1A">
        <w:t xml:space="preserve">earing </w:t>
      </w:r>
      <w:proofErr w:type="gramStart"/>
      <w:r w:rsidR="00972BFD">
        <w:t>o</w:t>
      </w:r>
      <w:r w:rsidRPr="00B80B1A">
        <w:t>fficers</w:t>
      </w:r>
      <w:proofErr w:type="gramEnd"/>
      <w:r w:rsidRPr="00B80B1A">
        <w:t xml:space="preserve"> report to independent appeal</w:t>
      </w:r>
      <w:r w:rsidR="00BB056D">
        <w:t>s</w:t>
      </w:r>
      <w:r w:rsidRPr="00B80B1A">
        <w:t xml:space="preserve"> units that are not associated with their departmental equivalent of DCF.</w:t>
      </w:r>
      <w:r w:rsidRPr="00B80B1A">
        <w:rPr>
          <w:rStyle w:val="FootnoteReference"/>
        </w:rPr>
        <w:footnoteReference w:id="52"/>
      </w:r>
      <w:r w:rsidRPr="00B80B1A">
        <w:t xml:space="preserve"> Furthermore, as part of its pre-hearing administrative review, Vermont hires independent contractors not associated with the state agency.</w:t>
      </w:r>
      <w:r w:rsidRPr="00B80B1A">
        <w:rPr>
          <w:rStyle w:val="FootnoteReference"/>
        </w:rPr>
        <w:footnoteReference w:id="53"/>
      </w:r>
    </w:p>
    <w:p w14:paraId="47C86AD7" w14:textId="77777777" w:rsidR="00307E8E" w:rsidRPr="00B80B1A" w:rsidRDefault="00307E8E" w:rsidP="00037710">
      <w:pPr>
        <w:spacing w:after="0" w:line="240" w:lineRule="auto"/>
        <w:jc w:val="both"/>
      </w:pPr>
    </w:p>
    <w:p w14:paraId="54010FCF" w14:textId="386B78E5" w:rsidR="00307E8E" w:rsidRPr="00B80B1A" w:rsidRDefault="001A4961" w:rsidP="00037710">
      <w:pPr>
        <w:pStyle w:val="Heading3"/>
        <w:numPr>
          <w:ilvl w:val="0"/>
          <w:numId w:val="38"/>
        </w:numPr>
        <w:jc w:val="both"/>
        <w:rPr>
          <w:i/>
          <w:sz w:val="28"/>
        </w:rPr>
      </w:pPr>
      <w:bookmarkStart w:id="54" w:name="_Toc421781202"/>
      <w:r w:rsidRPr="00B80B1A">
        <w:rPr>
          <w:i/>
          <w:sz w:val="28"/>
        </w:rPr>
        <w:t>Hearing Officer</w:t>
      </w:r>
      <w:r w:rsidR="00307E8E" w:rsidRPr="00B80B1A">
        <w:rPr>
          <w:i/>
          <w:sz w:val="28"/>
        </w:rPr>
        <w:t xml:space="preserve"> Positions</w:t>
      </w:r>
      <w:bookmarkEnd w:id="54"/>
    </w:p>
    <w:p w14:paraId="132F428A" w14:textId="77777777" w:rsidR="00307E8E" w:rsidRPr="00B80B1A" w:rsidRDefault="00307E8E" w:rsidP="00037710">
      <w:pPr>
        <w:spacing w:after="0" w:line="240" w:lineRule="auto"/>
        <w:jc w:val="both"/>
      </w:pPr>
    </w:p>
    <w:p w14:paraId="08F7755E" w14:textId="66131E56" w:rsidR="009A17C9" w:rsidRPr="00B80B1A" w:rsidRDefault="00510655" w:rsidP="00037710">
      <w:pPr>
        <w:spacing w:after="0" w:line="240" w:lineRule="auto"/>
        <w:jc w:val="both"/>
      </w:pPr>
      <w:r w:rsidRPr="00B80B1A">
        <w:t>R</w:t>
      </w:r>
      <w:r w:rsidR="009A17C9" w:rsidRPr="00B80B1A">
        <w:t xml:space="preserve">egulations </w:t>
      </w:r>
      <w:r w:rsidR="00571267" w:rsidRPr="00B80B1A">
        <w:t xml:space="preserve">alone </w:t>
      </w:r>
      <w:r w:rsidR="00410A9A" w:rsidRPr="00B80B1A">
        <w:t>cannot yield a complete overview</w:t>
      </w:r>
      <w:r w:rsidR="009A17C9" w:rsidRPr="00B80B1A">
        <w:t xml:space="preserve"> of how independent the process is, as procedures and operations can lead to independent environments regardless of </w:t>
      </w:r>
      <w:r w:rsidR="00410A9A" w:rsidRPr="00B80B1A">
        <w:t xml:space="preserve">the </w:t>
      </w:r>
      <w:r w:rsidR="009A17C9" w:rsidRPr="00B80B1A">
        <w:t>regulatory or organizational structure. To acc</w:t>
      </w:r>
      <w:r w:rsidR="00D6239A" w:rsidRPr="00B80B1A">
        <w:t>ount for this, we considered</w:t>
      </w:r>
      <w:r w:rsidR="009A17C9" w:rsidRPr="00B80B1A">
        <w:t xml:space="preserve"> other factors, interviewed DCF staff and attorneys, and surveyed appellants to </w:t>
      </w:r>
      <w:r w:rsidR="00E92282" w:rsidRPr="00B80B1A">
        <w:t>develop</w:t>
      </w:r>
      <w:r w:rsidR="009A17C9" w:rsidRPr="00B80B1A">
        <w:t xml:space="preserve"> a more complete picture</w:t>
      </w:r>
      <w:r w:rsidR="00170714" w:rsidRPr="00B80B1A">
        <w:t>.</w:t>
      </w:r>
    </w:p>
    <w:p w14:paraId="5567F982" w14:textId="77777777" w:rsidR="001A4961" w:rsidRPr="00B80B1A" w:rsidRDefault="001A4961" w:rsidP="00037710">
      <w:pPr>
        <w:spacing w:after="0" w:line="240" w:lineRule="auto"/>
        <w:jc w:val="both"/>
      </w:pPr>
    </w:p>
    <w:p w14:paraId="185E538B" w14:textId="657CF0B0" w:rsidR="009A17C9" w:rsidRPr="00B80B1A" w:rsidRDefault="00D6239A" w:rsidP="00037710">
      <w:pPr>
        <w:spacing w:after="0" w:line="240" w:lineRule="auto"/>
        <w:jc w:val="both"/>
      </w:pPr>
      <w:r w:rsidRPr="00B80B1A">
        <w:t xml:space="preserve">First, </w:t>
      </w:r>
      <w:r w:rsidR="001A4961" w:rsidRPr="00B80B1A">
        <w:t>Hearing Officer</w:t>
      </w:r>
      <w:r w:rsidR="009A17C9" w:rsidRPr="00B80B1A">
        <w:t>s appear to be</w:t>
      </w:r>
      <w:r w:rsidR="00170714" w:rsidRPr="00B80B1A">
        <w:t>have</w:t>
      </w:r>
      <w:r w:rsidR="009A17C9" w:rsidRPr="00B80B1A">
        <w:t xml:space="preserve"> independent</w:t>
      </w:r>
      <w:r w:rsidR="00170714" w:rsidRPr="00B80B1A">
        <w:t>ly</w:t>
      </w:r>
      <w:r w:rsidR="009A17C9" w:rsidRPr="00B80B1A">
        <w:t xml:space="preserve"> and are perceived as such by both themselves and other DCF staff.</w:t>
      </w:r>
      <w:r w:rsidR="00170714" w:rsidRPr="00B80B1A">
        <w:t xml:space="preserve"> I</w:t>
      </w:r>
      <w:r w:rsidR="009A17C9" w:rsidRPr="00B80B1A">
        <w:t xml:space="preserve">n our one-on-one interviews, </w:t>
      </w:r>
      <w:r w:rsidR="001A4961" w:rsidRPr="00B80B1A">
        <w:t>Hearing Officer</w:t>
      </w:r>
      <w:r w:rsidR="009A17C9" w:rsidRPr="00B80B1A">
        <w:t xml:space="preserve">s, other DCF employees, and </w:t>
      </w:r>
      <w:r w:rsidR="00151DE2" w:rsidRPr="00B80B1A">
        <w:t>Area Office</w:t>
      </w:r>
      <w:r w:rsidR="009A17C9" w:rsidRPr="00B80B1A">
        <w:t xml:space="preserve"> staff all agreed that the </w:t>
      </w:r>
      <w:r w:rsidR="001A4961" w:rsidRPr="00B80B1A">
        <w:t>Hearing Officer</w:t>
      </w:r>
      <w:r w:rsidR="009A17C9" w:rsidRPr="00B80B1A">
        <w:t>s were independent</w:t>
      </w:r>
      <w:r w:rsidR="004579A7" w:rsidRPr="00B80B1A">
        <w:t xml:space="preserve">. </w:t>
      </w:r>
      <w:r w:rsidR="009A17C9" w:rsidRPr="00B80B1A">
        <w:t xml:space="preserve">As one </w:t>
      </w:r>
      <w:r w:rsidR="001A4961" w:rsidRPr="00B80B1A">
        <w:t>Hearing Officer</w:t>
      </w:r>
      <w:r w:rsidR="009A17C9" w:rsidRPr="00B80B1A">
        <w:t xml:space="preserve"> indicated</w:t>
      </w:r>
      <w:r w:rsidR="008E75F4" w:rsidRPr="00B80B1A">
        <w:t>,</w:t>
      </w:r>
      <w:r w:rsidR="009A17C9" w:rsidRPr="00B80B1A">
        <w:t xml:space="preserve"> “I do not feel any pressure to reverse or affirm a decision</w:t>
      </w:r>
      <w:r w:rsidR="00571267" w:rsidRPr="00B80B1A">
        <w:t>.”</w:t>
      </w:r>
      <w:r w:rsidR="009A17C9" w:rsidRPr="00B80B1A">
        <w:t xml:space="preserve"> Similarly, other DCF employees at the Central Office praised the </w:t>
      </w:r>
      <w:r w:rsidR="001A4961" w:rsidRPr="00B80B1A">
        <w:t>Hearing Officer</w:t>
      </w:r>
      <w:r w:rsidR="009A17C9" w:rsidRPr="00B80B1A">
        <w:t xml:space="preserve">s by stating that “the blinders of </w:t>
      </w:r>
      <w:r w:rsidR="001A4961" w:rsidRPr="00B80B1A">
        <w:t>Hearing Officer</w:t>
      </w:r>
      <w:r w:rsidR="009A17C9" w:rsidRPr="00B80B1A">
        <w:t>s are impressive</w:t>
      </w:r>
      <w:r w:rsidR="00571267" w:rsidRPr="00B80B1A">
        <w:t>,”</w:t>
      </w:r>
      <w:r w:rsidR="009A17C9" w:rsidRPr="00B80B1A">
        <w:t xml:space="preserve"> underlining their impartiality.</w:t>
      </w:r>
    </w:p>
    <w:p w14:paraId="75B7BE67" w14:textId="77777777" w:rsidR="009A17C9" w:rsidRPr="00B80B1A" w:rsidRDefault="009A17C9" w:rsidP="00037710">
      <w:pPr>
        <w:spacing w:after="0" w:line="240" w:lineRule="auto"/>
        <w:jc w:val="both"/>
      </w:pPr>
    </w:p>
    <w:p w14:paraId="25107D7D" w14:textId="0ED13585" w:rsidR="00170714" w:rsidRPr="00B80B1A" w:rsidRDefault="00170714" w:rsidP="00037710">
      <w:pPr>
        <w:spacing w:after="0" w:line="240" w:lineRule="auto"/>
        <w:jc w:val="both"/>
      </w:pPr>
      <w:r w:rsidRPr="00B80B1A">
        <w:t>Moreover, we observed no long-term career con</w:t>
      </w:r>
      <w:r w:rsidR="00410A9A" w:rsidRPr="00B80B1A">
        <w:t xml:space="preserve">siderations that would induce </w:t>
      </w:r>
      <w:r w:rsidRPr="00B80B1A">
        <w:t xml:space="preserve">DCF partiality in </w:t>
      </w:r>
      <w:r w:rsidR="001A4961" w:rsidRPr="00B80B1A">
        <w:t>Hearing Officer</w:t>
      </w:r>
      <w:r w:rsidRPr="00B80B1A">
        <w:t>s:</w:t>
      </w:r>
    </w:p>
    <w:p w14:paraId="04AAF8DC" w14:textId="22ED4329" w:rsidR="00170714" w:rsidRPr="00B80B1A" w:rsidRDefault="00170714" w:rsidP="00037710">
      <w:pPr>
        <w:pStyle w:val="ListParagraph"/>
        <w:numPr>
          <w:ilvl w:val="0"/>
          <w:numId w:val="56"/>
        </w:numPr>
        <w:spacing w:after="0" w:line="240" w:lineRule="auto"/>
        <w:ind w:left="810"/>
        <w:jc w:val="both"/>
      </w:pPr>
      <w:r w:rsidRPr="00B80B1A">
        <w:t xml:space="preserve">The </w:t>
      </w:r>
      <w:r w:rsidR="001A4961" w:rsidRPr="00B80B1A">
        <w:t>Hearing Officer</w:t>
      </w:r>
      <w:r w:rsidRPr="00B80B1A">
        <w:t xml:space="preserve"> </w:t>
      </w:r>
      <w:r w:rsidR="003042CB" w:rsidRPr="00B80B1A">
        <w:t>position</w:t>
      </w:r>
      <w:r w:rsidRPr="00B80B1A">
        <w:t xml:space="preserve"> is deemed a long</w:t>
      </w:r>
      <w:r w:rsidR="00593EA8" w:rsidRPr="00B80B1A">
        <w:t>-</w:t>
      </w:r>
      <w:r w:rsidRPr="00B80B1A">
        <w:t xml:space="preserve">term career option. Other than one </w:t>
      </w:r>
      <w:r w:rsidR="001A4961" w:rsidRPr="00B80B1A">
        <w:t>Hearing Officer</w:t>
      </w:r>
      <w:r w:rsidRPr="00B80B1A">
        <w:t xml:space="preserve"> who retired, no others have left the</w:t>
      </w:r>
      <w:r w:rsidR="003042CB" w:rsidRPr="00B80B1A">
        <w:t>ir</w:t>
      </w:r>
      <w:r w:rsidRPr="00B80B1A">
        <w:t xml:space="preserve"> job</w:t>
      </w:r>
      <w:r w:rsidR="0077006B">
        <w:t>s</w:t>
      </w:r>
      <w:r w:rsidRPr="00B80B1A">
        <w:t xml:space="preserve"> </w:t>
      </w:r>
      <w:r w:rsidR="003042CB" w:rsidRPr="00B80B1A">
        <w:t xml:space="preserve">in the last </w:t>
      </w:r>
      <w:r w:rsidR="00571267" w:rsidRPr="00B80B1A">
        <w:t xml:space="preserve">five </w:t>
      </w:r>
      <w:r w:rsidR="003042CB" w:rsidRPr="00B80B1A">
        <w:t>years</w:t>
      </w:r>
      <w:r w:rsidRPr="00B80B1A">
        <w:t xml:space="preserve">. No </w:t>
      </w:r>
      <w:r w:rsidR="001A4961" w:rsidRPr="00B80B1A">
        <w:t>Hearing Officer</w:t>
      </w:r>
      <w:r w:rsidRPr="00B80B1A">
        <w:t xml:space="preserve"> in recent memory has taken a </w:t>
      </w:r>
      <w:r w:rsidR="003042CB" w:rsidRPr="00B80B1A">
        <w:t>position</w:t>
      </w:r>
      <w:r w:rsidRPr="00B80B1A">
        <w:t xml:space="preserve"> in an </w:t>
      </w:r>
      <w:r w:rsidR="00151DE2" w:rsidRPr="00B80B1A">
        <w:t>Area Office</w:t>
      </w:r>
      <w:r w:rsidRPr="00B80B1A">
        <w:t xml:space="preserve"> at D</w:t>
      </w:r>
      <w:r w:rsidR="003042CB" w:rsidRPr="00B80B1A">
        <w:t>CF</w:t>
      </w:r>
      <w:r w:rsidR="0036193B" w:rsidRPr="00B80B1A">
        <w:t xml:space="preserve"> after they served as a </w:t>
      </w:r>
      <w:r w:rsidR="001A4961" w:rsidRPr="00B80B1A">
        <w:t>Hearing Officer</w:t>
      </w:r>
      <w:r w:rsidR="003042CB" w:rsidRPr="00B80B1A">
        <w:t>. When inquired</w:t>
      </w:r>
      <w:r w:rsidR="00E92282" w:rsidRPr="00B80B1A">
        <w:t xml:space="preserve"> of</w:t>
      </w:r>
      <w:r w:rsidR="003042CB" w:rsidRPr="00B80B1A">
        <w:t xml:space="preserve"> privately</w:t>
      </w:r>
      <w:r w:rsidRPr="00B80B1A">
        <w:t xml:space="preserve">, </w:t>
      </w:r>
      <w:r w:rsidR="001A4961" w:rsidRPr="00B80B1A">
        <w:t>Hearing Officer</w:t>
      </w:r>
      <w:r w:rsidRPr="00B80B1A">
        <w:t>s consistently responded that they plan to stay at their jobs and</w:t>
      </w:r>
      <w:r w:rsidR="000F04EB" w:rsidRPr="00B80B1A">
        <w:t xml:space="preserve"> are</w:t>
      </w:r>
      <w:r w:rsidRPr="00B80B1A">
        <w:t xml:space="preserve"> not interested in career paths in other parts of DCF</w:t>
      </w:r>
      <w:r w:rsidR="00F23F8B">
        <w:t>.</w:t>
      </w:r>
    </w:p>
    <w:p w14:paraId="2E19B83C" w14:textId="538181A1" w:rsidR="00170714" w:rsidRPr="00B80B1A" w:rsidRDefault="00170714" w:rsidP="00037710">
      <w:pPr>
        <w:pStyle w:val="ListParagraph"/>
        <w:numPr>
          <w:ilvl w:val="0"/>
          <w:numId w:val="56"/>
        </w:numPr>
        <w:spacing w:after="0" w:line="240" w:lineRule="auto"/>
        <w:ind w:left="810"/>
        <w:jc w:val="both"/>
      </w:pPr>
      <w:r w:rsidRPr="00B80B1A">
        <w:t xml:space="preserve">We unearthed no evidence whatsoever of a </w:t>
      </w:r>
      <w:r w:rsidR="001A4961" w:rsidRPr="00B80B1A">
        <w:t>Hearing Officer</w:t>
      </w:r>
      <w:r w:rsidRPr="00B80B1A">
        <w:t xml:space="preserve"> unduly penalized for reversing </w:t>
      </w:r>
      <w:r w:rsidR="00151DE2" w:rsidRPr="00B80B1A">
        <w:t>Area Office</w:t>
      </w:r>
      <w:r w:rsidR="00F23F8B">
        <w:t xml:space="preserve"> decisions.</w:t>
      </w:r>
    </w:p>
    <w:p w14:paraId="3CA15903" w14:textId="77777777" w:rsidR="00F3679B" w:rsidRPr="00B80B1A" w:rsidRDefault="00F3679B" w:rsidP="00037710">
      <w:pPr>
        <w:spacing w:after="0" w:line="240" w:lineRule="auto"/>
        <w:jc w:val="both"/>
      </w:pPr>
    </w:p>
    <w:p w14:paraId="0A94C9DD" w14:textId="26722841" w:rsidR="00307E8E" w:rsidRPr="00B80B1A" w:rsidRDefault="00307E8E" w:rsidP="00037710">
      <w:pPr>
        <w:pStyle w:val="Heading3"/>
        <w:numPr>
          <w:ilvl w:val="0"/>
          <w:numId w:val="38"/>
        </w:numPr>
        <w:spacing w:before="0" w:line="240" w:lineRule="auto"/>
        <w:jc w:val="both"/>
        <w:rPr>
          <w:i/>
          <w:sz w:val="28"/>
        </w:rPr>
      </w:pPr>
      <w:bookmarkStart w:id="55" w:name="_Toc421781203"/>
      <w:r w:rsidRPr="00B80B1A">
        <w:rPr>
          <w:i/>
          <w:sz w:val="28"/>
        </w:rPr>
        <w:t>Reversal Rates</w:t>
      </w:r>
      <w:bookmarkEnd w:id="55"/>
    </w:p>
    <w:p w14:paraId="583A2BDA" w14:textId="77777777" w:rsidR="00307E8E" w:rsidRPr="00B80B1A" w:rsidRDefault="00307E8E" w:rsidP="00037710">
      <w:pPr>
        <w:spacing w:after="0" w:line="240" w:lineRule="auto"/>
        <w:jc w:val="both"/>
      </w:pPr>
    </w:p>
    <w:p w14:paraId="256FA441" w14:textId="34FD2D94" w:rsidR="009A17C9" w:rsidRDefault="009A17C9" w:rsidP="00037710">
      <w:pPr>
        <w:spacing w:after="0" w:line="240" w:lineRule="auto"/>
        <w:jc w:val="both"/>
      </w:pPr>
      <w:r w:rsidRPr="00B80B1A">
        <w:t xml:space="preserve">The data we have collated </w:t>
      </w:r>
      <w:r w:rsidR="00B505CC" w:rsidRPr="00B80B1A">
        <w:t xml:space="preserve">and analyzed </w:t>
      </w:r>
      <w:r w:rsidRPr="00B80B1A">
        <w:t>as pa</w:t>
      </w:r>
      <w:r w:rsidR="00170714" w:rsidRPr="00B80B1A">
        <w:t>rt of this evaluation also</w:t>
      </w:r>
      <w:r w:rsidRPr="00B80B1A">
        <w:t xml:space="preserve"> support</w:t>
      </w:r>
      <w:r w:rsidR="00170714" w:rsidRPr="00B80B1A">
        <w:t>s</w:t>
      </w:r>
      <w:r w:rsidRPr="00B80B1A">
        <w:t xml:space="preserve"> the notion that the </w:t>
      </w:r>
      <w:r w:rsidR="004464C5" w:rsidRPr="00B80B1A">
        <w:t>Fair Hearing process is</w:t>
      </w:r>
      <w:r w:rsidRPr="00B80B1A">
        <w:t xml:space="preserve"> independent.</w:t>
      </w:r>
      <w:r w:rsidR="00170714" w:rsidRPr="00B80B1A">
        <w:t xml:space="preserve"> Specifically, r</w:t>
      </w:r>
      <w:r w:rsidRPr="00B80B1A">
        <w:t>eversal rates have been rising steadily since 2005, particularly after 2010. In 2014, the reversal rate was 23%</w:t>
      </w:r>
      <w:r w:rsidR="004464C5" w:rsidRPr="00B80B1A">
        <w:t xml:space="preserve">. </w:t>
      </w:r>
      <w:r w:rsidR="00410A9A" w:rsidRPr="00B80B1A">
        <w:t xml:space="preserve">If the </w:t>
      </w:r>
      <w:r w:rsidR="004464C5" w:rsidRPr="00B80B1A">
        <w:t xml:space="preserve">reversal </w:t>
      </w:r>
      <w:r w:rsidR="00E142D0" w:rsidRPr="00B80B1A">
        <w:t xml:space="preserve">rates </w:t>
      </w:r>
      <w:r w:rsidR="004464C5" w:rsidRPr="00B80B1A">
        <w:t>were declining</w:t>
      </w:r>
      <w:r w:rsidR="00410A9A" w:rsidRPr="00B80B1A">
        <w:t xml:space="preserve">, </w:t>
      </w:r>
      <w:r w:rsidR="004464C5" w:rsidRPr="00B80B1A">
        <w:t xml:space="preserve">we could </w:t>
      </w:r>
      <w:r w:rsidR="004464C5" w:rsidRPr="00B80B1A">
        <w:lastRenderedPageBreak/>
        <w:t>alternatively infer that the process was being too deferential to decisions at the Area Office level</w:t>
      </w:r>
      <w:r w:rsidR="00E142D0" w:rsidRPr="00B80B1A">
        <w:t>, or that Area Office investigations were improving</w:t>
      </w:r>
      <w:r w:rsidR="004464C5" w:rsidRPr="00B80B1A">
        <w:t>.</w:t>
      </w:r>
    </w:p>
    <w:p w14:paraId="2A56CECA" w14:textId="77777777" w:rsidR="00F23F8B" w:rsidRPr="00B80B1A" w:rsidRDefault="00F23F8B" w:rsidP="00037710">
      <w:pPr>
        <w:spacing w:after="0" w:line="240" w:lineRule="auto"/>
        <w:jc w:val="both"/>
      </w:pPr>
    </w:p>
    <w:p w14:paraId="4B9204A1" w14:textId="0A287C44" w:rsidR="005B166B" w:rsidRPr="00B80B1A" w:rsidRDefault="005B166B" w:rsidP="00037710">
      <w:pPr>
        <w:spacing w:after="0" w:line="240" w:lineRule="auto"/>
        <w:jc w:val="center"/>
      </w:pPr>
      <w:r w:rsidRPr="00B80B1A">
        <w:rPr>
          <w:noProof/>
        </w:rPr>
        <w:drawing>
          <wp:inline distT="0" distB="0" distL="0" distR="0" wp14:anchorId="16A45701" wp14:editId="4900C967">
            <wp:extent cx="3551507" cy="1920147"/>
            <wp:effectExtent l="0" t="0" r="0" b="0"/>
            <wp:docPr id="6" name="Picture 6" descr="The following reversal rates are illustrated by percentage.  2005 was 5%, 2006 was 12%, 2007 was 8%, 2008 was 9%, 2009 was 9%, 2010 was 13%, 2011 was 11%, 2012 was 15%, 2013 was 17%, and 2014 was 23%." title="Reversal and Uphold Percentages for Held and Decided Cases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64471" cy="1927156"/>
                    </a:xfrm>
                    <a:prstGeom prst="rect">
                      <a:avLst/>
                    </a:prstGeom>
                    <a:noFill/>
                  </pic:spPr>
                </pic:pic>
              </a:graphicData>
            </a:graphic>
          </wp:inline>
        </w:drawing>
      </w:r>
    </w:p>
    <w:p w14:paraId="0883D161" w14:textId="50916DDB" w:rsidR="00D56E38" w:rsidRPr="00B80B1A" w:rsidRDefault="0064369B" w:rsidP="00A95EDB">
      <w:pPr>
        <w:spacing w:after="0" w:line="240" w:lineRule="auto"/>
        <w:jc w:val="center"/>
        <w:rPr>
          <w:sz w:val="20"/>
        </w:rPr>
      </w:pPr>
      <w:r w:rsidRPr="00B80B1A">
        <w:rPr>
          <w:sz w:val="20"/>
        </w:rPr>
        <w:t xml:space="preserve">Source: </w:t>
      </w:r>
      <w:r w:rsidR="00DD09B4" w:rsidRPr="00B80B1A">
        <w:rPr>
          <w:sz w:val="20"/>
        </w:rPr>
        <w:t xml:space="preserve">Appendix </w:t>
      </w:r>
      <w:r w:rsidRPr="00B80B1A">
        <w:rPr>
          <w:sz w:val="20"/>
        </w:rPr>
        <w:t>FamilyNet Data</w:t>
      </w:r>
      <w:r w:rsidR="00DD09B4" w:rsidRPr="00B80B1A">
        <w:rPr>
          <w:sz w:val="20"/>
        </w:rPr>
        <w:t xml:space="preserve"> Analysis</w:t>
      </w:r>
    </w:p>
    <w:p w14:paraId="116D6E84" w14:textId="77777777" w:rsidR="00EE060F" w:rsidRPr="00B80B1A" w:rsidRDefault="00EE060F" w:rsidP="00037710">
      <w:pPr>
        <w:pStyle w:val="ListParagraph"/>
        <w:spacing w:after="0" w:line="240" w:lineRule="auto"/>
        <w:ind w:left="1488"/>
        <w:jc w:val="both"/>
        <w:rPr>
          <w:sz w:val="20"/>
        </w:rPr>
      </w:pPr>
    </w:p>
    <w:p w14:paraId="44042644" w14:textId="64BFF296" w:rsidR="00170714" w:rsidRPr="00B80B1A" w:rsidRDefault="00170714" w:rsidP="00037710">
      <w:pPr>
        <w:spacing w:after="0" w:line="240" w:lineRule="auto"/>
        <w:jc w:val="both"/>
      </w:pPr>
      <w:r w:rsidRPr="00B80B1A">
        <w:t xml:space="preserve">Furthermore, in the cases we studied, we saw no evidence of </w:t>
      </w:r>
      <w:r w:rsidR="007870BE" w:rsidRPr="00B80B1A">
        <w:t xml:space="preserve">a </w:t>
      </w:r>
      <w:r w:rsidR="001A4961" w:rsidRPr="00B80B1A">
        <w:t>Hearing Officer</w:t>
      </w:r>
      <w:r w:rsidRPr="00B80B1A">
        <w:t xml:space="preserve"> </w:t>
      </w:r>
      <w:r w:rsidR="000F04EB" w:rsidRPr="00B80B1A">
        <w:t xml:space="preserve">showing </w:t>
      </w:r>
      <w:r w:rsidR="00F23F8B">
        <w:t>partiality to DCF.</w:t>
      </w:r>
    </w:p>
    <w:p w14:paraId="1B60E09C" w14:textId="77777777" w:rsidR="00D6239A" w:rsidRPr="00B80B1A" w:rsidRDefault="00D6239A" w:rsidP="00037710">
      <w:pPr>
        <w:pStyle w:val="Heading3"/>
        <w:spacing w:before="0" w:line="240" w:lineRule="auto"/>
        <w:jc w:val="both"/>
        <w:rPr>
          <w:i/>
          <w:sz w:val="22"/>
          <w:szCs w:val="22"/>
        </w:rPr>
      </w:pPr>
    </w:p>
    <w:p w14:paraId="40AC0938" w14:textId="191D96E3" w:rsidR="00D6239A" w:rsidRPr="00B80B1A" w:rsidRDefault="00D6239A" w:rsidP="00037710">
      <w:pPr>
        <w:pStyle w:val="Heading3"/>
        <w:numPr>
          <w:ilvl w:val="0"/>
          <w:numId w:val="38"/>
        </w:numPr>
        <w:jc w:val="both"/>
        <w:rPr>
          <w:i/>
        </w:rPr>
      </w:pPr>
      <w:bookmarkStart w:id="56" w:name="_Toc421781204"/>
      <w:r w:rsidRPr="00B80B1A">
        <w:rPr>
          <w:i/>
          <w:sz w:val="28"/>
          <w:szCs w:val="28"/>
        </w:rPr>
        <w:t>A</w:t>
      </w:r>
      <w:r w:rsidR="00AB30A1" w:rsidRPr="00B80B1A">
        <w:rPr>
          <w:i/>
          <w:sz w:val="28"/>
          <w:szCs w:val="28"/>
        </w:rPr>
        <w:t>ppellant</w:t>
      </w:r>
      <w:r w:rsidRPr="00B80B1A">
        <w:rPr>
          <w:i/>
          <w:sz w:val="28"/>
          <w:szCs w:val="28"/>
        </w:rPr>
        <w:t xml:space="preserve"> Per</w:t>
      </w:r>
      <w:r w:rsidR="00AB30A1" w:rsidRPr="00B80B1A">
        <w:rPr>
          <w:i/>
          <w:sz w:val="28"/>
          <w:szCs w:val="28"/>
        </w:rPr>
        <w:t>spective</w:t>
      </w:r>
      <w:bookmarkEnd w:id="56"/>
    </w:p>
    <w:p w14:paraId="6EB9E189" w14:textId="77777777" w:rsidR="00314772" w:rsidRPr="00B80B1A" w:rsidRDefault="00314772" w:rsidP="00037710">
      <w:pPr>
        <w:spacing w:after="0" w:line="240" w:lineRule="auto"/>
        <w:jc w:val="both"/>
      </w:pPr>
    </w:p>
    <w:p w14:paraId="31C76197" w14:textId="17412C76" w:rsidR="00170714" w:rsidRPr="00B80B1A" w:rsidRDefault="00170714" w:rsidP="00037710">
      <w:pPr>
        <w:spacing w:after="0" w:line="240" w:lineRule="auto"/>
        <w:jc w:val="both"/>
      </w:pPr>
      <w:r w:rsidRPr="00B80B1A">
        <w:t xml:space="preserve">Despite the findings above, </w:t>
      </w:r>
      <w:r w:rsidR="00BD4360" w:rsidRPr="00B80B1A">
        <w:t xml:space="preserve">the </w:t>
      </w:r>
      <w:r w:rsidRPr="00B80B1A">
        <w:t xml:space="preserve">external perception of </w:t>
      </w:r>
      <w:r w:rsidR="00151DE2" w:rsidRPr="00B80B1A">
        <w:t>Fair Hearing</w:t>
      </w:r>
      <w:r w:rsidRPr="00B80B1A">
        <w:t xml:space="preserve"> </w:t>
      </w:r>
      <w:r w:rsidR="00151DE2" w:rsidRPr="00B80B1A">
        <w:t>Independence</w:t>
      </w:r>
      <w:r w:rsidR="00F23F8B">
        <w:t xml:space="preserve"> is poor.</w:t>
      </w:r>
    </w:p>
    <w:p w14:paraId="48F79AEC" w14:textId="77777777" w:rsidR="00170714" w:rsidRPr="00B80B1A" w:rsidRDefault="00170714" w:rsidP="00037710">
      <w:pPr>
        <w:spacing w:after="0" w:line="240" w:lineRule="auto"/>
        <w:jc w:val="both"/>
      </w:pPr>
    </w:p>
    <w:p w14:paraId="5DFF2AFF" w14:textId="28788C9E" w:rsidR="009A17C9" w:rsidRPr="00B80B1A" w:rsidRDefault="00170714" w:rsidP="00037710">
      <w:pPr>
        <w:spacing w:after="0" w:line="240" w:lineRule="auto"/>
        <w:jc w:val="both"/>
      </w:pPr>
      <w:r w:rsidRPr="00B80B1A">
        <w:t>P</w:t>
      </w:r>
      <w:r w:rsidR="009A17C9" w:rsidRPr="00B80B1A">
        <w:t xml:space="preserve">erceptions of independent attorneys and appellants were </w:t>
      </w:r>
      <w:r w:rsidRPr="00B80B1A">
        <w:t>neutral</w:t>
      </w:r>
      <w:r w:rsidR="009A17C9" w:rsidRPr="00B80B1A">
        <w:t xml:space="preserve"> to strongly negative regarding the </w:t>
      </w:r>
      <w:r w:rsidR="00151DE2" w:rsidRPr="00B80B1A">
        <w:t>Independence</w:t>
      </w:r>
      <w:r w:rsidR="009A17C9" w:rsidRPr="00B80B1A">
        <w:t xml:space="preserve"> of </w:t>
      </w:r>
      <w:r w:rsidR="001A4961" w:rsidRPr="00B80B1A">
        <w:t>Hearing Officer</w:t>
      </w:r>
      <w:r w:rsidR="009A17C9" w:rsidRPr="00B80B1A">
        <w:t>s.</w:t>
      </w:r>
    </w:p>
    <w:p w14:paraId="21215B9F" w14:textId="376D34D9" w:rsidR="009A17C9" w:rsidRPr="00B80B1A" w:rsidRDefault="009A17C9" w:rsidP="00037710">
      <w:pPr>
        <w:pStyle w:val="ListParagraph"/>
        <w:numPr>
          <w:ilvl w:val="0"/>
          <w:numId w:val="54"/>
        </w:numPr>
        <w:spacing w:after="0" w:line="240" w:lineRule="auto"/>
        <w:ind w:left="810"/>
        <w:jc w:val="both"/>
      </w:pPr>
      <w:r w:rsidRPr="00B80B1A">
        <w:t xml:space="preserve">Attorneys we interviewed had mixed perceptions of </w:t>
      </w:r>
      <w:r w:rsidR="001A4961" w:rsidRPr="00B80B1A">
        <w:t>Hearing Officer</w:t>
      </w:r>
      <w:r w:rsidRPr="00B80B1A">
        <w:t xml:space="preserve"> </w:t>
      </w:r>
      <w:r w:rsidR="00151DE2" w:rsidRPr="00B80B1A">
        <w:t>Independence</w:t>
      </w:r>
      <w:r w:rsidR="00BB056D">
        <w:t>.</w:t>
      </w:r>
    </w:p>
    <w:p w14:paraId="17C49438" w14:textId="5A427306" w:rsidR="009A17C9" w:rsidRPr="00B80B1A" w:rsidRDefault="009A17C9" w:rsidP="00037710">
      <w:pPr>
        <w:pStyle w:val="ListParagraph"/>
        <w:numPr>
          <w:ilvl w:val="0"/>
          <w:numId w:val="54"/>
        </w:numPr>
        <w:ind w:left="810"/>
        <w:jc w:val="both"/>
      </w:pPr>
      <w:r w:rsidRPr="00B80B1A">
        <w:t xml:space="preserve">Respondents of the appellant survey rated the </w:t>
      </w:r>
      <w:r w:rsidR="001A4961" w:rsidRPr="00B80B1A">
        <w:t>Hearing Officer</w:t>
      </w:r>
      <w:r w:rsidRPr="00B80B1A">
        <w:t xml:space="preserve">s’ objectivity and </w:t>
      </w:r>
      <w:r w:rsidR="00151DE2" w:rsidRPr="00B80B1A">
        <w:t>Independence</w:t>
      </w:r>
      <w:r w:rsidRPr="00B80B1A">
        <w:t xml:space="preserve"> from DCF at 2.5 on average out of a scale of 5, a fairly low score</w:t>
      </w:r>
      <w:r w:rsidR="004579A7" w:rsidRPr="00B80B1A">
        <w:t xml:space="preserve">. </w:t>
      </w:r>
      <w:r w:rsidRPr="00B80B1A">
        <w:t>As to be expected, there was a pronounced difference regarding this question between appellants whose cases had been reversed and those whose cases had been affirmed: 3.7 out of 5.0 for reversed cases and 1.8 out of 5.0 for affirmed cases.</w:t>
      </w:r>
      <w:r w:rsidR="00EE060F" w:rsidRPr="00B80B1A">
        <w:rPr>
          <w:rStyle w:val="FootnoteReference"/>
        </w:rPr>
        <w:footnoteReference w:id="54"/>
      </w:r>
    </w:p>
    <w:p w14:paraId="6B76D752" w14:textId="4243878B" w:rsidR="009A17C9" w:rsidRPr="00B80B1A" w:rsidRDefault="009A17C9" w:rsidP="00037710">
      <w:pPr>
        <w:pStyle w:val="ListParagraph"/>
        <w:numPr>
          <w:ilvl w:val="0"/>
          <w:numId w:val="54"/>
        </w:numPr>
        <w:spacing w:after="0" w:line="240" w:lineRule="auto"/>
        <w:ind w:left="810"/>
        <w:jc w:val="both"/>
      </w:pPr>
      <w:r w:rsidRPr="00B80B1A">
        <w:t xml:space="preserve">In line with the low average rating, we received multiple appellant comments substantiating a perception of lack of </w:t>
      </w:r>
      <w:r w:rsidR="00151DE2" w:rsidRPr="00B80B1A">
        <w:t>Independence</w:t>
      </w:r>
      <w:r w:rsidR="004579A7" w:rsidRPr="00B80B1A">
        <w:t xml:space="preserve">. </w:t>
      </w:r>
      <w:r w:rsidRPr="00B80B1A">
        <w:t xml:space="preserve">For example, one respondent exclaimed: "Very hard to [be independent], since the </w:t>
      </w:r>
      <w:r w:rsidR="001A4961" w:rsidRPr="00B80B1A">
        <w:t>Hearing Officer</w:t>
      </w:r>
      <w:r w:rsidRPr="00B80B1A">
        <w:t>s work closely and constantly with the same DCF office and employees. I hope they can truly be impartial and independent</w:t>
      </w:r>
      <w:r w:rsidR="00A269D7" w:rsidRPr="00B80B1A">
        <w:t>,</w:t>
      </w:r>
      <w:r w:rsidRPr="00B80B1A">
        <w:t xml:space="preserve"> but I am not convinced."</w:t>
      </w:r>
    </w:p>
    <w:p w14:paraId="292BBF22" w14:textId="77777777" w:rsidR="002851EF" w:rsidRPr="00B80B1A" w:rsidRDefault="002851EF" w:rsidP="00037710">
      <w:pPr>
        <w:spacing w:after="0" w:line="240" w:lineRule="auto"/>
        <w:jc w:val="both"/>
      </w:pPr>
    </w:p>
    <w:p w14:paraId="0B748A48" w14:textId="45CF3DB4" w:rsidR="009A17C9" w:rsidRPr="00B80B1A" w:rsidRDefault="00A269D7" w:rsidP="00037710">
      <w:pPr>
        <w:jc w:val="both"/>
      </w:pPr>
      <w:r w:rsidRPr="00B80B1A">
        <w:t>This</w:t>
      </w:r>
      <w:r w:rsidR="009A17C9" w:rsidRPr="00B80B1A">
        <w:t xml:space="preserve"> </w:t>
      </w:r>
      <w:r w:rsidR="00BD4360" w:rsidRPr="00B80B1A">
        <w:t xml:space="preserve">perception </w:t>
      </w:r>
      <w:r w:rsidR="009A17C9" w:rsidRPr="00B80B1A">
        <w:t xml:space="preserve">could be </w:t>
      </w:r>
      <w:r w:rsidR="00BD4360" w:rsidRPr="00B80B1A">
        <w:t>fueled by</w:t>
      </w:r>
      <w:r w:rsidR="009A17C9" w:rsidRPr="00B80B1A">
        <w:t xml:space="preserve"> the organizational structure of the </w:t>
      </w:r>
      <w:r w:rsidR="009426FD" w:rsidRPr="00B80B1A">
        <w:t>Fair hearing process</w:t>
      </w:r>
      <w:r w:rsidR="008E75F4" w:rsidRPr="00B80B1A">
        <w:t>,</w:t>
      </w:r>
      <w:r w:rsidR="009A17C9" w:rsidRPr="00B80B1A">
        <w:t xml:space="preserve"> </w:t>
      </w:r>
      <w:r w:rsidR="00BD4360" w:rsidRPr="00B80B1A">
        <w:t xml:space="preserve">which </w:t>
      </w:r>
      <w:r w:rsidR="009A17C9" w:rsidRPr="00B80B1A">
        <w:t xml:space="preserve">blurs the lines between DCF </w:t>
      </w:r>
      <w:r w:rsidR="00DA1DDB" w:rsidRPr="00B80B1A">
        <w:t xml:space="preserve">in general </w:t>
      </w:r>
      <w:r w:rsidR="009A17C9" w:rsidRPr="00B80B1A">
        <w:t xml:space="preserve">and the </w:t>
      </w:r>
      <w:r w:rsidR="00151DE2" w:rsidRPr="00B80B1A">
        <w:t>Fair Hearing</w:t>
      </w:r>
      <w:r w:rsidR="00D6239A" w:rsidRPr="00B80B1A">
        <w:t>s Unit</w:t>
      </w:r>
      <w:r w:rsidR="00593EA8" w:rsidRPr="00B80B1A">
        <w:t>.</w:t>
      </w:r>
      <w:r w:rsidR="004A32AF" w:rsidRPr="00B80B1A">
        <w:t xml:space="preserve"> </w:t>
      </w:r>
      <w:r w:rsidR="009A17C9" w:rsidRPr="00B80B1A">
        <w:t>As mentioned previously,</w:t>
      </w:r>
      <w:r w:rsidR="00BD4360" w:rsidRPr="00B80B1A">
        <w:t xml:space="preserve"> </w:t>
      </w:r>
      <w:r w:rsidR="001A4961" w:rsidRPr="00B80B1A">
        <w:t>Hearing Officer</w:t>
      </w:r>
      <w:r w:rsidR="00BD4360" w:rsidRPr="00B80B1A">
        <w:t>s report</w:t>
      </w:r>
      <w:r w:rsidR="009A17C9" w:rsidRPr="00B80B1A">
        <w:t xml:space="preserve"> within the Department. This </w:t>
      </w:r>
      <w:r w:rsidR="00BD4360" w:rsidRPr="00B80B1A">
        <w:t xml:space="preserve">structure </w:t>
      </w:r>
      <w:r w:rsidR="009A17C9" w:rsidRPr="00B80B1A">
        <w:t xml:space="preserve">creates the perception that </w:t>
      </w:r>
      <w:r w:rsidR="001A4961" w:rsidRPr="00B80B1A">
        <w:t>Hearing Officer</w:t>
      </w:r>
      <w:r w:rsidR="00BD4360" w:rsidRPr="00B80B1A">
        <w:t>s are DCF employees who c</w:t>
      </w:r>
      <w:r w:rsidR="009A17C9" w:rsidRPr="00B80B1A">
        <w:t>ould be disposed to rule in favor of the Department.</w:t>
      </w:r>
      <w:r w:rsidR="001345C0" w:rsidRPr="00B80B1A">
        <w:t xml:space="preserve"> Comments by appellants, attorneys, and DCF staff also seem to indicate that the perception of </w:t>
      </w:r>
      <w:r w:rsidR="00151DE2" w:rsidRPr="00B80B1A">
        <w:t>Independence</w:t>
      </w:r>
      <w:r w:rsidR="001345C0" w:rsidRPr="00B80B1A">
        <w:t xml:space="preserve"> is being hampered by the structure of the </w:t>
      </w:r>
      <w:r w:rsidR="00151DE2" w:rsidRPr="00B80B1A">
        <w:t>Fair Hearing</w:t>
      </w:r>
      <w:r w:rsidR="001345C0" w:rsidRPr="00B80B1A">
        <w:t xml:space="preserve">s Unit. One attorney stated, “I don’t understand how DCF can claim to have independent </w:t>
      </w:r>
      <w:r w:rsidR="001A4961" w:rsidRPr="00B80B1A">
        <w:t>Hearing Officer</w:t>
      </w:r>
      <w:r w:rsidR="001345C0" w:rsidRPr="00B80B1A">
        <w:t>s when they work for the agency.” An Area Manager told us that “</w:t>
      </w:r>
      <w:r w:rsidR="001A4961" w:rsidRPr="00B80B1A">
        <w:t>Hearing Officer</w:t>
      </w:r>
      <w:r w:rsidR="001345C0" w:rsidRPr="00B80B1A">
        <w:t xml:space="preserve">s are independent but they are tied to DCF, so appellants may not agree.” Lastly, one of </w:t>
      </w:r>
      <w:r w:rsidR="001345C0" w:rsidRPr="00B80B1A">
        <w:lastRenderedPageBreak/>
        <w:t xml:space="preserve">the appellants we surveyed remarked, “Believing [that a] </w:t>
      </w:r>
      <w:r w:rsidR="001A4961" w:rsidRPr="00B80B1A">
        <w:t>Hearing Officer</w:t>
      </w:r>
      <w:r w:rsidR="001345C0" w:rsidRPr="00B80B1A">
        <w:t xml:space="preserve"> who is DCF employee is not biased is a silly assumption.”</w:t>
      </w:r>
    </w:p>
    <w:p w14:paraId="080ED388" w14:textId="3889C4C8" w:rsidR="00C465FF" w:rsidRDefault="007C2EA3" w:rsidP="00D87AC3">
      <w:pPr>
        <w:spacing w:after="0" w:line="240" w:lineRule="auto"/>
        <w:jc w:val="both"/>
      </w:pPr>
      <w:r w:rsidRPr="00B80B1A">
        <w:t xml:space="preserve">Additionally, </w:t>
      </w:r>
      <w:r w:rsidR="00151DE2" w:rsidRPr="00B80B1A">
        <w:t>Fair Hearing</w:t>
      </w:r>
      <w:r w:rsidR="009A17C9" w:rsidRPr="00B80B1A">
        <w:t xml:space="preserve">s usually </w:t>
      </w:r>
      <w:r w:rsidR="00665AF9" w:rsidRPr="00B80B1A">
        <w:t>take place</w:t>
      </w:r>
      <w:r w:rsidR="009A17C9" w:rsidRPr="00B80B1A">
        <w:t xml:space="preserve"> within the same </w:t>
      </w:r>
      <w:r w:rsidR="00151DE2" w:rsidRPr="00B80B1A">
        <w:t>Area Office</w:t>
      </w:r>
      <w:r w:rsidR="003234C0" w:rsidRPr="00B80B1A">
        <w:t xml:space="preserve"> at</w:t>
      </w:r>
      <w:r w:rsidR="009A17C9" w:rsidRPr="00B80B1A">
        <w:t xml:space="preserve"> which the initial </w:t>
      </w:r>
      <w:r w:rsidR="003234C0" w:rsidRPr="00B80B1A">
        <w:t>decision regarding</w:t>
      </w:r>
      <w:r w:rsidR="009A17C9" w:rsidRPr="00B80B1A">
        <w:t xml:space="preserve"> the appellant was </w:t>
      </w:r>
      <w:r w:rsidR="003234C0" w:rsidRPr="00B80B1A">
        <w:t>ma</w:t>
      </w:r>
      <w:r w:rsidR="009A17C9" w:rsidRPr="00B80B1A">
        <w:t>d</w:t>
      </w:r>
      <w:r w:rsidR="003234C0" w:rsidRPr="00B80B1A">
        <w:t>e</w:t>
      </w:r>
      <w:r w:rsidR="00665AF9" w:rsidRPr="00B80B1A">
        <w:t xml:space="preserve"> due to space limitations</w:t>
      </w:r>
      <w:r w:rsidR="009A17C9" w:rsidRPr="00B80B1A">
        <w:t xml:space="preserve">. </w:t>
      </w:r>
      <w:r w:rsidRPr="00B80B1A">
        <w:t xml:space="preserve">Furthermore, </w:t>
      </w:r>
      <w:r w:rsidR="00645696" w:rsidRPr="00B80B1A">
        <w:t>m</w:t>
      </w:r>
      <w:r w:rsidR="009A17C9" w:rsidRPr="00B80B1A">
        <w:t xml:space="preserve">any </w:t>
      </w:r>
      <w:r w:rsidR="001A4961" w:rsidRPr="00B80B1A">
        <w:t>Hearing Officer</w:t>
      </w:r>
      <w:r w:rsidR="009A17C9" w:rsidRPr="00B80B1A">
        <w:t>s previously worked a</w:t>
      </w:r>
      <w:r w:rsidR="00DA1DDB" w:rsidRPr="00B80B1A">
        <w:t>s</w:t>
      </w:r>
      <w:r w:rsidR="009A17C9" w:rsidRPr="00B80B1A">
        <w:t xml:space="preserve"> </w:t>
      </w:r>
      <w:r w:rsidR="00151DE2" w:rsidRPr="00B80B1A">
        <w:t>Area Office</w:t>
      </w:r>
      <w:r w:rsidR="009A17C9" w:rsidRPr="00B80B1A">
        <w:t xml:space="preserve"> investigators, which could lead to scenarios where they might appear too sympathetic to the con</w:t>
      </w:r>
      <w:r w:rsidR="00665AF9" w:rsidRPr="00B80B1A">
        <w:t>duct of an investigator or the D</w:t>
      </w:r>
      <w:r w:rsidR="009A17C9" w:rsidRPr="00B80B1A">
        <w:t>epartmen</w:t>
      </w:r>
      <w:r w:rsidR="00BD4360" w:rsidRPr="00B80B1A">
        <w:t>t as a whole</w:t>
      </w:r>
      <w:r w:rsidR="00196279" w:rsidRPr="00B80B1A">
        <w:t>.</w:t>
      </w:r>
    </w:p>
    <w:p w14:paraId="5F93C7F0" w14:textId="77777777" w:rsidR="00D87AC3" w:rsidRPr="00B80B1A" w:rsidRDefault="00D87AC3" w:rsidP="00D87AC3">
      <w:pPr>
        <w:spacing w:after="0" w:line="240" w:lineRule="auto"/>
        <w:jc w:val="both"/>
      </w:pPr>
    </w:p>
    <w:p w14:paraId="67ACB7E1" w14:textId="67E9C694" w:rsidR="00016720" w:rsidRPr="00B80B1A" w:rsidRDefault="009A17C9" w:rsidP="00BA6DAA">
      <w:pPr>
        <w:pStyle w:val="Heading3"/>
        <w:numPr>
          <w:ilvl w:val="0"/>
          <w:numId w:val="38"/>
        </w:numPr>
        <w:spacing w:before="0"/>
        <w:jc w:val="both"/>
        <w:rPr>
          <w:i/>
          <w:sz w:val="28"/>
        </w:rPr>
      </w:pPr>
      <w:bookmarkStart w:id="57" w:name="_Toc418852312"/>
      <w:bookmarkStart w:id="58" w:name="_Toc421781205"/>
      <w:r w:rsidRPr="00B80B1A">
        <w:rPr>
          <w:i/>
          <w:sz w:val="28"/>
        </w:rPr>
        <w:t>Discussion</w:t>
      </w:r>
      <w:bookmarkEnd w:id="57"/>
      <w:bookmarkEnd w:id="58"/>
    </w:p>
    <w:p w14:paraId="27309A21" w14:textId="77777777" w:rsidR="00BC4A2B" w:rsidRPr="00B80B1A" w:rsidRDefault="00BC4A2B" w:rsidP="00037710">
      <w:pPr>
        <w:spacing w:after="0" w:line="240" w:lineRule="auto"/>
        <w:jc w:val="both"/>
      </w:pPr>
    </w:p>
    <w:p w14:paraId="03BA51A1" w14:textId="3A7EEEAB" w:rsidR="00C465FF" w:rsidRPr="00B80B1A" w:rsidRDefault="00170714" w:rsidP="00037710">
      <w:pPr>
        <w:spacing w:after="0" w:line="240" w:lineRule="auto"/>
        <w:jc w:val="both"/>
      </w:pPr>
      <w:r w:rsidRPr="00B80B1A">
        <w:t xml:space="preserve">While the </w:t>
      </w:r>
      <w:r w:rsidR="00151DE2" w:rsidRPr="00B80B1A">
        <w:t>Fair Hearing</w:t>
      </w:r>
      <w:r w:rsidR="00D6239A" w:rsidRPr="00B80B1A">
        <w:t xml:space="preserve"> process suffers from real or perceived limitations</w:t>
      </w:r>
      <w:r w:rsidR="009A17C9" w:rsidRPr="00B80B1A">
        <w:t xml:space="preserve"> </w:t>
      </w:r>
      <w:r w:rsidR="00DA1DDB" w:rsidRPr="00B80B1A">
        <w:t xml:space="preserve">that might </w:t>
      </w:r>
      <w:r w:rsidR="009A17C9" w:rsidRPr="00B80B1A">
        <w:t xml:space="preserve">hinder </w:t>
      </w:r>
      <w:r w:rsidR="00151DE2" w:rsidRPr="00B80B1A">
        <w:t>Independence</w:t>
      </w:r>
      <w:r w:rsidR="009A17C9" w:rsidRPr="00B80B1A">
        <w:t>, we b</w:t>
      </w:r>
      <w:r w:rsidR="00D6239A" w:rsidRPr="00B80B1A">
        <w:t>elieve these</w:t>
      </w:r>
      <w:r w:rsidR="009A17C9" w:rsidRPr="00B80B1A">
        <w:t xml:space="preserve"> have not systematically led to issues with </w:t>
      </w:r>
      <w:r w:rsidR="00151DE2" w:rsidRPr="00B80B1A">
        <w:t>Independence</w:t>
      </w:r>
      <w:r w:rsidR="009A17C9" w:rsidRPr="00B80B1A">
        <w:t xml:space="preserve"> in the recent past. The </w:t>
      </w:r>
      <w:r w:rsidR="00151DE2" w:rsidRPr="00B80B1A">
        <w:t>Commissioner</w:t>
      </w:r>
      <w:r w:rsidR="009A17C9" w:rsidRPr="00B80B1A">
        <w:t xml:space="preserve"> rev</w:t>
      </w:r>
      <w:r w:rsidR="00E14980" w:rsidRPr="00B80B1A">
        <w:t>iew is problematic</w:t>
      </w:r>
      <w:r w:rsidR="00A46E1A" w:rsidRPr="00B80B1A">
        <w:t>,</w:t>
      </w:r>
      <w:r w:rsidR="00E14980" w:rsidRPr="00B80B1A">
        <w:t xml:space="preserve"> </w:t>
      </w:r>
      <w:r w:rsidR="009A17C9" w:rsidRPr="00B80B1A">
        <w:t>but in practice</w:t>
      </w:r>
      <w:r w:rsidR="00593EA8" w:rsidRPr="00B80B1A">
        <w:t xml:space="preserve">, according to DCF, </w:t>
      </w:r>
      <w:r w:rsidR="009A17C9" w:rsidRPr="00B80B1A">
        <w:t>there have been very few revers</w:t>
      </w:r>
      <w:r w:rsidR="00BD4360" w:rsidRPr="00B80B1A">
        <w:t>als</w:t>
      </w:r>
      <w:r w:rsidR="001345C0" w:rsidRPr="00B80B1A">
        <w:t xml:space="preserve"> of </w:t>
      </w:r>
      <w:r w:rsidR="001A4961" w:rsidRPr="00B80B1A">
        <w:t>Hearing Officer</w:t>
      </w:r>
      <w:r w:rsidR="001345C0" w:rsidRPr="00B80B1A">
        <w:t xml:space="preserve"> </w:t>
      </w:r>
      <w:proofErr w:type="gramStart"/>
      <w:r w:rsidR="001345C0" w:rsidRPr="00B80B1A">
        <w:t>decisions</w:t>
      </w:r>
      <w:proofErr w:type="gramEnd"/>
      <w:r w:rsidR="00BD4360" w:rsidRPr="00B80B1A">
        <w:t xml:space="preserve"> by recent </w:t>
      </w:r>
      <w:r w:rsidR="00151DE2" w:rsidRPr="00B80B1A">
        <w:t>Commissioner</w:t>
      </w:r>
      <w:r w:rsidR="00BD4360" w:rsidRPr="00B80B1A">
        <w:t>s</w:t>
      </w:r>
      <w:r w:rsidR="004579A7" w:rsidRPr="00B80B1A">
        <w:t xml:space="preserve">. </w:t>
      </w:r>
      <w:r w:rsidR="009A17C9" w:rsidRPr="00B80B1A">
        <w:t xml:space="preserve">Still, it is impossible to </w:t>
      </w:r>
      <w:r w:rsidR="00F02B10" w:rsidRPr="00B80B1A">
        <w:t>determine</w:t>
      </w:r>
      <w:r w:rsidR="009A17C9" w:rsidRPr="00B80B1A">
        <w:t xml:space="preserve"> how many decisions</w:t>
      </w:r>
      <w:r w:rsidR="00F02B10" w:rsidRPr="00B80B1A">
        <w:t xml:space="preserve">, if any, </w:t>
      </w:r>
      <w:r w:rsidR="009A17C9" w:rsidRPr="00B80B1A">
        <w:t xml:space="preserve">were </w:t>
      </w:r>
      <w:r w:rsidR="00F02B10" w:rsidRPr="00B80B1A">
        <w:t>not reversed</w:t>
      </w:r>
      <w:r w:rsidR="009A17C9" w:rsidRPr="00B80B1A">
        <w:t xml:space="preserve"> because the </w:t>
      </w:r>
      <w:r w:rsidR="001A4961" w:rsidRPr="00B80B1A">
        <w:t>Hearing Officer</w:t>
      </w:r>
      <w:r w:rsidRPr="00B80B1A">
        <w:t xml:space="preserve"> </w:t>
      </w:r>
      <w:r w:rsidR="00F02B10" w:rsidRPr="00B80B1A">
        <w:t xml:space="preserve">was discouraged by the </w:t>
      </w:r>
      <w:r w:rsidR="009B35C0" w:rsidRPr="00B80B1A">
        <w:t>prospect</w:t>
      </w:r>
      <w:r w:rsidR="00F02B10" w:rsidRPr="00B80B1A">
        <w:t xml:space="preserve"> of a </w:t>
      </w:r>
      <w:r w:rsidR="00151DE2" w:rsidRPr="00B80B1A">
        <w:t>Commissioner</w:t>
      </w:r>
      <w:r w:rsidR="00F02B10" w:rsidRPr="00B80B1A">
        <w:t xml:space="preserve"> review.</w:t>
      </w:r>
      <w:r w:rsidR="009A17C9" w:rsidRPr="00B80B1A">
        <w:t xml:space="preserve"> This exposure can be corrected by eliminating the </w:t>
      </w:r>
      <w:r w:rsidR="00645473">
        <w:t xml:space="preserve">mandatory </w:t>
      </w:r>
      <w:r w:rsidR="00151DE2" w:rsidRPr="00B80B1A">
        <w:t>Commissioner</w:t>
      </w:r>
      <w:r w:rsidR="009A17C9" w:rsidRPr="00B80B1A">
        <w:t xml:space="preserve"> review from the regulations, along the lines of other states’ approaches. </w:t>
      </w:r>
    </w:p>
    <w:p w14:paraId="5973CFF8" w14:textId="77777777" w:rsidR="00C465FF" w:rsidRPr="00B80B1A" w:rsidRDefault="00C465FF" w:rsidP="00037710">
      <w:pPr>
        <w:spacing w:after="0" w:line="240" w:lineRule="auto"/>
        <w:jc w:val="both"/>
      </w:pPr>
    </w:p>
    <w:p w14:paraId="667D3925" w14:textId="7F0B071D" w:rsidR="004D0C1C" w:rsidRPr="00B80B1A" w:rsidRDefault="009A17C9" w:rsidP="00037710">
      <w:pPr>
        <w:spacing w:after="0" w:line="240" w:lineRule="auto"/>
        <w:jc w:val="both"/>
      </w:pPr>
      <w:r w:rsidRPr="00B80B1A">
        <w:t xml:space="preserve">Placing the </w:t>
      </w:r>
      <w:r w:rsidR="00151DE2" w:rsidRPr="00B80B1A">
        <w:t>Fair Hearing</w:t>
      </w:r>
      <w:r w:rsidRPr="00B80B1A">
        <w:t xml:space="preserve">s Unit under another entity besides DCF would </w:t>
      </w:r>
      <w:r w:rsidR="00A11A3B" w:rsidRPr="00B80B1A">
        <w:t xml:space="preserve">likely </w:t>
      </w:r>
      <w:r w:rsidRPr="00B80B1A">
        <w:t xml:space="preserve">improve </w:t>
      </w:r>
      <w:r w:rsidRPr="00B80B1A">
        <w:rPr>
          <w:u w:val="single"/>
        </w:rPr>
        <w:t>the perception</w:t>
      </w:r>
      <w:r w:rsidRPr="00B80B1A">
        <w:t xml:space="preserve"> of </w:t>
      </w:r>
      <w:r w:rsidR="00151DE2" w:rsidRPr="00B80B1A">
        <w:t>Independence</w:t>
      </w:r>
      <w:r w:rsidR="00F02B10" w:rsidRPr="00B80B1A">
        <w:t xml:space="preserve">. Similarly, holding </w:t>
      </w:r>
      <w:r w:rsidR="00151DE2" w:rsidRPr="00B80B1A">
        <w:t>Fair Hearing</w:t>
      </w:r>
      <w:r w:rsidR="00A46E1A" w:rsidRPr="00B80B1A">
        <w:t>s</w:t>
      </w:r>
      <w:r w:rsidRPr="00B80B1A">
        <w:t xml:space="preserve"> </w:t>
      </w:r>
      <w:r w:rsidR="00A46E1A" w:rsidRPr="00B80B1A">
        <w:t>in</w:t>
      </w:r>
      <w:r w:rsidR="00593EA8" w:rsidRPr="00B80B1A">
        <w:t xml:space="preserve"> </w:t>
      </w:r>
      <w:r w:rsidRPr="00B80B1A">
        <w:t>setting</w:t>
      </w:r>
      <w:r w:rsidR="00A46E1A" w:rsidRPr="00B80B1A">
        <w:t>s</w:t>
      </w:r>
      <w:r w:rsidRPr="00B80B1A">
        <w:t xml:space="preserve"> </w:t>
      </w:r>
      <w:r w:rsidR="00DA1DDB" w:rsidRPr="00B80B1A">
        <w:t xml:space="preserve">other than </w:t>
      </w:r>
      <w:r w:rsidRPr="00B80B1A">
        <w:t xml:space="preserve">the </w:t>
      </w:r>
      <w:r w:rsidR="00A269D7" w:rsidRPr="00B80B1A">
        <w:t xml:space="preserve">decision-making </w:t>
      </w:r>
      <w:r w:rsidR="00151DE2" w:rsidRPr="00B80B1A">
        <w:t>Area Office</w:t>
      </w:r>
      <w:r w:rsidR="00A46E1A" w:rsidRPr="00B80B1A">
        <w:t>s</w:t>
      </w:r>
      <w:r w:rsidRPr="00B80B1A">
        <w:t xml:space="preserve"> would most likely </w:t>
      </w:r>
      <w:r w:rsidR="00F02B10" w:rsidRPr="00B80B1A">
        <w:t>alleviate perceived concerns</w:t>
      </w:r>
      <w:r w:rsidRPr="00B80B1A">
        <w:t xml:space="preserve">. </w:t>
      </w:r>
      <w:r w:rsidR="00A269D7" w:rsidRPr="00B80B1A">
        <w:t>Such</w:t>
      </w:r>
      <w:r w:rsidRPr="00B80B1A">
        <w:t xml:space="preserve"> solutions com</w:t>
      </w:r>
      <w:r w:rsidR="00F02B10" w:rsidRPr="00B80B1A">
        <w:t>e at a cost and complexity the S</w:t>
      </w:r>
      <w:r w:rsidRPr="00B80B1A">
        <w:t xml:space="preserve">tate would have to bear. In our recommendations, we did not prioritize such structural changes as </w:t>
      </w:r>
      <w:r w:rsidR="00D6239A" w:rsidRPr="00B80B1A">
        <w:t>an immediate solution</w:t>
      </w:r>
      <w:r w:rsidRPr="00B80B1A">
        <w:t>.</w:t>
      </w:r>
      <w:bookmarkStart w:id="59" w:name="_Toc418852313"/>
    </w:p>
    <w:p w14:paraId="5307C812" w14:textId="77777777" w:rsidR="006F1B63" w:rsidRPr="00B80B1A" w:rsidRDefault="006F1B63">
      <w:pPr>
        <w:rPr>
          <w:rFonts w:asciiTheme="majorHAnsi" w:eastAsiaTheme="majorEastAsia" w:hAnsiTheme="majorHAnsi" w:cstheme="majorBidi"/>
          <w:b/>
          <w:i/>
          <w:color w:val="2E74B5" w:themeColor="accent1" w:themeShade="BF"/>
          <w:sz w:val="36"/>
          <w:szCs w:val="32"/>
        </w:rPr>
      </w:pPr>
      <w:r w:rsidRPr="00B80B1A">
        <w:rPr>
          <w:b/>
          <w:i/>
          <w:sz w:val="36"/>
        </w:rPr>
        <w:br w:type="page"/>
      </w:r>
    </w:p>
    <w:p w14:paraId="6D061DE0" w14:textId="2A5D2957" w:rsidR="004D0C1C" w:rsidRPr="00B80B1A" w:rsidRDefault="004D0C1C" w:rsidP="00037710">
      <w:pPr>
        <w:pStyle w:val="Heading1"/>
        <w:spacing w:before="0" w:line="240" w:lineRule="auto"/>
        <w:jc w:val="both"/>
        <w:rPr>
          <w:b/>
          <w:i/>
          <w:sz w:val="36"/>
        </w:rPr>
      </w:pPr>
      <w:bookmarkStart w:id="60" w:name="_Toc421781206"/>
      <w:r w:rsidRPr="00B80B1A">
        <w:rPr>
          <w:b/>
          <w:i/>
          <w:sz w:val="36"/>
        </w:rPr>
        <w:lastRenderedPageBreak/>
        <w:t>Recommendation</w:t>
      </w:r>
      <w:r w:rsidR="0071139F" w:rsidRPr="00B80B1A">
        <w:rPr>
          <w:b/>
          <w:i/>
          <w:sz w:val="36"/>
        </w:rPr>
        <w:t>s</w:t>
      </w:r>
      <w:bookmarkEnd w:id="60"/>
    </w:p>
    <w:p w14:paraId="1EB5079F" w14:textId="77777777" w:rsidR="004D0C1C" w:rsidRPr="00B80B1A" w:rsidRDefault="004D0C1C" w:rsidP="00037710">
      <w:pPr>
        <w:spacing w:after="0" w:line="240" w:lineRule="auto"/>
        <w:jc w:val="both"/>
      </w:pPr>
    </w:p>
    <w:p w14:paraId="21F2324F" w14:textId="1EB02E8D" w:rsidR="004D0C1C" w:rsidRPr="00B80B1A" w:rsidRDefault="004D0C1C" w:rsidP="00037710">
      <w:pPr>
        <w:spacing w:after="0" w:line="240" w:lineRule="auto"/>
        <w:jc w:val="both"/>
      </w:pPr>
      <w:r w:rsidRPr="00B80B1A">
        <w:t>In light of the findings presented above, our recommendations are broken into two sections: Regulatory changes and Operational changes</w:t>
      </w:r>
      <w:r w:rsidR="004579A7" w:rsidRPr="00B80B1A">
        <w:t xml:space="preserve">. </w:t>
      </w:r>
      <w:r w:rsidRPr="00B80B1A">
        <w:t>Within each section, the recommendation</w:t>
      </w:r>
      <w:r w:rsidR="00E142D0" w:rsidRPr="00B80B1A">
        <w:t>s</w:t>
      </w:r>
      <w:r w:rsidRPr="00B80B1A">
        <w:t xml:space="preserve"> are sorted under Timeliness, Fairness, and Independence</w:t>
      </w:r>
      <w:r w:rsidR="004579A7" w:rsidRPr="00B80B1A">
        <w:t xml:space="preserve">. </w:t>
      </w:r>
      <w:r w:rsidRPr="00B80B1A">
        <w:t>Many of these recommendations can be implemented at no cost</w:t>
      </w:r>
      <w:r w:rsidR="004579A7" w:rsidRPr="00B80B1A">
        <w:t xml:space="preserve">. </w:t>
      </w:r>
      <w:r w:rsidRPr="00B80B1A">
        <w:t>Where incremental expenses are required, we have provided a cost estimate following the respective recommendation</w:t>
      </w:r>
      <w:r w:rsidR="00F23F8B">
        <w:t>.</w:t>
      </w:r>
    </w:p>
    <w:p w14:paraId="6380C87B" w14:textId="77777777" w:rsidR="004D0C1C" w:rsidRPr="00B80B1A" w:rsidRDefault="004D0C1C" w:rsidP="00037710">
      <w:pPr>
        <w:spacing w:after="0" w:line="240" w:lineRule="auto"/>
        <w:jc w:val="both"/>
      </w:pPr>
    </w:p>
    <w:p w14:paraId="5E97F0F8" w14:textId="6167D084" w:rsidR="004D0C1C" w:rsidRPr="00B80B1A" w:rsidRDefault="004D0C1C" w:rsidP="00037710">
      <w:pPr>
        <w:pStyle w:val="Heading2"/>
        <w:numPr>
          <w:ilvl w:val="0"/>
          <w:numId w:val="45"/>
        </w:numPr>
        <w:tabs>
          <w:tab w:val="left" w:pos="360"/>
          <w:tab w:val="left" w:pos="450"/>
        </w:tabs>
        <w:ind w:hanging="720"/>
        <w:jc w:val="both"/>
        <w:rPr>
          <w:i/>
          <w:sz w:val="28"/>
          <w:lang w:eastAsia="ja-JP"/>
        </w:rPr>
      </w:pPr>
      <w:bookmarkStart w:id="61" w:name="_Toc418852314"/>
      <w:bookmarkStart w:id="62" w:name="_Toc421781207"/>
      <w:r w:rsidRPr="00B80B1A">
        <w:rPr>
          <w:i/>
          <w:sz w:val="28"/>
          <w:lang w:eastAsia="ja-JP"/>
        </w:rPr>
        <w:t>Recommended Regulatory Changes</w:t>
      </w:r>
      <w:bookmarkEnd w:id="61"/>
      <w:bookmarkEnd w:id="62"/>
    </w:p>
    <w:p w14:paraId="06045594" w14:textId="77777777" w:rsidR="004D0C1C" w:rsidRPr="00B80B1A" w:rsidRDefault="004D0C1C" w:rsidP="00037710">
      <w:pPr>
        <w:spacing w:after="0" w:line="240" w:lineRule="auto"/>
        <w:jc w:val="both"/>
        <w:rPr>
          <w:rFonts w:eastAsiaTheme="minorEastAsia"/>
          <w:lang w:eastAsia="ja-JP"/>
        </w:rPr>
      </w:pPr>
    </w:p>
    <w:p w14:paraId="6F53CF6D" w14:textId="6310E08B" w:rsidR="004D0C1C" w:rsidRPr="00B80B1A" w:rsidRDefault="004D0C1C" w:rsidP="00037710">
      <w:pPr>
        <w:pStyle w:val="Heading3"/>
        <w:numPr>
          <w:ilvl w:val="0"/>
          <w:numId w:val="47"/>
        </w:numPr>
        <w:jc w:val="both"/>
        <w:rPr>
          <w:i/>
          <w:sz w:val="28"/>
          <w:szCs w:val="28"/>
        </w:rPr>
      </w:pPr>
      <w:bookmarkStart w:id="63" w:name="_Toc418852315"/>
      <w:bookmarkStart w:id="64" w:name="_Toc421781208"/>
      <w:r w:rsidRPr="00B80B1A">
        <w:rPr>
          <w:i/>
          <w:sz w:val="28"/>
          <w:szCs w:val="28"/>
        </w:rPr>
        <w:t>Timeliness</w:t>
      </w:r>
      <w:bookmarkEnd w:id="63"/>
      <w:bookmarkEnd w:id="64"/>
    </w:p>
    <w:p w14:paraId="7D497F6E" w14:textId="77777777" w:rsidR="004D0C1C" w:rsidRPr="00B80B1A" w:rsidRDefault="004D0C1C" w:rsidP="00037710">
      <w:pPr>
        <w:spacing w:after="0" w:line="240" w:lineRule="auto"/>
        <w:jc w:val="both"/>
        <w:rPr>
          <w:rFonts w:eastAsiaTheme="minorEastAsia"/>
          <w:lang w:eastAsia="ja-JP"/>
        </w:rPr>
      </w:pPr>
    </w:p>
    <w:p w14:paraId="07AAA277" w14:textId="3AFBE164" w:rsidR="004D0C1C" w:rsidRPr="00B80B1A" w:rsidRDefault="004D0C1C" w:rsidP="00037710">
      <w:pPr>
        <w:pStyle w:val="ListParagraph"/>
        <w:numPr>
          <w:ilvl w:val="0"/>
          <w:numId w:val="3"/>
        </w:numPr>
        <w:spacing w:after="0" w:line="240" w:lineRule="auto"/>
        <w:ind w:left="450"/>
        <w:jc w:val="both"/>
        <w:rPr>
          <w:rFonts w:eastAsiaTheme="minorEastAsia"/>
          <w:lang w:eastAsia="ja-JP"/>
        </w:rPr>
      </w:pPr>
      <w:r w:rsidRPr="00B80B1A">
        <w:rPr>
          <w:rFonts w:eastAsiaTheme="minorEastAsia"/>
          <w:lang w:eastAsia="ja-JP"/>
        </w:rPr>
        <w:t xml:space="preserve">While the discrepancies in mandated </w:t>
      </w:r>
      <w:r w:rsidR="001E2E9B" w:rsidRPr="00B80B1A">
        <w:rPr>
          <w:rFonts w:eastAsiaTheme="minorEastAsia"/>
          <w:lang w:eastAsia="ja-JP"/>
        </w:rPr>
        <w:t>T</w:t>
      </w:r>
      <w:r w:rsidRPr="00B80B1A">
        <w:rPr>
          <w:rFonts w:eastAsiaTheme="minorEastAsia"/>
          <w:lang w:eastAsia="ja-JP"/>
        </w:rPr>
        <w:t xml:space="preserve">imeliness between Massachusetts and other states </w:t>
      </w:r>
      <w:r w:rsidR="00A269D7" w:rsidRPr="00B80B1A">
        <w:rPr>
          <w:rFonts w:eastAsiaTheme="minorEastAsia"/>
          <w:lang w:eastAsia="ja-JP"/>
        </w:rPr>
        <w:t>are</w:t>
      </w:r>
      <w:r w:rsidRPr="00B80B1A">
        <w:rPr>
          <w:rFonts w:eastAsiaTheme="minorEastAsia"/>
          <w:lang w:eastAsia="ja-JP"/>
        </w:rPr>
        <w:t xml:space="preserve"> concerning, we </w:t>
      </w:r>
      <w:r w:rsidRPr="00B80B1A">
        <w:rPr>
          <w:rFonts w:eastAsiaTheme="minorEastAsia"/>
          <w:u w:val="single"/>
          <w:lang w:eastAsia="ja-JP"/>
        </w:rPr>
        <w:t xml:space="preserve">do not recommend tightening the </w:t>
      </w:r>
      <w:r w:rsidR="00645473">
        <w:rPr>
          <w:rFonts w:eastAsiaTheme="minorEastAsia"/>
          <w:u w:val="single"/>
          <w:lang w:eastAsia="ja-JP"/>
        </w:rPr>
        <w:t xml:space="preserve">DCF </w:t>
      </w:r>
      <w:r w:rsidRPr="00B80B1A">
        <w:rPr>
          <w:rFonts w:eastAsiaTheme="minorEastAsia"/>
          <w:u w:val="single"/>
          <w:lang w:eastAsia="ja-JP"/>
        </w:rPr>
        <w:t>Timeliness standards in the short term given the large number of backlogged cases.</w:t>
      </w:r>
      <w:r w:rsidRPr="00B80B1A">
        <w:rPr>
          <w:rFonts w:eastAsiaTheme="minorEastAsia"/>
          <w:lang w:eastAsia="ja-JP"/>
        </w:rPr>
        <w:t xml:space="preserve"> </w:t>
      </w:r>
      <w:r w:rsidR="00A269D7" w:rsidRPr="00B80B1A">
        <w:rPr>
          <w:rFonts w:eastAsiaTheme="minorEastAsia"/>
          <w:lang w:eastAsia="ja-JP"/>
        </w:rPr>
        <w:t xml:space="preserve">Once </w:t>
      </w:r>
      <w:r w:rsidRPr="00B80B1A">
        <w:rPr>
          <w:rFonts w:eastAsiaTheme="minorEastAsia"/>
          <w:lang w:eastAsia="ja-JP"/>
        </w:rPr>
        <w:t>the backlog is eliminated</w:t>
      </w:r>
      <w:r w:rsidR="00137757" w:rsidRPr="00B80B1A">
        <w:rPr>
          <w:rFonts w:eastAsiaTheme="minorEastAsia"/>
          <w:lang w:eastAsia="ja-JP"/>
        </w:rPr>
        <w:t xml:space="preserve"> and staffing gaps have been bridged</w:t>
      </w:r>
      <w:r w:rsidRPr="00B80B1A">
        <w:rPr>
          <w:rFonts w:eastAsiaTheme="minorEastAsia"/>
          <w:lang w:eastAsia="ja-JP"/>
        </w:rPr>
        <w:t>,</w:t>
      </w:r>
      <w:r w:rsidR="00A269D7" w:rsidRPr="00B80B1A">
        <w:rPr>
          <w:rFonts w:eastAsiaTheme="minorEastAsia"/>
          <w:lang w:eastAsia="ja-JP"/>
        </w:rPr>
        <w:t xml:space="preserve"> however,</w:t>
      </w:r>
      <w:r w:rsidRPr="00B80B1A">
        <w:rPr>
          <w:rFonts w:eastAsiaTheme="minorEastAsia"/>
          <w:lang w:eastAsia="ja-JP"/>
        </w:rPr>
        <w:t xml:space="preserve"> we recommend that DCF consider matching the </w:t>
      </w:r>
      <w:r w:rsidR="00A40E5E" w:rsidRPr="00B80B1A">
        <w:rPr>
          <w:rFonts w:eastAsiaTheme="minorEastAsia"/>
          <w:lang w:eastAsia="ja-JP"/>
        </w:rPr>
        <w:t>best</w:t>
      </w:r>
      <w:r w:rsidRPr="00B80B1A">
        <w:rPr>
          <w:rFonts w:eastAsiaTheme="minorEastAsia"/>
          <w:lang w:eastAsia="ja-JP"/>
        </w:rPr>
        <w:t xml:space="preserve"> standards </w:t>
      </w:r>
      <w:r w:rsidR="00137757" w:rsidRPr="00B80B1A">
        <w:rPr>
          <w:rFonts w:eastAsiaTheme="minorEastAsia"/>
          <w:lang w:eastAsia="ja-JP"/>
        </w:rPr>
        <w:t xml:space="preserve">from other states </w:t>
      </w:r>
      <w:r w:rsidR="00A40E5E" w:rsidRPr="00B80B1A">
        <w:rPr>
          <w:rFonts w:eastAsiaTheme="minorEastAsia"/>
          <w:lang w:eastAsia="ja-JP"/>
        </w:rPr>
        <w:t>regarding Timeliness</w:t>
      </w:r>
      <w:r w:rsidRPr="00B80B1A">
        <w:rPr>
          <w:rFonts w:eastAsiaTheme="minorEastAsia"/>
          <w:lang w:eastAsia="ja-JP"/>
        </w:rPr>
        <w:t>.</w:t>
      </w:r>
    </w:p>
    <w:p w14:paraId="38275A51" w14:textId="77777777" w:rsidR="004D0C1C" w:rsidRPr="00B80B1A" w:rsidRDefault="004D0C1C" w:rsidP="00037710">
      <w:pPr>
        <w:spacing w:after="0" w:line="240" w:lineRule="auto"/>
        <w:jc w:val="both"/>
      </w:pPr>
    </w:p>
    <w:p w14:paraId="58C099E9" w14:textId="708CFE34" w:rsidR="004D0C1C" w:rsidRPr="00B80B1A" w:rsidRDefault="004D0C1C" w:rsidP="00BA6DAA">
      <w:pPr>
        <w:pStyle w:val="Heading3"/>
        <w:numPr>
          <w:ilvl w:val="0"/>
          <w:numId w:val="47"/>
        </w:numPr>
        <w:spacing w:before="0" w:line="240" w:lineRule="auto"/>
        <w:jc w:val="both"/>
        <w:rPr>
          <w:i/>
          <w:sz w:val="28"/>
          <w:szCs w:val="28"/>
          <w:lang w:eastAsia="ja-JP"/>
        </w:rPr>
      </w:pPr>
      <w:bookmarkStart w:id="65" w:name="_Toc418852316"/>
      <w:bookmarkStart w:id="66" w:name="_Toc421781209"/>
      <w:r w:rsidRPr="00B80B1A">
        <w:rPr>
          <w:i/>
          <w:sz w:val="28"/>
          <w:szCs w:val="28"/>
          <w:lang w:eastAsia="ja-JP"/>
        </w:rPr>
        <w:t>Fairness</w:t>
      </w:r>
      <w:bookmarkEnd w:id="65"/>
      <w:bookmarkEnd w:id="66"/>
    </w:p>
    <w:p w14:paraId="6FDD5A3B" w14:textId="77777777" w:rsidR="004D0C1C" w:rsidRPr="00B80B1A" w:rsidRDefault="004D0C1C" w:rsidP="00037710">
      <w:pPr>
        <w:spacing w:after="0" w:line="240" w:lineRule="auto"/>
        <w:jc w:val="both"/>
        <w:rPr>
          <w:rFonts w:eastAsiaTheme="minorEastAsia"/>
          <w:lang w:eastAsia="ja-JP"/>
        </w:rPr>
      </w:pPr>
    </w:p>
    <w:p w14:paraId="19DB7A6E" w14:textId="67F68D52" w:rsidR="004D0C1C" w:rsidRPr="00B80B1A" w:rsidRDefault="004D0C1C" w:rsidP="00037710">
      <w:pPr>
        <w:pStyle w:val="ListParagraph"/>
        <w:numPr>
          <w:ilvl w:val="0"/>
          <w:numId w:val="3"/>
        </w:numPr>
        <w:spacing w:after="0" w:line="240" w:lineRule="auto"/>
        <w:ind w:left="450"/>
        <w:jc w:val="both"/>
        <w:rPr>
          <w:rFonts w:eastAsiaTheme="minorEastAsia"/>
          <w:lang w:eastAsia="ja-JP"/>
        </w:rPr>
      </w:pPr>
      <w:r w:rsidRPr="00B80B1A">
        <w:rPr>
          <w:rFonts w:eastAsiaTheme="minorEastAsia"/>
          <w:lang w:eastAsia="ja-JP"/>
        </w:rPr>
        <w:t xml:space="preserve">We recommend that </w:t>
      </w:r>
      <w:r w:rsidR="00781BEB" w:rsidRPr="00B80B1A">
        <w:rPr>
          <w:rFonts w:eastAsiaTheme="minorEastAsia"/>
          <w:lang w:eastAsia="ja-JP"/>
        </w:rPr>
        <w:t xml:space="preserve">DCF consider </w:t>
      </w:r>
      <w:r w:rsidR="00781BEB" w:rsidRPr="00B80B1A">
        <w:rPr>
          <w:rFonts w:eastAsiaTheme="minorEastAsia"/>
          <w:u w:val="single"/>
          <w:lang w:eastAsia="ja-JP"/>
        </w:rPr>
        <w:t xml:space="preserve">shifting </w:t>
      </w:r>
      <w:r w:rsidRPr="00B80B1A">
        <w:rPr>
          <w:rFonts w:eastAsiaTheme="minorEastAsia"/>
          <w:u w:val="single"/>
          <w:lang w:eastAsia="ja-JP"/>
        </w:rPr>
        <w:t xml:space="preserve">the burden of proof </w:t>
      </w:r>
      <w:r w:rsidR="00781BEB" w:rsidRPr="00B80B1A">
        <w:rPr>
          <w:rFonts w:eastAsiaTheme="minorEastAsia"/>
          <w:u w:val="single"/>
          <w:lang w:eastAsia="ja-JP"/>
        </w:rPr>
        <w:t>to</w:t>
      </w:r>
      <w:r w:rsidRPr="00B80B1A">
        <w:rPr>
          <w:rFonts w:eastAsiaTheme="minorEastAsia"/>
          <w:u w:val="single"/>
          <w:lang w:eastAsia="ja-JP"/>
        </w:rPr>
        <w:t xml:space="preserve"> the Department for all decisions and, furthermore, that </w:t>
      </w:r>
      <w:r w:rsidR="00E142D0" w:rsidRPr="00B80B1A">
        <w:rPr>
          <w:rFonts w:eastAsiaTheme="minorEastAsia"/>
          <w:u w:val="single"/>
          <w:lang w:eastAsia="ja-JP"/>
        </w:rPr>
        <w:t xml:space="preserve">the decisions </w:t>
      </w:r>
      <w:r w:rsidRPr="00B80B1A">
        <w:rPr>
          <w:rFonts w:eastAsiaTheme="minorEastAsia"/>
          <w:u w:val="single"/>
          <w:lang w:eastAsia="ja-JP"/>
        </w:rPr>
        <w:t>be evaluated based upon how reasonable they were</w:t>
      </w:r>
      <w:r w:rsidR="00E872CE" w:rsidRPr="00B80B1A">
        <w:rPr>
          <w:rFonts w:eastAsiaTheme="minorEastAsia"/>
          <w:u w:val="single"/>
          <w:lang w:eastAsia="ja-JP"/>
        </w:rPr>
        <w:t xml:space="preserve"> when viewed </w:t>
      </w:r>
      <w:r w:rsidR="00E142D0" w:rsidRPr="00B80B1A">
        <w:rPr>
          <w:rFonts w:eastAsiaTheme="minorEastAsia"/>
          <w:u w:val="single"/>
          <w:lang w:eastAsia="ja-JP"/>
        </w:rPr>
        <w:t>within the totality of all available evidence</w:t>
      </w:r>
      <w:r w:rsidR="00E872CE" w:rsidRPr="00B80B1A">
        <w:rPr>
          <w:rFonts w:eastAsiaTheme="minorEastAsia"/>
          <w:u w:val="single"/>
          <w:lang w:eastAsia="ja-JP"/>
        </w:rPr>
        <w:t>.</w:t>
      </w:r>
      <w:r w:rsidR="00E872CE" w:rsidRPr="00B80B1A">
        <w:rPr>
          <w:rFonts w:eastAsiaTheme="minorEastAsia"/>
          <w:lang w:eastAsia="ja-JP"/>
        </w:rPr>
        <w:t xml:space="preserve"> In particular, we stress the importance of this added protection fo</w:t>
      </w:r>
      <w:r w:rsidR="00137757" w:rsidRPr="00B80B1A">
        <w:rPr>
          <w:rFonts w:eastAsiaTheme="minorEastAsia"/>
          <w:lang w:eastAsia="ja-JP"/>
        </w:rPr>
        <w:t xml:space="preserve">r </w:t>
      </w:r>
      <w:r w:rsidR="00E872CE" w:rsidRPr="00B80B1A">
        <w:rPr>
          <w:rFonts w:eastAsiaTheme="minorEastAsia"/>
          <w:lang w:eastAsia="ja-JP"/>
        </w:rPr>
        <w:t xml:space="preserve">abuse </w:t>
      </w:r>
      <w:r w:rsidR="00D82D85" w:rsidRPr="00B80B1A">
        <w:rPr>
          <w:rFonts w:eastAsiaTheme="minorEastAsia"/>
          <w:lang w:eastAsia="ja-JP"/>
        </w:rPr>
        <w:t>or</w:t>
      </w:r>
      <w:r w:rsidR="00E872CE" w:rsidRPr="00B80B1A">
        <w:rPr>
          <w:rFonts w:eastAsiaTheme="minorEastAsia"/>
          <w:lang w:eastAsia="ja-JP"/>
        </w:rPr>
        <w:t xml:space="preserve"> neglect decisions.</w:t>
      </w:r>
      <w:r w:rsidRPr="00B80B1A">
        <w:rPr>
          <w:rFonts w:eastAsiaTheme="minorEastAsia"/>
          <w:lang w:eastAsia="ja-JP"/>
        </w:rPr>
        <w:t xml:space="preserve"> </w:t>
      </w:r>
      <w:r w:rsidR="00137757" w:rsidRPr="00B80B1A">
        <w:rPr>
          <w:rFonts w:eastAsiaTheme="minorEastAsia"/>
          <w:lang w:eastAsia="ja-JP"/>
        </w:rPr>
        <w:t>T</w:t>
      </w:r>
      <w:r w:rsidRPr="00B80B1A">
        <w:rPr>
          <w:rFonts w:eastAsiaTheme="minorEastAsia"/>
          <w:lang w:eastAsia="ja-JP"/>
        </w:rPr>
        <w:t xml:space="preserve">he consequences of </w:t>
      </w:r>
      <w:r w:rsidR="00E872CE" w:rsidRPr="00B80B1A">
        <w:rPr>
          <w:rFonts w:eastAsiaTheme="minorEastAsia"/>
          <w:lang w:eastAsia="ja-JP"/>
        </w:rPr>
        <w:t xml:space="preserve">abuse </w:t>
      </w:r>
      <w:r w:rsidR="00D82D85" w:rsidRPr="00B80B1A">
        <w:rPr>
          <w:rFonts w:eastAsiaTheme="minorEastAsia"/>
          <w:lang w:eastAsia="ja-JP"/>
        </w:rPr>
        <w:t>or</w:t>
      </w:r>
      <w:r w:rsidR="00E872CE" w:rsidRPr="00B80B1A">
        <w:rPr>
          <w:rFonts w:eastAsiaTheme="minorEastAsia"/>
          <w:lang w:eastAsia="ja-JP"/>
        </w:rPr>
        <w:t xml:space="preserve"> neglect decisions</w:t>
      </w:r>
      <w:r w:rsidRPr="00B80B1A">
        <w:rPr>
          <w:rFonts w:eastAsiaTheme="minorEastAsia"/>
          <w:lang w:eastAsia="ja-JP"/>
        </w:rPr>
        <w:t xml:space="preserve"> can be serious and thus should require a higher hurdle </w:t>
      </w:r>
      <w:r w:rsidR="00137757" w:rsidRPr="00B80B1A">
        <w:rPr>
          <w:rFonts w:eastAsiaTheme="minorEastAsia"/>
          <w:lang w:eastAsia="ja-JP"/>
        </w:rPr>
        <w:t>of proof</w:t>
      </w:r>
      <w:r w:rsidRPr="00B80B1A">
        <w:rPr>
          <w:rFonts w:eastAsiaTheme="minorEastAsia"/>
          <w:lang w:eastAsia="ja-JP"/>
        </w:rPr>
        <w:t xml:space="preserve">, which other states </w:t>
      </w:r>
      <w:r w:rsidR="00E872CE" w:rsidRPr="00B80B1A">
        <w:rPr>
          <w:rFonts w:eastAsiaTheme="minorEastAsia"/>
          <w:lang w:eastAsia="ja-JP"/>
        </w:rPr>
        <w:t>have also recognized</w:t>
      </w:r>
      <w:r w:rsidRPr="00B80B1A">
        <w:rPr>
          <w:rFonts w:eastAsiaTheme="minorEastAsia"/>
          <w:lang w:eastAsia="ja-JP"/>
        </w:rPr>
        <w:t>.</w:t>
      </w:r>
      <w:r w:rsidR="00137757" w:rsidRPr="00B80B1A">
        <w:rPr>
          <w:rFonts w:eastAsiaTheme="minorEastAsia"/>
          <w:lang w:eastAsia="ja-JP"/>
        </w:rPr>
        <w:t xml:space="preserve"> By itself</w:t>
      </w:r>
      <w:r w:rsidR="003D6EAE" w:rsidRPr="00B80B1A">
        <w:rPr>
          <w:rFonts w:eastAsiaTheme="minorEastAsia"/>
          <w:lang w:eastAsia="ja-JP"/>
        </w:rPr>
        <w:t xml:space="preserve">, </w:t>
      </w:r>
      <w:r w:rsidR="00137757" w:rsidRPr="00B80B1A">
        <w:rPr>
          <w:rFonts w:eastAsiaTheme="minorEastAsia"/>
          <w:lang w:eastAsia="ja-JP"/>
        </w:rPr>
        <w:t xml:space="preserve">this change is </w:t>
      </w:r>
      <w:r w:rsidR="006607FD" w:rsidRPr="00B80B1A">
        <w:rPr>
          <w:rFonts w:eastAsiaTheme="minorEastAsia"/>
          <w:lang w:eastAsia="ja-JP"/>
        </w:rPr>
        <w:t>less important</w:t>
      </w:r>
      <w:r w:rsidR="00A269D7" w:rsidRPr="00B80B1A">
        <w:rPr>
          <w:rFonts w:eastAsiaTheme="minorEastAsia"/>
          <w:lang w:eastAsia="ja-JP"/>
        </w:rPr>
        <w:t>, but</w:t>
      </w:r>
      <w:r w:rsidR="006607FD" w:rsidRPr="00B80B1A">
        <w:rPr>
          <w:rFonts w:eastAsiaTheme="minorEastAsia"/>
          <w:lang w:eastAsia="ja-JP"/>
        </w:rPr>
        <w:t xml:space="preserve"> when viewed against the procedural failures we noted, and future potential for procedural failure</w:t>
      </w:r>
      <w:r w:rsidR="003D6EAE" w:rsidRPr="00B80B1A">
        <w:rPr>
          <w:rFonts w:eastAsiaTheme="minorEastAsia"/>
          <w:lang w:eastAsia="ja-JP"/>
        </w:rPr>
        <w:t xml:space="preserve">, the </w:t>
      </w:r>
      <w:r w:rsidR="0063416D" w:rsidRPr="00B80B1A">
        <w:rPr>
          <w:rFonts w:eastAsiaTheme="minorEastAsia"/>
          <w:lang w:eastAsia="ja-JP"/>
        </w:rPr>
        <w:t xml:space="preserve">additional </w:t>
      </w:r>
      <w:r w:rsidR="003D6EAE" w:rsidRPr="00B80B1A">
        <w:rPr>
          <w:rFonts w:eastAsiaTheme="minorEastAsia"/>
          <w:lang w:eastAsia="ja-JP"/>
        </w:rPr>
        <w:t>protections provided to the appellant</w:t>
      </w:r>
      <w:r w:rsidR="00A916A1" w:rsidRPr="00B80B1A">
        <w:rPr>
          <w:rFonts w:eastAsiaTheme="minorEastAsia"/>
          <w:lang w:eastAsia="ja-JP"/>
        </w:rPr>
        <w:t xml:space="preserve"> are desirable</w:t>
      </w:r>
      <w:r w:rsidR="003D6EAE" w:rsidRPr="00B80B1A">
        <w:rPr>
          <w:rFonts w:eastAsiaTheme="minorEastAsia"/>
          <w:lang w:eastAsia="ja-JP"/>
        </w:rPr>
        <w:t>.</w:t>
      </w:r>
    </w:p>
    <w:p w14:paraId="13F47E25" w14:textId="77777777" w:rsidR="004D0C1C" w:rsidRPr="00B80B1A" w:rsidRDefault="004D0C1C" w:rsidP="00037710">
      <w:pPr>
        <w:spacing w:after="0" w:line="240" w:lineRule="auto"/>
        <w:ind w:left="450"/>
        <w:jc w:val="both"/>
      </w:pPr>
    </w:p>
    <w:p w14:paraId="52D3AA9F" w14:textId="7898622B" w:rsidR="004D0C1C" w:rsidRPr="00B80B1A" w:rsidRDefault="004D0C1C" w:rsidP="00611068">
      <w:pPr>
        <w:pStyle w:val="ListParagraph"/>
        <w:numPr>
          <w:ilvl w:val="0"/>
          <w:numId w:val="3"/>
        </w:numPr>
        <w:spacing w:after="0" w:line="240" w:lineRule="auto"/>
        <w:ind w:left="450"/>
        <w:jc w:val="both"/>
      </w:pPr>
      <w:r w:rsidRPr="00B80B1A">
        <w:rPr>
          <w:rFonts w:eastAsiaTheme="minorEastAsia"/>
          <w:lang w:eastAsia="ja-JP"/>
        </w:rPr>
        <w:t xml:space="preserve">We recommend that DCF </w:t>
      </w:r>
      <w:r w:rsidRPr="00B80B1A">
        <w:rPr>
          <w:rFonts w:eastAsiaTheme="minorEastAsia"/>
          <w:u w:val="single"/>
          <w:lang w:eastAsia="ja-JP"/>
        </w:rPr>
        <w:t>revise its regulations and implement operational procedures to automatically send appellants</w:t>
      </w:r>
      <w:r w:rsidR="00037DBD" w:rsidRPr="00B80B1A">
        <w:rPr>
          <w:rFonts w:eastAsiaTheme="minorEastAsia"/>
          <w:u w:val="single"/>
          <w:lang w:eastAsia="ja-JP"/>
        </w:rPr>
        <w:t xml:space="preserve"> all relevant documentation relating to the </w:t>
      </w:r>
      <w:r w:rsidR="00283536" w:rsidRPr="00B80B1A">
        <w:rPr>
          <w:rFonts w:eastAsiaTheme="minorEastAsia"/>
          <w:u w:val="single"/>
          <w:lang w:eastAsia="ja-JP"/>
        </w:rPr>
        <w:t>Area Office</w:t>
      </w:r>
      <w:r w:rsidR="00037DBD" w:rsidRPr="00B80B1A">
        <w:rPr>
          <w:rFonts w:eastAsiaTheme="minorEastAsia"/>
          <w:u w:val="single"/>
          <w:lang w:eastAsia="ja-JP"/>
        </w:rPr>
        <w:t xml:space="preserve"> decision</w:t>
      </w:r>
      <w:r w:rsidRPr="00B80B1A">
        <w:rPr>
          <w:rFonts w:eastAsiaTheme="minorEastAsia"/>
          <w:u w:val="single"/>
          <w:lang w:eastAsia="ja-JP"/>
        </w:rPr>
        <w:t>,</w:t>
      </w:r>
      <w:r w:rsidR="00CD465D" w:rsidRPr="00B80B1A">
        <w:rPr>
          <w:rFonts w:eastAsiaTheme="minorEastAsia"/>
          <w:u w:val="single"/>
          <w:lang w:eastAsia="ja-JP"/>
        </w:rPr>
        <w:t xml:space="preserve"> </w:t>
      </w:r>
      <w:r w:rsidRPr="00B80B1A">
        <w:rPr>
          <w:rFonts w:eastAsiaTheme="minorEastAsia"/>
          <w:u w:val="single"/>
          <w:lang w:eastAsia="ja-JP"/>
        </w:rPr>
        <w:t xml:space="preserve">redacting as necessary to protect confidentiality </w:t>
      </w:r>
      <w:r w:rsidR="00E142D0" w:rsidRPr="00B80B1A">
        <w:rPr>
          <w:rFonts w:eastAsiaTheme="minorEastAsia"/>
          <w:u w:val="single"/>
          <w:lang w:eastAsia="ja-JP"/>
        </w:rPr>
        <w:t xml:space="preserve">as </w:t>
      </w:r>
      <w:r w:rsidRPr="00B80B1A">
        <w:rPr>
          <w:rFonts w:eastAsiaTheme="minorEastAsia"/>
          <w:u w:val="single"/>
          <w:lang w:eastAsia="ja-JP"/>
        </w:rPr>
        <w:t>required by law, upon scheduling and in a timely manner</w:t>
      </w:r>
      <w:r w:rsidR="004579A7" w:rsidRPr="00B80B1A">
        <w:rPr>
          <w:rFonts w:eastAsiaTheme="minorEastAsia"/>
          <w:lang w:eastAsia="ja-JP"/>
        </w:rPr>
        <w:t xml:space="preserve">. </w:t>
      </w:r>
      <w:r w:rsidRPr="00B80B1A">
        <w:rPr>
          <w:rFonts w:eastAsiaTheme="minorEastAsia"/>
          <w:lang w:eastAsia="ja-JP"/>
        </w:rPr>
        <w:t>While this change would create incremental operational costs for the Department, such costs may be outweighed by savings from reducing appellants’ need for continuances. Furthermore, it would afford the appellants an opportunity to review the allegations made against them</w:t>
      </w:r>
      <w:r w:rsidR="00593EA8" w:rsidRPr="00B80B1A">
        <w:rPr>
          <w:rFonts w:eastAsiaTheme="minorEastAsia"/>
          <w:lang w:eastAsia="ja-JP"/>
        </w:rPr>
        <w:t xml:space="preserve"> prior to the Fair Hearing</w:t>
      </w:r>
      <w:r w:rsidRPr="00B80B1A">
        <w:rPr>
          <w:rFonts w:eastAsiaTheme="minorEastAsia"/>
          <w:lang w:eastAsia="ja-JP"/>
        </w:rPr>
        <w:t xml:space="preserve">. </w:t>
      </w:r>
      <w:r w:rsidR="00890E5A" w:rsidRPr="00B80B1A">
        <w:rPr>
          <w:rFonts w:eastAsiaTheme="minorEastAsia"/>
          <w:lang w:eastAsia="ja-JP"/>
        </w:rPr>
        <w:t>This</w:t>
      </w:r>
      <w:r w:rsidRPr="00B80B1A">
        <w:rPr>
          <w:rFonts w:eastAsiaTheme="minorEastAsia"/>
          <w:lang w:eastAsia="ja-JP"/>
        </w:rPr>
        <w:t xml:space="preserve"> change might</w:t>
      </w:r>
      <w:r w:rsidR="00890E5A" w:rsidRPr="00B80B1A">
        <w:rPr>
          <w:rFonts w:eastAsiaTheme="minorEastAsia"/>
          <w:lang w:eastAsia="ja-JP"/>
        </w:rPr>
        <w:t xml:space="preserve">, however, </w:t>
      </w:r>
      <w:r w:rsidRPr="00B80B1A">
        <w:rPr>
          <w:rFonts w:eastAsiaTheme="minorEastAsia"/>
          <w:lang w:eastAsia="ja-JP"/>
        </w:rPr>
        <w:t xml:space="preserve">have a negative impact on </w:t>
      </w:r>
      <w:r w:rsidR="00593EA8" w:rsidRPr="00B80B1A">
        <w:rPr>
          <w:rFonts w:eastAsiaTheme="minorEastAsia"/>
          <w:lang w:eastAsia="ja-JP"/>
        </w:rPr>
        <w:t>T</w:t>
      </w:r>
      <w:r w:rsidRPr="00B80B1A">
        <w:rPr>
          <w:rFonts w:eastAsiaTheme="minorEastAsia"/>
          <w:lang w:eastAsia="ja-JP"/>
        </w:rPr>
        <w:t xml:space="preserve">imeliness unless redactor capacity and/or redaction technology at the Area Offices </w:t>
      </w:r>
      <w:r w:rsidR="00593EA8" w:rsidRPr="00B80B1A">
        <w:rPr>
          <w:rFonts w:eastAsiaTheme="minorEastAsia"/>
          <w:lang w:eastAsia="ja-JP"/>
        </w:rPr>
        <w:t>were</w:t>
      </w:r>
      <w:r w:rsidRPr="00B80B1A">
        <w:rPr>
          <w:rFonts w:eastAsiaTheme="minorEastAsia"/>
          <w:lang w:eastAsia="ja-JP"/>
        </w:rPr>
        <w:t xml:space="preserve"> enhanced.</w:t>
      </w:r>
    </w:p>
    <w:p w14:paraId="7F0923E6" w14:textId="77777777" w:rsidR="00F1421A" w:rsidRPr="00B80B1A" w:rsidRDefault="00F1421A" w:rsidP="00037710">
      <w:pPr>
        <w:pStyle w:val="ListParagraph"/>
        <w:spacing w:after="0" w:line="240" w:lineRule="auto"/>
        <w:ind w:left="450"/>
        <w:jc w:val="both"/>
      </w:pPr>
    </w:p>
    <w:p w14:paraId="26CF3FE2" w14:textId="75068B3A" w:rsidR="003F3503" w:rsidRPr="00B80B1A" w:rsidRDefault="004D0C1C" w:rsidP="00037710">
      <w:pPr>
        <w:pStyle w:val="ListParagraph"/>
        <w:numPr>
          <w:ilvl w:val="0"/>
          <w:numId w:val="3"/>
        </w:numPr>
        <w:spacing w:after="0" w:line="240" w:lineRule="auto"/>
        <w:ind w:left="450"/>
        <w:jc w:val="both"/>
        <w:rPr>
          <w:rFonts w:eastAsiaTheme="minorEastAsia"/>
          <w:lang w:eastAsia="ja-JP"/>
        </w:rPr>
      </w:pPr>
      <w:r w:rsidRPr="00B80B1A">
        <w:rPr>
          <w:rFonts w:eastAsiaTheme="minorEastAsia"/>
          <w:lang w:eastAsia="ja-JP"/>
        </w:rPr>
        <w:t xml:space="preserve">We recommend that DCF </w:t>
      </w:r>
      <w:r w:rsidR="003F3503" w:rsidRPr="00B80B1A">
        <w:rPr>
          <w:rFonts w:eastAsiaTheme="minorEastAsia"/>
          <w:u w:val="single"/>
          <w:lang w:eastAsia="ja-JP"/>
        </w:rPr>
        <w:t>re</w:t>
      </w:r>
      <w:r w:rsidR="00B44F3A" w:rsidRPr="00B80B1A">
        <w:rPr>
          <w:rFonts w:eastAsiaTheme="minorEastAsia"/>
          <w:u w:val="single"/>
          <w:lang w:eastAsia="ja-JP"/>
        </w:rPr>
        <w:t xml:space="preserve">structure </w:t>
      </w:r>
      <w:r w:rsidR="003F3503" w:rsidRPr="00B80B1A">
        <w:rPr>
          <w:rFonts w:eastAsiaTheme="minorEastAsia"/>
          <w:u w:val="single"/>
          <w:lang w:eastAsia="ja-JP"/>
        </w:rPr>
        <w:t>its pre-hearing review process</w:t>
      </w:r>
      <w:r w:rsidR="00890E5A" w:rsidRPr="00B80B1A">
        <w:rPr>
          <w:rFonts w:eastAsiaTheme="minorEastAsia"/>
          <w:lang w:eastAsia="ja-JP"/>
        </w:rPr>
        <w:t xml:space="preserve"> by</w:t>
      </w:r>
      <w:r w:rsidR="003F3503" w:rsidRPr="00B80B1A">
        <w:rPr>
          <w:rFonts w:eastAsiaTheme="minorEastAsia"/>
          <w:lang w:eastAsia="ja-JP"/>
        </w:rPr>
        <w:t>:</w:t>
      </w:r>
      <w:r w:rsidR="00890E5A" w:rsidRPr="00B80B1A">
        <w:rPr>
          <w:rFonts w:eastAsiaTheme="minorEastAsia"/>
          <w:lang w:eastAsia="ja-JP"/>
        </w:rPr>
        <w:t xml:space="preserve"> </w:t>
      </w:r>
    </w:p>
    <w:p w14:paraId="3C3A9DC0" w14:textId="67FD5B71" w:rsidR="003F3503" w:rsidRPr="00B80B1A" w:rsidRDefault="00A545A4" w:rsidP="00037710">
      <w:pPr>
        <w:pStyle w:val="ListParagraph"/>
        <w:numPr>
          <w:ilvl w:val="1"/>
          <w:numId w:val="3"/>
        </w:numPr>
        <w:spacing w:after="0" w:line="240" w:lineRule="auto"/>
        <w:jc w:val="both"/>
        <w:rPr>
          <w:rFonts w:eastAsiaTheme="minorEastAsia"/>
          <w:lang w:eastAsia="ja-JP"/>
        </w:rPr>
      </w:pPr>
      <w:r>
        <w:rPr>
          <w:rFonts w:eastAsiaTheme="minorEastAsia"/>
          <w:lang w:eastAsia="ja-JP"/>
        </w:rPr>
        <w:t xml:space="preserve">Mandating the </w:t>
      </w:r>
      <w:r w:rsidRPr="00A545A4">
        <w:rPr>
          <w:rFonts w:eastAsiaTheme="minorEastAsia"/>
          <w:u w:val="single"/>
          <w:lang w:eastAsia="ja-JP"/>
        </w:rPr>
        <w:t>review of appealed decisions by the</w:t>
      </w:r>
      <w:r>
        <w:rPr>
          <w:rFonts w:eastAsiaTheme="minorEastAsia"/>
          <w:u w:val="single"/>
          <w:lang w:eastAsia="ja-JP"/>
        </w:rPr>
        <w:t xml:space="preserve"> </w:t>
      </w:r>
      <w:r w:rsidR="00A60689" w:rsidRPr="00B80B1A">
        <w:rPr>
          <w:rFonts w:eastAsiaTheme="minorEastAsia"/>
          <w:u w:val="single"/>
          <w:lang w:eastAsia="ja-JP"/>
        </w:rPr>
        <w:t xml:space="preserve">Area </w:t>
      </w:r>
      <w:r w:rsidR="00CB6373" w:rsidRPr="00B80B1A">
        <w:rPr>
          <w:rFonts w:eastAsiaTheme="minorEastAsia"/>
          <w:u w:val="single"/>
          <w:lang w:eastAsia="ja-JP"/>
        </w:rPr>
        <w:t>Director</w:t>
      </w:r>
      <w:r w:rsidR="00E95F13" w:rsidRPr="00B80B1A">
        <w:rPr>
          <w:rFonts w:eastAsiaTheme="minorEastAsia"/>
          <w:u w:val="single"/>
          <w:lang w:eastAsia="ja-JP"/>
        </w:rPr>
        <w:t xml:space="preserve"> </w:t>
      </w:r>
      <w:r>
        <w:rPr>
          <w:rFonts w:eastAsiaTheme="minorEastAsia"/>
          <w:u w:val="single"/>
          <w:lang w:eastAsia="ja-JP"/>
        </w:rPr>
        <w:t>(or designee)</w:t>
      </w:r>
      <w:r>
        <w:rPr>
          <w:rFonts w:eastAsiaTheme="minorEastAsia"/>
          <w:lang w:eastAsia="ja-JP"/>
        </w:rPr>
        <w:t xml:space="preserve"> </w:t>
      </w:r>
      <w:r w:rsidR="00A60689" w:rsidRPr="00B80B1A">
        <w:rPr>
          <w:rFonts w:eastAsiaTheme="minorEastAsia"/>
          <w:lang w:eastAsia="ja-JP"/>
        </w:rPr>
        <w:t>prior to a Fair Hearing;</w:t>
      </w:r>
    </w:p>
    <w:p w14:paraId="49F88365" w14:textId="79672501" w:rsidR="003F3503" w:rsidRPr="00B80B1A" w:rsidRDefault="003F3503" w:rsidP="00037710">
      <w:pPr>
        <w:pStyle w:val="ListParagraph"/>
        <w:numPr>
          <w:ilvl w:val="1"/>
          <w:numId w:val="3"/>
        </w:numPr>
        <w:spacing w:after="0" w:line="240" w:lineRule="auto"/>
        <w:jc w:val="both"/>
        <w:rPr>
          <w:rFonts w:eastAsiaTheme="minorEastAsia"/>
          <w:lang w:eastAsia="ja-JP"/>
        </w:rPr>
      </w:pPr>
      <w:r w:rsidRPr="00B80B1A">
        <w:rPr>
          <w:rFonts w:eastAsiaTheme="minorEastAsia"/>
          <w:lang w:eastAsia="ja-JP"/>
        </w:rPr>
        <w:t>R</w:t>
      </w:r>
      <w:r w:rsidR="00890E5A" w:rsidRPr="00B80B1A">
        <w:rPr>
          <w:rFonts w:eastAsiaTheme="minorEastAsia"/>
          <w:lang w:eastAsia="ja-JP"/>
        </w:rPr>
        <w:t xml:space="preserve">equiring </w:t>
      </w:r>
      <w:r w:rsidR="00A60689" w:rsidRPr="00B80B1A">
        <w:rPr>
          <w:rFonts w:eastAsiaTheme="minorEastAsia"/>
          <w:lang w:eastAsia="ja-JP"/>
        </w:rPr>
        <w:t>the</w:t>
      </w:r>
      <w:r w:rsidR="004D0C1C" w:rsidRPr="00B80B1A">
        <w:rPr>
          <w:rFonts w:eastAsiaTheme="minorEastAsia"/>
          <w:lang w:eastAsia="ja-JP"/>
        </w:rPr>
        <w:t xml:space="preserve"> </w:t>
      </w:r>
      <w:r w:rsidR="004D0C1C" w:rsidRPr="00B80B1A">
        <w:rPr>
          <w:rFonts w:eastAsiaTheme="minorEastAsia"/>
          <w:u w:val="single"/>
          <w:lang w:eastAsia="ja-JP"/>
        </w:rPr>
        <w:t xml:space="preserve">pre-hearing </w:t>
      </w:r>
      <w:r w:rsidR="00E427C2" w:rsidRPr="00B80B1A">
        <w:rPr>
          <w:rFonts w:eastAsiaTheme="minorEastAsia"/>
          <w:u w:val="single"/>
          <w:lang w:eastAsia="ja-JP"/>
        </w:rPr>
        <w:t xml:space="preserve">resolution </w:t>
      </w:r>
      <w:r w:rsidR="004D0C1C" w:rsidRPr="00B80B1A">
        <w:rPr>
          <w:rFonts w:eastAsiaTheme="minorEastAsia"/>
          <w:u w:val="single"/>
          <w:lang w:eastAsia="ja-JP"/>
        </w:rPr>
        <w:t xml:space="preserve">conference between the </w:t>
      </w:r>
      <w:r w:rsidR="00283536" w:rsidRPr="00B80B1A">
        <w:rPr>
          <w:rFonts w:eastAsiaTheme="minorEastAsia"/>
          <w:u w:val="single"/>
          <w:lang w:eastAsia="ja-JP"/>
        </w:rPr>
        <w:t>Area Director</w:t>
      </w:r>
      <w:r w:rsidR="004D0C1C" w:rsidRPr="00B80B1A">
        <w:rPr>
          <w:rFonts w:eastAsiaTheme="minorEastAsia"/>
          <w:u w:val="single"/>
          <w:lang w:eastAsia="ja-JP"/>
        </w:rPr>
        <w:t xml:space="preserve"> </w:t>
      </w:r>
      <w:r w:rsidR="00A545A4">
        <w:rPr>
          <w:rFonts w:eastAsiaTheme="minorEastAsia"/>
          <w:u w:val="single"/>
          <w:lang w:eastAsia="ja-JP"/>
        </w:rPr>
        <w:t>(</w:t>
      </w:r>
      <w:r w:rsidR="004D0C1C" w:rsidRPr="00B80B1A">
        <w:rPr>
          <w:rFonts w:eastAsiaTheme="minorEastAsia"/>
          <w:u w:val="single"/>
          <w:lang w:eastAsia="ja-JP"/>
        </w:rPr>
        <w:t>or designee</w:t>
      </w:r>
      <w:r w:rsidR="00A545A4">
        <w:rPr>
          <w:rFonts w:eastAsiaTheme="minorEastAsia"/>
          <w:u w:val="single"/>
          <w:lang w:eastAsia="ja-JP"/>
        </w:rPr>
        <w:t>)</w:t>
      </w:r>
      <w:r w:rsidR="004D0C1C" w:rsidRPr="00B80B1A">
        <w:rPr>
          <w:rFonts w:eastAsiaTheme="minorEastAsia"/>
          <w:u w:val="single"/>
          <w:lang w:eastAsia="ja-JP"/>
        </w:rPr>
        <w:t xml:space="preserve"> and the appellant</w:t>
      </w:r>
      <w:r w:rsidRPr="00B80B1A">
        <w:rPr>
          <w:rFonts w:eastAsiaTheme="minorEastAsia"/>
          <w:lang w:eastAsia="ja-JP"/>
        </w:rPr>
        <w:t xml:space="preserve">, </w:t>
      </w:r>
      <w:r w:rsidR="005C6F48" w:rsidRPr="00B80B1A">
        <w:rPr>
          <w:rFonts w:eastAsiaTheme="minorEastAsia"/>
          <w:lang w:eastAsia="ja-JP"/>
        </w:rPr>
        <w:t>with the goal of reaching an agreement that would dispose of the need for, or limit the issues of, a Fair Hearing while informing the appellant of his or her case, rights, and the Fair Hearing process.</w:t>
      </w:r>
    </w:p>
    <w:p w14:paraId="0CE1550D" w14:textId="6FF76815" w:rsidR="003F3503" w:rsidRPr="00B80B1A" w:rsidRDefault="003F3503" w:rsidP="00037710">
      <w:pPr>
        <w:pStyle w:val="ListParagraph"/>
        <w:spacing w:after="0" w:line="240" w:lineRule="auto"/>
        <w:ind w:left="1080" w:hanging="270"/>
        <w:jc w:val="both"/>
        <w:rPr>
          <w:rFonts w:eastAsiaTheme="minorEastAsia"/>
          <w:lang w:eastAsia="ja-JP"/>
        </w:rPr>
      </w:pPr>
    </w:p>
    <w:p w14:paraId="1D4579DE" w14:textId="6F0E9BE0" w:rsidR="004D0C1C" w:rsidRPr="00B80B1A" w:rsidRDefault="007C0EFC" w:rsidP="00037710">
      <w:pPr>
        <w:spacing w:after="0" w:line="240" w:lineRule="auto"/>
        <w:ind w:left="450"/>
        <w:jc w:val="both"/>
        <w:rPr>
          <w:rFonts w:eastAsiaTheme="minorEastAsia"/>
          <w:lang w:eastAsia="ja-JP"/>
        </w:rPr>
      </w:pPr>
      <w:r w:rsidRPr="00B80B1A">
        <w:rPr>
          <w:rFonts w:eastAsiaTheme="minorEastAsia"/>
          <w:lang w:eastAsia="ja-JP"/>
        </w:rPr>
        <w:lastRenderedPageBreak/>
        <w:t>Both requirements</w:t>
      </w:r>
      <w:r w:rsidR="008C6A4A" w:rsidRPr="00B80B1A">
        <w:rPr>
          <w:rFonts w:eastAsiaTheme="minorEastAsia"/>
          <w:lang w:eastAsia="ja-JP"/>
        </w:rPr>
        <w:t xml:space="preserve"> c</w:t>
      </w:r>
      <w:r w:rsidR="004D0C1C" w:rsidRPr="00B80B1A">
        <w:rPr>
          <w:rFonts w:eastAsiaTheme="minorEastAsia"/>
          <w:lang w:eastAsia="ja-JP"/>
        </w:rPr>
        <w:t>ould</w:t>
      </w:r>
      <w:r w:rsidR="00890E5A" w:rsidRPr="00B80B1A">
        <w:rPr>
          <w:rFonts w:eastAsiaTheme="minorEastAsia"/>
          <w:lang w:eastAsia="ja-JP"/>
        </w:rPr>
        <w:t xml:space="preserve"> </w:t>
      </w:r>
      <w:r w:rsidR="004D0C1C" w:rsidRPr="00B80B1A">
        <w:rPr>
          <w:rFonts w:eastAsiaTheme="minorEastAsia"/>
          <w:lang w:eastAsia="ja-JP"/>
        </w:rPr>
        <w:t xml:space="preserve">reduce the number of requests needing a Fair Hearing, </w:t>
      </w:r>
      <w:r w:rsidR="00A60689" w:rsidRPr="00B80B1A">
        <w:rPr>
          <w:rFonts w:eastAsiaTheme="minorEastAsia"/>
          <w:lang w:eastAsia="ja-JP"/>
        </w:rPr>
        <w:t xml:space="preserve">alleviating </w:t>
      </w:r>
      <w:r w:rsidR="004D0C1C" w:rsidRPr="00B80B1A">
        <w:rPr>
          <w:rFonts w:eastAsiaTheme="minorEastAsia"/>
          <w:lang w:eastAsia="ja-JP"/>
        </w:rPr>
        <w:t xml:space="preserve">Hearing Officer </w:t>
      </w:r>
      <w:proofErr w:type="gramStart"/>
      <w:r w:rsidR="004D0C1C" w:rsidRPr="00B80B1A">
        <w:rPr>
          <w:rFonts w:eastAsiaTheme="minorEastAsia"/>
          <w:lang w:eastAsia="ja-JP"/>
        </w:rPr>
        <w:t>caseloads</w:t>
      </w:r>
      <w:proofErr w:type="gramEnd"/>
      <w:r w:rsidR="00A60689" w:rsidRPr="00B80B1A">
        <w:rPr>
          <w:rFonts w:eastAsiaTheme="minorEastAsia"/>
          <w:lang w:eastAsia="ja-JP"/>
        </w:rPr>
        <w:t xml:space="preserve"> and improving Timeliness</w:t>
      </w:r>
      <w:r w:rsidR="004D0C1C" w:rsidRPr="00B80B1A">
        <w:rPr>
          <w:rFonts w:eastAsiaTheme="minorEastAsia"/>
          <w:lang w:eastAsia="ja-JP"/>
        </w:rPr>
        <w:t xml:space="preserve">. </w:t>
      </w:r>
      <w:r w:rsidRPr="00B80B1A">
        <w:rPr>
          <w:rFonts w:eastAsiaTheme="minorEastAsia"/>
          <w:lang w:eastAsia="ja-JP"/>
        </w:rPr>
        <w:t>Further</w:t>
      </w:r>
      <w:r w:rsidR="00A60689" w:rsidRPr="00B80B1A">
        <w:rPr>
          <w:rFonts w:eastAsiaTheme="minorEastAsia"/>
          <w:lang w:eastAsia="ja-JP"/>
        </w:rPr>
        <w:t>more</w:t>
      </w:r>
      <w:r w:rsidRPr="00B80B1A">
        <w:rPr>
          <w:rFonts w:eastAsiaTheme="minorEastAsia"/>
          <w:lang w:eastAsia="ja-JP"/>
        </w:rPr>
        <w:t xml:space="preserve">, </w:t>
      </w:r>
      <w:r w:rsidR="00A60689" w:rsidRPr="00B80B1A">
        <w:rPr>
          <w:rFonts w:eastAsiaTheme="minorEastAsia"/>
          <w:lang w:eastAsia="ja-JP"/>
        </w:rPr>
        <w:t xml:space="preserve">their implementation would </w:t>
      </w:r>
      <w:r w:rsidR="005C6F48" w:rsidRPr="00B80B1A">
        <w:rPr>
          <w:rFonts w:eastAsiaTheme="minorEastAsia"/>
          <w:lang w:eastAsia="ja-JP"/>
        </w:rPr>
        <w:t xml:space="preserve">help ensure </w:t>
      </w:r>
      <w:r w:rsidRPr="00B80B1A">
        <w:rPr>
          <w:rFonts w:eastAsiaTheme="minorEastAsia"/>
          <w:lang w:eastAsia="ja-JP"/>
        </w:rPr>
        <w:t xml:space="preserve">Fairness by requiring additional review of cases </w:t>
      </w:r>
      <w:r w:rsidR="00DB248D" w:rsidRPr="00B80B1A">
        <w:rPr>
          <w:rFonts w:eastAsiaTheme="minorEastAsia"/>
          <w:lang w:eastAsia="ja-JP"/>
        </w:rPr>
        <w:t xml:space="preserve">while educating </w:t>
      </w:r>
      <w:r w:rsidR="003817F2" w:rsidRPr="00B80B1A">
        <w:rPr>
          <w:rFonts w:eastAsiaTheme="minorEastAsia"/>
          <w:lang w:eastAsia="ja-JP"/>
        </w:rPr>
        <w:t>the appellant</w:t>
      </w:r>
      <w:r w:rsidR="00DB248D" w:rsidRPr="00B80B1A">
        <w:rPr>
          <w:rFonts w:eastAsiaTheme="minorEastAsia"/>
          <w:lang w:eastAsia="ja-JP"/>
        </w:rPr>
        <w:t xml:space="preserve"> so as to prepare them for a possible Fair Hearing</w:t>
      </w:r>
      <w:r w:rsidRPr="00B80B1A">
        <w:rPr>
          <w:rFonts w:eastAsiaTheme="minorEastAsia"/>
          <w:lang w:eastAsia="ja-JP"/>
        </w:rPr>
        <w:t xml:space="preserve">. </w:t>
      </w:r>
      <w:r w:rsidR="004D0C1C" w:rsidRPr="00B80B1A">
        <w:rPr>
          <w:rFonts w:eastAsiaTheme="minorEastAsia"/>
          <w:lang w:eastAsia="ja-JP"/>
        </w:rPr>
        <w:t xml:space="preserve">Ideally, no Fair Hearing should be </w:t>
      </w:r>
      <w:r w:rsidR="00B573AD" w:rsidRPr="00B80B1A">
        <w:rPr>
          <w:rFonts w:eastAsiaTheme="minorEastAsia"/>
          <w:lang w:eastAsia="ja-JP"/>
        </w:rPr>
        <w:t xml:space="preserve">held </w:t>
      </w:r>
      <w:r w:rsidR="004D0C1C" w:rsidRPr="00B80B1A">
        <w:rPr>
          <w:rFonts w:eastAsiaTheme="minorEastAsia"/>
          <w:lang w:eastAsia="ja-JP"/>
        </w:rPr>
        <w:t xml:space="preserve">before </w:t>
      </w:r>
      <w:r w:rsidR="00E543F8" w:rsidRPr="00B80B1A">
        <w:rPr>
          <w:rFonts w:eastAsiaTheme="minorEastAsia"/>
          <w:lang w:eastAsia="ja-JP"/>
        </w:rPr>
        <w:t xml:space="preserve">the </w:t>
      </w:r>
      <w:r w:rsidR="00E95F13" w:rsidRPr="00B80B1A">
        <w:rPr>
          <w:rFonts w:eastAsiaTheme="minorEastAsia"/>
          <w:lang w:eastAsia="ja-JP"/>
        </w:rPr>
        <w:t xml:space="preserve">Area </w:t>
      </w:r>
      <w:r w:rsidR="00EA0824" w:rsidRPr="00B80B1A">
        <w:rPr>
          <w:rFonts w:eastAsiaTheme="minorEastAsia"/>
          <w:lang w:eastAsia="ja-JP"/>
        </w:rPr>
        <w:t>Director</w:t>
      </w:r>
      <w:r w:rsidR="00E543F8" w:rsidRPr="00B80B1A">
        <w:rPr>
          <w:rFonts w:eastAsiaTheme="minorEastAsia"/>
          <w:lang w:eastAsia="ja-JP"/>
        </w:rPr>
        <w:t xml:space="preserve"> </w:t>
      </w:r>
      <w:r w:rsidR="00EC44B0">
        <w:rPr>
          <w:rFonts w:eastAsiaTheme="minorEastAsia"/>
          <w:lang w:eastAsia="ja-JP"/>
        </w:rPr>
        <w:t>review</w:t>
      </w:r>
      <w:r w:rsidR="00E427C2" w:rsidRPr="00B80B1A">
        <w:rPr>
          <w:rFonts w:eastAsiaTheme="minorEastAsia"/>
          <w:lang w:eastAsia="ja-JP"/>
        </w:rPr>
        <w:t xml:space="preserve"> </w:t>
      </w:r>
      <w:r w:rsidR="00EC44B0">
        <w:rPr>
          <w:rFonts w:eastAsiaTheme="minorEastAsia"/>
          <w:lang w:eastAsia="ja-JP"/>
        </w:rPr>
        <w:t>and</w:t>
      </w:r>
      <w:r w:rsidR="00E543F8" w:rsidRPr="00B80B1A">
        <w:rPr>
          <w:rFonts w:eastAsiaTheme="minorEastAsia"/>
          <w:lang w:eastAsia="ja-JP"/>
        </w:rPr>
        <w:t xml:space="preserve"> pre-hearing </w:t>
      </w:r>
      <w:r w:rsidR="00EC44B0">
        <w:rPr>
          <w:rFonts w:eastAsiaTheme="minorEastAsia"/>
          <w:lang w:eastAsia="ja-JP"/>
        </w:rPr>
        <w:t>conference</w:t>
      </w:r>
      <w:r w:rsidR="00E543F8" w:rsidRPr="00B80B1A">
        <w:rPr>
          <w:rFonts w:eastAsiaTheme="minorEastAsia"/>
          <w:lang w:eastAsia="ja-JP"/>
        </w:rPr>
        <w:t xml:space="preserve"> with the appellant have taken place</w:t>
      </w:r>
      <w:r w:rsidR="004579A7" w:rsidRPr="00B80B1A">
        <w:rPr>
          <w:rFonts w:eastAsiaTheme="minorEastAsia"/>
          <w:lang w:eastAsia="ja-JP"/>
        </w:rPr>
        <w:t xml:space="preserve">. </w:t>
      </w:r>
      <w:r w:rsidR="00E427C2" w:rsidRPr="00B80B1A">
        <w:rPr>
          <w:rFonts w:eastAsiaTheme="minorEastAsia"/>
          <w:lang w:eastAsia="ja-JP"/>
        </w:rPr>
        <w:t>T</w:t>
      </w:r>
      <w:r w:rsidR="00E543F8" w:rsidRPr="00B80B1A">
        <w:rPr>
          <w:rFonts w:eastAsiaTheme="minorEastAsia"/>
          <w:lang w:eastAsia="ja-JP"/>
        </w:rPr>
        <w:t>hese additional steps</w:t>
      </w:r>
      <w:r w:rsidR="00BE26E0" w:rsidRPr="00B80B1A">
        <w:rPr>
          <w:rFonts w:eastAsiaTheme="minorEastAsia"/>
          <w:lang w:eastAsia="ja-JP"/>
        </w:rPr>
        <w:t xml:space="preserve"> </w:t>
      </w:r>
      <w:r w:rsidR="004D0C1C" w:rsidRPr="00B80B1A">
        <w:rPr>
          <w:rFonts w:eastAsiaTheme="minorEastAsia"/>
          <w:lang w:eastAsia="ja-JP"/>
        </w:rPr>
        <w:t>should not</w:t>
      </w:r>
      <w:r w:rsidR="00E427C2" w:rsidRPr="00B80B1A">
        <w:rPr>
          <w:rFonts w:eastAsiaTheme="minorEastAsia"/>
          <w:lang w:eastAsia="ja-JP"/>
        </w:rPr>
        <w:t>, however,</w:t>
      </w:r>
      <w:r w:rsidR="004D0C1C" w:rsidRPr="00B80B1A">
        <w:rPr>
          <w:rFonts w:eastAsiaTheme="minorEastAsia"/>
          <w:lang w:eastAsia="ja-JP"/>
        </w:rPr>
        <w:t xml:space="preserve"> delay the scheduling of the Fair Hearing.</w:t>
      </w:r>
    </w:p>
    <w:p w14:paraId="0D6106E7" w14:textId="77777777" w:rsidR="004D0C1C" w:rsidRPr="00B80B1A" w:rsidRDefault="004D0C1C" w:rsidP="00037710">
      <w:pPr>
        <w:pStyle w:val="ListParagraph"/>
        <w:spacing w:after="0" w:line="240" w:lineRule="auto"/>
        <w:jc w:val="both"/>
        <w:rPr>
          <w:rFonts w:eastAsiaTheme="minorEastAsia"/>
          <w:lang w:eastAsia="ja-JP"/>
        </w:rPr>
      </w:pPr>
    </w:p>
    <w:p w14:paraId="5E5289CF" w14:textId="060EB3BE" w:rsidR="004D0C1C" w:rsidRPr="00B80B1A" w:rsidRDefault="004D0C1C" w:rsidP="00037710">
      <w:pPr>
        <w:pStyle w:val="ListParagraph"/>
        <w:numPr>
          <w:ilvl w:val="0"/>
          <w:numId w:val="3"/>
        </w:numPr>
        <w:spacing w:after="0" w:line="240" w:lineRule="auto"/>
        <w:ind w:left="450"/>
        <w:jc w:val="both"/>
        <w:rPr>
          <w:rFonts w:eastAsiaTheme="minorEastAsia"/>
          <w:lang w:eastAsia="ja-JP"/>
        </w:rPr>
      </w:pPr>
      <w:r w:rsidRPr="00B80B1A">
        <w:rPr>
          <w:rFonts w:eastAsiaTheme="minorEastAsia"/>
          <w:lang w:eastAsia="ja-JP"/>
        </w:rPr>
        <w:t xml:space="preserve">We recommend </w:t>
      </w:r>
      <w:r w:rsidRPr="00B80B1A">
        <w:rPr>
          <w:rFonts w:eastAsiaTheme="minorEastAsia"/>
          <w:u w:val="single"/>
          <w:lang w:eastAsia="ja-JP"/>
        </w:rPr>
        <w:t>eliminating the “business days” language and changing all timeframe requirements throughout the Fair Hearing process to calendar days.</w:t>
      </w:r>
      <w:r w:rsidRPr="00B80B1A">
        <w:rPr>
          <w:rFonts w:eastAsiaTheme="minorEastAsia"/>
          <w:lang w:eastAsia="ja-JP"/>
        </w:rPr>
        <w:t xml:space="preserve"> Not only would this ensure consistency</w:t>
      </w:r>
      <w:r w:rsidR="002D3DCF" w:rsidRPr="00B80B1A">
        <w:rPr>
          <w:rFonts w:eastAsiaTheme="minorEastAsia"/>
          <w:lang w:eastAsia="ja-JP"/>
        </w:rPr>
        <w:t xml:space="preserve"> and clarity</w:t>
      </w:r>
      <w:r w:rsidRPr="00B80B1A">
        <w:rPr>
          <w:rFonts w:eastAsiaTheme="minorEastAsia"/>
          <w:lang w:eastAsia="ja-JP"/>
        </w:rPr>
        <w:t xml:space="preserve">, </w:t>
      </w:r>
      <w:r w:rsidR="00824EEB" w:rsidRPr="00B80B1A">
        <w:rPr>
          <w:rFonts w:eastAsiaTheme="minorEastAsia"/>
          <w:lang w:eastAsia="ja-JP"/>
        </w:rPr>
        <w:t xml:space="preserve">but </w:t>
      </w:r>
      <w:r w:rsidRPr="00B80B1A">
        <w:rPr>
          <w:rFonts w:eastAsiaTheme="minorEastAsia"/>
          <w:lang w:eastAsia="ja-JP"/>
        </w:rPr>
        <w:t>it would</w:t>
      </w:r>
      <w:r w:rsidR="00824EEB" w:rsidRPr="00B80B1A">
        <w:rPr>
          <w:rFonts w:eastAsiaTheme="minorEastAsia"/>
          <w:lang w:eastAsia="ja-JP"/>
        </w:rPr>
        <w:t xml:space="preserve"> also</w:t>
      </w:r>
      <w:r w:rsidRPr="00B80B1A">
        <w:rPr>
          <w:rFonts w:eastAsiaTheme="minorEastAsia"/>
          <w:lang w:eastAsia="ja-JP"/>
        </w:rPr>
        <w:t xml:space="preserve"> </w:t>
      </w:r>
      <w:r w:rsidR="003234C0" w:rsidRPr="00B80B1A">
        <w:rPr>
          <w:rFonts w:eastAsiaTheme="minorEastAsia"/>
          <w:lang w:eastAsia="ja-JP"/>
        </w:rPr>
        <w:t>improve F</w:t>
      </w:r>
      <w:r w:rsidRPr="00B80B1A">
        <w:rPr>
          <w:rFonts w:eastAsiaTheme="minorEastAsia"/>
          <w:lang w:eastAsia="ja-JP"/>
        </w:rPr>
        <w:t>airness by making the standard for time requirements of both the Department and the appellant the same.</w:t>
      </w:r>
    </w:p>
    <w:p w14:paraId="1F7DA564" w14:textId="77777777" w:rsidR="004D0C1C" w:rsidRPr="00B80B1A" w:rsidRDefault="004D0C1C" w:rsidP="00037710">
      <w:pPr>
        <w:spacing w:after="0" w:line="240" w:lineRule="auto"/>
        <w:ind w:left="450"/>
        <w:jc w:val="both"/>
      </w:pPr>
    </w:p>
    <w:p w14:paraId="323EA2FA" w14:textId="5437E83C" w:rsidR="004D0C1C" w:rsidRPr="00B80B1A" w:rsidRDefault="004D0C1C" w:rsidP="00037710">
      <w:pPr>
        <w:pStyle w:val="ListParagraph"/>
        <w:numPr>
          <w:ilvl w:val="0"/>
          <w:numId w:val="3"/>
        </w:numPr>
        <w:spacing w:after="0" w:line="240" w:lineRule="auto"/>
        <w:ind w:left="450"/>
        <w:jc w:val="both"/>
        <w:rPr>
          <w:rFonts w:eastAsiaTheme="minorEastAsia"/>
          <w:lang w:eastAsia="ja-JP"/>
        </w:rPr>
      </w:pPr>
      <w:r w:rsidRPr="00B80B1A">
        <w:rPr>
          <w:rFonts w:eastAsiaTheme="minorEastAsia"/>
          <w:lang w:eastAsia="ja-JP"/>
        </w:rPr>
        <w:t xml:space="preserve">We recommend that </w:t>
      </w:r>
      <w:r w:rsidR="00137757" w:rsidRPr="00B80B1A">
        <w:rPr>
          <w:rFonts w:eastAsiaTheme="minorEastAsia"/>
          <w:lang w:eastAsia="ja-JP"/>
        </w:rPr>
        <w:t xml:space="preserve">DCF consider </w:t>
      </w:r>
      <w:r w:rsidR="00137757" w:rsidRPr="00B80B1A">
        <w:rPr>
          <w:rFonts w:eastAsiaTheme="minorEastAsia"/>
          <w:u w:val="single"/>
          <w:lang w:eastAsia="ja-JP"/>
        </w:rPr>
        <w:t xml:space="preserve">adding </w:t>
      </w:r>
      <w:r w:rsidRPr="00B80B1A">
        <w:rPr>
          <w:rFonts w:eastAsiaTheme="minorEastAsia"/>
          <w:u w:val="single"/>
          <w:lang w:eastAsia="ja-JP"/>
        </w:rPr>
        <w:t>language to 110 CMR Section 10.13</w:t>
      </w:r>
      <w:r w:rsidR="00824EEB" w:rsidRPr="00B80B1A">
        <w:rPr>
          <w:rFonts w:eastAsiaTheme="minorEastAsia"/>
          <w:u w:val="single"/>
          <w:lang w:eastAsia="ja-JP"/>
        </w:rPr>
        <w:t>,</w:t>
      </w:r>
      <w:r w:rsidRPr="00B80B1A">
        <w:rPr>
          <w:rFonts w:eastAsiaTheme="minorEastAsia"/>
          <w:u w:val="single"/>
          <w:lang w:eastAsia="ja-JP"/>
        </w:rPr>
        <w:t xml:space="preserve"> stating “in no event shall the continuance be longer than 45 days unless the employee’s unavailability is longer than 45 days, in which case the hearing shall be scheduled within </w:t>
      </w:r>
      <w:r w:rsidR="00645473">
        <w:rPr>
          <w:rFonts w:eastAsiaTheme="minorEastAsia"/>
          <w:u w:val="single"/>
          <w:lang w:eastAsia="ja-JP"/>
        </w:rPr>
        <w:t xml:space="preserve">30 </w:t>
      </w:r>
      <w:r w:rsidR="00E95F13" w:rsidRPr="00B80B1A">
        <w:rPr>
          <w:rFonts w:eastAsiaTheme="minorEastAsia"/>
          <w:u w:val="single"/>
          <w:lang w:eastAsia="ja-JP"/>
        </w:rPr>
        <w:t>days</w:t>
      </w:r>
      <w:r w:rsidRPr="00B80B1A">
        <w:rPr>
          <w:rFonts w:eastAsiaTheme="minorEastAsia"/>
          <w:u w:val="single"/>
          <w:lang w:eastAsia="ja-JP"/>
        </w:rPr>
        <w:t xml:space="preserve"> of the employee returning to work.”</w:t>
      </w:r>
      <w:r w:rsidRPr="00B80B1A">
        <w:rPr>
          <w:rFonts w:eastAsiaTheme="minorEastAsia"/>
          <w:lang w:eastAsia="ja-JP"/>
        </w:rPr>
        <w:t xml:space="preserve"> This recognizes that certain circumstances are beyond the control of any party, such as an employee going on maternity leave, but still establishes timeframes that are equitable for all parties involved.</w:t>
      </w:r>
    </w:p>
    <w:p w14:paraId="2BA24212" w14:textId="77777777" w:rsidR="00137757" w:rsidRPr="00B80B1A" w:rsidRDefault="00137757" w:rsidP="00037710">
      <w:pPr>
        <w:spacing w:after="0" w:line="240" w:lineRule="auto"/>
        <w:jc w:val="both"/>
        <w:rPr>
          <w:rFonts w:eastAsiaTheme="minorEastAsia"/>
          <w:u w:val="single"/>
          <w:lang w:eastAsia="ja-JP"/>
        </w:rPr>
      </w:pPr>
    </w:p>
    <w:p w14:paraId="0364E373" w14:textId="0C3EB593" w:rsidR="004D0C1C" w:rsidRPr="00B80B1A" w:rsidRDefault="004D0C1C" w:rsidP="00037710">
      <w:pPr>
        <w:pStyle w:val="Heading3"/>
        <w:numPr>
          <w:ilvl w:val="0"/>
          <w:numId w:val="47"/>
        </w:numPr>
        <w:jc w:val="both"/>
        <w:rPr>
          <w:i/>
          <w:sz w:val="28"/>
          <w:szCs w:val="28"/>
        </w:rPr>
      </w:pPr>
      <w:bookmarkStart w:id="67" w:name="_Toc418852317"/>
      <w:bookmarkStart w:id="68" w:name="_Toc421781210"/>
      <w:r w:rsidRPr="00B80B1A">
        <w:rPr>
          <w:i/>
          <w:sz w:val="28"/>
          <w:szCs w:val="28"/>
        </w:rPr>
        <w:t>Independence</w:t>
      </w:r>
      <w:bookmarkEnd w:id="67"/>
      <w:bookmarkEnd w:id="68"/>
    </w:p>
    <w:p w14:paraId="50766581" w14:textId="77777777" w:rsidR="004D0C1C" w:rsidRPr="00B80B1A" w:rsidRDefault="004D0C1C" w:rsidP="00037710">
      <w:pPr>
        <w:spacing w:after="0" w:line="240" w:lineRule="auto"/>
        <w:ind w:left="360"/>
        <w:jc w:val="both"/>
        <w:rPr>
          <w:rFonts w:eastAsiaTheme="minorEastAsia"/>
          <w:lang w:eastAsia="ja-JP"/>
        </w:rPr>
      </w:pPr>
    </w:p>
    <w:p w14:paraId="6920DE94" w14:textId="7FD51EBC" w:rsidR="004D0C1C" w:rsidRPr="00B80B1A" w:rsidRDefault="004D0C1C" w:rsidP="00037710">
      <w:pPr>
        <w:pStyle w:val="ListParagraph"/>
        <w:numPr>
          <w:ilvl w:val="0"/>
          <w:numId w:val="3"/>
        </w:numPr>
        <w:spacing w:after="0" w:line="240" w:lineRule="auto"/>
        <w:ind w:left="450"/>
        <w:jc w:val="both"/>
        <w:rPr>
          <w:rFonts w:eastAsiaTheme="minorEastAsia"/>
          <w:lang w:eastAsia="ja-JP"/>
        </w:rPr>
      </w:pPr>
      <w:r w:rsidRPr="00B80B1A">
        <w:rPr>
          <w:rFonts w:eastAsiaTheme="minorEastAsia"/>
          <w:lang w:eastAsia="ja-JP"/>
        </w:rPr>
        <w:t xml:space="preserve">We recommend that DCF </w:t>
      </w:r>
      <w:r w:rsidRPr="00B80B1A">
        <w:rPr>
          <w:rFonts w:eastAsiaTheme="minorEastAsia"/>
          <w:u w:val="single"/>
          <w:lang w:eastAsia="ja-JP"/>
        </w:rPr>
        <w:t xml:space="preserve">eliminate the Commissioner review of any decision by a Hearing Officer resulting in a reversal and consider limiting Hearing Officer communication to his </w:t>
      </w:r>
      <w:r w:rsidR="00867A49" w:rsidRPr="00B80B1A">
        <w:rPr>
          <w:rFonts w:eastAsiaTheme="minorEastAsia"/>
          <w:u w:val="single"/>
          <w:lang w:eastAsia="ja-JP"/>
        </w:rPr>
        <w:t>or her Fair Hearing Supervisors and Director of Fair Hearings only</w:t>
      </w:r>
      <w:r w:rsidRPr="00B80B1A">
        <w:rPr>
          <w:rFonts w:eastAsiaTheme="minorEastAsia"/>
          <w:u w:val="single"/>
          <w:lang w:eastAsia="ja-JP"/>
        </w:rPr>
        <w:t>.</w:t>
      </w:r>
      <w:r w:rsidRPr="00B80B1A">
        <w:rPr>
          <w:rFonts w:eastAsiaTheme="minorEastAsia"/>
          <w:lang w:eastAsia="ja-JP"/>
        </w:rPr>
        <w:t xml:space="preserve"> Not only would this enhance the </w:t>
      </w:r>
      <w:r w:rsidR="00E427C2" w:rsidRPr="00B80B1A">
        <w:rPr>
          <w:rFonts w:eastAsiaTheme="minorEastAsia"/>
          <w:lang w:eastAsia="ja-JP"/>
        </w:rPr>
        <w:t>I</w:t>
      </w:r>
      <w:r w:rsidRPr="00B80B1A">
        <w:rPr>
          <w:rFonts w:eastAsiaTheme="minorEastAsia"/>
          <w:lang w:eastAsia="ja-JP"/>
        </w:rPr>
        <w:t xml:space="preserve">ndependence of Hearing Officers, </w:t>
      </w:r>
      <w:r w:rsidR="00F90D68" w:rsidRPr="00B80B1A">
        <w:rPr>
          <w:rFonts w:eastAsiaTheme="minorEastAsia"/>
          <w:lang w:eastAsia="ja-JP"/>
        </w:rPr>
        <w:t xml:space="preserve">but </w:t>
      </w:r>
      <w:r w:rsidRPr="00B80B1A">
        <w:rPr>
          <w:rFonts w:eastAsiaTheme="minorEastAsia"/>
          <w:lang w:eastAsia="ja-JP"/>
        </w:rPr>
        <w:t>it would</w:t>
      </w:r>
      <w:r w:rsidR="00F90D68" w:rsidRPr="00B80B1A">
        <w:rPr>
          <w:rFonts w:eastAsiaTheme="minorEastAsia"/>
          <w:lang w:eastAsia="ja-JP"/>
        </w:rPr>
        <w:t xml:space="preserve"> also</w:t>
      </w:r>
      <w:r w:rsidRPr="00B80B1A">
        <w:rPr>
          <w:rFonts w:eastAsiaTheme="minorEastAsia"/>
          <w:lang w:eastAsia="ja-JP"/>
        </w:rPr>
        <w:t xml:space="preserve"> eliminate potential infractions regarding </w:t>
      </w:r>
      <w:r w:rsidRPr="00B80B1A">
        <w:rPr>
          <w:rFonts w:eastAsiaTheme="minorEastAsia"/>
          <w:i/>
          <w:lang w:eastAsia="ja-JP"/>
        </w:rPr>
        <w:t>ex</w:t>
      </w:r>
      <w:r w:rsidR="001D08BC">
        <w:rPr>
          <w:rFonts w:eastAsiaTheme="minorEastAsia"/>
          <w:i/>
          <w:lang w:eastAsia="ja-JP"/>
        </w:rPr>
        <w:t xml:space="preserve"> </w:t>
      </w:r>
      <w:r w:rsidRPr="00B80B1A">
        <w:rPr>
          <w:rFonts w:eastAsiaTheme="minorEastAsia"/>
          <w:i/>
          <w:lang w:eastAsia="ja-JP"/>
        </w:rPr>
        <w:t>parte</w:t>
      </w:r>
      <w:r w:rsidRPr="00B80B1A">
        <w:rPr>
          <w:rFonts w:eastAsiaTheme="minorEastAsia"/>
          <w:lang w:eastAsia="ja-JP"/>
        </w:rPr>
        <w:t xml:space="preserve"> communication or any other type of undue influence that might ensue.</w:t>
      </w:r>
    </w:p>
    <w:p w14:paraId="2D07B001" w14:textId="77777777" w:rsidR="004D0C1C" w:rsidRPr="00B80B1A" w:rsidRDefault="004D0C1C" w:rsidP="00037710">
      <w:pPr>
        <w:spacing w:after="0" w:line="240" w:lineRule="auto"/>
        <w:jc w:val="both"/>
        <w:rPr>
          <w:sz w:val="28"/>
          <w:szCs w:val="28"/>
        </w:rPr>
      </w:pPr>
    </w:p>
    <w:p w14:paraId="1AF7E0D8" w14:textId="3D45646F" w:rsidR="004D0C1C" w:rsidRPr="00B80B1A" w:rsidRDefault="004D0C1C" w:rsidP="00037710">
      <w:pPr>
        <w:pStyle w:val="Heading2"/>
        <w:numPr>
          <w:ilvl w:val="0"/>
          <w:numId w:val="45"/>
        </w:numPr>
        <w:tabs>
          <w:tab w:val="left" w:pos="360"/>
        </w:tabs>
        <w:ind w:hanging="720"/>
        <w:jc w:val="both"/>
        <w:rPr>
          <w:i/>
          <w:sz w:val="28"/>
          <w:szCs w:val="28"/>
        </w:rPr>
      </w:pPr>
      <w:bookmarkStart w:id="69" w:name="_Toc418852318"/>
      <w:bookmarkStart w:id="70" w:name="_Toc421781211"/>
      <w:r w:rsidRPr="00B80B1A">
        <w:rPr>
          <w:i/>
          <w:sz w:val="28"/>
          <w:szCs w:val="28"/>
        </w:rPr>
        <w:t>Recommended Operational Changes</w:t>
      </w:r>
      <w:bookmarkEnd w:id="69"/>
      <w:bookmarkEnd w:id="70"/>
    </w:p>
    <w:p w14:paraId="32798713" w14:textId="77777777" w:rsidR="004D0C1C" w:rsidRPr="00B80B1A" w:rsidRDefault="004D0C1C" w:rsidP="00037710">
      <w:pPr>
        <w:spacing w:after="0" w:line="240" w:lineRule="auto"/>
        <w:ind w:left="360"/>
        <w:jc w:val="both"/>
        <w:rPr>
          <w:i/>
        </w:rPr>
      </w:pPr>
    </w:p>
    <w:p w14:paraId="7B3FBE1D" w14:textId="1A655E23" w:rsidR="004D0C1C" w:rsidRPr="00B80B1A" w:rsidRDefault="004D0C1C" w:rsidP="00037710">
      <w:pPr>
        <w:pStyle w:val="Heading3"/>
        <w:numPr>
          <w:ilvl w:val="0"/>
          <w:numId w:val="48"/>
        </w:numPr>
        <w:jc w:val="both"/>
        <w:rPr>
          <w:i/>
          <w:sz w:val="28"/>
          <w:szCs w:val="28"/>
        </w:rPr>
      </w:pPr>
      <w:bookmarkStart w:id="71" w:name="_Toc418852319"/>
      <w:bookmarkStart w:id="72" w:name="_Toc421781212"/>
      <w:r w:rsidRPr="00B80B1A">
        <w:rPr>
          <w:i/>
          <w:sz w:val="28"/>
          <w:szCs w:val="28"/>
        </w:rPr>
        <w:t>Timeliness</w:t>
      </w:r>
      <w:bookmarkEnd w:id="71"/>
      <w:bookmarkEnd w:id="72"/>
    </w:p>
    <w:p w14:paraId="212D65F8" w14:textId="77777777" w:rsidR="00B25A35" w:rsidRPr="00B80B1A" w:rsidRDefault="00B25A35" w:rsidP="00037710">
      <w:pPr>
        <w:spacing w:after="0" w:line="240" w:lineRule="auto"/>
        <w:jc w:val="both"/>
        <w:rPr>
          <w:u w:val="single"/>
        </w:rPr>
      </w:pPr>
    </w:p>
    <w:p w14:paraId="4C40C972" w14:textId="2351C032" w:rsidR="00B25A35" w:rsidRPr="00B80B1A" w:rsidRDefault="00B25A35" w:rsidP="00037710">
      <w:pPr>
        <w:pStyle w:val="ListParagraph"/>
        <w:numPr>
          <w:ilvl w:val="0"/>
          <w:numId w:val="3"/>
        </w:numPr>
        <w:spacing w:after="0" w:line="240" w:lineRule="auto"/>
        <w:ind w:left="450"/>
        <w:jc w:val="both"/>
      </w:pPr>
      <w:r w:rsidRPr="00B80B1A">
        <w:t xml:space="preserve">We recommend that the </w:t>
      </w:r>
      <w:r w:rsidR="00867A49" w:rsidRPr="00B80B1A">
        <w:t xml:space="preserve">Legislature </w:t>
      </w:r>
      <w:r w:rsidR="00867A49" w:rsidRPr="00B80B1A">
        <w:rPr>
          <w:u w:val="single"/>
        </w:rPr>
        <w:t xml:space="preserve">provide more </w:t>
      </w:r>
      <w:r w:rsidR="00E95F13" w:rsidRPr="00B80B1A">
        <w:rPr>
          <w:u w:val="single"/>
        </w:rPr>
        <w:t xml:space="preserve">transferability between line items </w:t>
      </w:r>
      <w:r w:rsidR="00867A49" w:rsidRPr="00B80B1A">
        <w:rPr>
          <w:u w:val="single"/>
        </w:rPr>
        <w:t>to DCF on budget allocations such that expenditures already approved for certain positions can be re-purposed</w:t>
      </w:r>
      <w:r w:rsidR="00867A49" w:rsidRPr="00B80B1A">
        <w:t xml:space="preserve"> and channeled toward th</w:t>
      </w:r>
      <w:r w:rsidR="00F23F8B">
        <w:t>e most pressing staffing needs.</w:t>
      </w:r>
    </w:p>
    <w:p w14:paraId="7A34878B" w14:textId="77777777" w:rsidR="00B25A35" w:rsidRPr="00B80B1A" w:rsidRDefault="00B25A35" w:rsidP="00037710">
      <w:pPr>
        <w:spacing w:after="0" w:line="240" w:lineRule="auto"/>
        <w:ind w:left="450"/>
        <w:jc w:val="both"/>
        <w:rPr>
          <w:u w:val="single"/>
        </w:rPr>
      </w:pPr>
    </w:p>
    <w:p w14:paraId="5AE0478D" w14:textId="0B2C5CB8" w:rsidR="004D0C1C" w:rsidRPr="00B80B1A" w:rsidRDefault="004D0C1C" w:rsidP="00037710">
      <w:pPr>
        <w:pStyle w:val="ListParagraph"/>
        <w:numPr>
          <w:ilvl w:val="0"/>
          <w:numId w:val="12"/>
        </w:numPr>
        <w:spacing w:after="0" w:line="240" w:lineRule="auto"/>
        <w:ind w:left="450"/>
        <w:jc w:val="both"/>
      </w:pPr>
      <w:r w:rsidRPr="00B80B1A">
        <w:t>We recommend that DCF improve Hearing Officer productivity by:</w:t>
      </w:r>
    </w:p>
    <w:p w14:paraId="6925C4A3" w14:textId="5114D41A" w:rsidR="004D0C1C" w:rsidRPr="00B80B1A" w:rsidRDefault="004D0C1C" w:rsidP="00037710">
      <w:pPr>
        <w:pStyle w:val="ListParagraph"/>
        <w:numPr>
          <w:ilvl w:val="0"/>
          <w:numId w:val="5"/>
        </w:numPr>
        <w:spacing w:after="0" w:line="240" w:lineRule="auto"/>
        <w:ind w:left="990"/>
        <w:jc w:val="both"/>
      </w:pPr>
      <w:r w:rsidRPr="00B80B1A">
        <w:t xml:space="preserve">Establishing monthly </w:t>
      </w:r>
      <w:r w:rsidR="006607FD" w:rsidRPr="00B80B1A">
        <w:rPr>
          <w:u w:val="single"/>
        </w:rPr>
        <w:t>minimally</w:t>
      </w:r>
      <w:r w:rsidRPr="00B80B1A">
        <w:rPr>
          <w:u w:val="single"/>
        </w:rPr>
        <w:t xml:space="preserve"> acceptable Hearing Officer </w:t>
      </w:r>
      <w:proofErr w:type="gramStart"/>
      <w:r w:rsidRPr="00B80B1A">
        <w:rPr>
          <w:u w:val="single"/>
        </w:rPr>
        <w:t>decision</w:t>
      </w:r>
      <w:proofErr w:type="gramEnd"/>
      <w:r w:rsidRPr="00B80B1A">
        <w:rPr>
          <w:u w:val="single"/>
        </w:rPr>
        <w:t xml:space="preserve"> output and quality requirements</w:t>
      </w:r>
      <w:r w:rsidRPr="00B80B1A">
        <w:t xml:space="preserve"> and including these targets as metrics in Hearing Officer performance reviews. DCF should consider holding monthly in-person Supervisor-Hearing Officer check-in meetings to monitor progress toward the targets</w:t>
      </w:r>
      <w:r w:rsidR="004579A7" w:rsidRPr="00B80B1A">
        <w:t xml:space="preserve">. </w:t>
      </w:r>
      <w:r w:rsidRPr="00B80B1A">
        <w:t xml:space="preserve">A 15% overall improvement in Hearing Officer </w:t>
      </w:r>
      <w:proofErr w:type="gramStart"/>
      <w:r w:rsidRPr="00B80B1A">
        <w:t>productivity</w:t>
      </w:r>
      <w:proofErr w:type="gramEnd"/>
      <w:r w:rsidRPr="00B80B1A">
        <w:t xml:space="preserve"> would address the ongoing caseload assuming </w:t>
      </w:r>
      <w:r w:rsidR="00ED0418" w:rsidRPr="00B80B1A">
        <w:t xml:space="preserve">there were </w:t>
      </w:r>
      <w:r w:rsidRPr="00B80B1A">
        <w:t>1,450 requests per year.</w:t>
      </w:r>
    </w:p>
    <w:p w14:paraId="68F587F0" w14:textId="19CD0AA1" w:rsidR="004D0C1C" w:rsidRPr="00B80B1A" w:rsidRDefault="00ED0418" w:rsidP="00037710">
      <w:pPr>
        <w:pStyle w:val="ListParagraph"/>
        <w:numPr>
          <w:ilvl w:val="0"/>
          <w:numId w:val="5"/>
        </w:numPr>
        <w:spacing w:after="0" w:line="240" w:lineRule="auto"/>
        <w:ind w:left="990"/>
        <w:jc w:val="both"/>
      </w:pPr>
      <w:r w:rsidRPr="00B80B1A">
        <w:t>P</w:t>
      </w:r>
      <w:r w:rsidR="004D0C1C" w:rsidRPr="00B80B1A">
        <w:t xml:space="preserve">iloting a </w:t>
      </w:r>
      <w:r w:rsidR="004D0C1C" w:rsidRPr="00B80B1A">
        <w:rPr>
          <w:u w:val="single"/>
        </w:rPr>
        <w:t>different Fair Hearing decision</w:t>
      </w:r>
      <w:r w:rsidR="00974E72" w:rsidRPr="00B80B1A">
        <w:rPr>
          <w:u w:val="single"/>
        </w:rPr>
        <w:t>-</w:t>
      </w:r>
      <w:r w:rsidR="004D0C1C" w:rsidRPr="00B80B1A">
        <w:rPr>
          <w:u w:val="single"/>
        </w:rPr>
        <w:t>writing approach</w:t>
      </w:r>
      <w:r w:rsidR="004D0C1C" w:rsidRPr="00B80B1A">
        <w:t xml:space="preserve"> from the current </w:t>
      </w:r>
      <w:r w:rsidR="009B4F74" w:rsidRPr="00B80B1A">
        <w:t>five</w:t>
      </w:r>
      <w:r w:rsidR="004D0C1C" w:rsidRPr="00B80B1A">
        <w:t>-week cycle</w:t>
      </w:r>
      <w:r w:rsidR="004579A7" w:rsidRPr="00B80B1A">
        <w:t xml:space="preserve">. </w:t>
      </w:r>
      <w:r w:rsidR="004D0C1C" w:rsidRPr="00B80B1A">
        <w:t>Combined with the output and quality requirements above, a new approach may measurably</w:t>
      </w:r>
      <w:r w:rsidR="00004B58" w:rsidRPr="00B80B1A">
        <w:t xml:space="preserve"> improve</w:t>
      </w:r>
      <w:r w:rsidR="004D0C1C" w:rsidRPr="00B80B1A">
        <w:t xml:space="preserve"> productivity</w:t>
      </w:r>
      <w:r w:rsidR="004579A7" w:rsidRPr="00B80B1A">
        <w:t xml:space="preserve">. </w:t>
      </w:r>
      <w:r w:rsidR="004D0C1C" w:rsidRPr="00B80B1A">
        <w:t xml:space="preserve">As one possibility to test selectively, Hearing Officers suggested </w:t>
      </w:r>
      <w:r w:rsidR="009B4F74" w:rsidRPr="00B80B1A">
        <w:t xml:space="preserve">a ratio of </w:t>
      </w:r>
      <w:r w:rsidR="004D0C1C" w:rsidRPr="00B80B1A">
        <w:t>one Fair Hearing</w:t>
      </w:r>
      <w:r w:rsidR="009B4F74" w:rsidRPr="00B80B1A">
        <w:t xml:space="preserve"> to </w:t>
      </w:r>
      <w:r w:rsidR="004D0C1C" w:rsidRPr="00B80B1A">
        <w:t>one written decision per day approach</w:t>
      </w:r>
      <w:r w:rsidR="004579A7" w:rsidRPr="00B80B1A">
        <w:t xml:space="preserve">. </w:t>
      </w:r>
    </w:p>
    <w:p w14:paraId="2E6D0384" w14:textId="6F91D33C" w:rsidR="004D0C1C" w:rsidRPr="00B80B1A" w:rsidRDefault="004D0C1C" w:rsidP="00037710">
      <w:pPr>
        <w:pStyle w:val="ListParagraph"/>
        <w:numPr>
          <w:ilvl w:val="0"/>
          <w:numId w:val="5"/>
        </w:numPr>
        <w:spacing w:after="0" w:line="240" w:lineRule="auto"/>
        <w:ind w:left="990"/>
        <w:jc w:val="both"/>
      </w:pPr>
      <w:r w:rsidRPr="00B80B1A">
        <w:lastRenderedPageBreak/>
        <w:t xml:space="preserve">Providing </w:t>
      </w:r>
      <w:r w:rsidRPr="00B80B1A">
        <w:rPr>
          <w:u w:val="single"/>
        </w:rPr>
        <w:t>decision structuring and writing training</w:t>
      </w:r>
      <w:r w:rsidRPr="00B80B1A">
        <w:t xml:space="preserve"> as needed to Hearing Officers to ensure their work is up to Supervisors’ standards.</w:t>
      </w:r>
    </w:p>
    <w:p w14:paraId="272CA610" w14:textId="77777777" w:rsidR="004D0C1C" w:rsidRPr="00B80B1A" w:rsidRDefault="004D0C1C" w:rsidP="00037710">
      <w:pPr>
        <w:spacing w:after="0" w:line="240" w:lineRule="auto"/>
        <w:ind w:left="360"/>
        <w:jc w:val="both"/>
        <w:rPr>
          <w:u w:val="single"/>
        </w:rPr>
      </w:pPr>
    </w:p>
    <w:p w14:paraId="76EB75BF" w14:textId="26E41D43" w:rsidR="004D0C1C" w:rsidRPr="00B80B1A" w:rsidRDefault="004D0C1C" w:rsidP="00037710">
      <w:pPr>
        <w:pStyle w:val="ListParagraph"/>
        <w:numPr>
          <w:ilvl w:val="0"/>
          <w:numId w:val="12"/>
        </w:numPr>
        <w:spacing w:after="0" w:line="240" w:lineRule="auto"/>
        <w:ind w:left="450"/>
        <w:jc w:val="both"/>
      </w:pPr>
      <w:r w:rsidRPr="00B80B1A">
        <w:t>We recommend adding temporary capacity to the Fair Hearing Unit to eliminate the current and growing backlogs</w:t>
      </w:r>
      <w:r w:rsidR="004579A7" w:rsidRPr="00B80B1A">
        <w:t xml:space="preserve">. </w:t>
      </w:r>
      <w:r w:rsidRPr="00B80B1A">
        <w:t>To estimate required staffing levels, we built a spreadsheet-based model that takes into account current trends in workload, capacity</w:t>
      </w:r>
      <w:r w:rsidR="00974E72" w:rsidRPr="00B80B1A">
        <w:t>,</w:t>
      </w:r>
      <w:r w:rsidRPr="00B80B1A">
        <w:t xml:space="preserve"> and productivity</w:t>
      </w:r>
      <w:r w:rsidR="004579A7" w:rsidRPr="00B80B1A">
        <w:t xml:space="preserve">. </w:t>
      </w:r>
      <w:r w:rsidRPr="00B80B1A">
        <w:t xml:space="preserve">According to our estimates, DCF could fulfill this capacity gap with </w:t>
      </w:r>
      <w:r w:rsidR="009B4F74" w:rsidRPr="00B80B1A">
        <w:rPr>
          <w:u w:val="single"/>
        </w:rPr>
        <w:t>eight to ten</w:t>
      </w:r>
      <w:r w:rsidRPr="00B80B1A">
        <w:rPr>
          <w:u w:val="single"/>
        </w:rPr>
        <w:t xml:space="preserve"> temporary paralegals for one full year</w:t>
      </w:r>
      <w:r w:rsidR="004579A7" w:rsidRPr="00B80B1A">
        <w:rPr>
          <w:u w:val="single"/>
        </w:rPr>
        <w:t>.</w:t>
      </w:r>
      <w:r w:rsidR="004579A7" w:rsidRPr="00B80B1A">
        <w:t xml:space="preserve"> </w:t>
      </w:r>
      <w:r w:rsidRPr="00B80B1A">
        <w:t>Such resources should be dedicated primarily to assisting Hearing Officers and Supervisors in working down the respective backlogs. Temporary paralegals can bring Hearing Officers and Supervisors up to speed on older cases (some dating to 2002), outline evidence and facts for cases previously heard, serve as discussion partners for Hearing Officers and Supervisors in structuring or reviewing decisions, and ultimately expedite decision issuance</w:t>
      </w:r>
      <w:r w:rsidR="004579A7" w:rsidRPr="00B80B1A">
        <w:t xml:space="preserve">. </w:t>
      </w:r>
      <w:r w:rsidRPr="00B80B1A">
        <w:t>Cost estimate: $400-600K.</w:t>
      </w:r>
    </w:p>
    <w:p w14:paraId="42111A98" w14:textId="77777777" w:rsidR="004D0C1C" w:rsidRPr="00B80B1A" w:rsidRDefault="004D0C1C" w:rsidP="00037710">
      <w:pPr>
        <w:spacing w:after="0" w:line="240" w:lineRule="auto"/>
        <w:ind w:left="450"/>
        <w:jc w:val="both"/>
      </w:pPr>
    </w:p>
    <w:p w14:paraId="25B4349C" w14:textId="7A047E15" w:rsidR="00392FE6" w:rsidRPr="00B80B1A" w:rsidRDefault="00392FE6" w:rsidP="00392FE6">
      <w:pPr>
        <w:pStyle w:val="ListParagraph"/>
        <w:numPr>
          <w:ilvl w:val="0"/>
          <w:numId w:val="12"/>
        </w:numPr>
        <w:spacing w:after="0" w:line="240" w:lineRule="auto"/>
        <w:ind w:left="450"/>
        <w:jc w:val="both"/>
      </w:pPr>
      <w:r w:rsidRPr="00B80B1A">
        <w:t>We recommend that DCF prioritize the issuance of already-decided reversal decision</w:t>
      </w:r>
      <w:r w:rsidR="00645473">
        <w:t>s</w:t>
      </w:r>
      <w:r w:rsidRPr="00B80B1A">
        <w:t xml:space="preserve"> for backlogged cases such that appellants in these cases benefit from the Fair Hearing decision</w:t>
      </w:r>
      <w:r w:rsidR="00645473">
        <w:t>s</w:t>
      </w:r>
      <w:r w:rsidRPr="00B80B1A">
        <w:t xml:space="preserve"> without further delay.</w:t>
      </w:r>
    </w:p>
    <w:p w14:paraId="0B85C3C6" w14:textId="77777777" w:rsidR="00392FE6" w:rsidRPr="00B80B1A" w:rsidRDefault="00392FE6" w:rsidP="00037710">
      <w:pPr>
        <w:spacing w:after="0" w:line="240" w:lineRule="auto"/>
        <w:ind w:left="450"/>
        <w:jc w:val="both"/>
      </w:pPr>
    </w:p>
    <w:p w14:paraId="25361CF3" w14:textId="1F0F5DEE" w:rsidR="004D0C1C" w:rsidRPr="00B80B1A" w:rsidRDefault="004D0C1C" w:rsidP="00037710">
      <w:pPr>
        <w:pStyle w:val="ListParagraph"/>
        <w:numPr>
          <w:ilvl w:val="0"/>
          <w:numId w:val="12"/>
        </w:numPr>
        <w:spacing w:after="0" w:line="240" w:lineRule="auto"/>
        <w:ind w:left="450"/>
        <w:jc w:val="both"/>
      </w:pPr>
      <w:r w:rsidRPr="00B80B1A">
        <w:t>In order to help with the ongoing Supervisor work as well as general administrative matters, we recommend that DCF increase</w:t>
      </w:r>
      <w:r w:rsidR="00E142D0" w:rsidRPr="00B80B1A">
        <w:t xml:space="preserve"> </w:t>
      </w:r>
      <w:r w:rsidRPr="00B80B1A">
        <w:t>Supervisor capacity by:</w:t>
      </w:r>
    </w:p>
    <w:p w14:paraId="2801670D" w14:textId="2B83F317" w:rsidR="004D0C1C" w:rsidRPr="00B80B1A" w:rsidRDefault="004D0C1C" w:rsidP="00037710">
      <w:pPr>
        <w:pStyle w:val="ListParagraph"/>
        <w:numPr>
          <w:ilvl w:val="0"/>
          <w:numId w:val="4"/>
        </w:numPr>
        <w:spacing w:after="0" w:line="240" w:lineRule="auto"/>
        <w:ind w:left="990"/>
        <w:jc w:val="both"/>
      </w:pPr>
      <w:r w:rsidRPr="00B80B1A">
        <w:t xml:space="preserve">Adding </w:t>
      </w:r>
      <w:r w:rsidRPr="00B80B1A">
        <w:rPr>
          <w:u w:val="single"/>
        </w:rPr>
        <w:t>one full-time Supervisor assistant</w:t>
      </w:r>
      <w:r w:rsidR="00974E72" w:rsidRPr="00B80B1A">
        <w:rPr>
          <w:u w:val="single"/>
        </w:rPr>
        <w:t>.</w:t>
      </w:r>
      <w:r w:rsidRPr="00B80B1A">
        <w:t xml:space="preserve"> Cost</w:t>
      </w:r>
      <w:r w:rsidR="00474FFD" w:rsidRPr="00B80B1A">
        <w:t xml:space="preserve"> estimate</w:t>
      </w:r>
      <w:r w:rsidRPr="00B80B1A">
        <w:t>: $50-60K</w:t>
      </w:r>
      <w:r w:rsidR="00974E72" w:rsidRPr="00B80B1A">
        <w:t>;</w:t>
      </w:r>
    </w:p>
    <w:p w14:paraId="58DB3038" w14:textId="124701C1" w:rsidR="004D0C1C" w:rsidRPr="00B80B1A" w:rsidRDefault="00CC76A7" w:rsidP="00037710">
      <w:pPr>
        <w:pStyle w:val="ListParagraph"/>
        <w:numPr>
          <w:ilvl w:val="0"/>
          <w:numId w:val="4"/>
        </w:numPr>
        <w:spacing w:after="0" w:line="240" w:lineRule="auto"/>
        <w:ind w:left="990"/>
        <w:jc w:val="both"/>
      </w:pPr>
      <w:r w:rsidRPr="00B80B1A">
        <w:t xml:space="preserve">Adding </w:t>
      </w:r>
      <w:r w:rsidRPr="00B80B1A">
        <w:rPr>
          <w:u w:val="single"/>
        </w:rPr>
        <w:t>two more</w:t>
      </w:r>
      <w:r w:rsidR="004D0C1C" w:rsidRPr="00B80B1A">
        <w:rPr>
          <w:u w:val="single"/>
        </w:rPr>
        <w:t xml:space="preserve"> full-time Hearing Officer Supervisor</w:t>
      </w:r>
      <w:r w:rsidRPr="00B80B1A">
        <w:rPr>
          <w:u w:val="single"/>
        </w:rPr>
        <w:t>s</w:t>
      </w:r>
      <w:r w:rsidR="00A219C2" w:rsidRPr="00B80B1A">
        <w:t xml:space="preserve">, including the </w:t>
      </w:r>
      <w:r w:rsidR="00DD4051" w:rsidRPr="00B80B1A">
        <w:t>one</w:t>
      </w:r>
      <w:r w:rsidR="004D0C1C" w:rsidRPr="00B80B1A">
        <w:t xml:space="preserve"> </w:t>
      </w:r>
      <w:r w:rsidR="00A219C2" w:rsidRPr="00B80B1A">
        <w:t>additional hire already planned</w:t>
      </w:r>
      <w:r w:rsidR="004D0C1C" w:rsidRPr="00B80B1A">
        <w:t>.</w:t>
      </w:r>
      <w:r w:rsidR="00506508" w:rsidRPr="00B80B1A">
        <w:t xml:space="preserve"> Cost estimate: $160</w:t>
      </w:r>
      <w:r w:rsidR="0076242D" w:rsidRPr="00B80B1A">
        <w:t>K.</w:t>
      </w:r>
    </w:p>
    <w:p w14:paraId="6BD5ADA8" w14:textId="77777777" w:rsidR="004D0C1C" w:rsidRPr="00B80B1A" w:rsidRDefault="004D0C1C" w:rsidP="00037710">
      <w:pPr>
        <w:pStyle w:val="ListParagraph"/>
        <w:spacing w:after="0" w:line="240" w:lineRule="auto"/>
        <w:ind w:left="1440"/>
        <w:jc w:val="both"/>
      </w:pPr>
    </w:p>
    <w:p w14:paraId="7F73F3A6" w14:textId="77777777" w:rsidR="004D0C1C" w:rsidRPr="00B80B1A" w:rsidRDefault="004D0C1C" w:rsidP="00037710">
      <w:pPr>
        <w:spacing w:after="0" w:line="240" w:lineRule="auto"/>
        <w:ind w:left="450"/>
        <w:jc w:val="both"/>
      </w:pPr>
      <w:r w:rsidRPr="00B80B1A">
        <w:t>This recommendation assumes that the Supervisor decision review requirement will not be eliminated in the short term.</w:t>
      </w:r>
    </w:p>
    <w:p w14:paraId="1E571D9E" w14:textId="77777777" w:rsidR="004D0C1C" w:rsidRPr="00B80B1A" w:rsidRDefault="004D0C1C" w:rsidP="00037710">
      <w:pPr>
        <w:spacing w:after="0" w:line="240" w:lineRule="auto"/>
        <w:ind w:left="450"/>
        <w:jc w:val="both"/>
      </w:pPr>
    </w:p>
    <w:p w14:paraId="0F18090C" w14:textId="50ABAE66" w:rsidR="004D0C1C" w:rsidRPr="00B80B1A" w:rsidRDefault="004D0C1C" w:rsidP="00037710">
      <w:pPr>
        <w:pStyle w:val="ListParagraph"/>
        <w:numPr>
          <w:ilvl w:val="0"/>
          <w:numId w:val="12"/>
        </w:numPr>
        <w:spacing w:after="0" w:line="240" w:lineRule="auto"/>
        <w:ind w:left="450"/>
        <w:jc w:val="both"/>
      </w:pPr>
      <w:r w:rsidRPr="00B80B1A">
        <w:t xml:space="preserve">We recommend that DCF maintain a </w:t>
      </w:r>
      <w:r w:rsidRPr="00B80B1A">
        <w:rPr>
          <w:u w:val="single"/>
        </w:rPr>
        <w:t xml:space="preserve">pipeline of </w:t>
      </w:r>
      <w:r w:rsidR="009B4F74" w:rsidRPr="00B80B1A">
        <w:rPr>
          <w:u w:val="single"/>
        </w:rPr>
        <w:t>two to three</w:t>
      </w:r>
      <w:r w:rsidRPr="00B80B1A">
        <w:rPr>
          <w:u w:val="single"/>
        </w:rPr>
        <w:t xml:space="preserve"> paralegals</w:t>
      </w:r>
      <w:r w:rsidRPr="00B80B1A">
        <w:t xml:space="preserve"> for further flexibility to enable smoother response to fluctuating </w:t>
      </w:r>
      <w:r w:rsidR="00ED0418" w:rsidRPr="00B80B1A">
        <w:t>Fair Hearing</w:t>
      </w:r>
      <w:r w:rsidRPr="00B80B1A">
        <w:t xml:space="preserve"> volumes as a result of unforeseen circumstances, such as the noticeable uptick in demand for hearings following high profile cases.</w:t>
      </w:r>
    </w:p>
    <w:p w14:paraId="6FFE2153" w14:textId="77777777" w:rsidR="004D0C1C" w:rsidRPr="00B80B1A" w:rsidRDefault="004D0C1C" w:rsidP="00037710">
      <w:pPr>
        <w:spacing w:after="0" w:line="240" w:lineRule="auto"/>
        <w:ind w:firstLine="360"/>
        <w:jc w:val="both"/>
        <w:rPr>
          <w:u w:val="single"/>
        </w:rPr>
      </w:pPr>
    </w:p>
    <w:p w14:paraId="03515814" w14:textId="5EF51E9D" w:rsidR="004D0C1C" w:rsidRPr="00B80B1A" w:rsidRDefault="004D0C1C" w:rsidP="00037710">
      <w:pPr>
        <w:pStyle w:val="ListParagraph"/>
        <w:numPr>
          <w:ilvl w:val="0"/>
          <w:numId w:val="12"/>
        </w:numPr>
        <w:spacing w:after="0" w:line="240" w:lineRule="auto"/>
        <w:ind w:left="450"/>
        <w:jc w:val="both"/>
      </w:pPr>
      <w:r w:rsidRPr="00B80B1A">
        <w:t xml:space="preserve">In addition to the recommendation above entailing Supervisor support staffing, </w:t>
      </w:r>
      <w:r w:rsidR="007041BE" w:rsidRPr="00B80B1A">
        <w:t>once decision structur</w:t>
      </w:r>
      <w:r w:rsidR="00026267" w:rsidRPr="00B80B1A">
        <w:t>ing</w:t>
      </w:r>
      <w:r w:rsidR="007041BE" w:rsidRPr="00B80B1A">
        <w:t xml:space="preserve"> and writing training for current Hearing Officers is completed, </w:t>
      </w:r>
      <w:r w:rsidRPr="00B80B1A">
        <w:t xml:space="preserve">we also recommend that DCF consider revising regulations and </w:t>
      </w:r>
      <w:r w:rsidRPr="00B80B1A">
        <w:rPr>
          <w:u w:val="single"/>
        </w:rPr>
        <w:t>limiting the Superviso</w:t>
      </w:r>
      <w:r w:rsidR="00EC44B0">
        <w:rPr>
          <w:u w:val="single"/>
        </w:rPr>
        <w:t>r review to complex cases and</w:t>
      </w:r>
      <w:r w:rsidRPr="00B80B1A">
        <w:rPr>
          <w:u w:val="single"/>
        </w:rPr>
        <w:t xml:space="preserve"> less experienced Hearing Officers’ cases only</w:t>
      </w:r>
      <w:r w:rsidRPr="00B80B1A">
        <w:t>.</w:t>
      </w:r>
      <w:r w:rsidR="00A219C2" w:rsidRPr="00B80B1A">
        <w:rPr>
          <w:rStyle w:val="FootnoteReference"/>
        </w:rPr>
        <w:footnoteReference w:id="55"/>
      </w:r>
      <w:r w:rsidR="005422CC" w:rsidRPr="00B80B1A">
        <w:t xml:space="preserve"> </w:t>
      </w:r>
      <w:r w:rsidRPr="00B80B1A">
        <w:t xml:space="preserve">For our purposes, we define “complex cases” as those with multiple appellants, multiple allegations, </w:t>
      </w:r>
      <w:r w:rsidR="00516561" w:rsidRPr="00B80B1A">
        <w:t xml:space="preserve">or </w:t>
      </w:r>
      <w:r w:rsidRPr="00B80B1A">
        <w:t>a parallel court case</w:t>
      </w:r>
      <w:r w:rsidR="004579A7" w:rsidRPr="00B80B1A">
        <w:t xml:space="preserve">. </w:t>
      </w:r>
      <w:r w:rsidRPr="00B80B1A">
        <w:t>A Hearing Officer with less than one year of tenure could be designated as “less experienced.” If not modified, the current Supervisor review step will continue to create bottlenecks in the system.</w:t>
      </w:r>
    </w:p>
    <w:p w14:paraId="62ACB288" w14:textId="77777777" w:rsidR="004D0C1C" w:rsidRPr="00B80B1A" w:rsidRDefault="004D0C1C" w:rsidP="00392FE6">
      <w:pPr>
        <w:spacing w:after="0" w:line="240" w:lineRule="auto"/>
        <w:jc w:val="both"/>
      </w:pPr>
    </w:p>
    <w:p w14:paraId="1649FF40" w14:textId="2F39C049" w:rsidR="004D0C1C" w:rsidRPr="00B80B1A" w:rsidRDefault="004D0C1C" w:rsidP="00037710">
      <w:pPr>
        <w:pStyle w:val="ListParagraph"/>
        <w:numPr>
          <w:ilvl w:val="0"/>
          <w:numId w:val="12"/>
        </w:numPr>
        <w:spacing w:after="0" w:line="240" w:lineRule="auto"/>
        <w:ind w:left="450"/>
        <w:jc w:val="both"/>
        <w:rPr>
          <w:i/>
        </w:rPr>
      </w:pPr>
      <w:r w:rsidRPr="00B80B1A">
        <w:t xml:space="preserve">We recommend that DCF acquire and implement software to accelerate the </w:t>
      </w:r>
      <w:r w:rsidRPr="00B80B1A">
        <w:rPr>
          <w:u w:val="single"/>
        </w:rPr>
        <w:t>redaction process</w:t>
      </w:r>
      <w:r w:rsidRPr="00B80B1A">
        <w:t xml:space="preserve">. The cost to implement such </w:t>
      </w:r>
      <w:r w:rsidR="00FE6B9E" w:rsidRPr="00B80B1A">
        <w:t xml:space="preserve">a </w:t>
      </w:r>
      <w:r w:rsidRPr="00B80B1A">
        <w:t>solution is low</w:t>
      </w:r>
      <w:r w:rsidR="00FE6B9E" w:rsidRPr="00B80B1A">
        <w:t>,</w:t>
      </w:r>
      <w:r w:rsidRPr="00B80B1A">
        <w:t xml:space="preserve"> at $100 to $300 per user</w:t>
      </w:r>
      <w:r w:rsidR="00FE6B9E" w:rsidRPr="00B80B1A">
        <w:t>,</w:t>
      </w:r>
      <w:r w:rsidRPr="00B80B1A">
        <w:t xml:space="preserve"> and would help increase the productivity of Area Office redactors. This is important given that they currently cannot meet demand for redacted case files, resulting in many appellants not receiving their case </w:t>
      </w:r>
      <w:r w:rsidR="008C6A4A" w:rsidRPr="00B80B1A">
        <w:t>documents</w:t>
      </w:r>
      <w:r w:rsidRPr="00B80B1A">
        <w:t xml:space="preserve"> until the day of the</w:t>
      </w:r>
      <w:r w:rsidR="008F7719" w:rsidRPr="00B80B1A">
        <w:t xml:space="preserve"> H</w:t>
      </w:r>
      <w:r w:rsidRPr="00B80B1A">
        <w:t>earing.</w:t>
      </w:r>
    </w:p>
    <w:p w14:paraId="2FD1FDB0" w14:textId="77777777" w:rsidR="004D0C1C" w:rsidRPr="00B80B1A" w:rsidRDefault="004D0C1C" w:rsidP="00037710">
      <w:pPr>
        <w:pStyle w:val="ListParagraph"/>
        <w:spacing w:after="0" w:line="240" w:lineRule="auto"/>
        <w:ind w:left="450"/>
        <w:jc w:val="both"/>
        <w:rPr>
          <w:i/>
        </w:rPr>
      </w:pPr>
    </w:p>
    <w:p w14:paraId="25FE0EB3" w14:textId="02C74D7C" w:rsidR="004D0C1C" w:rsidRPr="00B80B1A" w:rsidRDefault="004D0C1C" w:rsidP="00037710">
      <w:pPr>
        <w:pStyle w:val="ListParagraph"/>
        <w:numPr>
          <w:ilvl w:val="0"/>
          <w:numId w:val="12"/>
        </w:numPr>
        <w:spacing w:after="0" w:line="240" w:lineRule="auto"/>
        <w:ind w:left="450"/>
        <w:jc w:val="both"/>
        <w:rPr>
          <w:i/>
        </w:rPr>
      </w:pPr>
      <w:r w:rsidRPr="00B80B1A">
        <w:lastRenderedPageBreak/>
        <w:t xml:space="preserve">We recommend that DCF either improve the </w:t>
      </w:r>
      <w:r w:rsidRPr="00B80B1A">
        <w:rPr>
          <w:u w:val="single"/>
        </w:rPr>
        <w:t xml:space="preserve">scheduling functionality in </w:t>
      </w:r>
      <w:proofErr w:type="spellStart"/>
      <w:r w:rsidRPr="00B80B1A">
        <w:rPr>
          <w:u w:val="single"/>
        </w:rPr>
        <w:t>iFamilyNet</w:t>
      </w:r>
      <w:proofErr w:type="spellEnd"/>
      <w:r w:rsidRPr="00B80B1A">
        <w:t xml:space="preserve"> or acquire and implement </w:t>
      </w:r>
      <w:r w:rsidRPr="00B80B1A">
        <w:rPr>
          <w:u w:val="single"/>
        </w:rPr>
        <w:t>scheduling software</w:t>
      </w:r>
      <w:r w:rsidRPr="00B80B1A">
        <w:t xml:space="preserve"> </w:t>
      </w:r>
      <w:r w:rsidR="00FE6B9E" w:rsidRPr="00B80B1A">
        <w:t>to</w:t>
      </w:r>
      <w:r w:rsidRPr="00B80B1A">
        <w:t xml:space="preserve"> improve general Hearing Officer</w:t>
      </w:r>
      <w:r w:rsidR="00FE6B9E" w:rsidRPr="00B80B1A">
        <w:t xml:space="preserve"> and Fair Hearing location</w:t>
      </w:r>
      <w:r w:rsidRPr="00B80B1A">
        <w:t xml:space="preserve"> productivity</w:t>
      </w:r>
      <w:r w:rsidR="004579A7" w:rsidRPr="00B80B1A">
        <w:t xml:space="preserve">. </w:t>
      </w:r>
      <w:r w:rsidRPr="00B80B1A">
        <w:t>This would lessen the burden on scheduling resources and ensure a more efficient scheduling process. Cost estimate: $2K for stand-alone software</w:t>
      </w:r>
      <w:r w:rsidR="00FE6B9E" w:rsidRPr="00B80B1A">
        <w:t>.</w:t>
      </w:r>
    </w:p>
    <w:p w14:paraId="2DCCEB6C" w14:textId="77777777" w:rsidR="004D0C1C" w:rsidRPr="00B80B1A" w:rsidRDefault="004D0C1C" w:rsidP="00037710">
      <w:pPr>
        <w:pStyle w:val="Heading3"/>
        <w:jc w:val="both"/>
        <w:rPr>
          <w:rFonts w:asciiTheme="minorHAnsi" w:eastAsiaTheme="minorHAnsi" w:hAnsiTheme="minorHAnsi" w:cstheme="minorBidi"/>
          <w:i/>
          <w:color w:val="auto"/>
          <w:sz w:val="22"/>
          <w:szCs w:val="22"/>
        </w:rPr>
      </w:pPr>
      <w:bookmarkStart w:id="73" w:name="_Toc418852320"/>
    </w:p>
    <w:p w14:paraId="0A604050" w14:textId="03FB882C" w:rsidR="004D0C1C" w:rsidRPr="00B80B1A" w:rsidRDefault="004D0C1C" w:rsidP="00037710">
      <w:pPr>
        <w:pStyle w:val="Heading3"/>
        <w:numPr>
          <w:ilvl w:val="0"/>
          <w:numId w:val="48"/>
        </w:numPr>
        <w:jc w:val="both"/>
        <w:rPr>
          <w:i/>
          <w:sz w:val="28"/>
          <w:szCs w:val="28"/>
        </w:rPr>
      </w:pPr>
      <w:bookmarkStart w:id="74" w:name="_Toc421781213"/>
      <w:r w:rsidRPr="00B80B1A">
        <w:rPr>
          <w:i/>
          <w:sz w:val="28"/>
          <w:szCs w:val="28"/>
        </w:rPr>
        <w:t>Fairness</w:t>
      </w:r>
      <w:bookmarkEnd w:id="73"/>
      <w:bookmarkEnd w:id="74"/>
      <w:r w:rsidRPr="00B80B1A">
        <w:rPr>
          <w:i/>
          <w:sz w:val="28"/>
          <w:szCs w:val="28"/>
        </w:rPr>
        <w:t xml:space="preserve"> </w:t>
      </w:r>
    </w:p>
    <w:p w14:paraId="6F24F9C2" w14:textId="77777777" w:rsidR="004D0C1C" w:rsidRPr="00B80B1A" w:rsidRDefault="004D0C1C" w:rsidP="00037710">
      <w:pPr>
        <w:spacing w:after="0" w:line="240" w:lineRule="auto"/>
        <w:ind w:left="360"/>
        <w:jc w:val="both"/>
        <w:rPr>
          <w:u w:val="single"/>
        </w:rPr>
      </w:pPr>
    </w:p>
    <w:p w14:paraId="788E686E" w14:textId="7A522487" w:rsidR="004D0C1C" w:rsidRPr="00B80B1A" w:rsidRDefault="004D0C1C" w:rsidP="00037710">
      <w:pPr>
        <w:pStyle w:val="ListParagraph"/>
        <w:numPr>
          <w:ilvl w:val="0"/>
          <w:numId w:val="12"/>
        </w:numPr>
        <w:spacing w:after="0" w:line="240" w:lineRule="auto"/>
        <w:ind w:left="450"/>
        <w:jc w:val="both"/>
      </w:pPr>
      <w:r w:rsidRPr="00B80B1A">
        <w:t xml:space="preserve">We recommend that DCF </w:t>
      </w:r>
      <w:r w:rsidRPr="00B80B1A">
        <w:rPr>
          <w:u w:val="single"/>
        </w:rPr>
        <w:t xml:space="preserve">re-issue the </w:t>
      </w:r>
      <w:r w:rsidR="006607FD" w:rsidRPr="00B80B1A">
        <w:rPr>
          <w:u w:val="single"/>
        </w:rPr>
        <w:t>A</w:t>
      </w:r>
      <w:r w:rsidRPr="00B80B1A">
        <w:rPr>
          <w:u w:val="single"/>
        </w:rPr>
        <w:t xml:space="preserve">ppellant </w:t>
      </w:r>
      <w:r w:rsidR="006607FD" w:rsidRPr="00B80B1A">
        <w:rPr>
          <w:u w:val="single"/>
        </w:rPr>
        <w:t>Ri</w:t>
      </w:r>
      <w:r w:rsidRPr="00B80B1A">
        <w:rPr>
          <w:u w:val="single"/>
        </w:rPr>
        <w:t xml:space="preserve">ghts </w:t>
      </w:r>
      <w:r w:rsidR="006607FD" w:rsidRPr="00B80B1A">
        <w:rPr>
          <w:u w:val="single"/>
        </w:rPr>
        <w:t xml:space="preserve">Form </w:t>
      </w:r>
      <w:r w:rsidRPr="00B80B1A">
        <w:rPr>
          <w:u w:val="single"/>
        </w:rPr>
        <w:t>in grade</w:t>
      </w:r>
      <w:r w:rsidR="00EC4C5D" w:rsidRPr="00B80B1A">
        <w:rPr>
          <w:u w:val="single"/>
        </w:rPr>
        <w:t>-</w:t>
      </w:r>
      <w:r w:rsidRPr="00B80B1A">
        <w:rPr>
          <w:u w:val="single"/>
        </w:rPr>
        <w:t>level English and provide more in-depth explanations</w:t>
      </w:r>
      <w:r w:rsidRPr="00B80B1A">
        <w:t xml:space="preserve"> for subpoenas, continuances, right to legal representation, and further appeals to address our finding that appellants generally do not know their rights. To help with this, DCF might consider leveraging the Division of Administrative Law Appeal’s (DALA) </w:t>
      </w:r>
      <w:r w:rsidRPr="00B80B1A">
        <w:rPr>
          <w:i/>
        </w:rPr>
        <w:t>Pro</w:t>
      </w:r>
      <w:r w:rsidR="00E142D0" w:rsidRPr="00B80B1A">
        <w:rPr>
          <w:i/>
        </w:rPr>
        <w:t xml:space="preserve"> </w:t>
      </w:r>
      <w:r w:rsidRPr="00B80B1A">
        <w:rPr>
          <w:i/>
        </w:rPr>
        <w:t>Se</w:t>
      </w:r>
      <w:r w:rsidRPr="00B80B1A">
        <w:t xml:space="preserve"> Guide as a target</w:t>
      </w:r>
      <w:r w:rsidR="004579A7" w:rsidRPr="00B80B1A">
        <w:t xml:space="preserve">. </w:t>
      </w:r>
      <w:r w:rsidRPr="00B80B1A">
        <w:t xml:space="preserve">(DALA’s </w:t>
      </w:r>
      <w:r w:rsidRPr="00B80B1A">
        <w:rPr>
          <w:i/>
        </w:rPr>
        <w:t>Pro Se</w:t>
      </w:r>
      <w:r w:rsidRPr="00B80B1A">
        <w:t xml:space="preserve"> Guide is a </w:t>
      </w:r>
      <w:r w:rsidR="009B4F74" w:rsidRPr="00B80B1A">
        <w:t>five</w:t>
      </w:r>
      <w:r w:rsidRPr="00B80B1A">
        <w:t>-page document designed to inform appellants appearing without a lawyer of their appeal rights and the appeal process.)</w:t>
      </w:r>
    </w:p>
    <w:p w14:paraId="0A4945F7" w14:textId="77777777" w:rsidR="004D0C1C" w:rsidRPr="00B80B1A" w:rsidRDefault="004D0C1C" w:rsidP="00037710">
      <w:pPr>
        <w:spacing w:after="0" w:line="240" w:lineRule="auto"/>
        <w:jc w:val="both"/>
      </w:pPr>
    </w:p>
    <w:p w14:paraId="380DCDE7" w14:textId="53A27A4C" w:rsidR="004D0C1C" w:rsidRPr="00B80B1A" w:rsidRDefault="004D0C1C" w:rsidP="00037710">
      <w:pPr>
        <w:pStyle w:val="ListParagraph"/>
        <w:numPr>
          <w:ilvl w:val="0"/>
          <w:numId w:val="12"/>
        </w:numPr>
        <w:spacing w:after="0" w:line="240" w:lineRule="auto"/>
        <w:ind w:left="450"/>
        <w:jc w:val="both"/>
      </w:pPr>
      <w:r w:rsidRPr="00B80B1A">
        <w:t xml:space="preserve">Again, to alleviate appellants’ lack of understanding of their rights, we recommend that DCF provide a </w:t>
      </w:r>
      <w:r w:rsidRPr="00B80B1A">
        <w:rPr>
          <w:u w:val="single"/>
        </w:rPr>
        <w:t xml:space="preserve">venue for appellants to raise questions about their rights </w:t>
      </w:r>
      <w:r w:rsidRPr="00B80B1A">
        <w:t>and the logistics of the Fair Hearing</w:t>
      </w:r>
      <w:r w:rsidR="004579A7" w:rsidRPr="00B80B1A">
        <w:t xml:space="preserve">. </w:t>
      </w:r>
      <w:r w:rsidRPr="00B80B1A">
        <w:t>A brief in-person meeting at the Area Office or phone call after the Fair Hearing scheduling notice is mailed out would be sufficient to serve this need. This may require a new resource</w:t>
      </w:r>
      <w:r w:rsidR="004579A7" w:rsidRPr="00B80B1A">
        <w:t xml:space="preserve">. </w:t>
      </w:r>
      <w:r w:rsidRPr="00B80B1A">
        <w:t xml:space="preserve">Similarly, a succinct, well-choreographed </w:t>
      </w:r>
      <w:r w:rsidRPr="00B80B1A">
        <w:rPr>
          <w:u w:val="single"/>
        </w:rPr>
        <w:t>YouTube video</w:t>
      </w:r>
      <w:r w:rsidRPr="00B80B1A">
        <w:t xml:space="preserve"> on this topic could also enhance the appellants’ grasp of their rights, assuming appellants can access the internet</w:t>
      </w:r>
      <w:r w:rsidR="004579A7" w:rsidRPr="00B80B1A">
        <w:t xml:space="preserve">. </w:t>
      </w:r>
      <w:r w:rsidRPr="00B80B1A">
        <w:t>Alternatively, DCF could collaborate with the Ombudsman’s Office to establish a program that could educate appellants on their rights.</w:t>
      </w:r>
    </w:p>
    <w:p w14:paraId="04A0E11A" w14:textId="77777777" w:rsidR="004D0C1C" w:rsidRPr="00B80B1A" w:rsidRDefault="004D0C1C" w:rsidP="00037710">
      <w:pPr>
        <w:pStyle w:val="ListParagraph"/>
        <w:ind w:left="450"/>
        <w:jc w:val="both"/>
      </w:pPr>
    </w:p>
    <w:p w14:paraId="2AE84F2E" w14:textId="24A09AA3" w:rsidR="004D0C1C" w:rsidRPr="00B80B1A" w:rsidRDefault="004D0C1C" w:rsidP="00037710">
      <w:pPr>
        <w:pStyle w:val="ListParagraph"/>
        <w:numPr>
          <w:ilvl w:val="0"/>
          <w:numId w:val="12"/>
        </w:numPr>
        <w:spacing w:after="0" w:line="240" w:lineRule="auto"/>
        <w:ind w:left="450"/>
        <w:jc w:val="both"/>
      </w:pPr>
      <w:r w:rsidRPr="00B80B1A">
        <w:rPr>
          <w:rFonts w:eastAsiaTheme="minorEastAsia"/>
          <w:lang w:eastAsia="ja-JP"/>
        </w:rPr>
        <w:t xml:space="preserve">We recommend that DCF </w:t>
      </w:r>
      <w:r w:rsidRPr="00B80B1A">
        <w:rPr>
          <w:rFonts w:eastAsiaTheme="minorEastAsia"/>
          <w:u w:val="single"/>
          <w:lang w:eastAsia="ja-JP"/>
        </w:rPr>
        <w:t>consider compiling and periodically updating a list of affordable law organizations interested in representing appellants and enclosing this list with the Fair Hearing scheduling letter to provide appellants with the opportunity for legal representation.</w:t>
      </w:r>
      <w:r w:rsidRPr="00B80B1A">
        <w:rPr>
          <w:rFonts w:eastAsiaTheme="minorEastAsia"/>
          <w:lang w:eastAsia="ja-JP"/>
        </w:rPr>
        <w:t xml:space="preserve"> </w:t>
      </w:r>
      <w:r w:rsidRPr="00B80B1A">
        <w:t>Many appellants expr</w:t>
      </w:r>
      <w:r w:rsidR="00DA0537" w:rsidRPr="00B80B1A">
        <w:t>ess a willingness to use attorneys</w:t>
      </w:r>
      <w:r w:rsidRPr="00B80B1A">
        <w:t xml:space="preserve">, and our analysis shows that lawyers do have a positive effect on Fair Hearing proceedings. Making it easier for an appellant to find and utilize an attorney </w:t>
      </w:r>
      <w:r w:rsidR="00ED0418" w:rsidRPr="00B80B1A">
        <w:t>should</w:t>
      </w:r>
      <w:r w:rsidRPr="00B80B1A">
        <w:t xml:space="preserve"> improve fairness. DCF has already started encouraging the Committee for Public Counsel Services to provide representation for appellants</w:t>
      </w:r>
      <w:r w:rsidR="00E142D0" w:rsidRPr="00B80B1A">
        <w:t xml:space="preserve"> with related ongoing court cases</w:t>
      </w:r>
      <w:r w:rsidRPr="00B80B1A">
        <w:t>.</w:t>
      </w:r>
    </w:p>
    <w:p w14:paraId="2D325C0C" w14:textId="77777777" w:rsidR="004D0C1C" w:rsidRPr="00B80B1A" w:rsidRDefault="004D0C1C" w:rsidP="00037710">
      <w:pPr>
        <w:pStyle w:val="ListParagraph"/>
        <w:spacing w:after="0" w:line="240" w:lineRule="auto"/>
        <w:ind w:left="450"/>
        <w:jc w:val="both"/>
      </w:pPr>
    </w:p>
    <w:p w14:paraId="00020504" w14:textId="2B667F7A" w:rsidR="004D0C1C" w:rsidRPr="00B80B1A" w:rsidRDefault="004D0C1C" w:rsidP="00037710">
      <w:pPr>
        <w:pStyle w:val="ListParagraph"/>
        <w:numPr>
          <w:ilvl w:val="0"/>
          <w:numId w:val="12"/>
        </w:numPr>
        <w:spacing w:after="0" w:line="240" w:lineRule="auto"/>
        <w:ind w:left="450"/>
        <w:jc w:val="both"/>
      </w:pPr>
      <w:r w:rsidRPr="00B80B1A">
        <w:t xml:space="preserve">DCF should </w:t>
      </w:r>
      <w:r w:rsidRPr="00B80B1A">
        <w:rPr>
          <w:u w:val="single"/>
        </w:rPr>
        <w:t>ensure the Area Office investigator, when subpoenaed by the appellant, attends the Fair Hearing</w:t>
      </w:r>
      <w:r w:rsidR="004579A7" w:rsidRPr="00B80B1A">
        <w:t xml:space="preserve">. </w:t>
      </w:r>
      <w:r w:rsidRPr="00B80B1A">
        <w:t>If not, DCF should provide a continuance within the regulated time limits at the appellant’s discretion. It is unfair to</w:t>
      </w:r>
      <w:r w:rsidR="00C73EEF" w:rsidRPr="00B80B1A">
        <w:t xml:space="preserve"> delay a</w:t>
      </w:r>
      <w:r w:rsidR="003C3BDB" w:rsidRPr="00B80B1A">
        <w:t>n appellant’s</w:t>
      </w:r>
      <w:r w:rsidR="00C73EEF" w:rsidRPr="00B80B1A">
        <w:t xml:space="preserve"> Fair Hearing </w:t>
      </w:r>
      <w:r w:rsidRPr="00B80B1A">
        <w:t>for a continuance that is the result of Department</w:t>
      </w:r>
      <w:r w:rsidR="00E543F8" w:rsidRPr="00B80B1A">
        <w:t xml:space="preserve"> </w:t>
      </w:r>
      <w:r w:rsidR="00ED0418" w:rsidRPr="00B80B1A">
        <w:t>staff</w:t>
      </w:r>
      <w:r w:rsidRPr="00B80B1A">
        <w:t xml:space="preserve"> </w:t>
      </w:r>
      <w:r w:rsidR="003C3BDB" w:rsidRPr="00B80B1A">
        <w:t xml:space="preserve">not </w:t>
      </w:r>
      <w:r w:rsidR="00F74FF7" w:rsidRPr="00B80B1A">
        <w:t xml:space="preserve">appearing </w:t>
      </w:r>
      <w:r w:rsidRPr="00B80B1A">
        <w:t>for a hearing.</w:t>
      </w:r>
    </w:p>
    <w:p w14:paraId="688716F5" w14:textId="77777777" w:rsidR="004D0C1C" w:rsidRPr="00B80B1A" w:rsidRDefault="004D0C1C" w:rsidP="00037710">
      <w:pPr>
        <w:pStyle w:val="ListParagraph"/>
        <w:spacing w:after="0" w:line="240" w:lineRule="auto"/>
        <w:ind w:left="450"/>
        <w:jc w:val="both"/>
      </w:pPr>
    </w:p>
    <w:p w14:paraId="12B76678" w14:textId="491AF672" w:rsidR="004D0C1C" w:rsidRPr="00B80B1A" w:rsidRDefault="004D0C1C" w:rsidP="00037710">
      <w:pPr>
        <w:pStyle w:val="ListParagraph"/>
        <w:numPr>
          <w:ilvl w:val="0"/>
          <w:numId w:val="12"/>
        </w:numPr>
        <w:spacing w:after="0" w:line="240" w:lineRule="auto"/>
        <w:ind w:left="450"/>
        <w:jc w:val="both"/>
      </w:pPr>
      <w:r w:rsidRPr="00B80B1A">
        <w:t xml:space="preserve">DCF should </w:t>
      </w:r>
      <w:r w:rsidR="00430645" w:rsidRPr="00B80B1A">
        <w:t>require</w:t>
      </w:r>
      <w:r w:rsidRPr="00B80B1A">
        <w:t xml:space="preserve"> the interpreter agency </w:t>
      </w:r>
      <w:r w:rsidR="00430645" w:rsidRPr="00B80B1A">
        <w:t xml:space="preserve">to provide </w:t>
      </w:r>
      <w:r w:rsidRPr="00B80B1A">
        <w:rPr>
          <w:u w:val="single"/>
        </w:rPr>
        <w:t>interpreters</w:t>
      </w:r>
      <w:r w:rsidR="00430645" w:rsidRPr="00B80B1A">
        <w:rPr>
          <w:u w:val="single"/>
        </w:rPr>
        <w:t xml:space="preserve"> who </w:t>
      </w:r>
      <w:r w:rsidRPr="00B80B1A">
        <w:rPr>
          <w:u w:val="single"/>
        </w:rPr>
        <w:t>have courtroom or similar experience</w:t>
      </w:r>
      <w:r w:rsidR="004579A7" w:rsidRPr="00B80B1A">
        <w:t xml:space="preserve">. </w:t>
      </w:r>
      <w:r w:rsidRPr="00B80B1A">
        <w:t xml:space="preserve">In addition, DCF should </w:t>
      </w:r>
      <w:r w:rsidR="00430645" w:rsidRPr="00B80B1A">
        <w:t xml:space="preserve">encourage </w:t>
      </w:r>
      <w:r w:rsidRPr="00B80B1A">
        <w:t xml:space="preserve">the interpreter agency to </w:t>
      </w:r>
      <w:r w:rsidRPr="00B80B1A">
        <w:rPr>
          <w:u w:val="single"/>
        </w:rPr>
        <w:t>provide qualified interpreters in less common languages</w:t>
      </w:r>
      <w:r w:rsidRPr="00B80B1A">
        <w:t xml:space="preserve"> such as Haitian Creole, Vietnamese, and Arabic</w:t>
      </w:r>
      <w:r w:rsidR="004579A7" w:rsidRPr="00B80B1A">
        <w:t xml:space="preserve">. </w:t>
      </w:r>
      <w:r w:rsidRPr="00B80B1A">
        <w:t>As DCF uses State-wide translation vendors, this recommendation may warrant contractual changes outside the direct control of DCF.</w:t>
      </w:r>
    </w:p>
    <w:p w14:paraId="4DF0EFA8" w14:textId="77777777" w:rsidR="0057337A" w:rsidRPr="00B80B1A" w:rsidRDefault="0057337A" w:rsidP="0057337A">
      <w:pPr>
        <w:pStyle w:val="ListParagraph"/>
        <w:spacing w:after="0" w:line="240" w:lineRule="auto"/>
        <w:ind w:left="450"/>
        <w:jc w:val="both"/>
      </w:pPr>
    </w:p>
    <w:p w14:paraId="3731198E" w14:textId="6D497157" w:rsidR="004D0C1C" w:rsidRPr="00B80B1A" w:rsidRDefault="004D0C1C" w:rsidP="00037710">
      <w:pPr>
        <w:pStyle w:val="ListParagraph"/>
        <w:numPr>
          <w:ilvl w:val="0"/>
          <w:numId w:val="12"/>
        </w:numPr>
        <w:spacing w:after="0" w:line="240" w:lineRule="auto"/>
        <w:ind w:left="450"/>
        <w:jc w:val="both"/>
      </w:pPr>
      <w:r w:rsidRPr="00B80B1A">
        <w:t xml:space="preserve">We recommend that DCF </w:t>
      </w:r>
      <w:r w:rsidRPr="00B80B1A">
        <w:rPr>
          <w:u w:val="single"/>
        </w:rPr>
        <w:t>formalize the Fair Hearing Continuous Quality Improvement (CQI) process</w:t>
      </w:r>
      <w:r w:rsidRPr="00B80B1A">
        <w:t xml:space="preserve">: The Department should </w:t>
      </w:r>
      <w:r w:rsidRPr="00B80B1A">
        <w:rPr>
          <w:u w:val="single"/>
        </w:rPr>
        <w:t>track and report periodically</w:t>
      </w:r>
      <w:r w:rsidRPr="00B80B1A">
        <w:t xml:space="preserve"> on Timeliness, Fairness, and Independence metrics</w:t>
      </w:r>
      <w:r w:rsidR="004579A7" w:rsidRPr="00B80B1A">
        <w:t xml:space="preserve">. </w:t>
      </w:r>
      <w:r w:rsidRPr="00B80B1A">
        <w:t xml:space="preserve">At a minimum, metrics on all three phases of Timeliness and on Supervisor and Hearing Officer backlogged cases (broken into unscheduled, scheduled not heard, heard not reviewed by Supervisor or Commissioner, heard and reviewed not issued) should be gathered and </w:t>
      </w:r>
      <w:r w:rsidRPr="00B80B1A">
        <w:lastRenderedPageBreak/>
        <w:t>reported</w:t>
      </w:r>
      <w:r w:rsidR="004579A7" w:rsidRPr="00B80B1A">
        <w:t xml:space="preserve">. </w:t>
      </w:r>
      <w:r w:rsidRPr="00B80B1A">
        <w:t xml:space="preserve">Upcoming improvements in </w:t>
      </w:r>
      <w:proofErr w:type="spellStart"/>
      <w:r w:rsidRPr="00B80B1A">
        <w:t>iFamilyNet</w:t>
      </w:r>
      <w:proofErr w:type="spellEnd"/>
      <w:r w:rsidRPr="00B80B1A">
        <w:t xml:space="preserve"> should make reporting easier than it was in FamilyNet. These metrics can then be used for performance and quality tracking purposes</w:t>
      </w:r>
      <w:r w:rsidR="004579A7" w:rsidRPr="00B80B1A">
        <w:t xml:space="preserve">. </w:t>
      </w:r>
      <w:r w:rsidRPr="00B80B1A">
        <w:t xml:space="preserve">Additionally, we recommend </w:t>
      </w:r>
      <w:r w:rsidR="008C6A4A" w:rsidRPr="00B80B1A">
        <w:t>that DCF Leadership incorporate</w:t>
      </w:r>
      <w:r w:rsidRPr="00B80B1A">
        <w:t xml:space="preserve"> the above metrics into their management priorities</w:t>
      </w:r>
      <w:r w:rsidR="004579A7" w:rsidRPr="00B80B1A">
        <w:t xml:space="preserve">. </w:t>
      </w:r>
      <w:r w:rsidRPr="00B80B1A">
        <w:t>An equivalent CQI Process at the Area Office level would help address procedural issues.</w:t>
      </w:r>
    </w:p>
    <w:p w14:paraId="71AE2962" w14:textId="77777777" w:rsidR="004D0C1C" w:rsidRPr="00B80B1A" w:rsidRDefault="004D0C1C" w:rsidP="00037710">
      <w:pPr>
        <w:pStyle w:val="ListParagraph"/>
        <w:spacing w:after="0" w:line="240" w:lineRule="auto"/>
        <w:ind w:left="450"/>
        <w:jc w:val="both"/>
      </w:pPr>
    </w:p>
    <w:p w14:paraId="41769BC6" w14:textId="3D9B6F66" w:rsidR="004D0C1C" w:rsidRPr="00B80B1A" w:rsidRDefault="004D0C1C" w:rsidP="00037710">
      <w:pPr>
        <w:pStyle w:val="ListParagraph"/>
        <w:numPr>
          <w:ilvl w:val="0"/>
          <w:numId w:val="12"/>
        </w:numPr>
        <w:ind w:left="450"/>
        <w:jc w:val="both"/>
      </w:pPr>
      <w:r w:rsidRPr="00B80B1A">
        <w:t>One major barrier we identified to establishing a CQI process is the limited quality of data in the FamilyNet system</w:t>
      </w:r>
      <w:r w:rsidR="004579A7" w:rsidRPr="00B80B1A">
        <w:t xml:space="preserve">. </w:t>
      </w:r>
      <w:r w:rsidRPr="00B80B1A">
        <w:t xml:space="preserve">While the </w:t>
      </w:r>
      <w:r w:rsidR="006607FD" w:rsidRPr="00B80B1A">
        <w:t xml:space="preserve">new functionality in </w:t>
      </w:r>
      <w:proofErr w:type="spellStart"/>
      <w:r w:rsidRPr="00B80B1A">
        <w:t>iFamilyNet</w:t>
      </w:r>
      <w:proofErr w:type="spellEnd"/>
      <w:r w:rsidRPr="00B80B1A">
        <w:t xml:space="preserve"> will likely improve the data being collected, it will not alone resolve</w:t>
      </w:r>
      <w:r w:rsidR="00192305">
        <w:t xml:space="preserve"> the data quality issues. D</w:t>
      </w:r>
      <w:r w:rsidRPr="00B80B1A">
        <w:t xml:space="preserve">ata limitations we experienced first-hand in our analysis range from missing case </w:t>
      </w:r>
      <w:r w:rsidR="00ED0418" w:rsidRPr="00B80B1A">
        <w:t>closing</w:t>
      </w:r>
      <w:r w:rsidRPr="00B80B1A">
        <w:t xml:space="preserve"> dates, to missing </w:t>
      </w:r>
      <w:r w:rsidR="00997A62">
        <w:t>h</w:t>
      </w:r>
      <w:r w:rsidRPr="00B80B1A">
        <w:t xml:space="preserve">earing decisions (for closed and decided cases), to incomplete Fair Hearing statuses (the phase in which the </w:t>
      </w:r>
      <w:r w:rsidR="00997A62">
        <w:t>h</w:t>
      </w:r>
      <w:r w:rsidRPr="00B80B1A">
        <w:t>earing is)</w:t>
      </w:r>
      <w:r w:rsidR="004579A7" w:rsidRPr="00B80B1A">
        <w:t xml:space="preserve">. </w:t>
      </w:r>
      <w:r w:rsidRPr="00B80B1A">
        <w:t xml:space="preserve">We recommend that </w:t>
      </w:r>
      <w:r w:rsidRPr="00B80B1A">
        <w:rPr>
          <w:u w:val="single"/>
        </w:rPr>
        <w:t>DCF improve data quality</w:t>
      </w:r>
      <w:r w:rsidRPr="00B80B1A">
        <w:t xml:space="preserve"> by incorporating a quality assurance step in </w:t>
      </w:r>
      <w:proofErr w:type="spellStart"/>
      <w:r w:rsidRPr="00B80B1A">
        <w:t>iFamilyNet</w:t>
      </w:r>
      <w:proofErr w:type="spellEnd"/>
      <w:r w:rsidRPr="00B80B1A">
        <w:t>. A dedicated analytical resource could ensure data completeness and accuracy as well as help generate management reports b</w:t>
      </w:r>
      <w:r w:rsidR="00F23F8B">
        <w:t xml:space="preserve">ased on </w:t>
      </w:r>
      <w:proofErr w:type="spellStart"/>
      <w:r w:rsidR="00F23F8B">
        <w:t>iFamilyNet</w:t>
      </w:r>
      <w:proofErr w:type="spellEnd"/>
      <w:r w:rsidR="00F23F8B">
        <w:t xml:space="preserve"> information.</w:t>
      </w:r>
    </w:p>
    <w:p w14:paraId="3B0C06E1" w14:textId="77777777" w:rsidR="004F25B6" w:rsidRPr="00B80B1A" w:rsidRDefault="004F25B6" w:rsidP="00037710">
      <w:pPr>
        <w:pStyle w:val="ListParagraph"/>
        <w:ind w:left="450"/>
        <w:jc w:val="both"/>
      </w:pPr>
    </w:p>
    <w:p w14:paraId="2B9C9E60" w14:textId="6150D3B8" w:rsidR="00EC4C5D" w:rsidRPr="00B80B1A" w:rsidRDefault="00EC4C5D" w:rsidP="00037710">
      <w:pPr>
        <w:pStyle w:val="ListParagraph"/>
        <w:numPr>
          <w:ilvl w:val="0"/>
          <w:numId w:val="12"/>
        </w:numPr>
        <w:spacing w:after="0" w:line="240" w:lineRule="auto"/>
        <w:ind w:left="450"/>
        <w:jc w:val="both"/>
      </w:pPr>
      <w:r w:rsidRPr="00B80B1A">
        <w:t xml:space="preserve">We recommend that DCF provide </w:t>
      </w:r>
      <w:r w:rsidRPr="00B80B1A">
        <w:rPr>
          <w:u w:val="single"/>
        </w:rPr>
        <w:t>Fair Hearing training to Area Offices</w:t>
      </w:r>
      <w:r w:rsidR="004579A7" w:rsidRPr="00B80B1A">
        <w:t xml:space="preserve">. </w:t>
      </w:r>
      <w:r w:rsidRPr="00B80B1A">
        <w:t>Area Office managers should attend Fair Hearings periodically to witness first-hand the appellants’ experience and ultimately to make improvements to the investigation process</w:t>
      </w:r>
      <w:r w:rsidR="004579A7" w:rsidRPr="00B80B1A">
        <w:t xml:space="preserve">. </w:t>
      </w:r>
      <w:r w:rsidRPr="00B80B1A">
        <w:t>This recommendation is already being implemented.</w:t>
      </w:r>
    </w:p>
    <w:p w14:paraId="58B3F05E" w14:textId="77777777" w:rsidR="00420627" w:rsidRPr="00B80B1A" w:rsidRDefault="00420627" w:rsidP="00BA6DAA">
      <w:pPr>
        <w:pStyle w:val="ListParagraph"/>
      </w:pPr>
    </w:p>
    <w:p w14:paraId="1345E4DD" w14:textId="6CF562E4" w:rsidR="00232FD9" w:rsidRDefault="004D0C1C" w:rsidP="00232FD9">
      <w:pPr>
        <w:pStyle w:val="ListParagraph"/>
        <w:numPr>
          <w:ilvl w:val="0"/>
          <w:numId w:val="12"/>
        </w:numPr>
        <w:spacing w:after="0" w:line="240" w:lineRule="auto"/>
        <w:ind w:left="450"/>
        <w:jc w:val="both"/>
      </w:pPr>
      <w:r w:rsidRPr="00B80B1A">
        <w:t xml:space="preserve">We recommend that DCF implement </w:t>
      </w:r>
      <w:r w:rsidRPr="00B80B1A">
        <w:rPr>
          <w:u w:val="single"/>
        </w:rPr>
        <w:t>Fair Hearing checklists at the Area Office and Fair Hearing Unit levels</w:t>
      </w:r>
      <w:r w:rsidR="004579A7" w:rsidRPr="00B80B1A">
        <w:t xml:space="preserve">. </w:t>
      </w:r>
      <w:r w:rsidRPr="00B80B1A">
        <w:t>As mentioned in the findings section</w:t>
      </w:r>
      <w:r w:rsidR="00E142D0" w:rsidRPr="00B80B1A">
        <w:t xml:space="preserve"> of this report</w:t>
      </w:r>
      <w:r w:rsidRPr="00B80B1A">
        <w:t>, procedural oversights are currently commonplace</w:t>
      </w:r>
      <w:r w:rsidR="004579A7" w:rsidRPr="00B80B1A">
        <w:t xml:space="preserve">. </w:t>
      </w:r>
      <w:r w:rsidRPr="00B80B1A">
        <w:t>To alleviate this issue, a simple checklist with clear ownership can be drafted and operationalized by the Area Offices and the Fair Hearing Unit, respectively</w:t>
      </w:r>
      <w:r w:rsidR="004579A7" w:rsidRPr="00B80B1A">
        <w:t xml:space="preserve">. </w:t>
      </w:r>
      <w:r w:rsidRPr="00B80B1A">
        <w:t>We are providing a</w:t>
      </w:r>
      <w:r w:rsidR="00036778" w:rsidRPr="00B80B1A">
        <w:t>n</w:t>
      </w:r>
      <w:r w:rsidRPr="00B80B1A">
        <w:t xml:space="preserve"> </w:t>
      </w:r>
      <w:r w:rsidR="00036778" w:rsidRPr="00B80B1A">
        <w:t xml:space="preserve">example </w:t>
      </w:r>
      <w:r w:rsidR="00ED0418" w:rsidRPr="00B80B1A">
        <w:t xml:space="preserve">below </w:t>
      </w:r>
      <w:r w:rsidR="00036778" w:rsidRPr="00B80B1A">
        <w:t xml:space="preserve">that can be used as a </w:t>
      </w:r>
      <w:r w:rsidRPr="00B80B1A">
        <w:t>starting point</w:t>
      </w:r>
      <w:r w:rsidR="004579A7" w:rsidRPr="00B80B1A">
        <w:t xml:space="preserve">. </w:t>
      </w:r>
      <w:r w:rsidR="00036778" w:rsidRPr="00B80B1A">
        <w:t>T</w:t>
      </w:r>
      <w:r w:rsidRPr="00B80B1A">
        <w:t>his checklist can be refined over time and, in the long run,</w:t>
      </w:r>
      <w:r w:rsidR="00036778" w:rsidRPr="00B80B1A">
        <w:t xml:space="preserve"> eventually</w:t>
      </w:r>
      <w:r w:rsidRPr="00B80B1A">
        <w:t xml:space="preserve"> incorporated into </w:t>
      </w:r>
      <w:proofErr w:type="spellStart"/>
      <w:r w:rsidRPr="00B80B1A">
        <w:t>iFamilyNet</w:t>
      </w:r>
      <w:proofErr w:type="spellEnd"/>
      <w:r w:rsidRPr="00B80B1A">
        <w:t>.</w:t>
      </w:r>
    </w:p>
    <w:p w14:paraId="11A57353" w14:textId="77777777" w:rsidR="00232FD9" w:rsidRPr="00B80B1A" w:rsidRDefault="00232FD9" w:rsidP="00232FD9">
      <w:pPr>
        <w:pStyle w:val="ListParagraph"/>
        <w:spacing w:after="0" w:line="240" w:lineRule="auto"/>
        <w:ind w:left="450"/>
        <w:jc w:val="both"/>
      </w:pPr>
    </w:p>
    <w:tbl>
      <w:tblPr>
        <w:tblStyle w:val="TableGrid"/>
        <w:tblW w:w="0" w:type="auto"/>
        <w:jc w:val="center"/>
        <w:tblLook w:val="04A0" w:firstRow="1" w:lastRow="0" w:firstColumn="1" w:lastColumn="0" w:noHBand="0" w:noVBand="1"/>
        <w:tblDescription w:val="Fair Hearing checklists at the Area Office and Fair Hearing Unit levels."/>
      </w:tblPr>
      <w:tblGrid>
        <w:gridCol w:w="1435"/>
        <w:gridCol w:w="3957"/>
        <w:gridCol w:w="3958"/>
      </w:tblGrid>
      <w:tr w:rsidR="004D0C1C" w:rsidRPr="00B80B1A" w14:paraId="07898065" w14:textId="77777777" w:rsidTr="0009531D">
        <w:trPr>
          <w:tblHeader/>
          <w:jc w:val="center"/>
        </w:trPr>
        <w:tc>
          <w:tcPr>
            <w:tcW w:w="1435" w:type="dxa"/>
          </w:tcPr>
          <w:p w14:paraId="0136A9F1" w14:textId="77777777" w:rsidR="004D0C1C" w:rsidRPr="00B80B1A" w:rsidRDefault="004D0C1C" w:rsidP="00037710">
            <w:pPr>
              <w:jc w:val="both"/>
              <w:rPr>
                <w:i/>
                <w:sz w:val="18"/>
              </w:rPr>
            </w:pPr>
          </w:p>
        </w:tc>
        <w:tc>
          <w:tcPr>
            <w:tcW w:w="3957" w:type="dxa"/>
          </w:tcPr>
          <w:p w14:paraId="292221CC" w14:textId="77777777" w:rsidR="004D0C1C" w:rsidRPr="00B80B1A" w:rsidRDefault="004D0C1C" w:rsidP="00037710">
            <w:pPr>
              <w:jc w:val="both"/>
              <w:rPr>
                <w:i/>
                <w:sz w:val="18"/>
              </w:rPr>
            </w:pPr>
            <w:r w:rsidRPr="00B80B1A">
              <w:rPr>
                <w:i/>
                <w:sz w:val="18"/>
              </w:rPr>
              <w:t>Prior to Fair Hearing</w:t>
            </w:r>
          </w:p>
        </w:tc>
        <w:tc>
          <w:tcPr>
            <w:tcW w:w="3958" w:type="dxa"/>
          </w:tcPr>
          <w:p w14:paraId="1D775F23" w14:textId="77777777" w:rsidR="004D0C1C" w:rsidRPr="00B80B1A" w:rsidRDefault="004D0C1C" w:rsidP="00037710">
            <w:pPr>
              <w:jc w:val="both"/>
              <w:rPr>
                <w:i/>
                <w:sz w:val="18"/>
              </w:rPr>
            </w:pPr>
            <w:r w:rsidRPr="00B80B1A">
              <w:rPr>
                <w:i/>
                <w:sz w:val="18"/>
              </w:rPr>
              <w:t>After Fair Hearing</w:t>
            </w:r>
          </w:p>
        </w:tc>
      </w:tr>
      <w:tr w:rsidR="004D0C1C" w:rsidRPr="00B80B1A" w14:paraId="5C1F3B01" w14:textId="77777777" w:rsidTr="0009531D">
        <w:trPr>
          <w:jc w:val="center"/>
        </w:trPr>
        <w:tc>
          <w:tcPr>
            <w:tcW w:w="1435" w:type="dxa"/>
          </w:tcPr>
          <w:p w14:paraId="410F6723" w14:textId="77777777" w:rsidR="004D0C1C" w:rsidRPr="00B80B1A" w:rsidRDefault="004D0C1C" w:rsidP="00037710">
            <w:pPr>
              <w:jc w:val="both"/>
              <w:rPr>
                <w:i/>
                <w:sz w:val="18"/>
              </w:rPr>
            </w:pPr>
            <w:r w:rsidRPr="00B80B1A">
              <w:rPr>
                <w:i/>
                <w:sz w:val="18"/>
              </w:rPr>
              <w:t>Area Offices</w:t>
            </w:r>
          </w:p>
        </w:tc>
        <w:tc>
          <w:tcPr>
            <w:tcW w:w="3957" w:type="dxa"/>
          </w:tcPr>
          <w:p w14:paraId="06F49401" w14:textId="11D84AB8" w:rsidR="004D0C1C" w:rsidRPr="00B80B1A" w:rsidRDefault="004D0C1C" w:rsidP="00037710">
            <w:pPr>
              <w:pStyle w:val="ListParagraph"/>
              <w:numPr>
                <w:ilvl w:val="0"/>
                <w:numId w:val="14"/>
              </w:numPr>
              <w:ind w:left="162" w:hanging="180"/>
              <w:jc w:val="both"/>
              <w:rPr>
                <w:i/>
                <w:sz w:val="18"/>
              </w:rPr>
            </w:pPr>
            <w:r w:rsidRPr="00B80B1A">
              <w:rPr>
                <w:i/>
                <w:sz w:val="18"/>
              </w:rPr>
              <w:t>Did appellant receive writte</w:t>
            </w:r>
            <w:r w:rsidR="00F23F8B">
              <w:rPr>
                <w:i/>
                <w:sz w:val="18"/>
              </w:rPr>
              <w:t>n Area Office support decision?</w:t>
            </w:r>
          </w:p>
          <w:p w14:paraId="6FDEA3E8" w14:textId="5E7DD653" w:rsidR="004D0C1C" w:rsidRPr="00B80B1A" w:rsidRDefault="004D0C1C" w:rsidP="00037710">
            <w:pPr>
              <w:pStyle w:val="ListParagraph"/>
              <w:numPr>
                <w:ilvl w:val="0"/>
                <w:numId w:val="14"/>
              </w:numPr>
              <w:ind w:left="162" w:hanging="180"/>
              <w:jc w:val="both"/>
              <w:rPr>
                <w:i/>
                <w:sz w:val="18"/>
              </w:rPr>
            </w:pPr>
            <w:r w:rsidRPr="00B80B1A">
              <w:rPr>
                <w:i/>
                <w:sz w:val="18"/>
              </w:rPr>
              <w:t xml:space="preserve">Did Area Office hold Area </w:t>
            </w:r>
            <w:r w:rsidR="00EA0824" w:rsidRPr="00B80B1A">
              <w:rPr>
                <w:i/>
                <w:sz w:val="18"/>
              </w:rPr>
              <w:t>Director</w:t>
            </w:r>
            <w:r w:rsidR="00F23F8B">
              <w:rPr>
                <w:i/>
                <w:sz w:val="18"/>
              </w:rPr>
              <w:t xml:space="preserve"> </w:t>
            </w:r>
            <w:proofErr w:type="gramStart"/>
            <w:r w:rsidR="00F23F8B">
              <w:rPr>
                <w:i/>
                <w:sz w:val="18"/>
              </w:rPr>
              <w:t>review</w:t>
            </w:r>
            <w:proofErr w:type="gramEnd"/>
            <w:r w:rsidR="00F23F8B">
              <w:rPr>
                <w:i/>
                <w:sz w:val="18"/>
              </w:rPr>
              <w:t>?</w:t>
            </w:r>
          </w:p>
          <w:p w14:paraId="4B42E84D" w14:textId="78E06BF7" w:rsidR="004D0C1C" w:rsidRPr="00B80B1A" w:rsidRDefault="004D0C1C" w:rsidP="00037710">
            <w:pPr>
              <w:pStyle w:val="ListParagraph"/>
              <w:numPr>
                <w:ilvl w:val="0"/>
                <w:numId w:val="14"/>
              </w:numPr>
              <w:ind w:left="162" w:hanging="180"/>
              <w:jc w:val="both"/>
              <w:rPr>
                <w:i/>
                <w:sz w:val="18"/>
              </w:rPr>
            </w:pPr>
            <w:r w:rsidRPr="00B80B1A">
              <w:rPr>
                <w:i/>
                <w:sz w:val="18"/>
              </w:rPr>
              <w:t>Did Are</w:t>
            </w:r>
            <w:r w:rsidR="00192305">
              <w:rPr>
                <w:i/>
                <w:sz w:val="18"/>
              </w:rPr>
              <w:t>a Office hold pre-hearing conference</w:t>
            </w:r>
            <w:r w:rsidR="00F23F8B">
              <w:rPr>
                <w:i/>
                <w:sz w:val="18"/>
              </w:rPr>
              <w:t xml:space="preserve"> with appellant?</w:t>
            </w:r>
          </w:p>
          <w:p w14:paraId="60D6B6E6" w14:textId="12C6884C" w:rsidR="004D0C1C" w:rsidRPr="00B80B1A" w:rsidRDefault="004D0C1C" w:rsidP="00037710">
            <w:pPr>
              <w:pStyle w:val="ListParagraph"/>
              <w:numPr>
                <w:ilvl w:val="0"/>
                <w:numId w:val="14"/>
              </w:numPr>
              <w:ind w:left="162" w:hanging="180"/>
              <w:jc w:val="both"/>
              <w:rPr>
                <w:i/>
                <w:sz w:val="18"/>
              </w:rPr>
            </w:pPr>
            <w:r w:rsidRPr="00B80B1A">
              <w:rPr>
                <w:i/>
                <w:sz w:val="18"/>
              </w:rPr>
              <w:t>Did appellant request interpreter?  Has one with ade</w:t>
            </w:r>
            <w:r w:rsidR="00F23F8B">
              <w:rPr>
                <w:i/>
                <w:sz w:val="18"/>
              </w:rPr>
              <w:t>quate experience been secured?</w:t>
            </w:r>
          </w:p>
        </w:tc>
        <w:tc>
          <w:tcPr>
            <w:tcW w:w="3958" w:type="dxa"/>
          </w:tcPr>
          <w:p w14:paraId="28338919" w14:textId="77777777" w:rsidR="004D0C1C" w:rsidRPr="00B80B1A" w:rsidRDefault="004D0C1C" w:rsidP="00037710">
            <w:pPr>
              <w:pStyle w:val="ListParagraph"/>
              <w:jc w:val="both"/>
              <w:rPr>
                <w:i/>
                <w:sz w:val="18"/>
              </w:rPr>
            </w:pPr>
          </w:p>
        </w:tc>
      </w:tr>
      <w:tr w:rsidR="004D0C1C" w:rsidRPr="00B80B1A" w14:paraId="146A7FFD" w14:textId="77777777" w:rsidTr="0009531D">
        <w:trPr>
          <w:trHeight w:val="3347"/>
          <w:jc w:val="center"/>
        </w:trPr>
        <w:tc>
          <w:tcPr>
            <w:tcW w:w="1435" w:type="dxa"/>
          </w:tcPr>
          <w:p w14:paraId="352774AC" w14:textId="23BBD0F1" w:rsidR="004D0C1C" w:rsidRPr="00B80B1A" w:rsidRDefault="008C6A4A" w:rsidP="00611068">
            <w:pPr>
              <w:rPr>
                <w:i/>
                <w:sz w:val="18"/>
              </w:rPr>
            </w:pPr>
            <w:r w:rsidRPr="00B80B1A">
              <w:rPr>
                <w:i/>
                <w:sz w:val="18"/>
              </w:rPr>
              <w:t>Fair</w:t>
            </w:r>
            <w:r w:rsidR="00611068" w:rsidRPr="00B80B1A">
              <w:rPr>
                <w:i/>
                <w:sz w:val="18"/>
              </w:rPr>
              <w:t xml:space="preserve"> </w:t>
            </w:r>
            <w:r w:rsidR="004D0C1C" w:rsidRPr="00B80B1A">
              <w:rPr>
                <w:i/>
                <w:sz w:val="18"/>
              </w:rPr>
              <w:t>Hearing Unit</w:t>
            </w:r>
          </w:p>
        </w:tc>
        <w:tc>
          <w:tcPr>
            <w:tcW w:w="3957" w:type="dxa"/>
          </w:tcPr>
          <w:p w14:paraId="45B3C61F" w14:textId="522C5681" w:rsidR="004D0C1C" w:rsidRPr="00B80B1A" w:rsidRDefault="004D0C1C" w:rsidP="00037710">
            <w:pPr>
              <w:pStyle w:val="ListParagraph"/>
              <w:numPr>
                <w:ilvl w:val="0"/>
                <w:numId w:val="15"/>
              </w:numPr>
              <w:ind w:left="162" w:hanging="180"/>
              <w:jc w:val="both"/>
              <w:rPr>
                <w:i/>
                <w:sz w:val="18"/>
              </w:rPr>
            </w:pPr>
            <w:r w:rsidRPr="00B80B1A">
              <w:rPr>
                <w:i/>
                <w:sz w:val="18"/>
              </w:rPr>
              <w:t>Did appellant (and attorney, if applica</w:t>
            </w:r>
            <w:r w:rsidR="00F23F8B">
              <w:rPr>
                <w:i/>
                <w:sz w:val="18"/>
              </w:rPr>
              <w:t>ble) receive scheduling letter?</w:t>
            </w:r>
          </w:p>
          <w:p w14:paraId="1CC472B9" w14:textId="26CC0922" w:rsidR="004D0C1C" w:rsidRPr="00B80B1A" w:rsidRDefault="004D0C1C" w:rsidP="00037710">
            <w:pPr>
              <w:pStyle w:val="ListParagraph"/>
              <w:numPr>
                <w:ilvl w:val="0"/>
                <w:numId w:val="15"/>
              </w:numPr>
              <w:ind w:left="162" w:hanging="180"/>
              <w:jc w:val="both"/>
              <w:rPr>
                <w:i/>
                <w:sz w:val="18"/>
              </w:rPr>
            </w:pPr>
            <w:r w:rsidRPr="00B80B1A">
              <w:rPr>
                <w:i/>
                <w:sz w:val="18"/>
              </w:rPr>
              <w:t xml:space="preserve">Did appellant receive list of </w:t>
            </w:r>
            <w:r w:rsidRPr="00E3081C">
              <w:rPr>
                <w:i/>
                <w:sz w:val="18"/>
              </w:rPr>
              <w:t>pro-bono</w:t>
            </w:r>
            <w:r w:rsidR="00F23F8B">
              <w:rPr>
                <w:i/>
                <w:sz w:val="18"/>
              </w:rPr>
              <w:t xml:space="preserve"> attorneys</w:t>
            </w:r>
            <w:r w:rsidRPr="00B80B1A">
              <w:rPr>
                <w:i/>
                <w:sz w:val="18"/>
              </w:rPr>
              <w:t xml:space="preserve"> </w:t>
            </w:r>
          </w:p>
          <w:p w14:paraId="3771E66B" w14:textId="68ADF7DF" w:rsidR="004D0C1C" w:rsidRPr="00B80B1A" w:rsidRDefault="004D0C1C" w:rsidP="00037710">
            <w:pPr>
              <w:pStyle w:val="ListParagraph"/>
              <w:numPr>
                <w:ilvl w:val="0"/>
                <w:numId w:val="15"/>
              </w:numPr>
              <w:ind w:left="162" w:hanging="180"/>
              <w:jc w:val="both"/>
              <w:rPr>
                <w:i/>
                <w:sz w:val="18"/>
              </w:rPr>
            </w:pPr>
            <w:r w:rsidRPr="00B80B1A">
              <w:rPr>
                <w:i/>
                <w:sz w:val="18"/>
              </w:rPr>
              <w:t xml:space="preserve">Did appellant receive, review, and </w:t>
            </w:r>
            <w:r w:rsidR="00E142D0" w:rsidRPr="00B80B1A">
              <w:rPr>
                <w:i/>
                <w:sz w:val="18"/>
              </w:rPr>
              <w:t>stat</w:t>
            </w:r>
            <w:r w:rsidR="00516561" w:rsidRPr="00B80B1A">
              <w:rPr>
                <w:i/>
                <w:sz w:val="18"/>
              </w:rPr>
              <w:t>e</w:t>
            </w:r>
            <w:r w:rsidR="00E142D0" w:rsidRPr="00B80B1A">
              <w:rPr>
                <w:i/>
                <w:sz w:val="18"/>
              </w:rPr>
              <w:t xml:space="preserve"> that they </w:t>
            </w:r>
            <w:r w:rsidRPr="00B80B1A">
              <w:rPr>
                <w:i/>
                <w:sz w:val="18"/>
              </w:rPr>
              <w:t>understa</w:t>
            </w:r>
            <w:r w:rsidR="00F23F8B">
              <w:rPr>
                <w:i/>
                <w:sz w:val="18"/>
              </w:rPr>
              <w:t>nd rights (call/meeting/video)?</w:t>
            </w:r>
          </w:p>
          <w:p w14:paraId="27A16E17" w14:textId="429B9924" w:rsidR="004D0C1C" w:rsidRPr="00B80B1A" w:rsidRDefault="004D0C1C" w:rsidP="00037710">
            <w:pPr>
              <w:pStyle w:val="ListParagraph"/>
              <w:numPr>
                <w:ilvl w:val="0"/>
                <w:numId w:val="15"/>
              </w:numPr>
              <w:ind w:left="162" w:hanging="180"/>
              <w:jc w:val="both"/>
              <w:rPr>
                <w:i/>
                <w:sz w:val="18"/>
              </w:rPr>
            </w:pPr>
            <w:r w:rsidRPr="00B80B1A">
              <w:rPr>
                <w:i/>
                <w:sz w:val="18"/>
              </w:rPr>
              <w:t>Did appellant review</w:t>
            </w:r>
            <w:r w:rsidR="006607FD" w:rsidRPr="00B80B1A">
              <w:rPr>
                <w:i/>
                <w:sz w:val="18"/>
              </w:rPr>
              <w:t xml:space="preserve"> investigation report</w:t>
            </w:r>
            <w:r w:rsidR="00F23F8B">
              <w:rPr>
                <w:i/>
                <w:sz w:val="18"/>
              </w:rPr>
              <w:t>?</w:t>
            </w:r>
          </w:p>
          <w:p w14:paraId="77092C50" w14:textId="7B74D566" w:rsidR="004D0C1C" w:rsidRPr="00B80B1A" w:rsidRDefault="004D0C1C" w:rsidP="00037710">
            <w:pPr>
              <w:pStyle w:val="ListParagraph"/>
              <w:numPr>
                <w:ilvl w:val="0"/>
                <w:numId w:val="15"/>
              </w:numPr>
              <w:ind w:left="162" w:hanging="180"/>
              <w:jc w:val="both"/>
              <w:rPr>
                <w:i/>
                <w:sz w:val="18"/>
              </w:rPr>
            </w:pPr>
            <w:r w:rsidRPr="00B80B1A">
              <w:rPr>
                <w:i/>
                <w:sz w:val="18"/>
              </w:rPr>
              <w:t xml:space="preserve">Did appellant </w:t>
            </w:r>
            <w:r w:rsidR="00F23F8B">
              <w:rPr>
                <w:i/>
                <w:sz w:val="18"/>
              </w:rPr>
              <w:t>review other documents in file?</w:t>
            </w:r>
          </w:p>
          <w:p w14:paraId="35F5EF9A" w14:textId="41608109" w:rsidR="004D0C1C" w:rsidRPr="00B80B1A" w:rsidRDefault="004D0C1C" w:rsidP="00037710">
            <w:pPr>
              <w:pStyle w:val="ListParagraph"/>
              <w:numPr>
                <w:ilvl w:val="0"/>
                <w:numId w:val="15"/>
              </w:numPr>
              <w:ind w:left="162" w:hanging="180"/>
              <w:jc w:val="both"/>
              <w:rPr>
                <w:i/>
                <w:sz w:val="18"/>
              </w:rPr>
            </w:pPr>
            <w:r w:rsidRPr="00B80B1A">
              <w:rPr>
                <w:i/>
                <w:sz w:val="18"/>
              </w:rPr>
              <w:t>Did all persons subpoenaed receive notice?  Did they accept?  If not, has continuance been proposed t</w:t>
            </w:r>
            <w:r w:rsidR="00F23F8B">
              <w:rPr>
                <w:i/>
                <w:sz w:val="18"/>
              </w:rPr>
              <w:t>o appellant?</w:t>
            </w:r>
          </w:p>
          <w:p w14:paraId="36F5A835" w14:textId="5D40FA2E" w:rsidR="004D0C1C" w:rsidRPr="00B80B1A" w:rsidRDefault="004D0C1C" w:rsidP="00037710">
            <w:pPr>
              <w:pStyle w:val="ListParagraph"/>
              <w:numPr>
                <w:ilvl w:val="0"/>
                <w:numId w:val="15"/>
              </w:numPr>
              <w:ind w:left="162" w:hanging="180"/>
              <w:jc w:val="both"/>
              <w:rPr>
                <w:i/>
                <w:sz w:val="18"/>
              </w:rPr>
            </w:pPr>
            <w:r w:rsidRPr="00B80B1A">
              <w:rPr>
                <w:i/>
                <w:sz w:val="18"/>
              </w:rPr>
              <w:t>Did attorney (if a</w:t>
            </w:r>
            <w:r w:rsidR="00F23F8B">
              <w:rPr>
                <w:i/>
                <w:sz w:val="18"/>
              </w:rPr>
              <w:t>pplicable) receive all notices?</w:t>
            </w:r>
          </w:p>
          <w:p w14:paraId="0942DB1D" w14:textId="77777777" w:rsidR="004D0C1C" w:rsidRPr="00B80B1A" w:rsidRDefault="004D0C1C" w:rsidP="00037710">
            <w:pPr>
              <w:pStyle w:val="ListParagraph"/>
              <w:numPr>
                <w:ilvl w:val="0"/>
                <w:numId w:val="15"/>
              </w:numPr>
              <w:ind w:left="162" w:hanging="180"/>
              <w:jc w:val="both"/>
              <w:rPr>
                <w:i/>
                <w:sz w:val="18"/>
              </w:rPr>
            </w:pPr>
            <w:r w:rsidRPr="00B80B1A">
              <w:rPr>
                <w:i/>
                <w:sz w:val="18"/>
              </w:rPr>
              <w:t>Did attorney (if applicable) receive all case documents?</w:t>
            </w:r>
          </w:p>
          <w:p w14:paraId="64DCA38D" w14:textId="77777777" w:rsidR="004D0C1C" w:rsidRPr="00B80B1A" w:rsidRDefault="004D0C1C" w:rsidP="00037710">
            <w:pPr>
              <w:pStyle w:val="ListParagraph"/>
              <w:numPr>
                <w:ilvl w:val="0"/>
                <w:numId w:val="15"/>
              </w:numPr>
              <w:ind w:left="162" w:hanging="180"/>
              <w:jc w:val="both"/>
              <w:rPr>
                <w:i/>
                <w:sz w:val="18"/>
              </w:rPr>
            </w:pPr>
            <w:r w:rsidRPr="00B80B1A">
              <w:rPr>
                <w:i/>
                <w:sz w:val="18"/>
              </w:rPr>
              <w:t xml:space="preserve">Is Area Office manager present to monitor Fair Hearing? </w:t>
            </w:r>
          </w:p>
        </w:tc>
        <w:tc>
          <w:tcPr>
            <w:tcW w:w="3958" w:type="dxa"/>
          </w:tcPr>
          <w:p w14:paraId="7F7B4504" w14:textId="178B1237" w:rsidR="004D0C1C" w:rsidRPr="00B80B1A" w:rsidRDefault="004D0C1C" w:rsidP="00037710">
            <w:pPr>
              <w:pStyle w:val="ListParagraph"/>
              <w:numPr>
                <w:ilvl w:val="0"/>
                <w:numId w:val="6"/>
              </w:numPr>
              <w:ind w:left="134" w:hanging="180"/>
              <w:jc w:val="both"/>
              <w:rPr>
                <w:i/>
                <w:sz w:val="18"/>
              </w:rPr>
            </w:pPr>
            <w:r w:rsidRPr="00B80B1A">
              <w:rPr>
                <w:i/>
                <w:sz w:val="18"/>
              </w:rPr>
              <w:t xml:space="preserve">Is evidence closed?  If not, why not?  Who </w:t>
            </w:r>
            <w:r w:rsidR="00F23F8B">
              <w:rPr>
                <w:i/>
                <w:sz w:val="18"/>
              </w:rPr>
              <w:t>has the next step?  Until when?</w:t>
            </w:r>
          </w:p>
          <w:p w14:paraId="3713A0C4" w14:textId="03690A7A" w:rsidR="004D0C1C" w:rsidRPr="00B80B1A" w:rsidRDefault="00F23F8B" w:rsidP="00037710">
            <w:pPr>
              <w:pStyle w:val="ListParagraph"/>
              <w:numPr>
                <w:ilvl w:val="0"/>
                <w:numId w:val="6"/>
              </w:numPr>
              <w:ind w:left="134" w:hanging="180"/>
              <w:jc w:val="both"/>
              <w:rPr>
                <w:i/>
                <w:sz w:val="18"/>
              </w:rPr>
            </w:pPr>
            <w:r>
              <w:rPr>
                <w:i/>
                <w:sz w:val="18"/>
              </w:rPr>
              <w:t>Has decision been written?</w:t>
            </w:r>
          </w:p>
          <w:p w14:paraId="070B51DA" w14:textId="3B8FAF0E" w:rsidR="004D0C1C" w:rsidRPr="00B80B1A" w:rsidRDefault="004D0C1C" w:rsidP="00037710">
            <w:pPr>
              <w:pStyle w:val="ListParagraph"/>
              <w:numPr>
                <w:ilvl w:val="0"/>
                <w:numId w:val="6"/>
              </w:numPr>
              <w:ind w:left="134" w:hanging="180"/>
              <w:jc w:val="both"/>
              <w:rPr>
                <w:i/>
                <w:sz w:val="18"/>
              </w:rPr>
            </w:pPr>
            <w:r w:rsidRPr="00B80B1A">
              <w:rPr>
                <w:i/>
                <w:sz w:val="18"/>
              </w:rPr>
              <w:t xml:space="preserve">Has decision been approved by </w:t>
            </w:r>
            <w:r w:rsidR="00F23F8B">
              <w:rPr>
                <w:i/>
                <w:sz w:val="18"/>
              </w:rPr>
              <w:t>Supervisor (if still required)?</w:t>
            </w:r>
          </w:p>
          <w:p w14:paraId="584FD915" w14:textId="0D6E8ABA" w:rsidR="004D0C1C" w:rsidRPr="00B80B1A" w:rsidRDefault="004D0C1C" w:rsidP="00037710">
            <w:pPr>
              <w:pStyle w:val="ListParagraph"/>
              <w:numPr>
                <w:ilvl w:val="0"/>
                <w:numId w:val="6"/>
              </w:numPr>
              <w:ind w:left="134" w:hanging="180"/>
              <w:jc w:val="both"/>
              <w:rPr>
                <w:i/>
                <w:sz w:val="18"/>
              </w:rPr>
            </w:pPr>
            <w:r w:rsidRPr="00B80B1A">
              <w:rPr>
                <w:i/>
                <w:sz w:val="18"/>
              </w:rPr>
              <w:t>Has decision been approved by Commissioner?</w:t>
            </w:r>
            <w:r w:rsidR="00F23F8B">
              <w:rPr>
                <w:i/>
                <w:sz w:val="18"/>
              </w:rPr>
              <w:t xml:space="preserve"> (reversals, if still required)</w:t>
            </w:r>
          </w:p>
          <w:p w14:paraId="0A47E003" w14:textId="1B6FE8DD" w:rsidR="004D0C1C" w:rsidRPr="00B80B1A" w:rsidRDefault="00F23F8B" w:rsidP="00037710">
            <w:pPr>
              <w:pStyle w:val="ListParagraph"/>
              <w:numPr>
                <w:ilvl w:val="0"/>
                <w:numId w:val="6"/>
              </w:numPr>
              <w:ind w:left="134" w:hanging="180"/>
              <w:jc w:val="both"/>
              <w:rPr>
                <w:i/>
                <w:sz w:val="18"/>
              </w:rPr>
            </w:pPr>
            <w:r>
              <w:rPr>
                <w:i/>
                <w:sz w:val="18"/>
              </w:rPr>
              <w:t>Has decision been mailed out?</w:t>
            </w:r>
          </w:p>
          <w:p w14:paraId="02697D5A" w14:textId="09DA556E" w:rsidR="004D0C1C" w:rsidRPr="00B80B1A" w:rsidRDefault="004D0C1C" w:rsidP="00037710">
            <w:pPr>
              <w:pStyle w:val="ListParagraph"/>
              <w:numPr>
                <w:ilvl w:val="0"/>
                <w:numId w:val="6"/>
              </w:numPr>
              <w:ind w:left="134" w:hanging="180"/>
              <w:jc w:val="both"/>
              <w:rPr>
                <w:i/>
                <w:sz w:val="18"/>
              </w:rPr>
            </w:pPr>
            <w:r w:rsidRPr="00B80B1A">
              <w:rPr>
                <w:i/>
                <w:sz w:val="18"/>
              </w:rPr>
              <w:t>Has decision been delivered?  If returned, is new address</w:t>
            </w:r>
            <w:r w:rsidR="00F23F8B">
              <w:rPr>
                <w:i/>
                <w:sz w:val="18"/>
              </w:rPr>
              <w:t xml:space="preserve"> available?</w:t>
            </w:r>
          </w:p>
          <w:p w14:paraId="23FAAA42" w14:textId="1FA0843A" w:rsidR="004D0C1C" w:rsidRPr="00B80B1A" w:rsidRDefault="004D0C1C" w:rsidP="00037710">
            <w:pPr>
              <w:pStyle w:val="ListParagraph"/>
              <w:numPr>
                <w:ilvl w:val="0"/>
                <w:numId w:val="6"/>
              </w:numPr>
              <w:ind w:left="134" w:hanging="180"/>
              <w:jc w:val="both"/>
              <w:rPr>
                <w:i/>
                <w:sz w:val="18"/>
              </w:rPr>
            </w:pPr>
            <w:r w:rsidRPr="00B80B1A">
              <w:rPr>
                <w:i/>
                <w:sz w:val="18"/>
              </w:rPr>
              <w:t>Did attorney</w:t>
            </w:r>
            <w:r w:rsidR="00F23F8B">
              <w:rPr>
                <w:i/>
                <w:sz w:val="18"/>
              </w:rPr>
              <w:t>, if present, receive decision?</w:t>
            </w:r>
          </w:p>
          <w:p w14:paraId="6262612C" w14:textId="73F2653B" w:rsidR="004D0C1C" w:rsidRPr="00B80B1A" w:rsidRDefault="004D0C1C" w:rsidP="00037710">
            <w:pPr>
              <w:pStyle w:val="ListParagraph"/>
              <w:numPr>
                <w:ilvl w:val="0"/>
                <w:numId w:val="6"/>
              </w:numPr>
              <w:ind w:left="134" w:hanging="180"/>
              <w:jc w:val="both"/>
              <w:rPr>
                <w:i/>
                <w:sz w:val="18"/>
              </w:rPr>
            </w:pPr>
            <w:r w:rsidRPr="00B80B1A">
              <w:rPr>
                <w:i/>
                <w:sz w:val="18"/>
              </w:rPr>
              <w:t xml:space="preserve">Has decision been </w:t>
            </w:r>
            <w:r w:rsidR="00F23F8B">
              <w:rPr>
                <w:i/>
                <w:sz w:val="18"/>
              </w:rPr>
              <w:t>redacted and posted on website?</w:t>
            </w:r>
          </w:p>
          <w:p w14:paraId="7336B27E" w14:textId="77777777" w:rsidR="004D0C1C" w:rsidRPr="00B80B1A" w:rsidRDefault="004D0C1C" w:rsidP="00037710">
            <w:pPr>
              <w:jc w:val="both"/>
              <w:rPr>
                <w:i/>
                <w:sz w:val="18"/>
              </w:rPr>
            </w:pPr>
          </w:p>
        </w:tc>
      </w:tr>
    </w:tbl>
    <w:p w14:paraId="74A7E109" w14:textId="526D7E4B" w:rsidR="004D0C1C" w:rsidRPr="00B80B1A" w:rsidRDefault="004D0C1C" w:rsidP="008E04A5">
      <w:pPr>
        <w:pStyle w:val="Heading3"/>
        <w:numPr>
          <w:ilvl w:val="0"/>
          <w:numId w:val="48"/>
        </w:numPr>
        <w:jc w:val="both"/>
        <w:rPr>
          <w:i/>
          <w:sz w:val="28"/>
          <w:szCs w:val="28"/>
        </w:rPr>
      </w:pPr>
      <w:bookmarkStart w:id="75" w:name="_Toc418852321"/>
      <w:bookmarkStart w:id="76" w:name="_Toc421781214"/>
      <w:r w:rsidRPr="00B80B1A">
        <w:rPr>
          <w:i/>
          <w:sz w:val="28"/>
          <w:szCs w:val="28"/>
        </w:rPr>
        <w:lastRenderedPageBreak/>
        <w:t>Independence</w:t>
      </w:r>
      <w:bookmarkEnd w:id="75"/>
      <w:bookmarkEnd w:id="76"/>
    </w:p>
    <w:p w14:paraId="71BE1555" w14:textId="77777777" w:rsidR="004D0C1C" w:rsidRPr="00B80B1A" w:rsidRDefault="004D0C1C" w:rsidP="00037710">
      <w:pPr>
        <w:spacing w:after="0" w:line="240" w:lineRule="auto"/>
        <w:jc w:val="both"/>
        <w:rPr>
          <w:u w:val="single"/>
        </w:rPr>
      </w:pPr>
    </w:p>
    <w:p w14:paraId="24455B63" w14:textId="3AA7CAC6" w:rsidR="004D0C1C" w:rsidRPr="00B80B1A" w:rsidRDefault="004D0C1C" w:rsidP="00037710">
      <w:pPr>
        <w:pStyle w:val="ListParagraph"/>
        <w:numPr>
          <w:ilvl w:val="0"/>
          <w:numId w:val="31"/>
        </w:numPr>
        <w:spacing w:after="0" w:line="240" w:lineRule="auto"/>
        <w:ind w:left="450"/>
        <w:jc w:val="both"/>
        <w:rPr>
          <w:u w:val="single"/>
        </w:rPr>
      </w:pPr>
      <w:r w:rsidRPr="00B80B1A">
        <w:rPr>
          <w:rFonts w:eastAsiaTheme="minorEastAsia"/>
          <w:lang w:eastAsia="ja-JP"/>
        </w:rPr>
        <w:t xml:space="preserve">We recommend that DCF </w:t>
      </w:r>
      <w:r w:rsidRPr="00B80B1A">
        <w:rPr>
          <w:rFonts w:eastAsiaTheme="minorEastAsia"/>
          <w:u w:val="single"/>
          <w:lang w:eastAsia="ja-JP"/>
        </w:rPr>
        <w:t>consider implementing measures to improve the public perception of Independence</w:t>
      </w:r>
      <w:r w:rsidRPr="00B80B1A">
        <w:rPr>
          <w:rFonts w:eastAsiaTheme="minorEastAsia"/>
          <w:lang w:eastAsia="ja-JP"/>
        </w:rPr>
        <w:t xml:space="preserve"> and to convey the message that the </w:t>
      </w:r>
      <w:r w:rsidRPr="00B80B1A">
        <w:rPr>
          <w:rFonts w:eastAsiaTheme="minorEastAsia"/>
          <w:u w:val="single"/>
          <w:lang w:eastAsia="ja-JP"/>
        </w:rPr>
        <w:t>Fair Hearing process is separate from the underlying investigation by the Department</w:t>
      </w:r>
      <w:r w:rsidRPr="00B80B1A">
        <w:rPr>
          <w:rFonts w:eastAsiaTheme="minorEastAsia"/>
          <w:lang w:eastAsia="ja-JP"/>
        </w:rPr>
        <w:t xml:space="preserve"> despite the organizational structure</w:t>
      </w:r>
      <w:r w:rsidR="004579A7" w:rsidRPr="00B80B1A">
        <w:rPr>
          <w:rFonts w:eastAsiaTheme="minorEastAsia"/>
          <w:lang w:eastAsia="ja-JP"/>
        </w:rPr>
        <w:t xml:space="preserve">. </w:t>
      </w:r>
      <w:r w:rsidRPr="00B80B1A">
        <w:rPr>
          <w:rFonts w:eastAsiaTheme="minorEastAsia"/>
          <w:lang w:eastAsia="ja-JP"/>
        </w:rPr>
        <w:t>Holding Fair Hearings outside Area Office locations would be an effective first step.</w:t>
      </w:r>
    </w:p>
    <w:p w14:paraId="13CFA209" w14:textId="77777777" w:rsidR="004D0C1C" w:rsidRPr="00B80B1A" w:rsidRDefault="004D0C1C" w:rsidP="00037710">
      <w:pPr>
        <w:pStyle w:val="ListParagraph"/>
        <w:spacing w:after="0" w:line="240" w:lineRule="auto"/>
        <w:ind w:left="450"/>
        <w:jc w:val="both"/>
      </w:pPr>
    </w:p>
    <w:p w14:paraId="1F87E82C" w14:textId="521AD1BD" w:rsidR="004D0C1C" w:rsidRPr="00B80B1A" w:rsidRDefault="004D0C1C" w:rsidP="00037710">
      <w:pPr>
        <w:pStyle w:val="ListParagraph"/>
        <w:numPr>
          <w:ilvl w:val="0"/>
          <w:numId w:val="13"/>
        </w:numPr>
        <w:spacing w:after="0" w:line="240" w:lineRule="auto"/>
        <w:ind w:left="450"/>
        <w:jc w:val="both"/>
      </w:pPr>
      <w:r w:rsidRPr="00B80B1A">
        <w:t xml:space="preserve">DCF should consider </w:t>
      </w:r>
      <w:r w:rsidRPr="006E1753">
        <w:rPr>
          <w:u w:val="single"/>
        </w:rPr>
        <w:t xml:space="preserve">posting </w:t>
      </w:r>
      <w:r w:rsidRPr="00B80B1A">
        <w:rPr>
          <w:u w:val="single"/>
        </w:rPr>
        <w:t>redacted decisions on the DCF website</w:t>
      </w:r>
      <w:r w:rsidRPr="00B80B1A">
        <w:t xml:space="preserve"> to improve transparency. Currently the Vermont Human Services Board is making all redacted decisions available on its website</w:t>
      </w:r>
      <w:r w:rsidR="004579A7" w:rsidRPr="00B80B1A">
        <w:t xml:space="preserve">. </w:t>
      </w:r>
      <w:r w:rsidRPr="00B80B1A">
        <w:t xml:space="preserve">The appellants’ ability to argue their cases </w:t>
      </w:r>
      <w:r w:rsidR="00ED0418" w:rsidRPr="00B80B1A">
        <w:t>might</w:t>
      </w:r>
      <w:r w:rsidRPr="00B80B1A">
        <w:t xml:space="preserve"> improve if they could research similar past cases.</w:t>
      </w:r>
    </w:p>
    <w:p w14:paraId="4EF02362" w14:textId="087F7B8B" w:rsidR="002F0731" w:rsidRPr="00B80B1A" w:rsidRDefault="002F0731" w:rsidP="00037710">
      <w:pPr>
        <w:jc w:val="both"/>
      </w:pPr>
      <w:r w:rsidRPr="00B80B1A">
        <w:br w:type="page"/>
      </w:r>
      <w:bookmarkStart w:id="77" w:name="_GoBack"/>
      <w:bookmarkEnd w:id="77"/>
    </w:p>
    <w:p w14:paraId="63E0D4D1" w14:textId="50C5C1D8" w:rsidR="00A2395D" w:rsidRPr="00B80B1A" w:rsidRDefault="00FC1344" w:rsidP="00016720">
      <w:pPr>
        <w:pStyle w:val="Heading1"/>
        <w:rPr>
          <w:i/>
        </w:rPr>
      </w:pPr>
      <w:bookmarkStart w:id="78" w:name="_Toc418852322"/>
      <w:bookmarkStart w:id="79" w:name="_Toc421781215"/>
      <w:bookmarkEnd w:id="59"/>
      <w:r w:rsidRPr="00B80B1A">
        <w:rPr>
          <w:i/>
        </w:rPr>
        <w:lastRenderedPageBreak/>
        <w:t>Conclusion</w:t>
      </w:r>
      <w:bookmarkEnd w:id="78"/>
      <w:bookmarkEnd w:id="79"/>
    </w:p>
    <w:p w14:paraId="435133D0" w14:textId="77777777" w:rsidR="00AE520C" w:rsidRPr="00B80B1A" w:rsidRDefault="00AE520C" w:rsidP="001C574F">
      <w:pPr>
        <w:spacing w:after="0" w:line="240" w:lineRule="auto"/>
        <w:jc w:val="both"/>
        <w:rPr>
          <w:b/>
        </w:rPr>
      </w:pPr>
    </w:p>
    <w:p w14:paraId="6FE89B67" w14:textId="08D5277C" w:rsidR="009B4F74" w:rsidRPr="00B80B1A" w:rsidRDefault="009B4F74" w:rsidP="009B4F74">
      <w:pPr>
        <w:spacing w:after="0" w:line="240" w:lineRule="auto"/>
        <w:jc w:val="both"/>
      </w:pPr>
      <w:r w:rsidRPr="00B80B1A">
        <w:t xml:space="preserve">Our recommendations strive to reduce the backlog and allow the Hearing Officer capacity to keep up with the volume of Fair Hearing requests and improve Timeliness. Furthermore, they seek to strengthen Fairness and Independence, giving the appellants the due process rights they deserve. Over time, we would expect to see more positive client perceptions as a </w:t>
      </w:r>
      <w:r w:rsidR="00F23F8B">
        <w:t>result of their implementation.</w:t>
      </w:r>
    </w:p>
    <w:p w14:paraId="38D61CED" w14:textId="77777777" w:rsidR="002F0731" w:rsidRPr="00B80B1A" w:rsidRDefault="002F0731" w:rsidP="009B4F74">
      <w:pPr>
        <w:spacing w:after="0" w:line="240" w:lineRule="auto"/>
        <w:jc w:val="both"/>
      </w:pPr>
    </w:p>
    <w:p w14:paraId="09207C74" w14:textId="346B5755" w:rsidR="002F0731" w:rsidRDefault="002F0731" w:rsidP="009B4F74">
      <w:pPr>
        <w:spacing w:after="0" w:line="240" w:lineRule="auto"/>
        <w:jc w:val="both"/>
      </w:pPr>
      <w:r w:rsidRPr="00B80B1A">
        <w:t>We hope our report will be received as a call to action</w:t>
      </w:r>
      <w:r w:rsidR="004579A7" w:rsidRPr="00B80B1A">
        <w:t xml:space="preserve">. </w:t>
      </w:r>
      <w:r w:rsidR="005E686C" w:rsidRPr="00B80B1A">
        <w:t>Further, w</w:t>
      </w:r>
      <w:r w:rsidRPr="00B80B1A">
        <w:t xml:space="preserve">e hope that the Legislature and the OCA will enable and support the implementation of our </w:t>
      </w:r>
      <w:r w:rsidR="005E686C" w:rsidRPr="00B80B1A">
        <w:t xml:space="preserve">suggestions </w:t>
      </w:r>
      <w:r w:rsidRPr="00B80B1A">
        <w:t xml:space="preserve">and that </w:t>
      </w:r>
      <w:r w:rsidR="00E17DDA" w:rsidRPr="00B80B1A">
        <w:t xml:space="preserve">the </w:t>
      </w:r>
      <w:r w:rsidRPr="00B80B1A">
        <w:t>DCF, under the leadership of Commissioner Linda Spears</w:t>
      </w:r>
      <w:r w:rsidR="005E686C" w:rsidRPr="00B80B1A">
        <w:t>,</w:t>
      </w:r>
      <w:r w:rsidRPr="00B80B1A">
        <w:t xml:space="preserve"> will dedicate the additional managerial attention </w:t>
      </w:r>
      <w:r w:rsidR="00780224" w:rsidRPr="00B80B1A">
        <w:t xml:space="preserve">to Fair Hearings that appellants rightfully </w:t>
      </w:r>
      <w:r w:rsidR="00A11A3B" w:rsidRPr="00B80B1A">
        <w:t>deserve</w:t>
      </w:r>
      <w:r w:rsidR="00780224" w:rsidRPr="00B80B1A">
        <w:t>.</w:t>
      </w:r>
    </w:p>
    <w:sectPr w:rsidR="002F0731" w:rsidSect="0061534A">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94B53" w14:textId="77777777" w:rsidR="002B7274" w:rsidRDefault="002B7274" w:rsidP="00261F62">
      <w:pPr>
        <w:spacing w:after="0" w:line="240" w:lineRule="auto"/>
      </w:pPr>
      <w:r>
        <w:separator/>
      </w:r>
    </w:p>
  </w:endnote>
  <w:endnote w:type="continuationSeparator" w:id="0">
    <w:p w14:paraId="5175CCA5" w14:textId="77777777" w:rsidR="002B7274" w:rsidRDefault="002B7274" w:rsidP="0026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826204"/>
      <w:docPartObj>
        <w:docPartGallery w:val="Page Numbers (Bottom of Page)"/>
        <w:docPartUnique/>
      </w:docPartObj>
    </w:sdtPr>
    <w:sdtEndPr>
      <w:rPr>
        <w:noProof/>
      </w:rPr>
    </w:sdtEndPr>
    <w:sdtContent>
      <w:p w14:paraId="45ECF47F" w14:textId="77777777" w:rsidR="00FF2382" w:rsidRDefault="00FF2382">
        <w:pPr>
          <w:pStyle w:val="Footer"/>
          <w:jc w:val="center"/>
        </w:pPr>
        <w:r>
          <w:fldChar w:fldCharType="begin"/>
        </w:r>
        <w:r>
          <w:instrText xml:space="preserve"> PAGE   \* MERGEFORMAT </w:instrText>
        </w:r>
        <w:r>
          <w:fldChar w:fldCharType="separate"/>
        </w:r>
        <w:r w:rsidR="00287FDA">
          <w:rPr>
            <w:noProof/>
          </w:rPr>
          <w:t>1</w:t>
        </w:r>
        <w:r>
          <w:rPr>
            <w:noProof/>
          </w:rPr>
          <w:fldChar w:fldCharType="end"/>
        </w:r>
      </w:p>
    </w:sdtContent>
  </w:sdt>
  <w:p w14:paraId="2E6C9197" w14:textId="77777777" w:rsidR="00FF2382" w:rsidRDefault="00FF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0BFA1" w14:textId="77777777" w:rsidR="002B7274" w:rsidRDefault="002B7274" w:rsidP="00261F62">
      <w:pPr>
        <w:spacing w:after="0" w:line="240" w:lineRule="auto"/>
      </w:pPr>
      <w:r>
        <w:separator/>
      </w:r>
    </w:p>
  </w:footnote>
  <w:footnote w:type="continuationSeparator" w:id="0">
    <w:p w14:paraId="17089BDE" w14:textId="77777777" w:rsidR="002B7274" w:rsidRDefault="002B7274" w:rsidP="00261F62">
      <w:pPr>
        <w:spacing w:after="0" w:line="240" w:lineRule="auto"/>
      </w:pPr>
      <w:r>
        <w:continuationSeparator/>
      </w:r>
    </w:p>
  </w:footnote>
  <w:footnote w:id="1">
    <w:p w14:paraId="4B7F1950" w14:textId="5BABCF52" w:rsidR="00FF2382" w:rsidRDefault="00FF2382">
      <w:pPr>
        <w:pStyle w:val="FootnoteText"/>
      </w:pPr>
      <w:r>
        <w:rPr>
          <w:rStyle w:val="FootnoteReference"/>
        </w:rPr>
        <w:footnoteRef/>
      </w:r>
      <w:r>
        <w:t xml:space="preserve"> </w:t>
      </w:r>
      <w:r w:rsidRPr="00EC74E9">
        <w:t>http://www.mass.gov/eohhs/gov/</w:t>
      </w:r>
      <w:r>
        <w:t>Department</w:t>
      </w:r>
      <w:r w:rsidRPr="00EC74E9">
        <w:t>s/dcf/about-the-</w:t>
      </w:r>
      <w:r>
        <w:t>Department</w:t>
      </w:r>
      <w:r w:rsidRPr="00EC74E9">
        <w:t>-of-children-and-families.html</w:t>
      </w:r>
    </w:p>
  </w:footnote>
  <w:footnote w:id="2">
    <w:p w14:paraId="65FAFD6F" w14:textId="020CA623" w:rsidR="00FF2382" w:rsidRDefault="00FF2382">
      <w:pPr>
        <w:pStyle w:val="FootnoteText"/>
      </w:pPr>
      <w:r>
        <w:rPr>
          <w:rStyle w:val="FootnoteReference"/>
        </w:rPr>
        <w:footnoteRef/>
      </w:r>
      <w:r>
        <w:t xml:space="preserve"> 110 CMR 10.06</w:t>
      </w:r>
    </w:p>
  </w:footnote>
  <w:footnote w:id="3">
    <w:p w14:paraId="1C6986E3" w14:textId="686B992E" w:rsidR="00FF2382" w:rsidRDefault="00FF2382" w:rsidP="00AB75D1">
      <w:pPr>
        <w:pStyle w:val="FootnoteText"/>
      </w:pPr>
      <w:r>
        <w:rPr>
          <w:rStyle w:val="FootnoteReference"/>
        </w:rPr>
        <w:footnoteRef/>
      </w:r>
      <w:r>
        <w:t xml:space="preserve"> 110 CMR 10.23</w:t>
      </w:r>
    </w:p>
  </w:footnote>
  <w:footnote w:id="4">
    <w:p w14:paraId="176879B9" w14:textId="6E456AA1" w:rsidR="00FF2382" w:rsidRDefault="00FF2382" w:rsidP="00AB75D1">
      <w:pPr>
        <w:pStyle w:val="FootnoteText"/>
      </w:pPr>
      <w:r>
        <w:rPr>
          <w:rStyle w:val="FootnoteReference"/>
        </w:rPr>
        <w:footnoteRef/>
      </w:r>
      <w:r>
        <w:t xml:space="preserve"> 110 CMR 10.29 (1), (2)</w:t>
      </w:r>
    </w:p>
  </w:footnote>
  <w:footnote w:id="5">
    <w:p w14:paraId="1E127E15" w14:textId="77777777" w:rsidR="00FF2382" w:rsidRDefault="00FF2382" w:rsidP="00AB75D1">
      <w:pPr>
        <w:pStyle w:val="FootnoteText"/>
      </w:pPr>
      <w:r>
        <w:rPr>
          <w:rStyle w:val="FootnoteReference"/>
        </w:rPr>
        <w:footnoteRef/>
      </w:r>
      <w:r>
        <w:t xml:space="preserve"> </w:t>
      </w:r>
      <w:proofErr w:type="gramStart"/>
      <w:r>
        <w:t>M.G.L. c. 30A.</w:t>
      </w:r>
      <w:proofErr w:type="gramEnd"/>
      <w:r>
        <w:t xml:space="preserve"> 14.</w:t>
      </w:r>
    </w:p>
  </w:footnote>
  <w:footnote w:id="6">
    <w:p w14:paraId="467BB73B" w14:textId="77777777" w:rsidR="00FF2382" w:rsidRPr="009C59E2" w:rsidRDefault="00FF2382" w:rsidP="00AB75D1">
      <w:pPr>
        <w:pStyle w:val="FootnoteText"/>
        <w:rPr>
          <w:lang w:eastAsia="ja-JP"/>
        </w:rPr>
      </w:pPr>
      <w:r>
        <w:rPr>
          <w:rStyle w:val="FootnoteReference"/>
        </w:rPr>
        <w:footnoteRef/>
      </w:r>
      <w:r>
        <w:t xml:space="preserve"> </w:t>
      </w:r>
      <w:r>
        <w:rPr>
          <w:rFonts w:hint="eastAsia"/>
          <w:lang w:eastAsia="ja-JP"/>
        </w:rPr>
        <w:t>Numbers provided by Deputy General Counsel Patricia Casey</w:t>
      </w:r>
    </w:p>
  </w:footnote>
  <w:footnote w:id="7">
    <w:p w14:paraId="232D2EDF" w14:textId="77777777" w:rsidR="00FF2382" w:rsidRDefault="00FF2382" w:rsidP="00884542">
      <w:pPr>
        <w:pStyle w:val="FootnoteText"/>
      </w:pPr>
      <w:r>
        <w:rPr>
          <w:rStyle w:val="FootnoteReference"/>
        </w:rPr>
        <w:footnoteRef/>
      </w:r>
      <w:r>
        <w:t xml:space="preserve"> 110 CMR 4:37</w:t>
      </w:r>
    </w:p>
  </w:footnote>
  <w:footnote w:id="8">
    <w:p w14:paraId="69FE0758" w14:textId="4BEDA595" w:rsidR="00FF2382" w:rsidRDefault="00FF2382">
      <w:pPr>
        <w:pStyle w:val="FootnoteText"/>
      </w:pPr>
      <w:r>
        <w:rPr>
          <w:rStyle w:val="FootnoteReference"/>
        </w:rPr>
        <w:footnoteRef/>
      </w:r>
      <w:r>
        <w:t xml:space="preserve"> FamilyNet is the desktop-accessible information interface at DCF. In November 2014, DCF transitioned to the web-based </w:t>
      </w:r>
      <w:proofErr w:type="spellStart"/>
      <w:r>
        <w:t>iFamilyNet</w:t>
      </w:r>
      <w:proofErr w:type="spellEnd"/>
      <w:r>
        <w:t xml:space="preserve"> portal.</w:t>
      </w:r>
    </w:p>
  </w:footnote>
  <w:footnote w:id="9">
    <w:p w14:paraId="3E973141" w14:textId="5A82081A" w:rsidR="00FF2382" w:rsidRDefault="00FF2382" w:rsidP="0071139F">
      <w:pPr>
        <w:pStyle w:val="FootnoteText"/>
      </w:pPr>
      <w:r>
        <w:rPr>
          <w:rStyle w:val="FootnoteReference"/>
        </w:rPr>
        <w:footnoteRef/>
      </w:r>
      <w:r>
        <w:t xml:space="preserve"> Decision Issuance dates have been approximated using the Close Date field in the FamilyNet data as actual decision issuance dates are not available.</w:t>
      </w:r>
    </w:p>
  </w:footnote>
  <w:footnote w:id="10">
    <w:p w14:paraId="7E7DB3C7" w14:textId="61A24F04" w:rsidR="00FF2382" w:rsidRPr="0038082F" w:rsidRDefault="00FF2382" w:rsidP="0000784A">
      <w:pPr>
        <w:pStyle w:val="FootnoteText"/>
      </w:pPr>
      <w:r w:rsidRPr="0038082F">
        <w:rPr>
          <w:rStyle w:val="FootnoteReference"/>
        </w:rPr>
        <w:footnoteRef/>
      </w:r>
      <w:r>
        <w:t xml:space="preserve"> </w:t>
      </w:r>
      <w:proofErr w:type="gramStart"/>
      <w:r>
        <w:t>110 CMR 10.</w:t>
      </w:r>
      <w:r w:rsidRPr="0038082F">
        <w:t>08 (1).</w:t>
      </w:r>
      <w:proofErr w:type="gramEnd"/>
    </w:p>
  </w:footnote>
  <w:footnote w:id="11">
    <w:p w14:paraId="3766E5B6" w14:textId="30EA192F" w:rsidR="00FF2382" w:rsidRPr="0038082F" w:rsidRDefault="00FF2382" w:rsidP="0000784A">
      <w:pPr>
        <w:pStyle w:val="FootnoteText"/>
      </w:pPr>
      <w:r w:rsidRPr="0038082F">
        <w:rPr>
          <w:rStyle w:val="FootnoteReference"/>
        </w:rPr>
        <w:footnoteRef/>
      </w:r>
      <w:r w:rsidRPr="0038082F">
        <w:t xml:space="preserve"> </w:t>
      </w:r>
      <w:proofErr w:type="gramStart"/>
      <w:r w:rsidRPr="0038082F">
        <w:t>CT Title 17a Chapter 319a Sec. 17a-101k-6 (b).</w:t>
      </w:r>
      <w:proofErr w:type="gramEnd"/>
      <w:r w:rsidRPr="0038082F">
        <w:t xml:space="preserve"> </w:t>
      </w:r>
      <w:proofErr w:type="gramStart"/>
      <w:r w:rsidRPr="0038082F">
        <w:t>NH He-C 201.03 Time Limit for Appeals (a).</w:t>
      </w:r>
      <w:proofErr w:type="gramEnd"/>
      <w:r w:rsidRPr="0038082F">
        <w:t xml:space="preserve"> </w:t>
      </w:r>
      <w:proofErr w:type="gramStart"/>
      <w:r w:rsidRPr="0038082F">
        <w:t>RI DCYF Policy 100.0055 Supervisor and Divisional Appeals (C).</w:t>
      </w:r>
      <w:proofErr w:type="gramEnd"/>
      <w:r w:rsidRPr="0038082F">
        <w:t xml:space="preserve"> </w:t>
      </w:r>
      <w:proofErr w:type="gramStart"/>
      <w:r w:rsidRPr="0038082F">
        <w:t>VT DCF Administrative Review 3005.08.</w:t>
      </w:r>
      <w:proofErr w:type="gramEnd"/>
      <w:r w:rsidRPr="0038082F">
        <w:t xml:space="preserve"> </w:t>
      </w:r>
      <w:proofErr w:type="gramStart"/>
      <w:r w:rsidRPr="0038082F">
        <w:t>18 NYCRR 434.3 (b).</w:t>
      </w:r>
      <w:proofErr w:type="gramEnd"/>
      <w:r w:rsidRPr="0038082F">
        <w:t xml:space="preserve"> </w:t>
      </w:r>
      <w:r w:rsidRPr="00842283">
        <w:t>For Connecticut and Vermont, the timeframe referenced is the one for requesting a hearing following their respective methods of preliminary review.</w:t>
      </w:r>
    </w:p>
  </w:footnote>
  <w:footnote w:id="12">
    <w:p w14:paraId="018739E2" w14:textId="3A7F434D" w:rsidR="00FF2382" w:rsidRPr="0038082F" w:rsidRDefault="00FF2382" w:rsidP="0000784A">
      <w:pPr>
        <w:pStyle w:val="FootnoteText"/>
      </w:pPr>
      <w:r w:rsidRPr="0038082F">
        <w:rPr>
          <w:rStyle w:val="FootnoteReference"/>
        </w:rPr>
        <w:footnoteRef/>
      </w:r>
      <w:r w:rsidRPr="0038082F">
        <w:t xml:space="preserve"> </w:t>
      </w:r>
      <w:proofErr w:type="gramStart"/>
      <w:r w:rsidRPr="0038082F">
        <w:t>CT Title 17a Chapter 319a Sec 17a-101k-7 (a).</w:t>
      </w:r>
      <w:proofErr w:type="gramEnd"/>
      <w:r w:rsidRPr="0038082F">
        <w:t xml:space="preserve"> </w:t>
      </w:r>
      <w:proofErr w:type="gramStart"/>
      <w:r w:rsidRPr="0038082F">
        <w:t>VT VSA 4916b (b) (1).</w:t>
      </w:r>
      <w:proofErr w:type="gramEnd"/>
      <w:r w:rsidRPr="0038082F">
        <w:t xml:space="preserve"> </w:t>
      </w:r>
      <w:proofErr w:type="gramStart"/>
      <w:r w:rsidRPr="0038082F">
        <w:t>18 NYCRR 434.3 (b).</w:t>
      </w:r>
      <w:proofErr w:type="gramEnd"/>
    </w:p>
  </w:footnote>
  <w:footnote w:id="13">
    <w:p w14:paraId="3BC44082" w14:textId="5D28CD66" w:rsidR="00FF2382" w:rsidRPr="0038082F" w:rsidRDefault="00FF2382" w:rsidP="0000784A">
      <w:pPr>
        <w:pStyle w:val="FootnoteText"/>
      </w:pPr>
      <w:r w:rsidRPr="0038082F">
        <w:rPr>
          <w:rStyle w:val="FootnoteReference"/>
        </w:rPr>
        <w:footnoteRef/>
      </w:r>
      <w:r>
        <w:t xml:space="preserve"> </w:t>
      </w:r>
      <w:proofErr w:type="gramStart"/>
      <w:r>
        <w:t>110 CMR 10.</w:t>
      </w:r>
      <w:r w:rsidRPr="0038082F">
        <w:t>10 (1).</w:t>
      </w:r>
      <w:proofErr w:type="gramEnd"/>
      <w:r w:rsidRPr="0038082F">
        <w:t xml:space="preserve"> For the sake of consistency with other states, time requirements in business days have been converted to regular calendar days.</w:t>
      </w:r>
    </w:p>
  </w:footnote>
  <w:footnote w:id="14">
    <w:p w14:paraId="72EB97E9" w14:textId="59652B65" w:rsidR="00FF2382" w:rsidRDefault="00FF2382" w:rsidP="0000784A">
      <w:pPr>
        <w:pStyle w:val="FootnoteText"/>
      </w:pPr>
      <w:r w:rsidRPr="0038082F">
        <w:rPr>
          <w:rStyle w:val="FootnoteReference"/>
        </w:rPr>
        <w:footnoteRef/>
      </w:r>
      <w:r>
        <w:t xml:space="preserve"> </w:t>
      </w:r>
      <w:proofErr w:type="gramStart"/>
      <w:r>
        <w:t>110 CMR 10.</w:t>
      </w:r>
      <w:r w:rsidRPr="0038082F">
        <w:t>29 (1).</w:t>
      </w:r>
      <w:proofErr w:type="gramEnd"/>
      <w:r w:rsidRPr="0038082F">
        <w:t xml:space="preserve"> Business days (60 to 90) have been converted into calendar days (84 to 126) to ensure comparability.</w:t>
      </w:r>
    </w:p>
  </w:footnote>
  <w:footnote w:id="15">
    <w:p w14:paraId="532FC565" w14:textId="63978ACE" w:rsidR="00FF2382" w:rsidRPr="0038082F" w:rsidRDefault="00FF2382" w:rsidP="0000784A">
      <w:pPr>
        <w:pStyle w:val="FootnoteText"/>
      </w:pPr>
      <w:r w:rsidRPr="0038082F">
        <w:rPr>
          <w:rStyle w:val="FootnoteReference"/>
        </w:rPr>
        <w:footnoteRef/>
      </w:r>
      <w:r w:rsidRPr="0038082F">
        <w:t xml:space="preserve"> </w:t>
      </w:r>
      <w:proofErr w:type="gramStart"/>
      <w:r w:rsidRPr="0038082F">
        <w:t>RI DCYF Policy 100.0055 the Formal Hearing (F).</w:t>
      </w:r>
      <w:proofErr w:type="gramEnd"/>
      <w:r w:rsidRPr="0038082F">
        <w:t xml:space="preserve"> </w:t>
      </w:r>
      <w:proofErr w:type="gramStart"/>
      <w:r w:rsidRPr="0038082F">
        <w:t>CT Title 17a Chapter 319a Sec 17a-101k-10 (b).</w:t>
      </w:r>
      <w:proofErr w:type="gramEnd"/>
      <w:r w:rsidRPr="0038082F">
        <w:t xml:space="preserve"> </w:t>
      </w:r>
      <w:proofErr w:type="gramStart"/>
      <w:r w:rsidRPr="0038082F">
        <w:t>VT VSA 4916b (b) (1).</w:t>
      </w:r>
      <w:proofErr w:type="gramEnd"/>
      <w:r w:rsidRPr="0038082F">
        <w:t xml:space="preserve"> For NY, see 18 NYCRR 434.11 (b), (c).</w:t>
      </w:r>
    </w:p>
  </w:footnote>
  <w:footnote w:id="16">
    <w:p w14:paraId="25446916" w14:textId="118B46EB" w:rsidR="00FF2382" w:rsidRPr="0038082F" w:rsidRDefault="00FF2382">
      <w:pPr>
        <w:pStyle w:val="FootnoteText"/>
      </w:pPr>
      <w:r w:rsidRPr="0038082F">
        <w:rPr>
          <w:rStyle w:val="FootnoteReference"/>
        </w:rPr>
        <w:footnoteRef/>
      </w:r>
      <w:r w:rsidRPr="0038082F">
        <w:t xml:space="preserve"> Appellant Survey Results</w:t>
      </w:r>
    </w:p>
  </w:footnote>
  <w:footnote w:id="17">
    <w:p w14:paraId="4CC6E534" w14:textId="5F9CE088" w:rsidR="00FF2382" w:rsidRPr="0038082F" w:rsidRDefault="00FF2382">
      <w:pPr>
        <w:pStyle w:val="FootnoteText"/>
      </w:pPr>
      <w:r w:rsidRPr="0038082F">
        <w:rPr>
          <w:rStyle w:val="FootnoteReference"/>
        </w:rPr>
        <w:footnoteRef/>
      </w:r>
      <w:r w:rsidRPr="0038082F">
        <w:t xml:space="preserve"> </w:t>
      </w:r>
      <w:proofErr w:type="gramStart"/>
      <w:r w:rsidRPr="0038082F">
        <w:t>2007-2008 Massachusetts Trial Court “Access &amp; Fairness” survey.</w:t>
      </w:r>
      <w:proofErr w:type="gramEnd"/>
      <w:r w:rsidRPr="0038082F">
        <w:t xml:space="preserve"> Results are based on 9,047 respondents who utilized court services.</w:t>
      </w:r>
    </w:p>
  </w:footnote>
  <w:footnote w:id="18">
    <w:p w14:paraId="6AB4A85A" w14:textId="156DE4AE" w:rsidR="00FF2382" w:rsidRDefault="00FF2382">
      <w:pPr>
        <w:pStyle w:val="FootnoteText"/>
      </w:pPr>
      <w:r w:rsidRPr="0038082F">
        <w:rPr>
          <w:rStyle w:val="FootnoteReference"/>
        </w:rPr>
        <w:footnoteRef/>
      </w:r>
      <w:r>
        <w:t xml:space="preserve"> Per 110 CMR 10.</w:t>
      </w:r>
      <w:r w:rsidRPr="0038082F">
        <w:t>10, if the Department receives a written request from any District Attorney’s Office stating that there is an open criminal investigation pending or formal criminal charges have been instituted, the Department shall stay its review by Fair Hearing</w:t>
      </w:r>
      <w:r w:rsidRPr="00F47B96">
        <w:t xml:space="preserve"> of the related agency decisions for six months and notify the parties.</w:t>
      </w:r>
    </w:p>
  </w:footnote>
  <w:footnote w:id="19">
    <w:p w14:paraId="4D269D2D" w14:textId="4D9F2020" w:rsidR="00FF2382" w:rsidRDefault="00FF2382">
      <w:pPr>
        <w:pStyle w:val="FootnoteText"/>
      </w:pPr>
      <w:r>
        <w:rPr>
          <w:rStyle w:val="FootnoteReference"/>
        </w:rPr>
        <w:footnoteRef/>
      </w:r>
      <w:r>
        <w:t xml:space="preserve"> FamilyNet Data Analysis</w:t>
      </w:r>
    </w:p>
  </w:footnote>
  <w:footnote w:id="20">
    <w:p w14:paraId="230FA091" w14:textId="76651C18" w:rsidR="00FF2382" w:rsidRDefault="00FF2382">
      <w:pPr>
        <w:pStyle w:val="FootnoteText"/>
      </w:pPr>
      <w:r>
        <w:rPr>
          <w:rStyle w:val="FootnoteReference"/>
        </w:rPr>
        <w:footnoteRef/>
      </w:r>
      <w:r>
        <w:t xml:space="preserve"> FamilyNet Data Analysis</w:t>
      </w:r>
    </w:p>
  </w:footnote>
  <w:footnote w:id="21">
    <w:p w14:paraId="6C8519D9" w14:textId="4948CE9A" w:rsidR="00FF2382" w:rsidRPr="0038082F" w:rsidRDefault="00FF2382" w:rsidP="00B71044">
      <w:pPr>
        <w:pStyle w:val="FootnoteText"/>
      </w:pPr>
      <w:r w:rsidRPr="0038082F">
        <w:rPr>
          <w:rStyle w:val="FootnoteReference"/>
        </w:rPr>
        <w:footnoteRef/>
      </w:r>
      <w:r>
        <w:t xml:space="preserve"> </w:t>
      </w:r>
      <w:proofErr w:type="gramStart"/>
      <w:r>
        <w:t>110 CMR 10.</w:t>
      </w:r>
      <w:r w:rsidRPr="0038082F">
        <w:t>08 (2) (b).</w:t>
      </w:r>
      <w:proofErr w:type="gramEnd"/>
    </w:p>
  </w:footnote>
  <w:footnote w:id="22">
    <w:p w14:paraId="493D9CA8" w14:textId="1953C529" w:rsidR="00FF2382" w:rsidRPr="0038082F" w:rsidRDefault="00FF2382" w:rsidP="00B71044">
      <w:pPr>
        <w:pStyle w:val="FootnoteText"/>
      </w:pPr>
      <w:r w:rsidRPr="0038082F">
        <w:rPr>
          <w:rStyle w:val="FootnoteReference"/>
        </w:rPr>
        <w:footnoteRef/>
      </w:r>
      <w:r w:rsidRPr="0038082F">
        <w:t xml:space="preserve"> Appendix Appellant Survey Results</w:t>
      </w:r>
    </w:p>
  </w:footnote>
  <w:footnote w:id="23">
    <w:p w14:paraId="5BAFB890" w14:textId="77777777" w:rsidR="00FF2382" w:rsidRPr="0038082F" w:rsidRDefault="00FF2382" w:rsidP="00B71044">
      <w:pPr>
        <w:pStyle w:val="FootnoteText"/>
      </w:pPr>
      <w:r w:rsidRPr="0038082F">
        <w:rPr>
          <w:rStyle w:val="FootnoteReference"/>
        </w:rPr>
        <w:footnoteRef/>
      </w:r>
      <w:r w:rsidRPr="0038082F">
        <w:t xml:space="preserve"> </w:t>
      </w:r>
      <w:proofErr w:type="gramStart"/>
      <w:r w:rsidRPr="0038082F">
        <w:t>VT DCF Administrative Review 3004.</w:t>
      </w:r>
      <w:proofErr w:type="gramEnd"/>
      <w:r w:rsidRPr="0038082F">
        <w:t xml:space="preserve"> </w:t>
      </w:r>
      <w:proofErr w:type="gramStart"/>
      <w:r w:rsidRPr="0038082F">
        <w:t>NH He-C 203.07 Prehearing Conference.</w:t>
      </w:r>
      <w:proofErr w:type="gramEnd"/>
    </w:p>
  </w:footnote>
  <w:footnote w:id="24">
    <w:p w14:paraId="7F485CDA" w14:textId="2DE12D13" w:rsidR="00FF2382" w:rsidRDefault="00FF2382" w:rsidP="00B71044">
      <w:pPr>
        <w:pStyle w:val="FootnoteText"/>
      </w:pPr>
      <w:r w:rsidRPr="0038082F">
        <w:rPr>
          <w:rStyle w:val="FootnoteReference"/>
        </w:rPr>
        <w:footnoteRef/>
      </w:r>
      <w:r w:rsidRPr="0038082F">
        <w:t xml:space="preserve"> </w:t>
      </w:r>
      <w:proofErr w:type="gramStart"/>
      <w:r w:rsidRPr="0038082F">
        <w:t>Discussion with Steve Connolly, Director, NYS OCFS, Special Hearings Bureau.</w:t>
      </w:r>
      <w:proofErr w:type="gramEnd"/>
      <w:r w:rsidRPr="0038082F">
        <w:t xml:space="preserve"> Cases where appellants’ ability to obtain a job is being impacted are scheduled immediately, omitting the pre-hearing conference.</w:t>
      </w:r>
    </w:p>
  </w:footnote>
  <w:footnote w:id="25">
    <w:p w14:paraId="46A79D11" w14:textId="308D4AD8" w:rsidR="00FF2382" w:rsidRDefault="00FF2382" w:rsidP="00767AD2">
      <w:pPr>
        <w:pStyle w:val="FootnoteText"/>
      </w:pPr>
      <w:r>
        <w:rPr>
          <w:rStyle w:val="FootnoteReference"/>
        </w:rPr>
        <w:footnoteRef/>
      </w:r>
      <w:r>
        <w:t xml:space="preserve"> Appendix DCF Fair Hearing Documents, DCF Fair Hearing Officer/Social Worker (D) posting</w:t>
      </w:r>
    </w:p>
  </w:footnote>
  <w:footnote w:id="26">
    <w:p w14:paraId="6DEAC896" w14:textId="04363FC0" w:rsidR="00FF2382" w:rsidRDefault="00FF2382">
      <w:pPr>
        <w:pStyle w:val="FootnoteText"/>
        <w:rPr>
          <w:lang w:eastAsia="ja-JP"/>
        </w:rPr>
      </w:pPr>
      <w:r>
        <w:rPr>
          <w:rStyle w:val="FootnoteReference"/>
        </w:rPr>
        <w:footnoteRef/>
      </w:r>
      <w:r>
        <w:t xml:space="preserve"> </w:t>
      </w:r>
      <w:r>
        <w:rPr>
          <w:rFonts w:hint="eastAsia"/>
          <w:lang w:eastAsia="ja-JP"/>
        </w:rPr>
        <w:t>Numbers provided by Deputy General Counsel Patricia Casey</w:t>
      </w:r>
    </w:p>
  </w:footnote>
  <w:footnote w:id="27">
    <w:p w14:paraId="02A5CE9D" w14:textId="00D232E6" w:rsidR="00FF2382" w:rsidRPr="0038082F" w:rsidRDefault="00FF2382" w:rsidP="001642D0">
      <w:pPr>
        <w:pStyle w:val="FootnoteText"/>
      </w:pPr>
      <w:r w:rsidRPr="0038082F">
        <w:rPr>
          <w:rStyle w:val="FootnoteReference"/>
        </w:rPr>
        <w:footnoteRef/>
      </w:r>
      <w:r>
        <w:t xml:space="preserve"> </w:t>
      </w:r>
      <w:proofErr w:type="gramStart"/>
      <w:r>
        <w:t>110 CMR 10.22, 10.</w:t>
      </w:r>
      <w:r w:rsidRPr="0038082F">
        <w:t>23.</w:t>
      </w:r>
      <w:proofErr w:type="gramEnd"/>
    </w:p>
  </w:footnote>
  <w:footnote w:id="28">
    <w:p w14:paraId="611C0670" w14:textId="1BB9A7BE" w:rsidR="00FF2382" w:rsidRDefault="00FF2382" w:rsidP="00767AD2">
      <w:pPr>
        <w:pStyle w:val="FootnoteText"/>
      </w:pPr>
      <w:r w:rsidRPr="0038082F">
        <w:rPr>
          <w:rStyle w:val="FootnoteReference"/>
        </w:rPr>
        <w:footnoteRef/>
      </w:r>
      <w:r w:rsidRPr="0038082F">
        <w:t xml:space="preserve"> </w:t>
      </w:r>
      <w:proofErr w:type="gramStart"/>
      <w:r w:rsidRPr="0038082F">
        <w:t>CT Title 17a Chapter 319a Sec 17a-101k-8 (j).</w:t>
      </w:r>
      <w:proofErr w:type="gramEnd"/>
      <w:r w:rsidRPr="0038082F">
        <w:t xml:space="preserve"> Connecticut does place the burden on appellant for cases where appellant is requesting removal from the central registry where a prior investigation or case had previously confirmed it.</w:t>
      </w:r>
    </w:p>
  </w:footnote>
  <w:footnote w:id="29">
    <w:p w14:paraId="0B2FD806" w14:textId="6B1AC65A" w:rsidR="00FF2382" w:rsidRPr="0038082F" w:rsidRDefault="00FF2382" w:rsidP="00767AD2">
      <w:pPr>
        <w:pStyle w:val="FootnoteText"/>
      </w:pPr>
      <w:r w:rsidRPr="0038082F">
        <w:rPr>
          <w:rStyle w:val="FootnoteReference"/>
        </w:rPr>
        <w:footnoteRef/>
      </w:r>
      <w:r w:rsidRPr="0038082F">
        <w:t xml:space="preserve"> NH He-C 203.14 Standards and Burden of Proof (f), 18 NYCRR 434.3 (a) (b), RI DCYF Policy 100.0055 </w:t>
      </w:r>
      <w:proofErr w:type="gramStart"/>
      <w:r w:rsidRPr="0038082F">
        <w:t>The</w:t>
      </w:r>
      <w:proofErr w:type="gramEnd"/>
      <w:r w:rsidRPr="0038082F">
        <w:t xml:space="preserve"> Formal Hearing (E) 2.</w:t>
      </w:r>
    </w:p>
  </w:footnote>
  <w:footnote w:id="30">
    <w:p w14:paraId="457F0FC8" w14:textId="1DB6C362" w:rsidR="00FF2382" w:rsidRPr="0038082F" w:rsidRDefault="00FF2382" w:rsidP="00767AD2">
      <w:pPr>
        <w:pStyle w:val="FootnoteText"/>
      </w:pPr>
      <w:r w:rsidRPr="0038082F">
        <w:rPr>
          <w:rStyle w:val="FootnoteReference"/>
        </w:rPr>
        <w:footnoteRef/>
      </w:r>
      <w:r>
        <w:t xml:space="preserve"> </w:t>
      </w:r>
      <w:proofErr w:type="gramStart"/>
      <w:r>
        <w:t>110 CMR 10.</w:t>
      </w:r>
      <w:r w:rsidRPr="0038082F">
        <w:t>14 (2).</w:t>
      </w:r>
      <w:proofErr w:type="gramEnd"/>
    </w:p>
  </w:footnote>
  <w:footnote w:id="31">
    <w:p w14:paraId="368D4EF0" w14:textId="61F01278" w:rsidR="00FF2382" w:rsidRPr="0038082F" w:rsidRDefault="00FF2382" w:rsidP="00767AD2">
      <w:pPr>
        <w:pStyle w:val="FootnoteText"/>
      </w:pPr>
      <w:r w:rsidRPr="0038082F">
        <w:rPr>
          <w:rStyle w:val="FootnoteReference"/>
        </w:rPr>
        <w:footnoteRef/>
      </w:r>
      <w:r w:rsidRPr="0038082F">
        <w:t xml:space="preserve"> </w:t>
      </w:r>
      <w:proofErr w:type="gramStart"/>
      <w:r w:rsidRPr="0038082F">
        <w:t>CT Title 17a Chapter 319a Sec 17a-101k-5 (b), VT DCF Administrative Review 3005.02.</w:t>
      </w:r>
      <w:proofErr w:type="gramEnd"/>
      <w:r w:rsidRPr="0038082F">
        <w:t xml:space="preserve"> NYCRR 434.8 (f), RI DCYF Policy 100.0055 </w:t>
      </w:r>
      <w:proofErr w:type="gramStart"/>
      <w:r w:rsidRPr="0038082F">
        <w:t>The</w:t>
      </w:r>
      <w:proofErr w:type="gramEnd"/>
      <w:r w:rsidRPr="0038082F">
        <w:t xml:space="preserve"> Formal Hearing (B).</w:t>
      </w:r>
    </w:p>
  </w:footnote>
  <w:footnote w:id="32">
    <w:p w14:paraId="661A1A83" w14:textId="1C5DBDB9" w:rsidR="00FF2382" w:rsidRPr="0038082F" w:rsidRDefault="00FF2382" w:rsidP="00767AD2">
      <w:pPr>
        <w:pStyle w:val="FootnoteText"/>
      </w:pPr>
      <w:r w:rsidRPr="0038082F">
        <w:rPr>
          <w:rStyle w:val="FootnoteReference"/>
        </w:rPr>
        <w:footnoteRef/>
      </w:r>
      <w:r>
        <w:t xml:space="preserve"> </w:t>
      </w:r>
      <w:proofErr w:type="gramStart"/>
      <w:r>
        <w:t>110 CMR 10.</w:t>
      </w:r>
      <w:r w:rsidRPr="0038082F">
        <w:t>08 (2) (b).</w:t>
      </w:r>
      <w:proofErr w:type="gramEnd"/>
    </w:p>
  </w:footnote>
  <w:footnote w:id="33">
    <w:p w14:paraId="4F42119E" w14:textId="37451606" w:rsidR="00FF2382" w:rsidRPr="0038082F" w:rsidRDefault="00FF2382">
      <w:pPr>
        <w:pStyle w:val="FootnoteText"/>
        <w:rPr>
          <w:lang w:eastAsia="ja-JP"/>
        </w:rPr>
      </w:pPr>
      <w:r w:rsidRPr="0038082F">
        <w:rPr>
          <w:rStyle w:val="FootnoteReference"/>
        </w:rPr>
        <w:footnoteRef/>
      </w:r>
      <w:r w:rsidRPr="0038082F">
        <w:t xml:space="preserve"> </w:t>
      </w:r>
      <w:proofErr w:type="gramStart"/>
      <w:r w:rsidRPr="0038082F">
        <w:t>CT Title 17a Chapter 319a Sec 17a-101k-5.</w:t>
      </w:r>
      <w:proofErr w:type="gramEnd"/>
      <w:r w:rsidRPr="0038082F">
        <w:t xml:space="preserve"> </w:t>
      </w:r>
      <w:proofErr w:type="gramStart"/>
      <w:r w:rsidRPr="0038082F">
        <w:rPr>
          <w:rFonts w:hint="eastAsia"/>
          <w:lang w:eastAsia="ja-JP"/>
        </w:rPr>
        <w:t>VT Administrative Review 3005</w:t>
      </w:r>
      <w:r w:rsidRPr="0038082F">
        <w:rPr>
          <w:lang w:eastAsia="ja-JP"/>
        </w:rPr>
        <w:t>.</w:t>
      </w:r>
      <w:proofErr w:type="gramEnd"/>
    </w:p>
  </w:footnote>
  <w:footnote w:id="34">
    <w:p w14:paraId="207748A2" w14:textId="77777777" w:rsidR="00FF2382" w:rsidRPr="0038082F" w:rsidRDefault="00FF2382" w:rsidP="00767AD2">
      <w:pPr>
        <w:pStyle w:val="FootnoteText"/>
      </w:pPr>
      <w:r w:rsidRPr="0038082F">
        <w:rPr>
          <w:rStyle w:val="FootnoteReference"/>
        </w:rPr>
        <w:footnoteRef/>
      </w:r>
      <w:r w:rsidRPr="0038082F">
        <w:t xml:space="preserve"> </w:t>
      </w:r>
      <w:proofErr w:type="gramStart"/>
      <w:r w:rsidRPr="0038082F">
        <w:t>RI DCFY Policy 100.0055.</w:t>
      </w:r>
      <w:proofErr w:type="gramEnd"/>
    </w:p>
  </w:footnote>
  <w:footnote w:id="35">
    <w:p w14:paraId="1B2A24E1" w14:textId="77777777" w:rsidR="00FF2382" w:rsidRPr="0038082F" w:rsidRDefault="00FF2382" w:rsidP="00767AD2">
      <w:pPr>
        <w:pStyle w:val="FootnoteText"/>
      </w:pPr>
      <w:r w:rsidRPr="0038082F">
        <w:rPr>
          <w:rStyle w:val="FootnoteReference"/>
        </w:rPr>
        <w:footnoteRef/>
      </w:r>
      <w:r w:rsidRPr="0038082F">
        <w:t xml:space="preserve"> </w:t>
      </w:r>
      <w:proofErr w:type="gramStart"/>
      <w:r w:rsidRPr="0038082F">
        <w:t>NH He-C 203.07 Prehearing Conference.</w:t>
      </w:r>
      <w:proofErr w:type="gramEnd"/>
    </w:p>
  </w:footnote>
  <w:footnote w:id="36">
    <w:p w14:paraId="2B47951C" w14:textId="706AB806" w:rsidR="00FF2382" w:rsidRDefault="00FF2382" w:rsidP="00767AD2">
      <w:pPr>
        <w:pStyle w:val="FootnoteText"/>
      </w:pPr>
      <w:r w:rsidRPr="0038082F">
        <w:rPr>
          <w:rStyle w:val="FootnoteReference"/>
        </w:rPr>
        <w:footnoteRef/>
      </w:r>
      <w:r w:rsidRPr="0038082F">
        <w:t xml:space="preserve"> NY SSL 422, Discussion with Steve Connolly</w:t>
      </w:r>
      <w:r>
        <w:t>, Director, NY OCFS, Special Hearings Bureau.</w:t>
      </w:r>
    </w:p>
  </w:footnote>
  <w:footnote w:id="37">
    <w:p w14:paraId="74302E22" w14:textId="76094BDB" w:rsidR="00FF2382" w:rsidRDefault="00FF2382" w:rsidP="00767AD2">
      <w:pPr>
        <w:pStyle w:val="FootnoteText"/>
      </w:pPr>
      <w:r>
        <w:rPr>
          <w:rStyle w:val="FootnoteReference"/>
        </w:rPr>
        <w:footnoteRef/>
      </w:r>
      <w:r>
        <w:t xml:space="preserve"> 110 CMR 10.11 (1)</w:t>
      </w:r>
    </w:p>
  </w:footnote>
  <w:footnote w:id="38">
    <w:p w14:paraId="7766BBD2" w14:textId="77777777" w:rsidR="00FF2382" w:rsidRDefault="00FF2382" w:rsidP="00767AD2">
      <w:pPr>
        <w:pStyle w:val="FootnoteText"/>
      </w:pPr>
      <w:r>
        <w:rPr>
          <w:rStyle w:val="FootnoteReference"/>
        </w:rPr>
        <w:footnoteRef/>
      </w:r>
      <w:r>
        <w:t xml:space="preserve"> NH He-C 203.04 (2)</w:t>
      </w:r>
    </w:p>
  </w:footnote>
  <w:footnote w:id="39">
    <w:p w14:paraId="3B404FAA" w14:textId="449450A0" w:rsidR="00FF2382" w:rsidRDefault="00FF2382" w:rsidP="00767AD2">
      <w:pPr>
        <w:pStyle w:val="FootnoteText"/>
      </w:pPr>
      <w:r>
        <w:rPr>
          <w:rStyle w:val="FootnoteReference"/>
        </w:rPr>
        <w:footnoteRef/>
      </w:r>
      <w:r>
        <w:t xml:space="preserve"> </w:t>
      </w:r>
      <w:proofErr w:type="gramStart"/>
      <w:r>
        <w:t>110 CMR 10.10 (1), 10.29 (1).</w:t>
      </w:r>
      <w:proofErr w:type="gramEnd"/>
    </w:p>
  </w:footnote>
  <w:footnote w:id="40">
    <w:p w14:paraId="2D3D07A6" w14:textId="484096CC" w:rsidR="00FF2382" w:rsidRDefault="00FF2382" w:rsidP="00767AD2">
      <w:pPr>
        <w:pStyle w:val="FootnoteText"/>
      </w:pPr>
      <w:r>
        <w:rPr>
          <w:rStyle w:val="FootnoteReference"/>
        </w:rPr>
        <w:footnoteRef/>
      </w:r>
      <w:r>
        <w:t xml:space="preserve"> </w:t>
      </w:r>
      <w:proofErr w:type="gramStart"/>
      <w:r>
        <w:t>110 CMR 10.08 (1) (a), 10.13 (1), 10.14 (2), (4).</w:t>
      </w:r>
      <w:proofErr w:type="gramEnd"/>
    </w:p>
  </w:footnote>
  <w:footnote w:id="41">
    <w:p w14:paraId="195B2B72" w14:textId="7384AD5F" w:rsidR="00FF2382" w:rsidRDefault="00FF2382" w:rsidP="00767AD2">
      <w:pPr>
        <w:pStyle w:val="FootnoteText"/>
      </w:pPr>
      <w:r>
        <w:rPr>
          <w:rStyle w:val="FootnoteReference"/>
        </w:rPr>
        <w:footnoteRef/>
      </w:r>
      <w:r>
        <w:t xml:space="preserve"> </w:t>
      </w:r>
      <w:proofErr w:type="gramStart"/>
      <w:r>
        <w:t>CT</w:t>
      </w:r>
      <w:r w:rsidRPr="00F613BA">
        <w:t xml:space="preserve"> </w:t>
      </w:r>
      <w:r>
        <w:t>Title 17a Chapter 319a Sec 17a-101k-6 (b).</w:t>
      </w:r>
      <w:proofErr w:type="gramEnd"/>
      <w:r>
        <w:t xml:space="preserve"> </w:t>
      </w:r>
      <w:proofErr w:type="gramStart"/>
      <w:r>
        <w:t>NH He-C 201.07 (a).</w:t>
      </w:r>
      <w:proofErr w:type="gramEnd"/>
      <w:r>
        <w:t xml:space="preserve"> </w:t>
      </w:r>
      <w:proofErr w:type="gramStart"/>
      <w:r>
        <w:t>18 NYCRR 434.3 (b).</w:t>
      </w:r>
      <w:proofErr w:type="gramEnd"/>
      <w:r>
        <w:t xml:space="preserve"> RI DCYF Policy 100.0055 Supervisory and Divisional Appeals (C). </w:t>
      </w:r>
      <w:proofErr w:type="gramStart"/>
      <w:r>
        <w:t>VT</w:t>
      </w:r>
      <w:r w:rsidRPr="005D5A51">
        <w:t xml:space="preserve"> </w:t>
      </w:r>
      <w:r>
        <w:t>Human Services Bd. Fair Hearing Rule 1000.2 G.</w:t>
      </w:r>
      <w:proofErr w:type="gramEnd"/>
    </w:p>
  </w:footnote>
  <w:footnote w:id="42">
    <w:p w14:paraId="72A23323" w14:textId="57B16312" w:rsidR="00FF2382" w:rsidRDefault="00FF2382">
      <w:pPr>
        <w:pStyle w:val="FootnoteText"/>
        <w:rPr>
          <w:lang w:eastAsia="ja-JP"/>
        </w:rPr>
      </w:pPr>
      <w:r>
        <w:rPr>
          <w:rStyle w:val="FootnoteReference"/>
        </w:rPr>
        <w:footnoteRef/>
      </w:r>
      <w:r>
        <w:t xml:space="preserve"> </w:t>
      </w:r>
      <w:proofErr w:type="gramStart"/>
      <w:r>
        <w:t>2007-2008 Massachusetts Trial Courts “Access &amp; Fairness” survey.</w:t>
      </w:r>
      <w:proofErr w:type="gramEnd"/>
    </w:p>
  </w:footnote>
  <w:footnote w:id="43">
    <w:p w14:paraId="32DF226C" w14:textId="19F5C398" w:rsidR="00FF2382" w:rsidRDefault="00FF2382">
      <w:pPr>
        <w:pStyle w:val="FootnoteText"/>
        <w:rPr>
          <w:lang w:eastAsia="ja-JP"/>
        </w:rPr>
      </w:pPr>
      <w:r>
        <w:rPr>
          <w:rStyle w:val="FootnoteReference"/>
        </w:rPr>
        <w:footnoteRef/>
      </w:r>
      <w:r>
        <w:t xml:space="preserve"> </w:t>
      </w:r>
      <w:proofErr w:type="gramStart"/>
      <w:r>
        <w:t>Appellant Survey Results.</w:t>
      </w:r>
      <w:proofErr w:type="gramEnd"/>
    </w:p>
  </w:footnote>
  <w:footnote w:id="44">
    <w:p w14:paraId="46132A00" w14:textId="2DF8CA38" w:rsidR="00FF2382" w:rsidRDefault="00FF2382" w:rsidP="00767AD2">
      <w:pPr>
        <w:pStyle w:val="FootnoteText"/>
      </w:pPr>
      <w:r>
        <w:rPr>
          <w:rStyle w:val="FootnoteReference"/>
        </w:rPr>
        <w:footnoteRef/>
      </w:r>
      <w:r>
        <w:t xml:space="preserve"> See footnote 45.</w:t>
      </w:r>
    </w:p>
  </w:footnote>
  <w:footnote w:id="45">
    <w:p w14:paraId="4E8F1DA4" w14:textId="131F0C45" w:rsidR="00FF2382" w:rsidRDefault="00FF2382">
      <w:pPr>
        <w:pStyle w:val="FootnoteText"/>
        <w:rPr>
          <w:lang w:eastAsia="ja-JP"/>
        </w:rPr>
      </w:pPr>
      <w:r>
        <w:rPr>
          <w:rStyle w:val="FootnoteReference"/>
        </w:rPr>
        <w:footnoteRef/>
      </w:r>
      <w:r>
        <w:t xml:space="preserve"> </w:t>
      </w:r>
      <w:r>
        <w:rPr>
          <w:rFonts w:hint="eastAsia"/>
          <w:lang w:eastAsia="ja-JP"/>
        </w:rPr>
        <w:t>See footnote 44.</w:t>
      </w:r>
    </w:p>
  </w:footnote>
  <w:footnote w:id="46">
    <w:p w14:paraId="49863B4E" w14:textId="195E31EA" w:rsidR="00FF2382" w:rsidRDefault="00FF2382">
      <w:pPr>
        <w:pStyle w:val="FootnoteText"/>
      </w:pPr>
      <w:r>
        <w:rPr>
          <w:rStyle w:val="FootnoteReference"/>
        </w:rPr>
        <w:footnoteRef/>
      </w:r>
      <w:r>
        <w:t xml:space="preserve"> </w:t>
      </w:r>
      <w:r w:rsidRPr="00B6049C">
        <w:t xml:space="preserve">Office of the Child Advocate Interim Report </w:t>
      </w:r>
      <w:r>
        <w:t xml:space="preserve">– </w:t>
      </w:r>
      <w:r w:rsidRPr="004331D0">
        <w:t>http://www.mass.gov/childadvocate/docs/interim-report.pdf</w:t>
      </w:r>
    </w:p>
  </w:footnote>
  <w:footnote w:id="47">
    <w:p w14:paraId="287B907A" w14:textId="4215C0E0" w:rsidR="00FF2382" w:rsidRDefault="00FF2382" w:rsidP="009A17C9">
      <w:pPr>
        <w:pStyle w:val="FootnoteText"/>
      </w:pPr>
      <w:r>
        <w:rPr>
          <w:rStyle w:val="FootnoteReference"/>
        </w:rPr>
        <w:footnoteRef/>
      </w:r>
      <w:r>
        <w:t xml:space="preserve"> </w:t>
      </w:r>
      <w:proofErr w:type="gramStart"/>
      <w:r>
        <w:t>110 CMR 10.29 (3).</w:t>
      </w:r>
      <w:proofErr w:type="gramEnd"/>
    </w:p>
  </w:footnote>
  <w:footnote w:id="48">
    <w:p w14:paraId="276272FC" w14:textId="37CE8B55" w:rsidR="00FF2382" w:rsidRDefault="00FF2382" w:rsidP="009A17C9">
      <w:pPr>
        <w:pStyle w:val="FootnoteText"/>
      </w:pPr>
      <w:r>
        <w:rPr>
          <w:rStyle w:val="FootnoteReference"/>
        </w:rPr>
        <w:footnoteRef/>
      </w:r>
      <w:r>
        <w:t xml:space="preserve"> </w:t>
      </w:r>
      <w:proofErr w:type="gramStart"/>
      <w:r>
        <w:t>CT</w:t>
      </w:r>
      <w:r w:rsidRPr="00F613BA">
        <w:t xml:space="preserve"> </w:t>
      </w:r>
      <w:r>
        <w:t>Title 17a Chapter 319a Sec 17a-101k-10 (a).</w:t>
      </w:r>
      <w:proofErr w:type="gramEnd"/>
      <w:r>
        <w:t xml:space="preserve"> </w:t>
      </w:r>
      <w:proofErr w:type="gramStart"/>
      <w:r>
        <w:t>NH He-C 203.22 (d).</w:t>
      </w:r>
      <w:proofErr w:type="gramEnd"/>
      <w:r>
        <w:t xml:space="preserve"> </w:t>
      </w:r>
      <w:proofErr w:type="gramStart"/>
      <w:r>
        <w:t>18 NYCRR 434.11 (a).</w:t>
      </w:r>
      <w:proofErr w:type="gramEnd"/>
    </w:p>
  </w:footnote>
  <w:footnote w:id="49">
    <w:p w14:paraId="06E1FF26" w14:textId="77777777" w:rsidR="00FF2382" w:rsidRDefault="00FF2382" w:rsidP="009A17C9">
      <w:pPr>
        <w:pStyle w:val="FootnoteText"/>
      </w:pPr>
      <w:r>
        <w:rPr>
          <w:rStyle w:val="FootnoteReference"/>
        </w:rPr>
        <w:footnoteRef/>
      </w:r>
      <w:r>
        <w:t xml:space="preserve"> </w:t>
      </w:r>
      <w:proofErr w:type="gramStart"/>
      <w:r>
        <w:t>RI DCYF Policy 100.0055 Complaints and Hearings F.</w:t>
      </w:r>
      <w:proofErr w:type="gramEnd"/>
    </w:p>
  </w:footnote>
  <w:footnote w:id="50">
    <w:p w14:paraId="270600DD" w14:textId="77777777" w:rsidR="00FF2382" w:rsidRDefault="00FF2382" w:rsidP="009A17C9">
      <w:pPr>
        <w:pStyle w:val="FootnoteText"/>
      </w:pPr>
      <w:r>
        <w:rPr>
          <w:rStyle w:val="FootnoteReference"/>
        </w:rPr>
        <w:footnoteRef/>
      </w:r>
      <w:r>
        <w:t xml:space="preserve"> </w:t>
      </w:r>
      <w:proofErr w:type="gramStart"/>
      <w:r>
        <w:t>VT Human Services Bd. Fair Hearing Rule 1000.3 R.</w:t>
      </w:r>
      <w:proofErr w:type="gramEnd"/>
    </w:p>
  </w:footnote>
  <w:footnote w:id="51">
    <w:p w14:paraId="604381B6" w14:textId="12AD1760" w:rsidR="00FF2382" w:rsidRDefault="00FF2382" w:rsidP="00410A9A">
      <w:pPr>
        <w:pStyle w:val="FootnoteText"/>
      </w:pPr>
      <w:r>
        <w:rPr>
          <w:rStyle w:val="FootnoteReference"/>
        </w:rPr>
        <w:footnoteRef/>
      </w:r>
      <w:r>
        <w:t xml:space="preserve"> 110 CMR 10.03</w:t>
      </w:r>
    </w:p>
  </w:footnote>
  <w:footnote w:id="52">
    <w:p w14:paraId="18D41AC8" w14:textId="77777777" w:rsidR="00FF2382" w:rsidRDefault="00FF2382" w:rsidP="00410A9A">
      <w:pPr>
        <w:pStyle w:val="FootnoteText"/>
      </w:pPr>
      <w:r>
        <w:rPr>
          <w:rStyle w:val="FootnoteReference"/>
        </w:rPr>
        <w:footnoteRef/>
      </w:r>
      <w:r>
        <w:t xml:space="preserve"> </w:t>
      </w:r>
      <w:proofErr w:type="gramStart"/>
      <w:r>
        <w:t>VT 3 V.S.A.</w:t>
      </w:r>
      <w:r w:rsidRPr="00716037">
        <w:t xml:space="preserve"> </w:t>
      </w:r>
      <w:r>
        <w:t xml:space="preserve">§ 3091 (a), NH </w:t>
      </w:r>
      <w:r w:rsidRPr="00846EB0">
        <w:t>http://www.dhhs.nh.gov/oos/aau/index.htm</w:t>
      </w:r>
      <w:r>
        <w:t>.</w:t>
      </w:r>
      <w:proofErr w:type="gramEnd"/>
    </w:p>
  </w:footnote>
  <w:footnote w:id="53">
    <w:p w14:paraId="1C142135" w14:textId="77777777" w:rsidR="00FF2382" w:rsidRDefault="00FF2382" w:rsidP="00410A9A">
      <w:pPr>
        <w:pStyle w:val="FootnoteText"/>
      </w:pPr>
      <w:r>
        <w:rPr>
          <w:rStyle w:val="FootnoteReference"/>
        </w:rPr>
        <w:footnoteRef/>
      </w:r>
      <w:r>
        <w:t xml:space="preserve"> VT DCF Administrative Review 3001 Definitions (“Administrative Care Review Unit” and “Administrative Review”)</w:t>
      </w:r>
    </w:p>
  </w:footnote>
  <w:footnote w:id="54">
    <w:p w14:paraId="5388CEBA" w14:textId="61063062" w:rsidR="00FF2382" w:rsidRDefault="00FF2382">
      <w:pPr>
        <w:pStyle w:val="FootnoteText"/>
      </w:pPr>
      <w:r>
        <w:rPr>
          <w:rStyle w:val="FootnoteReference"/>
        </w:rPr>
        <w:footnoteRef/>
      </w:r>
      <w:r>
        <w:t xml:space="preserve"> Appellant Survey Results</w:t>
      </w:r>
    </w:p>
  </w:footnote>
  <w:footnote w:id="55">
    <w:p w14:paraId="1ECCF861" w14:textId="08A20DCB" w:rsidR="00FF2382" w:rsidRDefault="00FF2382">
      <w:pPr>
        <w:pStyle w:val="FootnoteText"/>
      </w:pPr>
      <w:r>
        <w:rPr>
          <w:rStyle w:val="FootnoteReference"/>
        </w:rPr>
        <w:footnoteRef/>
      </w:r>
      <w:r>
        <w:t xml:space="preserve"> The relevant regulatory language to change this can be found in 110 CMR 10.30, requiring the Director of Fair Hearings or a designee’s signature on any issued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E4A"/>
    <w:multiLevelType w:val="hybridMultilevel"/>
    <w:tmpl w:val="8DD4A2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56D15"/>
    <w:multiLevelType w:val="hybridMultilevel"/>
    <w:tmpl w:val="2722B450"/>
    <w:lvl w:ilvl="0" w:tplc="B74200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60400"/>
    <w:multiLevelType w:val="hybridMultilevel"/>
    <w:tmpl w:val="59AA4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380C51"/>
    <w:multiLevelType w:val="hybridMultilevel"/>
    <w:tmpl w:val="6B200A7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23B28"/>
    <w:multiLevelType w:val="hybridMultilevel"/>
    <w:tmpl w:val="3F3C553E"/>
    <w:lvl w:ilvl="0" w:tplc="113EC21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43003"/>
    <w:multiLevelType w:val="hybridMultilevel"/>
    <w:tmpl w:val="8DAEB4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85DB8"/>
    <w:multiLevelType w:val="hybridMultilevel"/>
    <w:tmpl w:val="57BC44E8"/>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F2A68"/>
    <w:multiLevelType w:val="hybridMultilevel"/>
    <w:tmpl w:val="AD20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C3573"/>
    <w:multiLevelType w:val="hybridMultilevel"/>
    <w:tmpl w:val="90D6D5E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7C0F4E"/>
    <w:multiLevelType w:val="hybridMultilevel"/>
    <w:tmpl w:val="4336F776"/>
    <w:lvl w:ilvl="0" w:tplc="E850CAD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E7A1B3D"/>
    <w:multiLevelType w:val="hybridMultilevel"/>
    <w:tmpl w:val="60064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266787"/>
    <w:multiLevelType w:val="hybridMultilevel"/>
    <w:tmpl w:val="56FEA2FC"/>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0C1025A"/>
    <w:multiLevelType w:val="hybridMultilevel"/>
    <w:tmpl w:val="AA18C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1B5797A"/>
    <w:multiLevelType w:val="hybridMultilevel"/>
    <w:tmpl w:val="02061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81A5109"/>
    <w:multiLevelType w:val="hybridMultilevel"/>
    <w:tmpl w:val="35C88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B04619"/>
    <w:multiLevelType w:val="hybridMultilevel"/>
    <w:tmpl w:val="D14E5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982589D"/>
    <w:multiLevelType w:val="hybridMultilevel"/>
    <w:tmpl w:val="AE00D4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A9C075D"/>
    <w:multiLevelType w:val="hybridMultilevel"/>
    <w:tmpl w:val="6D76D9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FE481A"/>
    <w:multiLevelType w:val="hybridMultilevel"/>
    <w:tmpl w:val="973692D0"/>
    <w:lvl w:ilvl="0" w:tplc="C82CFE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D225875"/>
    <w:multiLevelType w:val="hybridMultilevel"/>
    <w:tmpl w:val="0A76C536"/>
    <w:lvl w:ilvl="0" w:tplc="0A3C08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E043875"/>
    <w:multiLevelType w:val="hybridMultilevel"/>
    <w:tmpl w:val="F0A0C03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BF7D72"/>
    <w:multiLevelType w:val="hybridMultilevel"/>
    <w:tmpl w:val="671E4042"/>
    <w:lvl w:ilvl="0" w:tplc="2772B92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1590730"/>
    <w:multiLevelType w:val="hybridMultilevel"/>
    <w:tmpl w:val="BCA6AF14"/>
    <w:lvl w:ilvl="0" w:tplc="01767FD0">
      <w:start w:val="1"/>
      <w:numFmt w:val="upperLetter"/>
      <w:lvlText w:val="%1."/>
      <w:lvlJc w:val="left"/>
      <w:pPr>
        <w:ind w:left="800" w:hanging="360"/>
      </w:pPr>
      <w:rPr>
        <w:rFonts w:eastAsia="MS Mincho"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3">
    <w:nsid w:val="2184728D"/>
    <w:multiLevelType w:val="hybridMultilevel"/>
    <w:tmpl w:val="413864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2BF36AC"/>
    <w:multiLevelType w:val="hybridMultilevel"/>
    <w:tmpl w:val="4288C2C6"/>
    <w:lvl w:ilvl="0" w:tplc="0409000F">
      <w:start w:val="1"/>
      <w:numFmt w:val="decimal"/>
      <w:lvlText w:val="%1."/>
      <w:lvlJc w:val="left"/>
      <w:pPr>
        <w:ind w:left="1080" w:hanging="360"/>
      </w:pPr>
      <w:rPr>
        <w:rFont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7B57397"/>
    <w:multiLevelType w:val="hybridMultilevel"/>
    <w:tmpl w:val="6A70B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955652F"/>
    <w:multiLevelType w:val="hybridMultilevel"/>
    <w:tmpl w:val="F1E8D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DE0E36"/>
    <w:multiLevelType w:val="hybridMultilevel"/>
    <w:tmpl w:val="A2AE738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F545A5E"/>
    <w:multiLevelType w:val="hybridMultilevel"/>
    <w:tmpl w:val="17509D0A"/>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041393"/>
    <w:multiLevelType w:val="hybridMultilevel"/>
    <w:tmpl w:val="3E2455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20475D5"/>
    <w:multiLevelType w:val="hybridMultilevel"/>
    <w:tmpl w:val="8872E234"/>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24C4327"/>
    <w:multiLevelType w:val="hybridMultilevel"/>
    <w:tmpl w:val="FF24CE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BD361A"/>
    <w:multiLevelType w:val="hybridMultilevel"/>
    <w:tmpl w:val="AE42A78E"/>
    <w:lvl w:ilvl="0" w:tplc="E0D03C5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4F1358"/>
    <w:multiLevelType w:val="hybridMultilevel"/>
    <w:tmpl w:val="B1406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3D51C1"/>
    <w:multiLevelType w:val="hybridMultilevel"/>
    <w:tmpl w:val="3B5C9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6621336"/>
    <w:multiLevelType w:val="hybridMultilevel"/>
    <w:tmpl w:val="3A345318"/>
    <w:lvl w:ilvl="0" w:tplc="6EF2D746">
      <w:start w:val="1"/>
      <w:numFmt w:val="low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38F42D90"/>
    <w:multiLevelType w:val="hybridMultilevel"/>
    <w:tmpl w:val="0222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F0543A"/>
    <w:multiLevelType w:val="hybridMultilevel"/>
    <w:tmpl w:val="0D8C0118"/>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9E0B0C"/>
    <w:multiLevelType w:val="hybridMultilevel"/>
    <w:tmpl w:val="82185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D8501B"/>
    <w:multiLevelType w:val="hybridMultilevel"/>
    <w:tmpl w:val="FB326F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F1E2631"/>
    <w:multiLevelType w:val="hybridMultilevel"/>
    <w:tmpl w:val="B41AE97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360"/>
      </w:pPr>
      <w:rPr>
        <w:rFonts w:hint="default"/>
      </w:rPr>
    </w:lvl>
    <w:lvl w:ilvl="3" w:tplc="1C462238">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01B1B18"/>
    <w:multiLevelType w:val="hybridMultilevel"/>
    <w:tmpl w:val="2988930A"/>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0537AEC"/>
    <w:multiLevelType w:val="hybridMultilevel"/>
    <w:tmpl w:val="17A694E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05C4C9F"/>
    <w:multiLevelType w:val="hybridMultilevel"/>
    <w:tmpl w:val="7A80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5C132A"/>
    <w:multiLevelType w:val="hybridMultilevel"/>
    <w:tmpl w:val="D09C6F7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41C223B"/>
    <w:multiLevelType w:val="hybridMultilevel"/>
    <w:tmpl w:val="BDB2CEF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7B93D49"/>
    <w:multiLevelType w:val="hybridMultilevel"/>
    <w:tmpl w:val="9BD6E346"/>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8CA1FCE"/>
    <w:multiLevelType w:val="hybridMultilevel"/>
    <w:tmpl w:val="DE80737E"/>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6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962C14"/>
    <w:multiLevelType w:val="hybridMultilevel"/>
    <w:tmpl w:val="F2B809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E914C28"/>
    <w:multiLevelType w:val="hybridMultilevel"/>
    <w:tmpl w:val="773E24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E9E4F14"/>
    <w:multiLevelType w:val="hybridMultilevel"/>
    <w:tmpl w:val="D4E29A9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0AC2B25"/>
    <w:multiLevelType w:val="hybridMultilevel"/>
    <w:tmpl w:val="2000F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E06E72"/>
    <w:multiLevelType w:val="hybridMultilevel"/>
    <w:tmpl w:val="CEC870D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0E405C1"/>
    <w:multiLevelType w:val="hybridMultilevel"/>
    <w:tmpl w:val="EBC4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2A370AB"/>
    <w:multiLevelType w:val="hybridMultilevel"/>
    <w:tmpl w:val="59D836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5EE6364"/>
    <w:multiLevelType w:val="hybridMultilevel"/>
    <w:tmpl w:val="CC78A9AA"/>
    <w:lvl w:ilvl="0" w:tplc="962448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A00F00"/>
    <w:multiLevelType w:val="hybridMultilevel"/>
    <w:tmpl w:val="4976B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A095576"/>
    <w:multiLevelType w:val="hybridMultilevel"/>
    <w:tmpl w:val="8DAEB4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D584479"/>
    <w:multiLevelType w:val="hybridMultilevel"/>
    <w:tmpl w:val="3CB0B4A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5EB51887"/>
    <w:multiLevelType w:val="hybridMultilevel"/>
    <w:tmpl w:val="4BDA575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25F1AB9"/>
    <w:multiLevelType w:val="hybridMultilevel"/>
    <w:tmpl w:val="D4125B2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6B61D06"/>
    <w:multiLevelType w:val="hybridMultilevel"/>
    <w:tmpl w:val="D75C7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7725FC9"/>
    <w:multiLevelType w:val="hybridMultilevel"/>
    <w:tmpl w:val="C1A68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77F30DC"/>
    <w:multiLevelType w:val="hybridMultilevel"/>
    <w:tmpl w:val="66E854E2"/>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nsid w:val="67B67478"/>
    <w:multiLevelType w:val="hybridMultilevel"/>
    <w:tmpl w:val="1486BE9C"/>
    <w:lvl w:ilvl="0" w:tplc="31C84F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nsid w:val="67E63109"/>
    <w:multiLevelType w:val="hybridMultilevel"/>
    <w:tmpl w:val="CDBC5F4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87070CB"/>
    <w:multiLevelType w:val="hybridMultilevel"/>
    <w:tmpl w:val="2D86B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9F64D38"/>
    <w:multiLevelType w:val="hybridMultilevel"/>
    <w:tmpl w:val="C4046B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9FB7D88"/>
    <w:multiLevelType w:val="hybridMultilevel"/>
    <w:tmpl w:val="49F826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C996FB9"/>
    <w:multiLevelType w:val="hybridMultilevel"/>
    <w:tmpl w:val="D966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D0E7495"/>
    <w:multiLevelType w:val="hybridMultilevel"/>
    <w:tmpl w:val="AC9C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D330FDF"/>
    <w:multiLevelType w:val="hybridMultilevel"/>
    <w:tmpl w:val="1484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DA51317"/>
    <w:multiLevelType w:val="hybridMultilevel"/>
    <w:tmpl w:val="A5AE859C"/>
    <w:lvl w:ilvl="0" w:tplc="89F4C93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E296E1B"/>
    <w:multiLevelType w:val="hybridMultilevel"/>
    <w:tmpl w:val="AF6A24E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0F409E2"/>
    <w:multiLevelType w:val="hybridMultilevel"/>
    <w:tmpl w:val="DC38DD40"/>
    <w:lvl w:ilvl="0" w:tplc="FD8686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2707A3E"/>
    <w:multiLevelType w:val="hybridMultilevel"/>
    <w:tmpl w:val="E662D6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73D157DE"/>
    <w:multiLevelType w:val="hybridMultilevel"/>
    <w:tmpl w:val="5632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4DA26DE"/>
    <w:multiLevelType w:val="hybridMultilevel"/>
    <w:tmpl w:val="4A3EA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62D6A8F"/>
    <w:multiLevelType w:val="hybridMultilevel"/>
    <w:tmpl w:val="7BA83F78"/>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9EF0993"/>
    <w:multiLevelType w:val="hybridMultilevel"/>
    <w:tmpl w:val="2EF84F64"/>
    <w:lvl w:ilvl="0" w:tplc="E326BE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A432A95"/>
    <w:multiLevelType w:val="hybridMultilevel"/>
    <w:tmpl w:val="5F98E272"/>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A805A66"/>
    <w:multiLevelType w:val="hybridMultilevel"/>
    <w:tmpl w:val="324E5534"/>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C355A68"/>
    <w:multiLevelType w:val="hybridMultilevel"/>
    <w:tmpl w:val="2EF495CA"/>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7DA62812"/>
    <w:multiLevelType w:val="hybridMultilevel"/>
    <w:tmpl w:val="DB0AB0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0"/>
  </w:num>
  <w:num w:numId="3">
    <w:abstractNumId w:val="42"/>
  </w:num>
  <w:num w:numId="4">
    <w:abstractNumId w:val="13"/>
  </w:num>
  <w:num w:numId="5">
    <w:abstractNumId w:val="15"/>
  </w:num>
  <w:num w:numId="6">
    <w:abstractNumId w:val="31"/>
  </w:num>
  <w:num w:numId="7">
    <w:abstractNumId w:val="52"/>
  </w:num>
  <w:num w:numId="8">
    <w:abstractNumId w:val="81"/>
  </w:num>
  <w:num w:numId="9">
    <w:abstractNumId w:val="40"/>
  </w:num>
  <w:num w:numId="10">
    <w:abstractNumId w:val="11"/>
  </w:num>
  <w:num w:numId="11">
    <w:abstractNumId w:val="49"/>
  </w:num>
  <w:num w:numId="12">
    <w:abstractNumId w:val="47"/>
  </w:num>
  <w:num w:numId="13">
    <w:abstractNumId w:val="8"/>
  </w:num>
  <w:num w:numId="14">
    <w:abstractNumId w:val="57"/>
  </w:num>
  <w:num w:numId="15">
    <w:abstractNumId w:val="5"/>
  </w:num>
  <w:num w:numId="16">
    <w:abstractNumId w:val="66"/>
  </w:num>
  <w:num w:numId="17">
    <w:abstractNumId w:val="29"/>
  </w:num>
  <w:num w:numId="18">
    <w:abstractNumId w:val="23"/>
  </w:num>
  <w:num w:numId="19">
    <w:abstractNumId w:val="76"/>
  </w:num>
  <w:num w:numId="20">
    <w:abstractNumId w:val="2"/>
  </w:num>
  <w:num w:numId="21">
    <w:abstractNumId w:val="20"/>
  </w:num>
  <w:num w:numId="22">
    <w:abstractNumId w:val="80"/>
  </w:num>
  <w:num w:numId="23">
    <w:abstractNumId w:val="24"/>
  </w:num>
  <w:num w:numId="24">
    <w:abstractNumId w:val="12"/>
  </w:num>
  <w:num w:numId="25">
    <w:abstractNumId w:val="62"/>
  </w:num>
  <w:num w:numId="26">
    <w:abstractNumId w:val="69"/>
  </w:num>
  <w:num w:numId="27">
    <w:abstractNumId w:val="36"/>
  </w:num>
  <w:num w:numId="28">
    <w:abstractNumId w:val="71"/>
  </w:num>
  <w:num w:numId="29">
    <w:abstractNumId w:val="53"/>
  </w:num>
  <w:num w:numId="30">
    <w:abstractNumId w:val="7"/>
  </w:num>
  <w:num w:numId="31">
    <w:abstractNumId w:val="33"/>
  </w:num>
  <w:num w:numId="32">
    <w:abstractNumId w:val="43"/>
  </w:num>
  <w:num w:numId="33">
    <w:abstractNumId w:val="54"/>
  </w:num>
  <w:num w:numId="34">
    <w:abstractNumId w:val="51"/>
  </w:num>
  <w:num w:numId="35">
    <w:abstractNumId w:val="72"/>
  </w:num>
  <w:num w:numId="36">
    <w:abstractNumId w:val="67"/>
  </w:num>
  <w:num w:numId="37">
    <w:abstractNumId w:val="18"/>
  </w:num>
  <w:num w:numId="38">
    <w:abstractNumId w:val="48"/>
  </w:num>
  <w:num w:numId="39">
    <w:abstractNumId w:val="74"/>
  </w:num>
  <w:num w:numId="40">
    <w:abstractNumId w:val="55"/>
  </w:num>
  <w:num w:numId="41">
    <w:abstractNumId w:val="22"/>
  </w:num>
  <w:num w:numId="42">
    <w:abstractNumId w:val="38"/>
  </w:num>
  <w:num w:numId="43">
    <w:abstractNumId w:val="1"/>
  </w:num>
  <w:num w:numId="44">
    <w:abstractNumId w:val="79"/>
  </w:num>
  <w:num w:numId="45">
    <w:abstractNumId w:val="61"/>
  </w:num>
  <w:num w:numId="46">
    <w:abstractNumId w:val="19"/>
  </w:num>
  <w:num w:numId="47">
    <w:abstractNumId w:val="16"/>
  </w:num>
  <w:num w:numId="48">
    <w:abstractNumId w:val="39"/>
  </w:num>
  <w:num w:numId="49">
    <w:abstractNumId w:val="21"/>
  </w:num>
  <w:num w:numId="50">
    <w:abstractNumId w:val="32"/>
  </w:num>
  <w:num w:numId="51">
    <w:abstractNumId w:val="64"/>
  </w:num>
  <w:num w:numId="52">
    <w:abstractNumId w:val="9"/>
  </w:num>
  <w:num w:numId="53">
    <w:abstractNumId w:val="35"/>
  </w:num>
  <w:num w:numId="54">
    <w:abstractNumId w:val="82"/>
  </w:num>
  <w:num w:numId="55">
    <w:abstractNumId w:val="58"/>
  </w:num>
  <w:num w:numId="56">
    <w:abstractNumId w:val="44"/>
  </w:num>
  <w:num w:numId="57">
    <w:abstractNumId w:val="60"/>
  </w:num>
  <w:num w:numId="58">
    <w:abstractNumId w:val="68"/>
  </w:num>
  <w:num w:numId="59">
    <w:abstractNumId w:val="41"/>
  </w:num>
  <w:num w:numId="60">
    <w:abstractNumId w:val="6"/>
  </w:num>
  <w:num w:numId="61">
    <w:abstractNumId w:val="28"/>
  </w:num>
  <w:num w:numId="62">
    <w:abstractNumId w:val="78"/>
  </w:num>
  <w:num w:numId="63">
    <w:abstractNumId w:val="26"/>
  </w:num>
  <w:num w:numId="64">
    <w:abstractNumId w:val="65"/>
  </w:num>
  <w:num w:numId="65">
    <w:abstractNumId w:val="25"/>
  </w:num>
  <w:num w:numId="66">
    <w:abstractNumId w:val="59"/>
  </w:num>
  <w:num w:numId="67">
    <w:abstractNumId w:val="75"/>
  </w:num>
  <w:num w:numId="68">
    <w:abstractNumId w:val="14"/>
  </w:num>
  <w:num w:numId="69">
    <w:abstractNumId w:val="3"/>
  </w:num>
  <w:num w:numId="70">
    <w:abstractNumId w:val="27"/>
  </w:num>
  <w:num w:numId="71">
    <w:abstractNumId w:val="34"/>
  </w:num>
  <w:num w:numId="72">
    <w:abstractNumId w:val="37"/>
  </w:num>
  <w:num w:numId="73">
    <w:abstractNumId w:val="50"/>
  </w:num>
  <w:num w:numId="74">
    <w:abstractNumId w:val="73"/>
  </w:num>
  <w:num w:numId="75">
    <w:abstractNumId w:val="30"/>
  </w:num>
  <w:num w:numId="76">
    <w:abstractNumId w:val="46"/>
  </w:num>
  <w:num w:numId="77">
    <w:abstractNumId w:val="77"/>
  </w:num>
  <w:num w:numId="78">
    <w:abstractNumId w:val="83"/>
  </w:num>
  <w:num w:numId="79">
    <w:abstractNumId w:val="45"/>
  </w:num>
  <w:num w:numId="80">
    <w:abstractNumId w:val="56"/>
  </w:num>
  <w:num w:numId="81">
    <w:abstractNumId w:val="10"/>
  </w:num>
  <w:num w:numId="82">
    <w:abstractNumId w:val="63"/>
  </w:num>
  <w:num w:numId="83">
    <w:abstractNumId w:val="4"/>
  </w:num>
  <w:num w:numId="84">
    <w:abstractNumId w:val="1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58"/>
    <w:rsid w:val="000003C1"/>
    <w:rsid w:val="00000666"/>
    <w:rsid w:val="00000BA0"/>
    <w:rsid w:val="00000EFC"/>
    <w:rsid w:val="000012C1"/>
    <w:rsid w:val="00001AD1"/>
    <w:rsid w:val="00001F02"/>
    <w:rsid w:val="00002568"/>
    <w:rsid w:val="00004B58"/>
    <w:rsid w:val="000057A0"/>
    <w:rsid w:val="000076BB"/>
    <w:rsid w:val="0000784A"/>
    <w:rsid w:val="00012903"/>
    <w:rsid w:val="00014320"/>
    <w:rsid w:val="00014373"/>
    <w:rsid w:val="0001669B"/>
    <w:rsid w:val="00016720"/>
    <w:rsid w:val="0001752F"/>
    <w:rsid w:val="0001766A"/>
    <w:rsid w:val="00022D08"/>
    <w:rsid w:val="000237BD"/>
    <w:rsid w:val="00023A0A"/>
    <w:rsid w:val="00024ACE"/>
    <w:rsid w:val="00025166"/>
    <w:rsid w:val="0002526D"/>
    <w:rsid w:val="00026267"/>
    <w:rsid w:val="0002695F"/>
    <w:rsid w:val="0003195A"/>
    <w:rsid w:val="0003234E"/>
    <w:rsid w:val="0003260D"/>
    <w:rsid w:val="00032B5A"/>
    <w:rsid w:val="00032E69"/>
    <w:rsid w:val="00033869"/>
    <w:rsid w:val="000359BD"/>
    <w:rsid w:val="00036778"/>
    <w:rsid w:val="00037404"/>
    <w:rsid w:val="00037710"/>
    <w:rsid w:val="00037762"/>
    <w:rsid w:val="00037DBD"/>
    <w:rsid w:val="0004082D"/>
    <w:rsid w:val="00041632"/>
    <w:rsid w:val="0004232A"/>
    <w:rsid w:val="00042BAC"/>
    <w:rsid w:val="000456CC"/>
    <w:rsid w:val="000478D3"/>
    <w:rsid w:val="00050186"/>
    <w:rsid w:val="000528F7"/>
    <w:rsid w:val="00052FFA"/>
    <w:rsid w:val="000542F7"/>
    <w:rsid w:val="00062546"/>
    <w:rsid w:val="00062647"/>
    <w:rsid w:val="00062762"/>
    <w:rsid w:val="00063BC8"/>
    <w:rsid w:val="000640E6"/>
    <w:rsid w:val="00066329"/>
    <w:rsid w:val="00070869"/>
    <w:rsid w:val="00073C9C"/>
    <w:rsid w:val="0007550E"/>
    <w:rsid w:val="000757A7"/>
    <w:rsid w:val="00077799"/>
    <w:rsid w:val="00077F8E"/>
    <w:rsid w:val="0008359C"/>
    <w:rsid w:val="00083855"/>
    <w:rsid w:val="00084658"/>
    <w:rsid w:val="00084F48"/>
    <w:rsid w:val="00086651"/>
    <w:rsid w:val="00091CFC"/>
    <w:rsid w:val="00092BDA"/>
    <w:rsid w:val="00093499"/>
    <w:rsid w:val="0009384A"/>
    <w:rsid w:val="00094359"/>
    <w:rsid w:val="0009531D"/>
    <w:rsid w:val="00096CDB"/>
    <w:rsid w:val="00096FAD"/>
    <w:rsid w:val="000A082D"/>
    <w:rsid w:val="000A199A"/>
    <w:rsid w:val="000A338F"/>
    <w:rsid w:val="000A432A"/>
    <w:rsid w:val="000A74EA"/>
    <w:rsid w:val="000B112E"/>
    <w:rsid w:val="000B1405"/>
    <w:rsid w:val="000B4A52"/>
    <w:rsid w:val="000B50AA"/>
    <w:rsid w:val="000B5428"/>
    <w:rsid w:val="000B5E12"/>
    <w:rsid w:val="000B6FED"/>
    <w:rsid w:val="000B7233"/>
    <w:rsid w:val="000B7E22"/>
    <w:rsid w:val="000C0D2B"/>
    <w:rsid w:val="000C4443"/>
    <w:rsid w:val="000C6111"/>
    <w:rsid w:val="000D0618"/>
    <w:rsid w:val="000D1310"/>
    <w:rsid w:val="000D48BF"/>
    <w:rsid w:val="000D4CCC"/>
    <w:rsid w:val="000D4FD5"/>
    <w:rsid w:val="000D6076"/>
    <w:rsid w:val="000D677D"/>
    <w:rsid w:val="000E2E53"/>
    <w:rsid w:val="000E2ED6"/>
    <w:rsid w:val="000E4B86"/>
    <w:rsid w:val="000E5172"/>
    <w:rsid w:val="000E6A8B"/>
    <w:rsid w:val="000F04EB"/>
    <w:rsid w:val="000F1425"/>
    <w:rsid w:val="000F2539"/>
    <w:rsid w:val="000F2F29"/>
    <w:rsid w:val="000F369C"/>
    <w:rsid w:val="000F3830"/>
    <w:rsid w:val="000F42CB"/>
    <w:rsid w:val="000F5240"/>
    <w:rsid w:val="000F625B"/>
    <w:rsid w:val="000F64FA"/>
    <w:rsid w:val="000F694B"/>
    <w:rsid w:val="00101536"/>
    <w:rsid w:val="00104F1F"/>
    <w:rsid w:val="001071F9"/>
    <w:rsid w:val="001075C2"/>
    <w:rsid w:val="0011002E"/>
    <w:rsid w:val="00110BA7"/>
    <w:rsid w:val="001117B7"/>
    <w:rsid w:val="001131D8"/>
    <w:rsid w:val="00121792"/>
    <w:rsid w:val="001232BA"/>
    <w:rsid w:val="00124545"/>
    <w:rsid w:val="001253E5"/>
    <w:rsid w:val="0013142D"/>
    <w:rsid w:val="00131D20"/>
    <w:rsid w:val="0013209A"/>
    <w:rsid w:val="00133F2A"/>
    <w:rsid w:val="001342DD"/>
    <w:rsid w:val="001345C0"/>
    <w:rsid w:val="001367E3"/>
    <w:rsid w:val="00136F04"/>
    <w:rsid w:val="00137757"/>
    <w:rsid w:val="0014127A"/>
    <w:rsid w:val="00141D38"/>
    <w:rsid w:val="00142F23"/>
    <w:rsid w:val="00143039"/>
    <w:rsid w:val="00146451"/>
    <w:rsid w:val="001464B2"/>
    <w:rsid w:val="001500F2"/>
    <w:rsid w:val="00151DE2"/>
    <w:rsid w:val="00155C5A"/>
    <w:rsid w:val="00160DE1"/>
    <w:rsid w:val="00161B8D"/>
    <w:rsid w:val="001642D0"/>
    <w:rsid w:val="001654BB"/>
    <w:rsid w:val="00165732"/>
    <w:rsid w:val="0016619A"/>
    <w:rsid w:val="00166CA1"/>
    <w:rsid w:val="00167077"/>
    <w:rsid w:val="00170714"/>
    <w:rsid w:val="001744D5"/>
    <w:rsid w:val="00176AE0"/>
    <w:rsid w:val="00177A9B"/>
    <w:rsid w:val="001800F9"/>
    <w:rsid w:val="001810A4"/>
    <w:rsid w:val="00182732"/>
    <w:rsid w:val="00182989"/>
    <w:rsid w:val="0018333C"/>
    <w:rsid w:val="00184349"/>
    <w:rsid w:val="001849C6"/>
    <w:rsid w:val="00184B12"/>
    <w:rsid w:val="00185A09"/>
    <w:rsid w:val="00185A76"/>
    <w:rsid w:val="00192305"/>
    <w:rsid w:val="001924D7"/>
    <w:rsid w:val="00194C32"/>
    <w:rsid w:val="0019505C"/>
    <w:rsid w:val="00195FAE"/>
    <w:rsid w:val="00196279"/>
    <w:rsid w:val="00196B75"/>
    <w:rsid w:val="001A1F51"/>
    <w:rsid w:val="001A3D52"/>
    <w:rsid w:val="001A4961"/>
    <w:rsid w:val="001A7B92"/>
    <w:rsid w:val="001B09A4"/>
    <w:rsid w:val="001B1222"/>
    <w:rsid w:val="001B1B86"/>
    <w:rsid w:val="001B27AB"/>
    <w:rsid w:val="001B2ABC"/>
    <w:rsid w:val="001B455E"/>
    <w:rsid w:val="001B46B5"/>
    <w:rsid w:val="001B5CBF"/>
    <w:rsid w:val="001B7630"/>
    <w:rsid w:val="001C1129"/>
    <w:rsid w:val="001C37B1"/>
    <w:rsid w:val="001C574F"/>
    <w:rsid w:val="001C5C6E"/>
    <w:rsid w:val="001C63F1"/>
    <w:rsid w:val="001D033A"/>
    <w:rsid w:val="001D05D7"/>
    <w:rsid w:val="001D06EA"/>
    <w:rsid w:val="001D08BC"/>
    <w:rsid w:val="001D4387"/>
    <w:rsid w:val="001D62F6"/>
    <w:rsid w:val="001D6D83"/>
    <w:rsid w:val="001D7878"/>
    <w:rsid w:val="001D7E25"/>
    <w:rsid w:val="001E0FD0"/>
    <w:rsid w:val="001E1BA9"/>
    <w:rsid w:val="001E2E9B"/>
    <w:rsid w:val="001E2F20"/>
    <w:rsid w:val="001E3EFF"/>
    <w:rsid w:val="001E584A"/>
    <w:rsid w:val="001E5FAA"/>
    <w:rsid w:val="001E7360"/>
    <w:rsid w:val="001F1C30"/>
    <w:rsid w:val="001F2616"/>
    <w:rsid w:val="001F50D3"/>
    <w:rsid w:val="001F5E36"/>
    <w:rsid w:val="001F6BEE"/>
    <w:rsid w:val="001F74FB"/>
    <w:rsid w:val="00201012"/>
    <w:rsid w:val="00201782"/>
    <w:rsid w:val="00202CF3"/>
    <w:rsid w:val="00203813"/>
    <w:rsid w:val="00204A39"/>
    <w:rsid w:val="0020635D"/>
    <w:rsid w:val="00206551"/>
    <w:rsid w:val="00207666"/>
    <w:rsid w:val="0020768A"/>
    <w:rsid w:val="002116C9"/>
    <w:rsid w:val="002116ED"/>
    <w:rsid w:val="0021224E"/>
    <w:rsid w:val="00213CF1"/>
    <w:rsid w:val="002140B0"/>
    <w:rsid w:val="002141FB"/>
    <w:rsid w:val="0021706F"/>
    <w:rsid w:val="00217547"/>
    <w:rsid w:val="002203DD"/>
    <w:rsid w:val="00226009"/>
    <w:rsid w:val="002267AA"/>
    <w:rsid w:val="00226AF9"/>
    <w:rsid w:val="00230283"/>
    <w:rsid w:val="00232FD9"/>
    <w:rsid w:val="00233F96"/>
    <w:rsid w:val="00235975"/>
    <w:rsid w:val="002368F2"/>
    <w:rsid w:val="00237519"/>
    <w:rsid w:val="00240760"/>
    <w:rsid w:val="00241B65"/>
    <w:rsid w:val="0024381C"/>
    <w:rsid w:val="0024415E"/>
    <w:rsid w:val="002447CB"/>
    <w:rsid w:val="00246A8C"/>
    <w:rsid w:val="0024712C"/>
    <w:rsid w:val="0024783C"/>
    <w:rsid w:val="00250F84"/>
    <w:rsid w:val="00252E97"/>
    <w:rsid w:val="00253270"/>
    <w:rsid w:val="00254A54"/>
    <w:rsid w:val="00255249"/>
    <w:rsid w:val="0025622E"/>
    <w:rsid w:val="00261F62"/>
    <w:rsid w:val="00263597"/>
    <w:rsid w:val="002663DC"/>
    <w:rsid w:val="00266463"/>
    <w:rsid w:val="00271087"/>
    <w:rsid w:val="00274A65"/>
    <w:rsid w:val="00280190"/>
    <w:rsid w:val="00280CBD"/>
    <w:rsid w:val="00281F4D"/>
    <w:rsid w:val="002820E8"/>
    <w:rsid w:val="002823FE"/>
    <w:rsid w:val="00283536"/>
    <w:rsid w:val="00284604"/>
    <w:rsid w:val="002851EF"/>
    <w:rsid w:val="00285C2C"/>
    <w:rsid w:val="00286493"/>
    <w:rsid w:val="00286D2E"/>
    <w:rsid w:val="00286F5E"/>
    <w:rsid w:val="00287FDA"/>
    <w:rsid w:val="00292123"/>
    <w:rsid w:val="00292E92"/>
    <w:rsid w:val="0029400C"/>
    <w:rsid w:val="002A374A"/>
    <w:rsid w:val="002A3857"/>
    <w:rsid w:val="002A3E78"/>
    <w:rsid w:val="002A4861"/>
    <w:rsid w:val="002A518E"/>
    <w:rsid w:val="002A5A06"/>
    <w:rsid w:val="002A64A2"/>
    <w:rsid w:val="002A6BD5"/>
    <w:rsid w:val="002A6DA0"/>
    <w:rsid w:val="002A6F55"/>
    <w:rsid w:val="002B0754"/>
    <w:rsid w:val="002B0B92"/>
    <w:rsid w:val="002B0C67"/>
    <w:rsid w:val="002B24B6"/>
    <w:rsid w:val="002B2C46"/>
    <w:rsid w:val="002B3D85"/>
    <w:rsid w:val="002B468B"/>
    <w:rsid w:val="002B4FD9"/>
    <w:rsid w:val="002B69A5"/>
    <w:rsid w:val="002B6FC3"/>
    <w:rsid w:val="002B7274"/>
    <w:rsid w:val="002C0034"/>
    <w:rsid w:val="002C1114"/>
    <w:rsid w:val="002C16C7"/>
    <w:rsid w:val="002C422E"/>
    <w:rsid w:val="002C5220"/>
    <w:rsid w:val="002C6998"/>
    <w:rsid w:val="002D0CC8"/>
    <w:rsid w:val="002D2562"/>
    <w:rsid w:val="002D2F51"/>
    <w:rsid w:val="002D37C0"/>
    <w:rsid w:val="002D3DCF"/>
    <w:rsid w:val="002D400D"/>
    <w:rsid w:val="002D6042"/>
    <w:rsid w:val="002D6AC0"/>
    <w:rsid w:val="002E227B"/>
    <w:rsid w:val="002E4490"/>
    <w:rsid w:val="002E48D1"/>
    <w:rsid w:val="002E5C06"/>
    <w:rsid w:val="002F0731"/>
    <w:rsid w:val="002F1051"/>
    <w:rsid w:val="002F1486"/>
    <w:rsid w:val="002F2ED4"/>
    <w:rsid w:val="002F3B28"/>
    <w:rsid w:val="002F61C3"/>
    <w:rsid w:val="002F73B5"/>
    <w:rsid w:val="003042CB"/>
    <w:rsid w:val="00304452"/>
    <w:rsid w:val="00305DC9"/>
    <w:rsid w:val="00305FC3"/>
    <w:rsid w:val="00306D2C"/>
    <w:rsid w:val="0030763D"/>
    <w:rsid w:val="00307B86"/>
    <w:rsid w:val="00307BD9"/>
    <w:rsid w:val="00307E8E"/>
    <w:rsid w:val="0031013E"/>
    <w:rsid w:val="00310B09"/>
    <w:rsid w:val="003116D6"/>
    <w:rsid w:val="00311E1E"/>
    <w:rsid w:val="00312309"/>
    <w:rsid w:val="00314772"/>
    <w:rsid w:val="003149A4"/>
    <w:rsid w:val="00315280"/>
    <w:rsid w:val="00316811"/>
    <w:rsid w:val="0031776B"/>
    <w:rsid w:val="0032159F"/>
    <w:rsid w:val="00321C7A"/>
    <w:rsid w:val="003234C0"/>
    <w:rsid w:val="00325F22"/>
    <w:rsid w:val="00326436"/>
    <w:rsid w:val="00326DC5"/>
    <w:rsid w:val="00326FD0"/>
    <w:rsid w:val="00327569"/>
    <w:rsid w:val="00330815"/>
    <w:rsid w:val="00337291"/>
    <w:rsid w:val="0034130A"/>
    <w:rsid w:val="003446C1"/>
    <w:rsid w:val="003447C7"/>
    <w:rsid w:val="003460CF"/>
    <w:rsid w:val="003463E7"/>
    <w:rsid w:val="00347481"/>
    <w:rsid w:val="00347AA1"/>
    <w:rsid w:val="0036193B"/>
    <w:rsid w:val="00362E61"/>
    <w:rsid w:val="00363828"/>
    <w:rsid w:val="00364278"/>
    <w:rsid w:val="003646BF"/>
    <w:rsid w:val="00371D20"/>
    <w:rsid w:val="00373346"/>
    <w:rsid w:val="00374323"/>
    <w:rsid w:val="003778C6"/>
    <w:rsid w:val="00377D19"/>
    <w:rsid w:val="0038082F"/>
    <w:rsid w:val="003817F2"/>
    <w:rsid w:val="0038231E"/>
    <w:rsid w:val="00382858"/>
    <w:rsid w:val="003834FF"/>
    <w:rsid w:val="00383AB0"/>
    <w:rsid w:val="00391187"/>
    <w:rsid w:val="00391489"/>
    <w:rsid w:val="00392B85"/>
    <w:rsid w:val="00392FE6"/>
    <w:rsid w:val="00394CCF"/>
    <w:rsid w:val="00395ED6"/>
    <w:rsid w:val="003A0175"/>
    <w:rsid w:val="003A08E7"/>
    <w:rsid w:val="003A108D"/>
    <w:rsid w:val="003A2A45"/>
    <w:rsid w:val="003A2A4B"/>
    <w:rsid w:val="003A32C7"/>
    <w:rsid w:val="003A6A23"/>
    <w:rsid w:val="003A6EB9"/>
    <w:rsid w:val="003B3D92"/>
    <w:rsid w:val="003B5826"/>
    <w:rsid w:val="003B5C64"/>
    <w:rsid w:val="003B6E74"/>
    <w:rsid w:val="003B7D55"/>
    <w:rsid w:val="003C01D4"/>
    <w:rsid w:val="003C2943"/>
    <w:rsid w:val="003C3305"/>
    <w:rsid w:val="003C3BDB"/>
    <w:rsid w:val="003C3CA9"/>
    <w:rsid w:val="003C3EDF"/>
    <w:rsid w:val="003C7AFC"/>
    <w:rsid w:val="003D18AC"/>
    <w:rsid w:val="003D28E1"/>
    <w:rsid w:val="003D4A15"/>
    <w:rsid w:val="003D6534"/>
    <w:rsid w:val="003D6EAE"/>
    <w:rsid w:val="003D7114"/>
    <w:rsid w:val="003E1A5E"/>
    <w:rsid w:val="003E2460"/>
    <w:rsid w:val="003E3208"/>
    <w:rsid w:val="003E37D4"/>
    <w:rsid w:val="003E49F3"/>
    <w:rsid w:val="003E75AB"/>
    <w:rsid w:val="003F295E"/>
    <w:rsid w:val="003F2C30"/>
    <w:rsid w:val="003F34BD"/>
    <w:rsid w:val="003F3503"/>
    <w:rsid w:val="003F369B"/>
    <w:rsid w:val="003F5204"/>
    <w:rsid w:val="003F7B60"/>
    <w:rsid w:val="003F7FBF"/>
    <w:rsid w:val="004009D5"/>
    <w:rsid w:val="00400EF7"/>
    <w:rsid w:val="0040239D"/>
    <w:rsid w:val="0040287A"/>
    <w:rsid w:val="004052AA"/>
    <w:rsid w:val="00405A06"/>
    <w:rsid w:val="00407C19"/>
    <w:rsid w:val="00407DFE"/>
    <w:rsid w:val="00410A9A"/>
    <w:rsid w:val="00420627"/>
    <w:rsid w:val="00421219"/>
    <w:rsid w:val="004225F2"/>
    <w:rsid w:val="00422EA1"/>
    <w:rsid w:val="00423BE5"/>
    <w:rsid w:val="00424281"/>
    <w:rsid w:val="004248F5"/>
    <w:rsid w:val="00425E62"/>
    <w:rsid w:val="00427F9D"/>
    <w:rsid w:val="00430645"/>
    <w:rsid w:val="004311FA"/>
    <w:rsid w:val="00432C3A"/>
    <w:rsid w:val="00432CB5"/>
    <w:rsid w:val="004331D0"/>
    <w:rsid w:val="0043582C"/>
    <w:rsid w:val="00435D5D"/>
    <w:rsid w:val="00437126"/>
    <w:rsid w:val="00437B1D"/>
    <w:rsid w:val="0044102C"/>
    <w:rsid w:val="00443BC9"/>
    <w:rsid w:val="004464C5"/>
    <w:rsid w:val="00447AC1"/>
    <w:rsid w:val="00450A7F"/>
    <w:rsid w:val="004579A7"/>
    <w:rsid w:val="004579D3"/>
    <w:rsid w:val="0046027F"/>
    <w:rsid w:val="00460CAE"/>
    <w:rsid w:val="00463BCE"/>
    <w:rsid w:val="0046641D"/>
    <w:rsid w:val="00473D41"/>
    <w:rsid w:val="00474152"/>
    <w:rsid w:val="00474FFD"/>
    <w:rsid w:val="00477A78"/>
    <w:rsid w:val="004802E1"/>
    <w:rsid w:val="00480A40"/>
    <w:rsid w:val="004832D3"/>
    <w:rsid w:val="004848D4"/>
    <w:rsid w:val="00484CC5"/>
    <w:rsid w:val="00485305"/>
    <w:rsid w:val="00486C63"/>
    <w:rsid w:val="00486DA4"/>
    <w:rsid w:val="00490083"/>
    <w:rsid w:val="0049016A"/>
    <w:rsid w:val="004910C8"/>
    <w:rsid w:val="004933D3"/>
    <w:rsid w:val="00493675"/>
    <w:rsid w:val="004939CA"/>
    <w:rsid w:val="00496AB4"/>
    <w:rsid w:val="00496D8A"/>
    <w:rsid w:val="004A1383"/>
    <w:rsid w:val="004A23E3"/>
    <w:rsid w:val="004A2C70"/>
    <w:rsid w:val="004A2D0A"/>
    <w:rsid w:val="004A32AF"/>
    <w:rsid w:val="004A441C"/>
    <w:rsid w:val="004A68F0"/>
    <w:rsid w:val="004A6E7C"/>
    <w:rsid w:val="004C006B"/>
    <w:rsid w:val="004C051D"/>
    <w:rsid w:val="004C225B"/>
    <w:rsid w:val="004C2B57"/>
    <w:rsid w:val="004C3A05"/>
    <w:rsid w:val="004C3A74"/>
    <w:rsid w:val="004C3AFD"/>
    <w:rsid w:val="004C42AB"/>
    <w:rsid w:val="004C4ADA"/>
    <w:rsid w:val="004D015F"/>
    <w:rsid w:val="004D0557"/>
    <w:rsid w:val="004D06B4"/>
    <w:rsid w:val="004D0C1C"/>
    <w:rsid w:val="004D2D68"/>
    <w:rsid w:val="004D546E"/>
    <w:rsid w:val="004D604C"/>
    <w:rsid w:val="004D6E3D"/>
    <w:rsid w:val="004E0710"/>
    <w:rsid w:val="004E26BE"/>
    <w:rsid w:val="004E2E1B"/>
    <w:rsid w:val="004E4722"/>
    <w:rsid w:val="004E6F91"/>
    <w:rsid w:val="004E7E66"/>
    <w:rsid w:val="004F0452"/>
    <w:rsid w:val="004F10CE"/>
    <w:rsid w:val="004F1C0B"/>
    <w:rsid w:val="004F25B6"/>
    <w:rsid w:val="004F3760"/>
    <w:rsid w:val="004F391B"/>
    <w:rsid w:val="004F7066"/>
    <w:rsid w:val="004F7291"/>
    <w:rsid w:val="00500D16"/>
    <w:rsid w:val="005027AD"/>
    <w:rsid w:val="005027F7"/>
    <w:rsid w:val="005037AA"/>
    <w:rsid w:val="005047B8"/>
    <w:rsid w:val="00506508"/>
    <w:rsid w:val="005066F7"/>
    <w:rsid w:val="00510655"/>
    <w:rsid w:val="00510B62"/>
    <w:rsid w:val="00513C3C"/>
    <w:rsid w:val="00515558"/>
    <w:rsid w:val="00515ED3"/>
    <w:rsid w:val="00516020"/>
    <w:rsid w:val="00516561"/>
    <w:rsid w:val="00517113"/>
    <w:rsid w:val="0052089B"/>
    <w:rsid w:val="005214F5"/>
    <w:rsid w:val="005219B6"/>
    <w:rsid w:val="00523274"/>
    <w:rsid w:val="00523864"/>
    <w:rsid w:val="005279A0"/>
    <w:rsid w:val="005279AF"/>
    <w:rsid w:val="0053088A"/>
    <w:rsid w:val="0053600C"/>
    <w:rsid w:val="005405E2"/>
    <w:rsid w:val="00541320"/>
    <w:rsid w:val="00541A07"/>
    <w:rsid w:val="005422CC"/>
    <w:rsid w:val="00542576"/>
    <w:rsid w:val="00545E8F"/>
    <w:rsid w:val="00546080"/>
    <w:rsid w:val="0054649F"/>
    <w:rsid w:val="00546A23"/>
    <w:rsid w:val="005500DF"/>
    <w:rsid w:val="00551E8A"/>
    <w:rsid w:val="00552A73"/>
    <w:rsid w:val="0055325A"/>
    <w:rsid w:val="00553853"/>
    <w:rsid w:val="00556E99"/>
    <w:rsid w:val="00557BEB"/>
    <w:rsid w:val="0056053C"/>
    <w:rsid w:val="0056229D"/>
    <w:rsid w:val="00562A20"/>
    <w:rsid w:val="0056351C"/>
    <w:rsid w:val="00570BF2"/>
    <w:rsid w:val="00571267"/>
    <w:rsid w:val="005731F1"/>
    <w:rsid w:val="0057337A"/>
    <w:rsid w:val="00574F41"/>
    <w:rsid w:val="005757DA"/>
    <w:rsid w:val="00576A7A"/>
    <w:rsid w:val="00577D44"/>
    <w:rsid w:val="00582BDD"/>
    <w:rsid w:val="005845BC"/>
    <w:rsid w:val="00585C52"/>
    <w:rsid w:val="005865C3"/>
    <w:rsid w:val="005867B3"/>
    <w:rsid w:val="0058788C"/>
    <w:rsid w:val="005932F8"/>
    <w:rsid w:val="00593EA8"/>
    <w:rsid w:val="00594B98"/>
    <w:rsid w:val="00597880"/>
    <w:rsid w:val="005A0652"/>
    <w:rsid w:val="005A1156"/>
    <w:rsid w:val="005A35F6"/>
    <w:rsid w:val="005A540B"/>
    <w:rsid w:val="005A7ED5"/>
    <w:rsid w:val="005B07D9"/>
    <w:rsid w:val="005B166B"/>
    <w:rsid w:val="005B1E0C"/>
    <w:rsid w:val="005B4D37"/>
    <w:rsid w:val="005B6BE3"/>
    <w:rsid w:val="005B70B4"/>
    <w:rsid w:val="005B7450"/>
    <w:rsid w:val="005B77E5"/>
    <w:rsid w:val="005C14B7"/>
    <w:rsid w:val="005C1757"/>
    <w:rsid w:val="005C1D7F"/>
    <w:rsid w:val="005C3250"/>
    <w:rsid w:val="005C3738"/>
    <w:rsid w:val="005C63C3"/>
    <w:rsid w:val="005C6F48"/>
    <w:rsid w:val="005D1AE7"/>
    <w:rsid w:val="005D2052"/>
    <w:rsid w:val="005D30AB"/>
    <w:rsid w:val="005D3205"/>
    <w:rsid w:val="005D3996"/>
    <w:rsid w:val="005D4381"/>
    <w:rsid w:val="005D521C"/>
    <w:rsid w:val="005D69E4"/>
    <w:rsid w:val="005D6BE9"/>
    <w:rsid w:val="005D7480"/>
    <w:rsid w:val="005E0214"/>
    <w:rsid w:val="005E28F1"/>
    <w:rsid w:val="005E4E64"/>
    <w:rsid w:val="005E5807"/>
    <w:rsid w:val="005E686C"/>
    <w:rsid w:val="005E7C9B"/>
    <w:rsid w:val="005F0A56"/>
    <w:rsid w:val="005F2D77"/>
    <w:rsid w:val="005F3484"/>
    <w:rsid w:val="005F3495"/>
    <w:rsid w:val="005F395A"/>
    <w:rsid w:val="00600331"/>
    <w:rsid w:val="0060164D"/>
    <w:rsid w:val="00601A6D"/>
    <w:rsid w:val="00602524"/>
    <w:rsid w:val="00602D92"/>
    <w:rsid w:val="00603BA2"/>
    <w:rsid w:val="0060506B"/>
    <w:rsid w:val="00605C27"/>
    <w:rsid w:val="00605F0C"/>
    <w:rsid w:val="00611068"/>
    <w:rsid w:val="00612F60"/>
    <w:rsid w:val="0061534A"/>
    <w:rsid w:val="006157EA"/>
    <w:rsid w:val="006176E1"/>
    <w:rsid w:val="00617E1B"/>
    <w:rsid w:val="006201E0"/>
    <w:rsid w:val="0062273A"/>
    <w:rsid w:val="00623996"/>
    <w:rsid w:val="00624CDC"/>
    <w:rsid w:val="00624F99"/>
    <w:rsid w:val="0062531C"/>
    <w:rsid w:val="00625487"/>
    <w:rsid w:val="0062594C"/>
    <w:rsid w:val="00625CA9"/>
    <w:rsid w:val="0063416D"/>
    <w:rsid w:val="00634D88"/>
    <w:rsid w:val="006360E5"/>
    <w:rsid w:val="00637A50"/>
    <w:rsid w:val="0064096A"/>
    <w:rsid w:val="00641410"/>
    <w:rsid w:val="00641723"/>
    <w:rsid w:val="0064239B"/>
    <w:rsid w:val="00642A33"/>
    <w:rsid w:val="0064369B"/>
    <w:rsid w:val="00643722"/>
    <w:rsid w:val="00643A69"/>
    <w:rsid w:val="00643D89"/>
    <w:rsid w:val="00644A46"/>
    <w:rsid w:val="00645473"/>
    <w:rsid w:val="00645696"/>
    <w:rsid w:val="00645A67"/>
    <w:rsid w:val="00645B32"/>
    <w:rsid w:val="00646526"/>
    <w:rsid w:val="00646D59"/>
    <w:rsid w:val="00647266"/>
    <w:rsid w:val="00650D4A"/>
    <w:rsid w:val="00651964"/>
    <w:rsid w:val="00655508"/>
    <w:rsid w:val="006575FA"/>
    <w:rsid w:val="006607FD"/>
    <w:rsid w:val="0066104D"/>
    <w:rsid w:val="0066354A"/>
    <w:rsid w:val="00663D6C"/>
    <w:rsid w:val="00665524"/>
    <w:rsid w:val="00665AF9"/>
    <w:rsid w:val="00670520"/>
    <w:rsid w:val="0067160E"/>
    <w:rsid w:val="00672B11"/>
    <w:rsid w:val="006753C2"/>
    <w:rsid w:val="00677DD1"/>
    <w:rsid w:val="00680AAC"/>
    <w:rsid w:val="00684F4A"/>
    <w:rsid w:val="00686CA1"/>
    <w:rsid w:val="00690179"/>
    <w:rsid w:val="00690BFA"/>
    <w:rsid w:val="00691963"/>
    <w:rsid w:val="00691B58"/>
    <w:rsid w:val="00692754"/>
    <w:rsid w:val="00692F8F"/>
    <w:rsid w:val="00693A68"/>
    <w:rsid w:val="00693CB7"/>
    <w:rsid w:val="00695793"/>
    <w:rsid w:val="00696946"/>
    <w:rsid w:val="006A0EBA"/>
    <w:rsid w:val="006A1CEE"/>
    <w:rsid w:val="006A5C3D"/>
    <w:rsid w:val="006A6B0A"/>
    <w:rsid w:val="006A6DC3"/>
    <w:rsid w:val="006B014C"/>
    <w:rsid w:val="006B0389"/>
    <w:rsid w:val="006B23A5"/>
    <w:rsid w:val="006B4032"/>
    <w:rsid w:val="006B618C"/>
    <w:rsid w:val="006B6AF5"/>
    <w:rsid w:val="006B7A8A"/>
    <w:rsid w:val="006C123D"/>
    <w:rsid w:val="006C16E6"/>
    <w:rsid w:val="006C1EC3"/>
    <w:rsid w:val="006C3631"/>
    <w:rsid w:val="006C5BCC"/>
    <w:rsid w:val="006C73CA"/>
    <w:rsid w:val="006D040C"/>
    <w:rsid w:val="006D05BC"/>
    <w:rsid w:val="006D07C1"/>
    <w:rsid w:val="006D1B98"/>
    <w:rsid w:val="006D42AF"/>
    <w:rsid w:val="006D650B"/>
    <w:rsid w:val="006D6770"/>
    <w:rsid w:val="006E1753"/>
    <w:rsid w:val="006E22DA"/>
    <w:rsid w:val="006E66F0"/>
    <w:rsid w:val="006E686C"/>
    <w:rsid w:val="006E74B7"/>
    <w:rsid w:val="006F17FE"/>
    <w:rsid w:val="006F183C"/>
    <w:rsid w:val="006F1B63"/>
    <w:rsid w:val="006F31B9"/>
    <w:rsid w:val="006F3444"/>
    <w:rsid w:val="006F4985"/>
    <w:rsid w:val="006F4A9E"/>
    <w:rsid w:val="006F4E15"/>
    <w:rsid w:val="006F5F48"/>
    <w:rsid w:val="006F6D4C"/>
    <w:rsid w:val="006F77C6"/>
    <w:rsid w:val="00701779"/>
    <w:rsid w:val="00701E5D"/>
    <w:rsid w:val="007026C2"/>
    <w:rsid w:val="007036DC"/>
    <w:rsid w:val="007040F2"/>
    <w:rsid w:val="007041BE"/>
    <w:rsid w:val="00707F57"/>
    <w:rsid w:val="0071139F"/>
    <w:rsid w:val="00713125"/>
    <w:rsid w:val="007134FF"/>
    <w:rsid w:val="00714AE1"/>
    <w:rsid w:val="00715733"/>
    <w:rsid w:val="007171D0"/>
    <w:rsid w:val="00717A8C"/>
    <w:rsid w:val="007202A0"/>
    <w:rsid w:val="00722124"/>
    <w:rsid w:val="00726E2D"/>
    <w:rsid w:val="0072775B"/>
    <w:rsid w:val="007277A0"/>
    <w:rsid w:val="00730F30"/>
    <w:rsid w:val="00731D1A"/>
    <w:rsid w:val="00732730"/>
    <w:rsid w:val="00732F8B"/>
    <w:rsid w:val="007333C9"/>
    <w:rsid w:val="00734DE0"/>
    <w:rsid w:val="0073658B"/>
    <w:rsid w:val="00743199"/>
    <w:rsid w:val="00745391"/>
    <w:rsid w:val="00745DAB"/>
    <w:rsid w:val="00745EF7"/>
    <w:rsid w:val="007460B8"/>
    <w:rsid w:val="00750AAD"/>
    <w:rsid w:val="007512D3"/>
    <w:rsid w:val="00753D5A"/>
    <w:rsid w:val="007547F5"/>
    <w:rsid w:val="0075562E"/>
    <w:rsid w:val="007613E5"/>
    <w:rsid w:val="00761ACC"/>
    <w:rsid w:val="0076242D"/>
    <w:rsid w:val="0076299D"/>
    <w:rsid w:val="00763073"/>
    <w:rsid w:val="00766472"/>
    <w:rsid w:val="007668C6"/>
    <w:rsid w:val="00767AD2"/>
    <w:rsid w:val="0077006B"/>
    <w:rsid w:val="00770650"/>
    <w:rsid w:val="00771975"/>
    <w:rsid w:val="00771ABB"/>
    <w:rsid w:val="00771B2E"/>
    <w:rsid w:val="007750C4"/>
    <w:rsid w:val="00775801"/>
    <w:rsid w:val="00776863"/>
    <w:rsid w:val="00780224"/>
    <w:rsid w:val="00780D46"/>
    <w:rsid w:val="00780DE3"/>
    <w:rsid w:val="0078126F"/>
    <w:rsid w:val="00781BEB"/>
    <w:rsid w:val="007834FA"/>
    <w:rsid w:val="00785A83"/>
    <w:rsid w:val="00785CC5"/>
    <w:rsid w:val="007870BE"/>
    <w:rsid w:val="00787A95"/>
    <w:rsid w:val="00787E2F"/>
    <w:rsid w:val="00792DF7"/>
    <w:rsid w:val="00797BC9"/>
    <w:rsid w:val="007A18BA"/>
    <w:rsid w:val="007A3E82"/>
    <w:rsid w:val="007A529A"/>
    <w:rsid w:val="007A572C"/>
    <w:rsid w:val="007A58CF"/>
    <w:rsid w:val="007A7FD8"/>
    <w:rsid w:val="007B0974"/>
    <w:rsid w:val="007B369E"/>
    <w:rsid w:val="007B3D35"/>
    <w:rsid w:val="007B7175"/>
    <w:rsid w:val="007C0EFC"/>
    <w:rsid w:val="007C1927"/>
    <w:rsid w:val="007C1A28"/>
    <w:rsid w:val="007C295A"/>
    <w:rsid w:val="007C2EA3"/>
    <w:rsid w:val="007C39BE"/>
    <w:rsid w:val="007D09F5"/>
    <w:rsid w:val="007D0F6B"/>
    <w:rsid w:val="007D2D31"/>
    <w:rsid w:val="007D3398"/>
    <w:rsid w:val="007E0796"/>
    <w:rsid w:val="007E14A1"/>
    <w:rsid w:val="007E20E8"/>
    <w:rsid w:val="007E35F5"/>
    <w:rsid w:val="007E504D"/>
    <w:rsid w:val="007E52B1"/>
    <w:rsid w:val="007E77A8"/>
    <w:rsid w:val="007F1179"/>
    <w:rsid w:val="007F27E5"/>
    <w:rsid w:val="007F3397"/>
    <w:rsid w:val="007F5D28"/>
    <w:rsid w:val="007F6E41"/>
    <w:rsid w:val="008005ED"/>
    <w:rsid w:val="0080061E"/>
    <w:rsid w:val="00805692"/>
    <w:rsid w:val="008101A5"/>
    <w:rsid w:val="00811AFC"/>
    <w:rsid w:val="00812D28"/>
    <w:rsid w:val="00814EAC"/>
    <w:rsid w:val="00814FA8"/>
    <w:rsid w:val="0081551F"/>
    <w:rsid w:val="00816340"/>
    <w:rsid w:val="00817249"/>
    <w:rsid w:val="00817732"/>
    <w:rsid w:val="00820C92"/>
    <w:rsid w:val="00822476"/>
    <w:rsid w:val="00822CE5"/>
    <w:rsid w:val="00824928"/>
    <w:rsid w:val="00824EEB"/>
    <w:rsid w:val="00830716"/>
    <w:rsid w:val="008324F5"/>
    <w:rsid w:val="0083316A"/>
    <w:rsid w:val="00833A00"/>
    <w:rsid w:val="00834863"/>
    <w:rsid w:val="00836F3F"/>
    <w:rsid w:val="00837357"/>
    <w:rsid w:val="00837636"/>
    <w:rsid w:val="00840908"/>
    <w:rsid w:val="008409BD"/>
    <w:rsid w:val="00841150"/>
    <w:rsid w:val="008417CD"/>
    <w:rsid w:val="00841E8C"/>
    <w:rsid w:val="00842283"/>
    <w:rsid w:val="00842BB1"/>
    <w:rsid w:val="008442EC"/>
    <w:rsid w:val="00844954"/>
    <w:rsid w:val="00846C8F"/>
    <w:rsid w:val="0084767F"/>
    <w:rsid w:val="00847FDB"/>
    <w:rsid w:val="00850D7B"/>
    <w:rsid w:val="00850DB0"/>
    <w:rsid w:val="008520A9"/>
    <w:rsid w:val="00853597"/>
    <w:rsid w:val="0085427D"/>
    <w:rsid w:val="008547F7"/>
    <w:rsid w:val="00855B9C"/>
    <w:rsid w:val="00857173"/>
    <w:rsid w:val="00857B1E"/>
    <w:rsid w:val="00863093"/>
    <w:rsid w:val="00863B1D"/>
    <w:rsid w:val="00865195"/>
    <w:rsid w:val="00867A49"/>
    <w:rsid w:val="00871E52"/>
    <w:rsid w:val="00872584"/>
    <w:rsid w:val="00874029"/>
    <w:rsid w:val="008745BB"/>
    <w:rsid w:val="00875325"/>
    <w:rsid w:val="0087649C"/>
    <w:rsid w:val="00884542"/>
    <w:rsid w:val="00884D41"/>
    <w:rsid w:val="008857B0"/>
    <w:rsid w:val="008859C8"/>
    <w:rsid w:val="00885C0C"/>
    <w:rsid w:val="0088652A"/>
    <w:rsid w:val="00887ACD"/>
    <w:rsid w:val="00887B43"/>
    <w:rsid w:val="00890B55"/>
    <w:rsid w:val="00890E5A"/>
    <w:rsid w:val="00891180"/>
    <w:rsid w:val="00891C47"/>
    <w:rsid w:val="008937D9"/>
    <w:rsid w:val="00894E63"/>
    <w:rsid w:val="00895890"/>
    <w:rsid w:val="008A17C1"/>
    <w:rsid w:val="008A23F8"/>
    <w:rsid w:val="008A3A2F"/>
    <w:rsid w:val="008A47F4"/>
    <w:rsid w:val="008A4891"/>
    <w:rsid w:val="008A7D5E"/>
    <w:rsid w:val="008B0973"/>
    <w:rsid w:val="008B54A1"/>
    <w:rsid w:val="008B72DF"/>
    <w:rsid w:val="008C0AA7"/>
    <w:rsid w:val="008C2880"/>
    <w:rsid w:val="008C2ABD"/>
    <w:rsid w:val="008C3F22"/>
    <w:rsid w:val="008C5699"/>
    <w:rsid w:val="008C650D"/>
    <w:rsid w:val="008C6A4A"/>
    <w:rsid w:val="008C7EED"/>
    <w:rsid w:val="008D0784"/>
    <w:rsid w:val="008D2003"/>
    <w:rsid w:val="008D2A61"/>
    <w:rsid w:val="008D46BB"/>
    <w:rsid w:val="008D4F38"/>
    <w:rsid w:val="008D6144"/>
    <w:rsid w:val="008E04A5"/>
    <w:rsid w:val="008E4BF6"/>
    <w:rsid w:val="008E75F4"/>
    <w:rsid w:val="008F0A29"/>
    <w:rsid w:val="008F0B6D"/>
    <w:rsid w:val="008F120B"/>
    <w:rsid w:val="008F2409"/>
    <w:rsid w:val="008F3C7C"/>
    <w:rsid w:val="008F6333"/>
    <w:rsid w:val="008F6FBB"/>
    <w:rsid w:val="008F7719"/>
    <w:rsid w:val="00900F7D"/>
    <w:rsid w:val="0090383F"/>
    <w:rsid w:val="00903939"/>
    <w:rsid w:val="0090589B"/>
    <w:rsid w:val="00907048"/>
    <w:rsid w:val="00912212"/>
    <w:rsid w:val="00913007"/>
    <w:rsid w:val="00913351"/>
    <w:rsid w:val="0091425C"/>
    <w:rsid w:val="009150B1"/>
    <w:rsid w:val="009160D3"/>
    <w:rsid w:val="0091739F"/>
    <w:rsid w:val="00917643"/>
    <w:rsid w:val="00917E19"/>
    <w:rsid w:val="00917F72"/>
    <w:rsid w:val="00921F8D"/>
    <w:rsid w:val="00923A91"/>
    <w:rsid w:val="00923B9F"/>
    <w:rsid w:val="00924BB2"/>
    <w:rsid w:val="009250B7"/>
    <w:rsid w:val="0092711E"/>
    <w:rsid w:val="00930686"/>
    <w:rsid w:val="009318ED"/>
    <w:rsid w:val="009319EA"/>
    <w:rsid w:val="00933482"/>
    <w:rsid w:val="009345F9"/>
    <w:rsid w:val="00934A9C"/>
    <w:rsid w:val="0093733C"/>
    <w:rsid w:val="0093734D"/>
    <w:rsid w:val="009373EC"/>
    <w:rsid w:val="0094028E"/>
    <w:rsid w:val="00940F6B"/>
    <w:rsid w:val="00941ABE"/>
    <w:rsid w:val="009426FD"/>
    <w:rsid w:val="00944284"/>
    <w:rsid w:val="00950968"/>
    <w:rsid w:val="00953C2F"/>
    <w:rsid w:val="00955BAE"/>
    <w:rsid w:val="00957DDA"/>
    <w:rsid w:val="00960ACB"/>
    <w:rsid w:val="009624B6"/>
    <w:rsid w:val="009627D4"/>
    <w:rsid w:val="00962F27"/>
    <w:rsid w:val="0096372C"/>
    <w:rsid w:val="00963878"/>
    <w:rsid w:val="00964257"/>
    <w:rsid w:val="00965378"/>
    <w:rsid w:val="009702C9"/>
    <w:rsid w:val="009715E8"/>
    <w:rsid w:val="00972BFD"/>
    <w:rsid w:val="00974E72"/>
    <w:rsid w:val="009750E0"/>
    <w:rsid w:val="00975B1D"/>
    <w:rsid w:val="0097600A"/>
    <w:rsid w:val="00980B78"/>
    <w:rsid w:val="00985CAA"/>
    <w:rsid w:val="00987190"/>
    <w:rsid w:val="0098759A"/>
    <w:rsid w:val="00987755"/>
    <w:rsid w:val="009903C4"/>
    <w:rsid w:val="009911EF"/>
    <w:rsid w:val="0099224D"/>
    <w:rsid w:val="009933F2"/>
    <w:rsid w:val="00993BB6"/>
    <w:rsid w:val="00997932"/>
    <w:rsid w:val="00997A62"/>
    <w:rsid w:val="009A0103"/>
    <w:rsid w:val="009A04DD"/>
    <w:rsid w:val="009A17C9"/>
    <w:rsid w:val="009A2D37"/>
    <w:rsid w:val="009A51B3"/>
    <w:rsid w:val="009A52F2"/>
    <w:rsid w:val="009A6518"/>
    <w:rsid w:val="009A7070"/>
    <w:rsid w:val="009B1085"/>
    <w:rsid w:val="009B35C0"/>
    <w:rsid w:val="009B3A63"/>
    <w:rsid w:val="009B47F4"/>
    <w:rsid w:val="009B4F74"/>
    <w:rsid w:val="009B514F"/>
    <w:rsid w:val="009B581A"/>
    <w:rsid w:val="009C16C8"/>
    <w:rsid w:val="009C2E6B"/>
    <w:rsid w:val="009C3502"/>
    <w:rsid w:val="009C590B"/>
    <w:rsid w:val="009C59E2"/>
    <w:rsid w:val="009C609E"/>
    <w:rsid w:val="009C78EB"/>
    <w:rsid w:val="009D2179"/>
    <w:rsid w:val="009D43C4"/>
    <w:rsid w:val="009D4D92"/>
    <w:rsid w:val="009D576E"/>
    <w:rsid w:val="009D6BC0"/>
    <w:rsid w:val="009D6D31"/>
    <w:rsid w:val="009D71C8"/>
    <w:rsid w:val="009D7256"/>
    <w:rsid w:val="009D7746"/>
    <w:rsid w:val="009D78FD"/>
    <w:rsid w:val="009E4B2A"/>
    <w:rsid w:val="009E57B7"/>
    <w:rsid w:val="009E69D9"/>
    <w:rsid w:val="009F0492"/>
    <w:rsid w:val="009F3D9C"/>
    <w:rsid w:val="009F434F"/>
    <w:rsid w:val="009F5106"/>
    <w:rsid w:val="009F514E"/>
    <w:rsid w:val="009F521C"/>
    <w:rsid w:val="009F65C5"/>
    <w:rsid w:val="009F6A22"/>
    <w:rsid w:val="009F7ABA"/>
    <w:rsid w:val="00A02604"/>
    <w:rsid w:val="00A0368B"/>
    <w:rsid w:val="00A03D96"/>
    <w:rsid w:val="00A041BF"/>
    <w:rsid w:val="00A06351"/>
    <w:rsid w:val="00A07E5E"/>
    <w:rsid w:val="00A10CD2"/>
    <w:rsid w:val="00A11A3B"/>
    <w:rsid w:val="00A120B8"/>
    <w:rsid w:val="00A12297"/>
    <w:rsid w:val="00A14570"/>
    <w:rsid w:val="00A15AD8"/>
    <w:rsid w:val="00A15C1C"/>
    <w:rsid w:val="00A16BB6"/>
    <w:rsid w:val="00A17DE0"/>
    <w:rsid w:val="00A219C2"/>
    <w:rsid w:val="00A220AD"/>
    <w:rsid w:val="00A227D5"/>
    <w:rsid w:val="00A231C4"/>
    <w:rsid w:val="00A2395D"/>
    <w:rsid w:val="00A23D6D"/>
    <w:rsid w:val="00A26240"/>
    <w:rsid w:val="00A26408"/>
    <w:rsid w:val="00A26683"/>
    <w:rsid w:val="00A269D7"/>
    <w:rsid w:val="00A275E6"/>
    <w:rsid w:val="00A309DC"/>
    <w:rsid w:val="00A315A2"/>
    <w:rsid w:val="00A31CD9"/>
    <w:rsid w:val="00A32F75"/>
    <w:rsid w:val="00A3331A"/>
    <w:rsid w:val="00A37265"/>
    <w:rsid w:val="00A40649"/>
    <w:rsid w:val="00A40E5E"/>
    <w:rsid w:val="00A41EA6"/>
    <w:rsid w:val="00A434CA"/>
    <w:rsid w:val="00A45A6B"/>
    <w:rsid w:val="00A467FE"/>
    <w:rsid w:val="00A46C9F"/>
    <w:rsid w:val="00A46E1A"/>
    <w:rsid w:val="00A475BF"/>
    <w:rsid w:val="00A50279"/>
    <w:rsid w:val="00A5167C"/>
    <w:rsid w:val="00A52769"/>
    <w:rsid w:val="00A528D5"/>
    <w:rsid w:val="00A5452B"/>
    <w:rsid w:val="00A545A4"/>
    <w:rsid w:val="00A54F0A"/>
    <w:rsid w:val="00A54F17"/>
    <w:rsid w:val="00A57B23"/>
    <w:rsid w:val="00A601A9"/>
    <w:rsid w:val="00A60689"/>
    <w:rsid w:val="00A60E20"/>
    <w:rsid w:val="00A61346"/>
    <w:rsid w:val="00A6181A"/>
    <w:rsid w:val="00A61ACE"/>
    <w:rsid w:val="00A65F1D"/>
    <w:rsid w:val="00A65F4D"/>
    <w:rsid w:val="00A66DD3"/>
    <w:rsid w:val="00A67254"/>
    <w:rsid w:val="00A73893"/>
    <w:rsid w:val="00A73ADF"/>
    <w:rsid w:val="00A73D49"/>
    <w:rsid w:val="00A75E67"/>
    <w:rsid w:val="00A76EE9"/>
    <w:rsid w:val="00A774D3"/>
    <w:rsid w:val="00A832EF"/>
    <w:rsid w:val="00A83605"/>
    <w:rsid w:val="00A84733"/>
    <w:rsid w:val="00A84D03"/>
    <w:rsid w:val="00A84FD1"/>
    <w:rsid w:val="00A8618D"/>
    <w:rsid w:val="00A86691"/>
    <w:rsid w:val="00A86BD4"/>
    <w:rsid w:val="00A87153"/>
    <w:rsid w:val="00A903C9"/>
    <w:rsid w:val="00A911F3"/>
    <w:rsid w:val="00A916A1"/>
    <w:rsid w:val="00A91D99"/>
    <w:rsid w:val="00A91F82"/>
    <w:rsid w:val="00A923E2"/>
    <w:rsid w:val="00A95EDB"/>
    <w:rsid w:val="00A966B5"/>
    <w:rsid w:val="00AA10C6"/>
    <w:rsid w:val="00AB16E6"/>
    <w:rsid w:val="00AB2E7B"/>
    <w:rsid w:val="00AB30A1"/>
    <w:rsid w:val="00AB3645"/>
    <w:rsid w:val="00AB4362"/>
    <w:rsid w:val="00AB6D27"/>
    <w:rsid w:val="00AB75D1"/>
    <w:rsid w:val="00AC0486"/>
    <w:rsid w:val="00AC1378"/>
    <w:rsid w:val="00AC369B"/>
    <w:rsid w:val="00AC4957"/>
    <w:rsid w:val="00AC507B"/>
    <w:rsid w:val="00AC5154"/>
    <w:rsid w:val="00AC5A12"/>
    <w:rsid w:val="00AC632C"/>
    <w:rsid w:val="00AC731C"/>
    <w:rsid w:val="00AD353F"/>
    <w:rsid w:val="00AD492F"/>
    <w:rsid w:val="00AD7334"/>
    <w:rsid w:val="00AD7476"/>
    <w:rsid w:val="00AD7D57"/>
    <w:rsid w:val="00AE1E30"/>
    <w:rsid w:val="00AE2025"/>
    <w:rsid w:val="00AE520C"/>
    <w:rsid w:val="00AE5C8B"/>
    <w:rsid w:val="00AF114E"/>
    <w:rsid w:val="00AF354C"/>
    <w:rsid w:val="00AF7CAD"/>
    <w:rsid w:val="00B01269"/>
    <w:rsid w:val="00B01B4F"/>
    <w:rsid w:val="00B0259A"/>
    <w:rsid w:val="00B03626"/>
    <w:rsid w:val="00B063AB"/>
    <w:rsid w:val="00B103C7"/>
    <w:rsid w:val="00B107A4"/>
    <w:rsid w:val="00B1085F"/>
    <w:rsid w:val="00B11292"/>
    <w:rsid w:val="00B12450"/>
    <w:rsid w:val="00B15103"/>
    <w:rsid w:val="00B167E3"/>
    <w:rsid w:val="00B16A1F"/>
    <w:rsid w:val="00B17601"/>
    <w:rsid w:val="00B20B9C"/>
    <w:rsid w:val="00B22937"/>
    <w:rsid w:val="00B242E2"/>
    <w:rsid w:val="00B24663"/>
    <w:rsid w:val="00B24CF4"/>
    <w:rsid w:val="00B25A35"/>
    <w:rsid w:val="00B2732F"/>
    <w:rsid w:val="00B27F9F"/>
    <w:rsid w:val="00B3182F"/>
    <w:rsid w:val="00B32ED0"/>
    <w:rsid w:val="00B34B9E"/>
    <w:rsid w:val="00B34CE8"/>
    <w:rsid w:val="00B34E41"/>
    <w:rsid w:val="00B3532E"/>
    <w:rsid w:val="00B361E4"/>
    <w:rsid w:val="00B3780F"/>
    <w:rsid w:val="00B4051B"/>
    <w:rsid w:val="00B4367D"/>
    <w:rsid w:val="00B43711"/>
    <w:rsid w:val="00B4494E"/>
    <w:rsid w:val="00B44F3A"/>
    <w:rsid w:val="00B45B54"/>
    <w:rsid w:val="00B45BB7"/>
    <w:rsid w:val="00B467A9"/>
    <w:rsid w:val="00B505CC"/>
    <w:rsid w:val="00B51401"/>
    <w:rsid w:val="00B51644"/>
    <w:rsid w:val="00B53E86"/>
    <w:rsid w:val="00B573AD"/>
    <w:rsid w:val="00B6049C"/>
    <w:rsid w:val="00B61A71"/>
    <w:rsid w:val="00B62603"/>
    <w:rsid w:val="00B6421F"/>
    <w:rsid w:val="00B65083"/>
    <w:rsid w:val="00B6579A"/>
    <w:rsid w:val="00B663C9"/>
    <w:rsid w:val="00B66C54"/>
    <w:rsid w:val="00B70076"/>
    <w:rsid w:val="00B71044"/>
    <w:rsid w:val="00B7184A"/>
    <w:rsid w:val="00B72620"/>
    <w:rsid w:val="00B72A19"/>
    <w:rsid w:val="00B76260"/>
    <w:rsid w:val="00B80B1A"/>
    <w:rsid w:val="00B80FFC"/>
    <w:rsid w:val="00B81528"/>
    <w:rsid w:val="00B834F1"/>
    <w:rsid w:val="00B8371B"/>
    <w:rsid w:val="00B84B5D"/>
    <w:rsid w:val="00B84E57"/>
    <w:rsid w:val="00B927E7"/>
    <w:rsid w:val="00B93E34"/>
    <w:rsid w:val="00B93FF6"/>
    <w:rsid w:val="00B940CC"/>
    <w:rsid w:val="00B942B2"/>
    <w:rsid w:val="00B94777"/>
    <w:rsid w:val="00B94CBC"/>
    <w:rsid w:val="00B952B6"/>
    <w:rsid w:val="00BA0E32"/>
    <w:rsid w:val="00BA2EC3"/>
    <w:rsid w:val="00BA40DA"/>
    <w:rsid w:val="00BA4B41"/>
    <w:rsid w:val="00BA6DAA"/>
    <w:rsid w:val="00BA7625"/>
    <w:rsid w:val="00BB056D"/>
    <w:rsid w:val="00BB1E04"/>
    <w:rsid w:val="00BB4AB0"/>
    <w:rsid w:val="00BB4BB2"/>
    <w:rsid w:val="00BB53EF"/>
    <w:rsid w:val="00BB5FA4"/>
    <w:rsid w:val="00BB65E4"/>
    <w:rsid w:val="00BC0C59"/>
    <w:rsid w:val="00BC11D0"/>
    <w:rsid w:val="00BC22DF"/>
    <w:rsid w:val="00BC27B4"/>
    <w:rsid w:val="00BC4A2B"/>
    <w:rsid w:val="00BC6108"/>
    <w:rsid w:val="00BC680D"/>
    <w:rsid w:val="00BD196A"/>
    <w:rsid w:val="00BD40CB"/>
    <w:rsid w:val="00BD4360"/>
    <w:rsid w:val="00BD488A"/>
    <w:rsid w:val="00BD49E5"/>
    <w:rsid w:val="00BD5916"/>
    <w:rsid w:val="00BD663F"/>
    <w:rsid w:val="00BD67D7"/>
    <w:rsid w:val="00BE153D"/>
    <w:rsid w:val="00BE1553"/>
    <w:rsid w:val="00BE2378"/>
    <w:rsid w:val="00BE26E0"/>
    <w:rsid w:val="00BE40D2"/>
    <w:rsid w:val="00BE4498"/>
    <w:rsid w:val="00BE7D70"/>
    <w:rsid w:val="00BF1E35"/>
    <w:rsid w:val="00BF485B"/>
    <w:rsid w:val="00BF4A9C"/>
    <w:rsid w:val="00BF5403"/>
    <w:rsid w:val="00BF54E6"/>
    <w:rsid w:val="00BF5DD4"/>
    <w:rsid w:val="00BF5F03"/>
    <w:rsid w:val="00C03B52"/>
    <w:rsid w:val="00C07271"/>
    <w:rsid w:val="00C110F6"/>
    <w:rsid w:val="00C15A08"/>
    <w:rsid w:val="00C16500"/>
    <w:rsid w:val="00C17951"/>
    <w:rsid w:val="00C2140A"/>
    <w:rsid w:val="00C22BD0"/>
    <w:rsid w:val="00C22C01"/>
    <w:rsid w:val="00C257CE"/>
    <w:rsid w:val="00C271A0"/>
    <w:rsid w:val="00C275AA"/>
    <w:rsid w:val="00C30889"/>
    <w:rsid w:val="00C3207C"/>
    <w:rsid w:val="00C32891"/>
    <w:rsid w:val="00C32E97"/>
    <w:rsid w:val="00C33F9B"/>
    <w:rsid w:val="00C342E1"/>
    <w:rsid w:val="00C3612F"/>
    <w:rsid w:val="00C40396"/>
    <w:rsid w:val="00C44C6B"/>
    <w:rsid w:val="00C44D6D"/>
    <w:rsid w:val="00C450BA"/>
    <w:rsid w:val="00C465FF"/>
    <w:rsid w:val="00C47CEE"/>
    <w:rsid w:val="00C50607"/>
    <w:rsid w:val="00C52BD8"/>
    <w:rsid w:val="00C55008"/>
    <w:rsid w:val="00C55858"/>
    <w:rsid w:val="00C55B22"/>
    <w:rsid w:val="00C57794"/>
    <w:rsid w:val="00C6034A"/>
    <w:rsid w:val="00C630E4"/>
    <w:rsid w:val="00C6464A"/>
    <w:rsid w:val="00C6592D"/>
    <w:rsid w:val="00C6657D"/>
    <w:rsid w:val="00C67284"/>
    <w:rsid w:val="00C67E2A"/>
    <w:rsid w:val="00C67E87"/>
    <w:rsid w:val="00C70133"/>
    <w:rsid w:val="00C73375"/>
    <w:rsid w:val="00C73EEF"/>
    <w:rsid w:val="00C749F9"/>
    <w:rsid w:val="00C75B82"/>
    <w:rsid w:val="00C77340"/>
    <w:rsid w:val="00C77B8A"/>
    <w:rsid w:val="00C83508"/>
    <w:rsid w:val="00C83B3E"/>
    <w:rsid w:val="00C86221"/>
    <w:rsid w:val="00C874C6"/>
    <w:rsid w:val="00C87791"/>
    <w:rsid w:val="00C8797B"/>
    <w:rsid w:val="00C90F0C"/>
    <w:rsid w:val="00C9138F"/>
    <w:rsid w:val="00C919A6"/>
    <w:rsid w:val="00C94BAE"/>
    <w:rsid w:val="00C95927"/>
    <w:rsid w:val="00C95F3E"/>
    <w:rsid w:val="00C96182"/>
    <w:rsid w:val="00CA0044"/>
    <w:rsid w:val="00CA286D"/>
    <w:rsid w:val="00CA511C"/>
    <w:rsid w:val="00CB2019"/>
    <w:rsid w:val="00CB20DD"/>
    <w:rsid w:val="00CB2F67"/>
    <w:rsid w:val="00CB46CB"/>
    <w:rsid w:val="00CB6373"/>
    <w:rsid w:val="00CB6669"/>
    <w:rsid w:val="00CB6C60"/>
    <w:rsid w:val="00CC10B0"/>
    <w:rsid w:val="00CC21A2"/>
    <w:rsid w:val="00CC488D"/>
    <w:rsid w:val="00CC4997"/>
    <w:rsid w:val="00CC4CF3"/>
    <w:rsid w:val="00CC5997"/>
    <w:rsid w:val="00CC60AE"/>
    <w:rsid w:val="00CC76A7"/>
    <w:rsid w:val="00CD1145"/>
    <w:rsid w:val="00CD1498"/>
    <w:rsid w:val="00CD3EE2"/>
    <w:rsid w:val="00CD465D"/>
    <w:rsid w:val="00CD76D6"/>
    <w:rsid w:val="00CD7DD5"/>
    <w:rsid w:val="00CE09DE"/>
    <w:rsid w:val="00CE14F1"/>
    <w:rsid w:val="00CE32F8"/>
    <w:rsid w:val="00CE4A06"/>
    <w:rsid w:val="00CE575C"/>
    <w:rsid w:val="00D0097E"/>
    <w:rsid w:val="00D0183D"/>
    <w:rsid w:val="00D026E9"/>
    <w:rsid w:val="00D0295F"/>
    <w:rsid w:val="00D04BFC"/>
    <w:rsid w:val="00D04F1B"/>
    <w:rsid w:val="00D0537B"/>
    <w:rsid w:val="00D05724"/>
    <w:rsid w:val="00D058C0"/>
    <w:rsid w:val="00D05FC1"/>
    <w:rsid w:val="00D07655"/>
    <w:rsid w:val="00D1059D"/>
    <w:rsid w:val="00D13664"/>
    <w:rsid w:val="00D1523F"/>
    <w:rsid w:val="00D15997"/>
    <w:rsid w:val="00D15BC8"/>
    <w:rsid w:val="00D22B91"/>
    <w:rsid w:val="00D22E91"/>
    <w:rsid w:val="00D2396A"/>
    <w:rsid w:val="00D23A9C"/>
    <w:rsid w:val="00D23CCF"/>
    <w:rsid w:val="00D25906"/>
    <w:rsid w:val="00D25DD6"/>
    <w:rsid w:val="00D26B17"/>
    <w:rsid w:val="00D30A17"/>
    <w:rsid w:val="00D30EE1"/>
    <w:rsid w:val="00D31E26"/>
    <w:rsid w:val="00D323B5"/>
    <w:rsid w:val="00D36121"/>
    <w:rsid w:val="00D4082E"/>
    <w:rsid w:val="00D41C47"/>
    <w:rsid w:val="00D43CDC"/>
    <w:rsid w:val="00D465FD"/>
    <w:rsid w:val="00D47FFC"/>
    <w:rsid w:val="00D51908"/>
    <w:rsid w:val="00D536A1"/>
    <w:rsid w:val="00D56E38"/>
    <w:rsid w:val="00D610DF"/>
    <w:rsid w:val="00D6239A"/>
    <w:rsid w:val="00D6397A"/>
    <w:rsid w:val="00D63E52"/>
    <w:rsid w:val="00D64A53"/>
    <w:rsid w:val="00D664D9"/>
    <w:rsid w:val="00D667A2"/>
    <w:rsid w:val="00D71C48"/>
    <w:rsid w:val="00D75F16"/>
    <w:rsid w:val="00D76141"/>
    <w:rsid w:val="00D81A22"/>
    <w:rsid w:val="00D82A30"/>
    <w:rsid w:val="00D82D85"/>
    <w:rsid w:val="00D83A53"/>
    <w:rsid w:val="00D86495"/>
    <w:rsid w:val="00D87AC3"/>
    <w:rsid w:val="00D901CE"/>
    <w:rsid w:val="00D96E24"/>
    <w:rsid w:val="00DA0537"/>
    <w:rsid w:val="00DA101C"/>
    <w:rsid w:val="00DA1DDB"/>
    <w:rsid w:val="00DA38CE"/>
    <w:rsid w:val="00DA4A51"/>
    <w:rsid w:val="00DA5E06"/>
    <w:rsid w:val="00DA7A70"/>
    <w:rsid w:val="00DB02CD"/>
    <w:rsid w:val="00DB1D06"/>
    <w:rsid w:val="00DB1D2D"/>
    <w:rsid w:val="00DB248D"/>
    <w:rsid w:val="00DB4FA5"/>
    <w:rsid w:val="00DB58B2"/>
    <w:rsid w:val="00DB710B"/>
    <w:rsid w:val="00DB7AEA"/>
    <w:rsid w:val="00DC583D"/>
    <w:rsid w:val="00DC5DAA"/>
    <w:rsid w:val="00DC7499"/>
    <w:rsid w:val="00DC7542"/>
    <w:rsid w:val="00DC7E0A"/>
    <w:rsid w:val="00DD09B4"/>
    <w:rsid w:val="00DD3A8F"/>
    <w:rsid w:val="00DD4051"/>
    <w:rsid w:val="00DD6FE6"/>
    <w:rsid w:val="00DD73EC"/>
    <w:rsid w:val="00DE0126"/>
    <w:rsid w:val="00DE29E2"/>
    <w:rsid w:val="00DE5A30"/>
    <w:rsid w:val="00DF0208"/>
    <w:rsid w:val="00DF126D"/>
    <w:rsid w:val="00DF2381"/>
    <w:rsid w:val="00DF375C"/>
    <w:rsid w:val="00DF40C8"/>
    <w:rsid w:val="00DF4149"/>
    <w:rsid w:val="00DF6CB9"/>
    <w:rsid w:val="00E02274"/>
    <w:rsid w:val="00E023E2"/>
    <w:rsid w:val="00E044A2"/>
    <w:rsid w:val="00E05D55"/>
    <w:rsid w:val="00E07049"/>
    <w:rsid w:val="00E07BB3"/>
    <w:rsid w:val="00E12096"/>
    <w:rsid w:val="00E142D0"/>
    <w:rsid w:val="00E146D9"/>
    <w:rsid w:val="00E14980"/>
    <w:rsid w:val="00E170D2"/>
    <w:rsid w:val="00E17DDA"/>
    <w:rsid w:val="00E20B01"/>
    <w:rsid w:val="00E21EDD"/>
    <w:rsid w:val="00E25EAD"/>
    <w:rsid w:val="00E2617F"/>
    <w:rsid w:val="00E26A2B"/>
    <w:rsid w:val="00E27F2D"/>
    <w:rsid w:val="00E3081C"/>
    <w:rsid w:val="00E34A69"/>
    <w:rsid w:val="00E35153"/>
    <w:rsid w:val="00E35837"/>
    <w:rsid w:val="00E36737"/>
    <w:rsid w:val="00E3767C"/>
    <w:rsid w:val="00E41222"/>
    <w:rsid w:val="00E427C2"/>
    <w:rsid w:val="00E4286B"/>
    <w:rsid w:val="00E42D79"/>
    <w:rsid w:val="00E42F3A"/>
    <w:rsid w:val="00E4675C"/>
    <w:rsid w:val="00E47B13"/>
    <w:rsid w:val="00E47D16"/>
    <w:rsid w:val="00E5140F"/>
    <w:rsid w:val="00E52F21"/>
    <w:rsid w:val="00E543F8"/>
    <w:rsid w:val="00E54F14"/>
    <w:rsid w:val="00E563C5"/>
    <w:rsid w:val="00E573AD"/>
    <w:rsid w:val="00E624E0"/>
    <w:rsid w:val="00E62DAA"/>
    <w:rsid w:val="00E65A77"/>
    <w:rsid w:val="00E671F3"/>
    <w:rsid w:val="00E67F02"/>
    <w:rsid w:val="00E703A0"/>
    <w:rsid w:val="00E7052D"/>
    <w:rsid w:val="00E70C47"/>
    <w:rsid w:val="00E7135F"/>
    <w:rsid w:val="00E72452"/>
    <w:rsid w:val="00E733AF"/>
    <w:rsid w:val="00E747DD"/>
    <w:rsid w:val="00E82379"/>
    <w:rsid w:val="00E82888"/>
    <w:rsid w:val="00E844AD"/>
    <w:rsid w:val="00E84AE7"/>
    <w:rsid w:val="00E86116"/>
    <w:rsid w:val="00E872CE"/>
    <w:rsid w:val="00E90759"/>
    <w:rsid w:val="00E918BB"/>
    <w:rsid w:val="00E91DF2"/>
    <w:rsid w:val="00E92282"/>
    <w:rsid w:val="00E941C6"/>
    <w:rsid w:val="00E94C18"/>
    <w:rsid w:val="00E95F13"/>
    <w:rsid w:val="00EA0824"/>
    <w:rsid w:val="00EA21CE"/>
    <w:rsid w:val="00EA276C"/>
    <w:rsid w:val="00EA357A"/>
    <w:rsid w:val="00EA3643"/>
    <w:rsid w:val="00EA5211"/>
    <w:rsid w:val="00EB0287"/>
    <w:rsid w:val="00EB2D04"/>
    <w:rsid w:val="00EB44DB"/>
    <w:rsid w:val="00EB5B90"/>
    <w:rsid w:val="00EC0AFC"/>
    <w:rsid w:val="00EC376B"/>
    <w:rsid w:val="00EC44B0"/>
    <w:rsid w:val="00EC4C5D"/>
    <w:rsid w:val="00EC6518"/>
    <w:rsid w:val="00EC72E7"/>
    <w:rsid w:val="00EC74E9"/>
    <w:rsid w:val="00EC76A0"/>
    <w:rsid w:val="00EC7D00"/>
    <w:rsid w:val="00ED0418"/>
    <w:rsid w:val="00ED2EE8"/>
    <w:rsid w:val="00ED30EB"/>
    <w:rsid w:val="00ED3400"/>
    <w:rsid w:val="00ED35FF"/>
    <w:rsid w:val="00ED36E2"/>
    <w:rsid w:val="00ED3BF9"/>
    <w:rsid w:val="00ED3F41"/>
    <w:rsid w:val="00ED457C"/>
    <w:rsid w:val="00EE060F"/>
    <w:rsid w:val="00EE1AA5"/>
    <w:rsid w:val="00EE21F1"/>
    <w:rsid w:val="00EE38FF"/>
    <w:rsid w:val="00EE4029"/>
    <w:rsid w:val="00EE6130"/>
    <w:rsid w:val="00EF036D"/>
    <w:rsid w:val="00EF1A61"/>
    <w:rsid w:val="00EF1D9A"/>
    <w:rsid w:val="00EF4379"/>
    <w:rsid w:val="00EF6082"/>
    <w:rsid w:val="00EF6677"/>
    <w:rsid w:val="00EF72DA"/>
    <w:rsid w:val="00F00291"/>
    <w:rsid w:val="00F0090E"/>
    <w:rsid w:val="00F02B10"/>
    <w:rsid w:val="00F0447C"/>
    <w:rsid w:val="00F04E92"/>
    <w:rsid w:val="00F05AA8"/>
    <w:rsid w:val="00F069DA"/>
    <w:rsid w:val="00F06D21"/>
    <w:rsid w:val="00F06D44"/>
    <w:rsid w:val="00F06DF2"/>
    <w:rsid w:val="00F1100D"/>
    <w:rsid w:val="00F12B15"/>
    <w:rsid w:val="00F12C6F"/>
    <w:rsid w:val="00F1421A"/>
    <w:rsid w:val="00F1745D"/>
    <w:rsid w:val="00F177EE"/>
    <w:rsid w:val="00F21338"/>
    <w:rsid w:val="00F22B6E"/>
    <w:rsid w:val="00F22F44"/>
    <w:rsid w:val="00F23F8B"/>
    <w:rsid w:val="00F243D0"/>
    <w:rsid w:val="00F245AE"/>
    <w:rsid w:val="00F24824"/>
    <w:rsid w:val="00F2709A"/>
    <w:rsid w:val="00F343FC"/>
    <w:rsid w:val="00F3519A"/>
    <w:rsid w:val="00F3679B"/>
    <w:rsid w:val="00F36A7A"/>
    <w:rsid w:val="00F41BD9"/>
    <w:rsid w:val="00F41FCE"/>
    <w:rsid w:val="00F4411A"/>
    <w:rsid w:val="00F45C6D"/>
    <w:rsid w:val="00F467E8"/>
    <w:rsid w:val="00F47189"/>
    <w:rsid w:val="00F4740C"/>
    <w:rsid w:val="00F47B96"/>
    <w:rsid w:val="00F500F5"/>
    <w:rsid w:val="00F50227"/>
    <w:rsid w:val="00F51008"/>
    <w:rsid w:val="00F5164B"/>
    <w:rsid w:val="00F521B1"/>
    <w:rsid w:val="00F533B9"/>
    <w:rsid w:val="00F53E1F"/>
    <w:rsid w:val="00F555BE"/>
    <w:rsid w:val="00F55A9F"/>
    <w:rsid w:val="00F55E0E"/>
    <w:rsid w:val="00F62094"/>
    <w:rsid w:val="00F63EA6"/>
    <w:rsid w:val="00F72C93"/>
    <w:rsid w:val="00F739EB"/>
    <w:rsid w:val="00F74FF7"/>
    <w:rsid w:val="00F77CD7"/>
    <w:rsid w:val="00F8056B"/>
    <w:rsid w:val="00F80B11"/>
    <w:rsid w:val="00F84533"/>
    <w:rsid w:val="00F8507B"/>
    <w:rsid w:val="00F86995"/>
    <w:rsid w:val="00F87504"/>
    <w:rsid w:val="00F876F6"/>
    <w:rsid w:val="00F87791"/>
    <w:rsid w:val="00F90D68"/>
    <w:rsid w:val="00F91FE9"/>
    <w:rsid w:val="00F94650"/>
    <w:rsid w:val="00FA1167"/>
    <w:rsid w:val="00FA2AC0"/>
    <w:rsid w:val="00FA30D7"/>
    <w:rsid w:val="00FA3272"/>
    <w:rsid w:val="00FA3CB8"/>
    <w:rsid w:val="00FA5C34"/>
    <w:rsid w:val="00FA6A30"/>
    <w:rsid w:val="00FB44FB"/>
    <w:rsid w:val="00FB49A4"/>
    <w:rsid w:val="00FB7441"/>
    <w:rsid w:val="00FC1344"/>
    <w:rsid w:val="00FC1CD9"/>
    <w:rsid w:val="00FD067B"/>
    <w:rsid w:val="00FD1CEE"/>
    <w:rsid w:val="00FD4576"/>
    <w:rsid w:val="00FD6FAA"/>
    <w:rsid w:val="00FE01FD"/>
    <w:rsid w:val="00FE48F1"/>
    <w:rsid w:val="00FE4A8D"/>
    <w:rsid w:val="00FE66C8"/>
    <w:rsid w:val="00FE6B9E"/>
    <w:rsid w:val="00FF2382"/>
    <w:rsid w:val="00FF6F9B"/>
    <w:rsid w:val="00FF7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1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6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6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67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F77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111"/>
    <w:pPr>
      <w:ind w:left="720"/>
      <w:contextualSpacing/>
    </w:pPr>
  </w:style>
  <w:style w:type="paragraph" w:styleId="BalloonText">
    <w:name w:val="Balloon Text"/>
    <w:basedOn w:val="Normal"/>
    <w:link w:val="BalloonTextChar"/>
    <w:uiPriority w:val="99"/>
    <w:semiHidden/>
    <w:unhideWhenUsed/>
    <w:rsid w:val="00F22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E"/>
    <w:rPr>
      <w:rFonts w:ascii="Segoe UI" w:hAnsi="Segoe UI" w:cs="Segoe UI"/>
      <w:sz w:val="18"/>
      <w:szCs w:val="18"/>
    </w:rPr>
  </w:style>
  <w:style w:type="paragraph" w:styleId="Header">
    <w:name w:val="header"/>
    <w:basedOn w:val="Normal"/>
    <w:link w:val="HeaderChar"/>
    <w:uiPriority w:val="99"/>
    <w:unhideWhenUsed/>
    <w:rsid w:val="00261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F62"/>
  </w:style>
  <w:style w:type="paragraph" w:styleId="Footer">
    <w:name w:val="footer"/>
    <w:basedOn w:val="Normal"/>
    <w:link w:val="FooterChar"/>
    <w:uiPriority w:val="99"/>
    <w:unhideWhenUsed/>
    <w:rsid w:val="00261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F62"/>
  </w:style>
  <w:style w:type="paragraph" w:styleId="FootnoteText">
    <w:name w:val="footnote text"/>
    <w:basedOn w:val="Normal"/>
    <w:link w:val="FootnoteTextChar"/>
    <w:uiPriority w:val="99"/>
    <w:semiHidden/>
    <w:unhideWhenUsed/>
    <w:rsid w:val="00E170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0D2"/>
    <w:rPr>
      <w:sz w:val="20"/>
      <w:szCs w:val="20"/>
    </w:rPr>
  </w:style>
  <w:style w:type="character" w:styleId="FootnoteReference">
    <w:name w:val="footnote reference"/>
    <w:basedOn w:val="DefaultParagraphFont"/>
    <w:uiPriority w:val="99"/>
    <w:semiHidden/>
    <w:unhideWhenUsed/>
    <w:rsid w:val="00E170D2"/>
    <w:rPr>
      <w:vertAlign w:val="superscript"/>
    </w:rPr>
  </w:style>
  <w:style w:type="character" w:customStyle="1" w:styleId="apple-converted-space">
    <w:name w:val="apple-converted-space"/>
    <w:basedOn w:val="DefaultParagraphFont"/>
    <w:rsid w:val="0062594C"/>
  </w:style>
  <w:style w:type="character" w:customStyle="1" w:styleId="il">
    <w:name w:val="il"/>
    <w:basedOn w:val="DefaultParagraphFont"/>
    <w:rsid w:val="0062594C"/>
  </w:style>
  <w:style w:type="paragraph" w:styleId="Revision">
    <w:name w:val="Revision"/>
    <w:hidden/>
    <w:uiPriority w:val="99"/>
    <w:semiHidden/>
    <w:rsid w:val="008101A5"/>
    <w:pPr>
      <w:spacing w:after="0" w:line="240" w:lineRule="auto"/>
    </w:pPr>
  </w:style>
  <w:style w:type="table" w:styleId="TableGrid">
    <w:name w:val="Table Grid"/>
    <w:basedOn w:val="TableNormal"/>
    <w:uiPriority w:val="39"/>
    <w:rsid w:val="00751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67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672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1672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016720"/>
    <w:pPr>
      <w:outlineLvl w:val="9"/>
    </w:pPr>
  </w:style>
  <w:style w:type="paragraph" w:styleId="TOC1">
    <w:name w:val="toc 1"/>
    <w:basedOn w:val="Normal"/>
    <w:next w:val="Normal"/>
    <w:autoRedefine/>
    <w:uiPriority w:val="39"/>
    <w:unhideWhenUsed/>
    <w:rsid w:val="005405E2"/>
    <w:pPr>
      <w:tabs>
        <w:tab w:val="right" w:leader="dot" w:pos="9350"/>
      </w:tabs>
      <w:spacing w:after="100"/>
    </w:pPr>
    <w:rPr>
      <w:noProof/>
      <w:color w:val="000000" w:themeColor="text1"/>
    </w:rPr>
  </w:style>
  <w:style w:type="paragraph" w:styleId="TOC2">
    <w:name w:val="toc 2"/>
    <w:basedOn w:val="Normal"/>
    <w:next w:val="Normal"/>
    <w:autoRedefine/>
    <w:uiPriority w:val="39"/>
    <w:unhideWhenUsed/>
    <w:rsid w:val="00016720"/>
    <w:pPr>
      <w:spacing w:after="100"/>
      <w:ind w:left="220"/>
    </w:pPr>
  </w:style>
  <w:style w:type="paragraph" w:styleId="TOC3">
    <w:name w:val="toc 3"/>
    <w:basedOn w:val="Normal"/>
    <w:next w:val="Normal"/>
    <w:autoRedefine/>
    <w:uiPriority w:val="39"/>
    <w:unhideWhenUsed/>
    <w:rsid w:val="00016720"/>
    <w:pPr>
      <w:spacing w:after="100"/>
      <w:ind w:left="440"/>
    </w:pPr>
  </w:style>
  <w:style w:type="character" w:styleId="Hyperlink">
    <w:name w:val="Hyperlink"/>
    <w:basedOn w:val="DefaultParagraphFont"/>
    <w:uiPriority w:val="99"/>
    <w:unhideWhenUsed/>
    <w:rsid w:val="00016720"/>
    <w:rPr>
      <w:color w:val="0563C1" w:themeColor="hyperlink"/>
      <w:u w:val="single"/>
    </w:rPr>
  </w:style>
  <w:style w:type="table" w:customStyle="1" w:styleId="TableGrid0">
    <w:name w:val="TableGrid"/>
    <w:rsid w:val="00E3767C"/>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92DF7"/>
    <w:rPr>
      <w:sz w:val="16"/>
      <w:szCs w:val="16"/>
    </w:rPr>
  </w:style>
  <w:style w:type="paragraph" w:styleId="CommentText">
    <w:name w:val="annotation text"/>
    <w:basedOn w:val="Normal"/>
    <w:link w:val="CommentTextChar"/>
    <w:uiPriority w:val="99"/>
    <w:semiHidden/>
    <w:unhideWhenUsed/>
    <w:rsid w:val="00792DF7"/>
    <w:pPr>
      <w:spacing w:line="240" w:lineRule="auto"/>
    </w:pPr>
    <w:rPr>
      <w:sz w:val="20"/>
      <w:szCs w:val="20"/>
    </w:rPr>
  </w:style>
  <w:style w:type="character" w:customStyle="1" w:styleId="CommentTextChar">
    <w:name w:val="Comment Text Char"/>
    <w:basedOn w:val="DefaultParagraphFont"/>
    <w:link w:val="CommentText"/>
    <w:uiPriority w:val="99"/>
    <w:semiHidden/>
    <w:rsid w:val="00792DF7"/>
    <w:rPr>
      <w:sz w:val="20"/>
      <w:szCs w:val="20"/>
    </w:rPr>
  </w:style>
  <w:style w:type="paragraph" w:styleId="CommentSubject">
    <w:name w:val="annotation subject"/>
    <w:basedOn w:val="CommentText"/>
    <w:next w:val="CommentText"/>
    <w:link w:val="CommentSubjectChar"/>
    <w:uiPriority w:val="99"/>
    <w:semiHidden/>
    <w:unhideWhenUsed/>
    <w:rsid w:val="00792DF7"/>
    <w:rPr>
      <w:b/>
      <w:bCs/>
    </w:rPr>
  </w:style>
  <w:style w:type="character" w:customStyle="1" w:styleId="CommentSubjectChar">
    <w:name w:val="Comment Subject Char"/>
    <w:basedOn w:val="CommentTextChar"/>
    <w:link w:val="CommentSubject"/>
    <w:uiPriority w:val="99"/>
    <w:semiHidden/>
    <w:rsid w:val="00792DF7"/>
    <w:rPr>
      <w:b/>
      <w:bCs/>
      <w:sz w:val="20"/>
      <w:szCs w:val="20"/>
    </w:rPr>
  </w:style>
  <w:style w:type="paragraph" w:styleId="NoSpacing">
    <w:name w:val="No Spacing"/>
    <w:uiPriority w:val="1"/>
    <w:qFormat/>
    <w:rsid w:val="00642A33"/>
    <w:pPr>
      <w:spacing w:after="0" w:line="240" w:lineRule="auto"/>
    </w:pPr>
  </w:style>
  <w:style w:type="character" w:customStyle="1" w:styleId="Heading4Char">
    <w:name w:val="Heading 4 Char"/>
    <w:basedOn w:val="DefaultParagraphFont"/>
    <w:link w:val="Heading4"/>
    <w:uiPriority w:val="9"/>
    <w:rsid w:val="006F77C6"/>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6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6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67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F77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111"/>
    <w:pPr>
      <w:ind w:left="720"/>
      <w:contextualSpacing/>
    </w:pPr>
  </w:style>
  <w:style w:type="paragraph" w:styleId="BalloonText">
    <w:name w:val="Balloon Text"/>
    <w:basedOn w:val="Normal"/>
    <w:link w:val="BalloonTextChar"/>
    <w:uiPriority w:val="99"/>
    <w:semiHidden/>
    <w:unhideWhenUsed/>
    <w:rsid w:val="00F22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E"/>
    <w:rPr>
      <w:rFonts w:ascii="Segoe UI" w:hAnsi="Segoe UI" w:cs="Segoe UI"/>
      <w:sz w:val="18"/>
      <w:szCs w:val="18"/>
    </w:rPr>
  </w:style>
  <w:style w:type="paragraph" w:styleId="Header">
    <w:name w:val="header"/>
    <w:basedOn w:val="Normal"/>
    <w:link w:val="HeaderChar"/>
    <w:uiPriority w:val="99"/>
    <w:unhideWhenUsed/>
    <w:rsid w:val="00261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F62"/>
  </w:style>
  <w:style w:type="paragraph" w:styleId="Footer">
    <w:name w:val="footer"/>
    <w:basedOn w:val="Normal"/>
    <w:link w:val="FooterChar"/>
    <w:uiPriority w:val="99"/>
    <w:unhideWhenUsed/>
    <w:rsid w:val="00261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F62"/>
  </w:style>
  <w:style w:type="paragraph" w:styleId="FootnoteText">
    <w:name w:val="footnote text"/>
    <w:basedOn w:val="Normal"/>
    <w:link w:val="FootnoteTextChar"/>
    <w:uiPriority w:val="99"/>
    <w:semiHidden/>
    <w:unhideWhenUsed/>
    <w:rsid w:val="00E170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0D2"/>
    <w:rPr>
      <w:sz w:val="20"/>
      <w:szCs w:val="20"/>
    </w:rPr>
  </w:style>
  <w:style w:type="character" w:styleId="FootnoteReference">
    <w:name w:val="footnote reference"/>
    <w:basedOn w:val="DefaultParagraphFont"/>
    <w:uiPriority w:val="99"/>
    <w:semiHidden/>
    <w:unhideWhenUsed/>
    <w:rsid w:val="00E170D2"/>
    <w:rPr>
      <w:vertAlign w:val="superscript"/>
    </w:rPr>
  </w:style>
  <w:style w:type="character" w:customStyle="1" w:styleId="apple-converted-space">
    <w:name w:val="apple-converted-space"/>
    <w:basedOn w:val="DefaultParagraphFont"/>
    <w:rsid w:val="0062594C"/>
  </w:style>
  <w:style w:type="character" w:customStyle="1" w:styleId="il">
    <w:name w:val="il"/>
    <w:basedOn w:val="DefaultParagraphFont"/>
    <w:rsid w:val="0062594C"/>
  </w:style>
  <w:style w:type="paragraph" w:styleId="Revision">
    <w:name w:val="Revision"/>
    <w:hidden/>
    <w:uiPriority w:val="99"/>
    <w:semiHidden/>
    <w:rsid w:val="008101A5"/>
    <w:pPr>
      <w:spacing w:after="0" w:line="240" w:lineRule="auto"/>
    </w:pPr>
  </w:style>
  <w:style w:type="table" w:styleId="TableGrid">
    <w:name w:val="Table Grid"/>
    <w:basedOn w:val="TableNormal"/>
    <w:uiPriority w:val="39"/>
    <w:rsid w:val="00751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67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672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1672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016720"/>
    <w:pPr>
      <w:outlineLvl w:val="9"/>
    </w:pPr>
  </w:style>
  <w:style w:type="paragraph" w:styleId="TOC1">
    <w:name w:val="toc 1"/>
    <w:basedOn w:val="Normal"/>
    <w:next w:val="Normal"/>
    <w:autoRedefine/>
    <w:uiPriority w:val="39"/>
    <w:unhideWhenUsed/>
    <w:rsid w:val="005405E2"/>
    <w:pPr>
      <w:tabs>
        <w:tab w:val="right" w:leader="dot" w:pos="9350"/>
      </w:tabs>
      <w:spacing w:after="100"/>
    </w:pPr>
    <w:rPr>
      <w:noProof/>
      <w:color w:val="000000" w:themeColor="text1"/>
    </w:rPr>
  </w:style>
  <w:style w:type="paragraph" w:styleId="TOC2">
    <w:name w:val="toc 2"/>
    <w:basedOn w:val="Normal"/>
    <w:next w:val="Normal"/>
    <w:autoRedefine/>
    <w:uiPriority w:val="39"/>
    <w:unhideWhenUsed/>
    <w:rsid w:val="00016720"/>
    <w:pPr>
      <w:spacing w:after="100"/>
      <w:ind w:left="220"/>
    </w:pPr>
  </w:style>
  <w:style w:type="paragraph" w:styleId="TOC3">
    <w:name w:val="toc 3"/>
    <w:basedOn w:val="Normal"/>
    <w:next w:val="Normal"/>
    <w:autoRedefine/>
    <w:uiPriority w:val="39"/>
    <w:unhideWhenUsed/>
    <w:rsid w:val="00016720"/>
    <w:pPr>
      <w:spacing w:after="100"/>
      <w:ind w:left="440"/>
    </w:pPr>
  </w:style>
  <w:style w:type="character" w:styleId="Hyperlink">
    <w:name w:val="Hyperlink"/>
    <w:basedOn w:val="DefaultParagraphFont"/>
    <w:uiPriority w:val="99"/>
    <w:unhideWhenUsed/>
    <w:rsid w:val="00016720"/>
    <w:rPr>
      <w:color w:val="0563C1" w:themeColor="hyperlink"/>
      <w:u w:val="single"/>
    </w:rPr>
  </w:style>
  <w:style w:type="table" w:customStyle="1" w:styleId="TableGrid0">
    <w:name w:val="TableGrid"/>
    <w:rsid w:val="00E3767C"/>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92DF7"/>
    <w:rPr>
      <w:sz w:val="16"/>
      <w:szCs w:val="16"/>
    </w:rPr>
  </w:style>
  <w:style w:type="paragraph" w:styleId="CommentText">
    <w:name w:val="annotation text"/>
    <w:basedOn w:val="Normal"/>
    <w:link w:val="CommentTextChar"/>
    <w:uiPriority w:val="99"/>
    <w:semiHidden/>
    <w:unhideWhenUsed/>
    <w:rsid w:val="00792DF7"/>
    <w:pPr>
      <w:spacing w:line="240" w:lineRule="auto"/>
    </w:pPr>
    <w:rPr>
      <w:sz w:val="20"/>
      <w:szCs w:val="20"/>
    </w:rPr>
  </w:style>
  <w:style w:type="character" w:customStyle="1" w:styleId="CommentTextChar">
    <w:name w:val="Comment Text Char"/>
    <w:basedOn w:val="DefaultParagraphFont"/>
    <w:link w:val="CommentText"/>
    <w:uiPriority w:val="99"/>
    <w:semiHidden/>
    <w:rsid w:val="00792DF7"/>
    <w:rPr>
      <w:sz w:val="20"/>
      <w:szCs w:val="20"/>
    </w:rPr>
  </w:style>
  <w:style w:type="paragraph" w:styleId="CommentSubject">
    <w:name w:val="annotation subject"/>
    <w:basedOn w:val="CommentText"/>
    <w:next w:val="CommentText"/>
    <w:link w:val="CommentSubjectChar"/>
    <w:uiPriority w:val="99"/>
    <w:semiHidden/>
    <w:unhideWhenUsed/>
    <w:rsid w:val="00792DF7"/>
    <w:rPr>
      <w:b/>
      <w:bCs/>
    </w:rPr>
  </w:style>
  <w:style w:type="character" w:customStyle="1" w:styleId="CommentSubjectChar">
    <w:name w:val="Comment Subject Char"/>
    <w:basedOn w:val="CommentTextChar"/>
    <w:link w:val="CommentSubject"/>
    <w:uiPriority w:val="99"/>
    <w:semiHidden/>
    <w:rsid w:val="00792DF7"/>
    <w:rPr>
      <w:b/>
      <w:bCs/>
      <w:sz w:val="20"/>
      <w:szCs w:val="20"/>
    </w:rPr>
  </w:style>
  <w:style w:type="paragraph" w:styleId="NoSpacing">
    <w:name w:val="No Spacing"/>
    <w:uiPriority w:val="1"/>
    <w:qFormat/>
    <w:rsid w:val="00642A33"/>
    <w:pPr>
      <w:spacing w:after="0" w:line="240" w:lineRule="auto"/>
    </w:pPr>
  </w:style>
  <w:style w:type="character" w:customStyle="1" w:styleId="Heading4Char">
    <w:name w:val="Heading 4 Char"/>
    <w:basedOn w:val="DefaultParagraphFont"/>
    <w:link w:val="Heading4"/>
    <w:uiPriority w:val="9"/>
    <w:rsid w:val="006F77C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50087">
      <w:bodyDiv w:val="1"/>
      <w:marLeft w:val="0"/>
      <w:marRight w:val="0"/>
      <w:marTop w:val="0"/>
      <w:marBottom w:val="0"/>
      <w:divBdr>
        <w:top w:val="none" w:sz="0" w:space="0" w:color="auto"/>
        <w:left w:val="none" w:sz="0" w:space="0" w:color="auto"/>
        <w:bottom w:val="none" w:sz="0" w:space="0" w:color="auto"/>
        <w:right w:val="none" w:sz="0" w:space="0" w:color="auto"/>
      </w:divBdr>
      <w:divsChild>
        <w:div w:id="1956253797">
          <w:marLeft w:val="274"/>
          <w:marRight w:val="0"/>
          <w:marTop w:val="0"/>
          <w:marBottom w:val="0"/>
          <w:divBdr>
            <w:top w:val="none" w:sz="0" w:space="0" w:color="auto"/>
            <w:left w:val="none" w:sz="0" w:space="0" w:color="auto"/>
            <w:bottom w:val="none" w:sz="0" w:space="0" w:color="auto"/>
            <w:right w:val="none" w:sz="0" w:space="0" w:color="auto"/>
          </w:divBdr>
        </w:div>
        <w:div w:id="1352688077">
          <w:marLeft w:val="274"/>
          <w:marRight w:val="0"/>
          <w:marTop w:val="0"/>
          <w:marBottom w:val="0"/>
          <w:divBdr>
            <w:top w:val="none" w:sz="0" w:space="0" w:color="auto"/>
            <w:left w:val="none" w:sz="0" w:space="0" w:color="auto"/>
            <w:bottom w:val="none" w:sz="0" w:space="0" w:color="auto"/>
            <w:right w:val="none" w:sz="0" w:space="0" w:color="auto"/>
          </w:divBdr>
        </w:div>
        <w:div w:id="1082338314">
          <w:marLeft w:val="274"/>
          <w:marRight w:val="0"/>
          <w:marTop w:val="0"/>
          <w:marBottom w:val="0"/>
          <w:divBdr>
            <w:top w:val="none" w:sz="0" w:space="0" w:color="auto"/>
            <w:left w:val="none" w:sz="0" w:space="0" w:color="auto"/>
            <w:bottom w:val="none" w:sz="0" w:space="0" w:color="auto"/>
            <w:right w:val="none" w:sz="0" w:space="0" w:color="auto"/>
          </w:divBdr>
        </w:div>
        <w:div w:id="913853850">
          <w:marLeft w:val="274"/>
          <w:marRight w:val="0"/>
          <w:marTop w:val="0"/>
          <w:marBottom w:val="0"/>
          <w:divBdr>
            <w:top w:val="none" w:sz="0" w:space="0" w:color="auto"/>
            <w:left w:val="none" w:sz="0" w:space="0" w:color="auto"/>
            <w:bottom w:val="none" w:sz="0" w:space="0" w:color="auto"/>
            <w:right w:val="none" w:sz="0" w:space="0" w:color="auto"/>
          </w:divBdr>
        </w:div>
        <w:div w:id="897204987">
          <w:marLeft w:val="274"/>
          <w:marRight w:val="0"/>
          <w:marTop w:val="0"/>
          <w:marBottom w:val="0"/>
          <w:divBdr>
            <w:top w:val="none" w:sz="0" w:space="0" w:color="auto"/>
            <w:left w:val="none" w:sz="0" w:space="0" w:color="auto"/>
            <w:bottom w:val="none" w:sz="0" w:space="0" w:color="auto"/>
            <w:right w:val="none" w:sz="0" w:space="0" w:color="auto"/>
          </w:divBdr>
        </w:div>
        <w:div w:id="1411657845">
          <w:marLeft w:val="274"/>
          <w:marRight w:val="0"/>
          <w:marTop w:val="0"/>
          <w:marBottom w:val="0"/>
          <w:divBdr>
            <w:top w:val="none" w:sz="0" w:space="0" w:color="auto"/>
            <w:left w:val="none" w:sz="0" w:space="0" w:color="auto"/>
            <w:bottom w:val="none" w:sz="0" w:space="0" w:color="auto"/>
            <w:right w:val="none" w:sz="0" w:space="0" w:color="auto"/>
          </w:divBdr>
        </w:div>
        <w:div w:id="2112386249">
          <w:marLeft w:val="274"/>
          <w:marRight w:val="0"/>
          <w:marTop w:val="0"/>
          <w:marBottom w:val="0"/>
          <w:divBdr>
            <w:top w:val="none" w:sz="0" w:space="0" w:color="auto"/>
            <w:left w:val="none" w:sz="0" w:space="0" w:color="auto"/>
            <w:bottom w:val="none" w:sz="0" w:space="0" w:color="auto"/>
            <w:right w:val="none" w:sz="0" w:space="0" w:color="auto"/>
          </w:divBdr>
        </w:div>
        <w:div w:id="2068217375">
          <w:marLeft w:val="274"/>
          <w:marRight w:val="0"/>
          <w:marTop w:val="0"/>
          <w:marBottom w:val="0"/>
          <w:divBdr>
            <w:top w:val="none" w:sz="0" w:space="0" w:color="auto"/>
            <w:left w:val="none" w:sz="0" w:space="0" w:color="auto"/>
            <w:bottom w:val="none" w:sz="0" w:space="0" w:color="auto"/>
            <w:right w:val="none" w:sz="0" w:space="0" w:color="auto"/>
          </w:divBdr>
        </w:div>
        <w:div w:id="1643581717">
          <w:marLeft w:val="274"/>
          <w:marRight w:val="0"/>
          <w:marTop w:val="0"/>
          <w:marBottom w:val="0"/>
          <w:divBdr>
            <w:top w:val="none" w:sz="0" w:space="0" w:color="auto"/>
            <w:left w:val="none" w:sz="0" w:space="0" w:color="auto"/>
            <w:bottom w:val="none" w:sz="0" w:space="0" w:color="auto"/>
            <w:right w:val="none" w:sz="0" w:space="0" w:color="auto"/>
          </w:divBdr>
        </w:div>
        <w:div w:id="1478718452">
          <w:marLeft w:val="274"/>
          <w:marRight w:val="0"/>
          <w:marTop w:val="0"/>
          <w:marBottom w:val="0"/>
          <w:divBdr>
            <w:top w:val="none" w:sz="0" w:space="0" w:color="auto"/>
            <w:left w:val="none" w:sz="0" w:space="0" w:color="auto"/>
            <w:bottom w:val="none" w:sz="0" w:space="0" w:color="auto"/>
            <w:right w:val="none" w:sz="0" w:space="0" w:color="auto"/>
          </w:divBdr>
        </w:div>
        <w:div w:id="108939632">
          <w:marLeft w:val="274"/>
          <w:marRight w:val="0"/>
          <w:marTop w:val="0"/>
          <w:marBottom w:val="0"/>
          <w:divBdr>
            <w:top w:val="none" w:sz="0" w:space="0" w:color="auto"/>
            <w:left w:val="none" w:sz="0" w:space="0" w:color="auto"/>
            <w:bottom w:val="none" w:sz="0" w:space="0" w:color="auto"/>
            <w:right w:val="none" w:sz="0" w:space="0" w:color="auto"/>
          </w:divBdr>
        </w:div>
      </w:divsChild>
    </w:div>
    <w:div w:id="1800492201">
      <w:bodyDiv w:val="1"/>
      <w:marLeft w:val="0"/>
      <w:marRight w:val="0"/>
      <w:marTop w:val="0"/>
      <w:marBottom w:val="0"/>
      <w:divBdr>
        <w:top w:val="none" w:sz="0" w:space="0" w:color="auto"/>
        <w:left w:val="none" w:sz="0" w:space="0" w:color="auto"/>
        <w:bottom w:val="none" w:sz="0" w:space="0" w:color="auto"/>
        <w:right w:val="none" w:sz="0" w:space="0" w:color="auto"/>
      </w:divBdr>
      <w:divsChild>
        <w:div w:id="222566423">
          <w:marLeft w:val="0"/>
          <w:marRight w:val="0"/>
          <w:marTop w:val="0"/>
          <w:marBottom w:val="0"/>
          <w:divBdr>
            <w:top w:val="none" w:sz="0" w:space="0" w:color="auto"/>
            <w:left w:val="none" w:sz="0" w:space="0" w:color="auto"/>
            <w:bottom w:val="none" w:sz="0" w:space="0" w:color="auto"/>
            <w:right w:val="none" w:sz="0" w:space="0" w:color="auto"/>
          </w:divBdr>
        </w:div>
        <w:div w:id="965770634">
          <w:marLeft w:val="0"/>
          <w:marRight w:val="0"/>
          <w:marTop w:val="0"/>
          <w:marBottom w:val="0"/>
          <w:divBdr>
            <w:top w:val="none" w:sz="0" w:space="0" w:color="auto"/>
            <w:left w:val="none" w:sz="0" w:space="0" w:color="auto"/>
            <w:bottom w:val="none" w:sz="0" w:space="0" w:color="auto"/>
            <w:right w:val="none" w:sz="0" w:space="0" w:color="auto"/>
          </w:divBdr>
        </w:div>
        <w:div w:id="133132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2C7BBAC-40F4-47C5-AFEC-1368F1C0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39</Pages>
  <Words>13602</Words>
  <Characters>77538</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2015-06-26T14:23:00Z</dcterms:created>
  <dc:creator>Mete Habip</dc:creator>
  <lastModifiedBy>ANF</lastModifiedBy>
  <lastPrinted>2015-06-22T20:32:00Z</lastPrinted>
  <dcterms:modified xsi:type="dcterms:W3CDTF">2015-06-26T15:25:00Z</dcterms:modified>
  <revision>14</revision>
</coreProperties>
</file>