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EA" w:rsidRPr="009C7DAA" w:rsidRDefault="00211E86">
      <w:pPr>
        <w:rPr>
          <w:rFonts w:ascii="Book Antiqua" w:hAnsi="Book Antiqua"/>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margin-left:409.05pt;margin-top:-52pt;width:117.1pt;height:121.5pt;z-index:251646976;visibility:visible">
            <v:imagedata r:id="rId8" o:title=""/>
          </v:shape>
        </w:pict>
      </w:r>
      <w:r>
        <w:rPr>
          <w:noProof/>
          <w:lang w:eastAsia="en-US"/>
        </w:rPr>
        <w:pict>
          <v:rect id="Rectangle 2" o:spid="_x0000_s1029" style="position:absolute;margin-left:-67.85pt;margin-top:-87.9pt;width:639pt;height:4in;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" fillcolor="#036"/>
        </w:pict>
      </w:r>
      <w:r>
        <w:rPr>
          <w:noProof/>
          <w:lang w:eastAsia="en-US"/>
        </w:rPr>
        <w:pict>
          <v:rect id="Rectangle 3" o:spid="_x0000_s1030" style="position:absolute;margin-left:-22.85pt;margin-top:.2pt;width:279pt;height:117pt;z-index:251645952;visibility:visible;v-text-anchor:bottom"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" filled="f" fillcolor="#ffc" stroked="f">
            <v:textbox inset="5.04pt,2.52pt,5.04pt,2.52pt">
              <w:txbxContent>
                <w:p w:rsidR="001E2683" w:rsidRPr="00DF404A" w:rsidRDefault="001E2683" w:rsidP="00E90039">
                  <w:pPr>
                    <w:autoSpaceDE w:val="0"/>
                    <w:autoSpaceDN w:val="0"/>
                    <w:adjustRightInd w:val="0"/>
                    <w:rPr>
                      <w:rFonts w:ascii="Arial" w:hAnsi="Arial" w:cs="Arial"/>
                      <w:b/>
                      <w:bCs/>
                      <w:color w:val="FFFFFF"/>
                      <w:sz w:val="39"/>
                      <w:szCs w:val="56"/>
                    </w:rPr>
                  </w:pPr>
                  <w:smartTag w:uri="urn:schemas-microsoft-com:office:smarttags" w:element="PlaceType">
                    <w:smartTag w:uri="urn:schemas-microsoft-com:office:smarttags" w:element="place">
                      <w:r w:rsidRPr="00DF404A">
                        <w:rPr>
                          <w:rFonts w:ascii="Arial" w:hAnsi="Arial" w:cs="Arial"/>
                          <w:b/>
                          <w:bCs/>
                          <w:color w:val="FFFFFF"/>
                          <w:sz w:val="48"/>
                          <w:szCs w:val="48"/>
                        </w:rPr>
                        <w:t>Commonwealth</w:t>
                      </w:r>
                    </w:smartTag>
                    <w:r w:rsidRPr="00DF404A">
                      <w:rPr>
                        <w:rFonts w:ascii="Arial" w:hAnsi="Arial" w:cs="Arial"/>
                        <w:b/>
                        <w:bCs/>
                        <w:color w:val="FFFFFF"/>
                        <w:sz w:val="48"/>
                        <w:szCs w:val="48"/>
                      </w:rPr>
                      <w:t xml:space="preserve"> of </w:t>
                    </w:r>
                    <w:smartTag w:uri="urn:schemas-microsoft-com:office:smarttags" w:element="PlaceName">
                      <w:r w:rsidRPr="00DF404A">
                        <w:rPr>
                          <w:rFonts w:ascii="Arial" w:hAnsi="Arial" w:cs="Arial"/>
                          <w:b/>
                          <w:bCs/>
                          <w:color w:val="FFFFFF"/>
                          <w:sz w:val="48"/>
                          <w:szCs w:val="48"/>
                        </w:rPr>
                        <w:t>Massachusetts</w:t>
                      </w:r>
                    </w:smartTag>
                  </w:smartTag>
                  <w:r w:rsidRPr="00DF404A">
                    <w:rPr>
                      <w:rFonts w:ascii="Arial" w:hAnsi="Arial" w:cs="Arial"/>
                      <w:b/>
                      <w:bCs/>
                      <w:color w:val="FFFFFF"/>
                      <w:sz w:val="39"/>
                      <w:szCs w:val="56"/>
                    </w:rPr>
                    <w:br/>
                  </w:r>
                  <w:r w:rsidRPr="00DF404A">
                    <w:rPr>
                      <w:rFonts w:ascii="Arial" w:hAnsi="Arial" w:cs="Arial"/>
                      <w:b/>
                      <w:bCs/>
                      <w:color w:val="FFFFFF"/>
                      <w:sz w:val="32"/>
                      <w:szCs w:val="32"/>
                    </w:rPr>
                    <w:t xml:space="preserve">Executive Office of </w:t>
                  </w:r>
                  <w:r>
                    <w:rPr>
                      <w:rFonts w:ascii="Arial" w:hAnsi="Arial" w:cs="Arial"/>
                      <w:b/>
                      <w:bCs/>
                      <w:color w:val="FFFFFF"/>
                      <w:sz w:val="32"/>
                      <w:szCs w:val="32"/>
                    </w:rPr>
                    <w:t>Health and Human Services</w:t>
                  </w:r>
                  <w:r w:rsidRPr="00DF404A">
                    <w:rPr>
                      <w:rFonts w:ascii="Arial" w:hAnsi="Arial" w:cs="Arial"/>
                      <w:b/>
                      <w:bCs/>
                      <w:color w:val="FFFFFF"/>
                      <w:sz w:val="27"/>
                      <w:szCs w:val="38"/>
                    </w:rPr>
                    <w:br/>
                  </w:r>
                </w:p>
              </w:txbxContent>
            </v:textbox>
          </v:rect>
        </w:pict>
      </w: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pPr>
        <w:rPr>
          <w:rFonts w:ascii="Book Antiqua" w:hAnsi="Book Antiqua"/>
        </w:rPr>
      </w:pPr>
    </w:p>
    <w:p w:rsidR="004C38EA" w:rsidRPr="009C7DAA" w:rsidRDefault="004C38EA" w:rsidP="00E90039">
      <w:pPr>
        <w:jc w:val="right"/>
        <w:rPr>
          <w:rFonts w:ascii="Book Antiqua" w:hAnsi="Book Antiqua"/>
          <w:sz w:val="44"/>
          <w:szCs w:val="44"/>
        </w:rPr>
      </w:pPr>
    </w:p>
    <w:p w:rsidR="004C38EA" w:rsidRPr="009C7DAA" w:rsidRDefault="004C38EA" w:rsidP="00E90039">
      <w:pPr>
        <w:jc w:val="right"/>
        <w:rPr>
          <w:rFonts w:ascii="Book Antiqua" w:hAnsi="Book Antiqua"/>
          <w:b/>
          <w:bCs/>
          <w:color w:val="F05A28"/>
          <w:sz w:val="72"/>
          <w:szCs w:val="72"/>
        </w:rPr>
      </w:pPr>
    </w:p>
    <w:p w:rsidR="004C38EA" w:rsidRPr="00106060" w:rsidRDefault="004C38EA" w:rsidP="00B43C7F">
      <w:pPr>
        <w:jc w:val="right"/>
        <w:rPr>
          <w:rFonts w:ascii="Book Antiqua" w:hAnsi="Book Antiqua"/>
          <w:b/>
          <w:bCs/>
          <w:i/>
          <w:sz w:val="56"/>
          <w:szCs w:val="56"/>
        </w:rPr>
      </w:pPr>
      <w:r>
        <w:rPr>
          <w:rFonts w:ascii="Book Antiqua" w:hAnsi="Book Antiqua"/>
          <w:b/>
          <w:bCs/>
          <w:i/>
          <w:sz w:val="56"/>
          <w:szCs w:val="56"/>
        </w:rPr>
        <w:t>Report of the Special Commission on Graduate Medical Education</w:t>
      </w:r>
    </w:p>
    <w:p w:rsidR="004C38EA" w:rsidRPr="00106060" w:rsidRDefault="004C38EA" w:rsidP="0058126B">
      <w:pPr>
        <w:jc w:val="right"/>
        <w:rPr>
          <w:rFonts w:ascii="Book Antiqua" w:hAnsi="Book Antiqua"/>
          <w:b/>
          <w:bCs/>
          <w:i/>
          <w:sz w:val="40"/>
          <w:szCs w:val="40"/>
        </w:rPr>
      </w:pPr>
    </w:p>
    <w:p w:rsidR="004C38EA" w:rsidRPr="00106060" w:rsidRDefault="004C38EA" w:rsidP="00541886">
      <w:pPr>
        <w:jc w:val="right"/>
        <w:rPr>
          <w:rFonts w:ascii="Book Antiqua" w:hAnsi="Book Antiqua"/>
        </w:rPr>
      </w:pPr>
      <w:r>
        <w:rPr>
          <w:rFonts w:ascii="Book Antiqua" w:hAnsi="Book Antiqua"/>
          <w:b/>
          <w:sz w:val="40"/>
          <w:szCs w:val="40"/>
        </w:rPr>
        <w:t>July 30, 2013</w:t>
      </w:r>
    </w:p>
    <w:p w:rsidR="004C38EA" w:rsidRDefault="004C38EA" w:rsidP="00600A21">
      <w:pPr>
        <w:pBdr>
          <w:bottom w:val="single" w:sz="4" w:space="1" w:color="auto"/>
        </w:pBdr>
        <w:jc w:val="right"/>
        <w:rPr>
          <w:rFonts w:ascii="Book Antiqua" w:hAnsi="Book Antiqua"/>
          <w:smallCaps/>
          <w:sz w:val="27"/>
          <w:szCs w:val="27"/>
        </w:rPr>
      </w:pPr>
      <w:r w:rsidRPr="009C7DAA">
        <w:rPr>
          <w:rFonts w:ascii="Book Antiqua" w:hAnsi="Book Antiqua"/>
          <w:smallCaps/>
          <w:sz w:val="28"/>
          <w:szCs w:val="28"/>
        </w:rPr>
        <w:br w:type="page"/>
      </w:r>
      <w:r w:rsidRPr="001B2459">
        <w:rPr>
          <w:rFonts w:ascii="Book Antiqua" w:hAnsi="Book Antiqua"/>
          <w:smallCaps/>
          <w:sz w:val="27"/>
          <w:szCs w:val="27"/>
        </w:rPr>
        <w:lastRenderedPageBreak/>
        <w:t xml:space="preserve"> </w:t>
      </w:r>
    </w:p>
    <w:p w:rsidR="004C38EA" w:rsidRPr="009C7DAA" w:rsidRDefault="004C38EA" w:rsidP="00600A21">
      <w:pPr>
        <w:pBdr>
          <w:bottom w:val="single" w:sz="4" w:space="1" w:color="auto"/>
        </w:pBdr>
        <w:jc w:val="right"/>
        <w:rPr>
          <w:rFonts w:ascii="Book Antiqua" w:hAnsi="Book Antiqua"/>
          <w:b/>
          <w:smallCaps/>
          <w:sz w:val="28"/>
          <w:szCs w:val="28"/>
        </w:rPr>
      </w:pPr>
      <w:r w:rsidRPr="001B2459">
        <w:rPr>
          <w:rFonts w:ascii="Book Antiqua" w:hAnsi="Book Antiqua"/>
          <w:b/>
          <w:smallCaps/>
          <w:sz w:val="27"/>
          <w:szCs w:val="27"/>
        </w:rPr>
        <w:t>Table of Contents</w:t>
      </w:r>
    </w:p>
    <w:p w:rsidR="004C38EA" w:rsidRPr="009C7DAA" w:rsidRDefault="004C38EA" w:rsidP="00E90039">
      <w:pPr>
        <w:rPr>
          <w:rFonts w:ascii="Book Antiqua" w:hAnsi="Book Antiqua"/>
          <w:b/>
          <w:color w:val="FFFFFF"/>
        </w:rPr>
      </w:pPr>
    </w:p>
    <w:p w:rsidR="004C38EA" w:rsidRDefault="004C38EA" w:rsidP="005244AD">
      <w:pPr>
        <w:tabs>
          <w:tab w:val="left" w:pos="3105"/>
        </w:tabs>
        <w:rPr>
          <w:rFonts w:ascii="Book Antiqua" w:hAnsi="Book Antiqua"/>
        </w:rPr>
      </w:pPr>
      <w:r>
        <w:rPr>
          <w:rFonts w:ascii="Book Antiqua" w:hAnsi="Book Antiqua"/>
        </w:rPr>
        <w:tab/>
      </w:r>
    </w:p>
    <w:p w:rsidR="004C38EA" w:rsidRDefault="004C38EA">
      <w:pPr>
        <w:pStyle w:val="TOCHeading"/>
      </w:pPr>
      <w:r>
        <w:t>Table of Contents</w:t>
      </w:r>
    </w:p>
    <w:p w:rsidR="004C38EA" w:rsidRDefault="004C38EA">
      <w:pPr>
        <w:pStyle w:val="TOC1"/>
        <w:rPr>
          <w:rFonts w:ascii="Times New Roman" w:hAnsi="Times New Roman"/>
          <w:b w:val="0"/>
          <w:noProof/>
        </w:rPr>
      </w:pPr>
      <w:r>
        <w:fldChar w:fldCharType="begin"/>
      </w:r>
      <w:r>
        <w:instrText xml:space="preserve"> TOC \o "1-1" </w:instrText>
      </w:r>
      <w:r>
        <w:fldChar w:fldCharType="separate"/>
      </w:r>
      <w:r>
        <w:rPr>
          <w:noProof/>
        </w:rPr>
        <w:t>1.</w:t>
      </w:r>
      <w:r>
        <w:rPr>
          <w:rFonts w:ascii="Times New Roman" w:hAnsi="Times New Roman"/>
          <w:b w:val="0"/>
          <w:noProof/>
        </w:rPr>
        <w:tab/>
      </w:r>
      <w:r>
        <w:rPr>
          <w:noProof/>
        </w:rPr>
        <w:t>Executive Summary</w:t>
      </w:r>
      <w:r>
        <w:rPr>
          <w:noProof/>
        </w:rPr>
        <w:tab/>
      </w:r>
      <w:r>
        <w:rPr>
          <w:noProof/>
        </w:rPr>
        <w:fldChar w:fldCharType="begin"/>
      </w:r>
      <w:r>
        <w:rPr>
          <w:noProof/>
        </w:rPr>
        <w:instrText xml:space="preserve"> PAGEREF _Toc363134021 \h </w:instrText>
      </w:r>
      <w:r>
        <w:rPr>
          <w:noProof/>
        </w:rPr>
      </w:r>
      <w:r>
        <w:rPr>
          <w:noProof/>
        </w:rPr>
        <w:fldChar w:fldCharType="separate"/>
      </w:r>
      <w:r w:rsidR="001E2683">
        <w:rPr>
          <w:noProof/>
        </w:rPr>
        <w:t>3</w:t>
      </w:r>
      <w:r>
        <w:rPr>
          <w:noProof/>
        </w:rPr>
        <w:fldChar w:fldCharType="end"/>
      </w:r>
    </w:p>
    <w:p w:rsidR="004C38EA" w:rsidRDefault="004C38EA">
      <w:pPr>
        <w:pStyle w:val="TOC1"/>
        <w:rPr>
          <w:rFonts w:ascii="Times New Roman" w:hAnsi="Times New Roman"/>
          <w:b w:val="0"/>
          <w:noProof/>
        </w:rPr>
      </w:pPr>
      <w:r>
        <w:rPr>
          <w:noProof/>
        </w:rPr>
        <w:t>2.</w:t>
      </w:r>
      <w:r>
        <w:rPr>
          <w:rFonts w:ascii="Times New Roman" w:hAnsi="Times New Roman"/>
          <w:b w:val="0"/>
          <w:noProof/>
        </w:rPr>
        <w:tab/>
      </w:r>
      <w:r>
        <w:rPr>
          <w:noProof/>
        </w:rPr>
        <w:t>Overview of Commission</w:t>
      </w:r>
      <w:r>
        <w:rPr>
          <w:noProof/>
        </w:rPr>
        <w:tab/>
      </w:r>
      <w:r>
        <w:rPr>
          <w:noProof/>
        </w:rPr>
        <w:fldChar w:fldCharType="begin"/>
      </w:r>
      <w:r>
        <w:rPr>
          <w:noProof/>
        </w:rPr>
        <w:instrText xml:space="preserve"> PAGEREF _Toc363134022 \h </w:instrText>
      </w:r>
      <w:r>
        <w:rPr>
          <w:noProof/>
        </w:rPr>
      </w:r>
      <w:r>
        <w:rPr>
          <w:noProof/>
        </w:rPr>
        <w:fldChar w:fldCharType="separate"/>
      </w:r>
      <w:r w:rsidR="001E2683">
        <w:rPr>
          <w:noProof/>
        </w:rPr>
        <w:t>7</w:t>
      </w:r>
      <w:r>
        <w:rPr>
          <w:noProof/>
        </w:rPr>
        <w:fldChar w:fldCharType="end"/>
      </w:r>
    </w:p>
    <w:p w:rsidR="004C38EA" w:rsidRDefault="004C38EA">
      <w:pPr>
        <w:pStyle w:val="TOC1"/>
        <w:rPr>
          <w:rFonts w:ascii="Times New Roman" w:hAnsi="Times New Roman"/>
          <w:b w:val="0"/>
          <w:noProof/>
        </w:rPr>
      </w:pPr>
      <w:r>
        <w:rPr>
          <w:noProof/>
        </w:rPr>
        <w:t>3.</w:t>
      </w:r>
      <w:r>
        <w:rPr>
          <w:rFonts w:ascii="Times New Roman" w:hAnsi="Times New Roman"/>
          <w:b w:val="0"/>
          <w:noProof/>
        </w:rPr>
        <w:tab/>
      </w:r>
      <w:r>
        <w:rPr>
          <w:noProof/>
        </w:rPr>
        <w:t>Overview of Graduate Medical Education in the Commonwealth and the</w:t>
      </w:r>
      <w:r w:rsidR="00947B85">
        <w:rPr>
          <w:noProof/>
        </w:rPr>
        <w:t xml:space="preserve"> United States………….10</w:t>
      </w:r>
    </w:p>
    <w:p w:rsidR="004C38EA" w:rsidRDefault="004C38EA">
      <w:pPr>
        <w:pStyle w:val="TOC1"/>
        <w:rPr>
          <w:rFonts w:ascii="Times New Roman" w:hAnsi="Times New Roman"/>
          <w:b w:val="0"/>
          <w:noProof/>
        </w:rPr>
      </w:pPr>
      <w:r>
        <w:rPr>
          <w:noProof/>
        </w:rPr>
        <w:t>4.</w:t>
      </w:r>
      <w:r>
        <w:rPr>
          <w:rFonts w:ascii="Times New Roman" w:hAnsi="Times New Roman"/>
          <w:b w:val="0"/>
          <w:noProof/>
        </w:rPr>
        <w:tab/>
      </w:r>
      <w:r>
        <w:rPr>
          <w:noProof/>
        </w:rPr>
        <w:t>Relationship of Graduate Medical Education to the state’s physician workforce and emerging models of delivery of care</w:t>
      </w:r>
      <w:r>
        <w:rPr>
          <w:noProof/>
        </w:rPr>
        <w:tab/>
      </w:r>
      <w:r>
        <w:rPr>
          <w:noProof/>
        </w:rPr>
        <w:fldChar w:fldCharType="begin"/>
      </w:r>
      <w:r>
        <w:rPr>
          <w:noProof/>
        </w:rPr>
        <w:instrText xml:space="preserve"> PAGEREF _Toc363134024 \h </w:instrText>
      </w:r>
      <w:r>
        <w:rPr>
          <w:noProof/>
        </w:rPr>
      </w:r>
      <w:r>
        <w:rPr>
          <w:noProof/>
        </w:rPr>
        <w:fldChar w:fldCharType="separate"/>
      </w:r>
      <w:r w:rsidR="001E2683">
        <w:rPr>
          <w:noProof/>
        </w:rPr>
        <w:t>19</w:t>
      </w:r>
      <w:r>
        <w:rPr>
          <w:noProof/>
        </w:rPr>
        <w:fldChar w:fldCharType="end"/>
      </w:r>
    </w:p>
    <w:p w:rsidR="004C38EA" w:rsidRDefault="004C38EA">
      <w:pPr>
        <w:pStyle w:val="TOC1"/>
        <w:rPr>
          <w:rFonts w:ascii="Times New Roman" w:hAnsi="Times New Roman"/>
          <w:b w:val="0"/>
          <w:noProof/>
        </w:rPr>
      </w:pPr>
      <w:r>
        <w:rPr>
          <w:noProof/>
        </w:rPr>
        <w:t>5.</w:t>
      </w:r>
      <w:r>
        <w:rPr>
          <w:rFonts w:ascii="Times New Roman" w:hAnsi="Times New Roman"/>
          <w:b w:val="0"/>
          <w:noProof/>
        </w:rPr>
        <w:tab/>
      </w:r>
      <w:r>
        <w:rPr>
          <w:noProof/>
        </w:rPr>
        <w:t>Overview of Health Care Workforce Center activities</w:t>
      </w:r>
      <w:r>
        <w:rPr>
          <w:noProof/>
        </w:rPr>
        <w:tab/>
      </w:r>
      <w:r>
        <w:rPr>
          <w:noProof/>
        </w:rPr>
        <w:fldChar w:fldCharType="begin"/>
      </w:r>
      <w:r>
        <w:rPr>
          <w:noProof/>
        </w:rPr>
        <w:instrText xml:space="preserve"> PAGEREF _Toc363134025 \h </w:instrText>
      </w:r>
      <w:r>
        <w:rPr>
          <w:noProof/>
        </w:rPr>
      </w:r>
      <w:r>
        <w:rPr>
          <w:noProof/>
        </w:rPr>
        <w:fldChar w:fldCharType="separate"/>
      </w:r>
      <w:r w:rsidR="001E2683">
        <w:rPr>
          <w:noProof/>
        </w:rPr>
        <w:t>21</w:t>
      </w:r>
      <w:r>
        <w:rPr>
          <w:noProof/>
        </w:rPr>
        <w:fldChar w:fldCharType="end"/>
      </w:r>
    </w:p>
    <w:p w:rsidR="004C38EA" w:rsidRDefault="004C38EA">
      <w:pPr>
        <w:pStyle w:val="TOC1"/>
        <w:rPr>
          <w:rFonts w:ascii="Times New Roman" w:hAnsi="Times New Roman"/>
          <w:b w:val="0"/>
          <w:noProof/>
        </w:rPr>
      </w:pPr>
      <w:r>
        <w:rPr>
          <w:noProof/>
        </w:rPr>
        <w:t>6.</w:t>
      </w:r>
      <w:r>
        <w:rPr>
          <w:rFonts w:ascii="Times New Roman" w:hAnsi="Times New Roman"/>
          <w:b w:val="0"/>
          <w:noProof/>
        </w:rPr>
        <w:tab/>
      </w:r>
      <w:r>
        <w:rPr>
          <w:noProof/>
        </w:rPr>
        <w:t>Financial analysis of Graduate Medical Education</w:t>
      </w:r>
      <w:r>
        <w:rPr>
          <w:noProof/>
        </w:rPr>
        <w:tab/>
      </w:r>
      <w:r>
        <w:rPr>
          <w:noProof/>
        </w:rPr>
        <w:fldChar w:fldCharType="begin"/>
      </w:r>
      <w:r>
        <w:rPr>
          <w:noProof/>
        </w:rPr>
        <w:instrText xml:space="preserve"> PAGEREF _Toc363134026 \h </w:instrText>
      </w:r>
      <w:r>
        <w:rPr>
          <w:noProof/>
        </w:rPr>
      </w:r>
      <w:r>
        <w:rPr>
          <w:noProof/>
        </w:rPr>
        <w:fldChar w:fldCharType="separate"/>
      </w:r>
      <w:r w:rsidR="001E2683">
        <w:rPr>
          <w:noProof/>
        </w:rPr>
        <w:t>24</w:t>
      </w:r>
      <w:r>
        <w:rPr>
          <w:noProof/>
        </w:rPr>
        <w:fldChar w:fldCharType="end"/>
      </w:r>
    </w:p>
    <w:p w:rsidR="004C38EA" w:rsidRDefault="004C38EA">
      <w:pPr>
        <w:pStyle w:val="TOC1"/>
        <w:rPr>
          <w:rFonts w:ascii="Times New Roman" w:hAnsi="Times New Roman"/>
          <w:b w:val="0"/>
          <w:noProof/>
        </w:rPr>
      </w:pPr>
      <w:r>
        <w:rPr>
          <w:noProof/>
        </w:rPr>
        <w:t>7.</w:t>
      </w:r>
      <w:r>
        <w:rPr>
          <w:rFonts w:ascii="Times New Roman" w:hAnsi="Times New Roman"/>
          <w:b w:val="0"/>
          <w:noProof/>
        </w:rPr>
        <w:tab/>
      </w:r>
      <w:r>
        <w:rPr>
          <w:noProof/>
        </w:rPr>
        <w:t>Approaches taken by other states</w:t>
      </w:r>
      <w:r>
        <w:rPr>
          <w:noProof/>
        </w:rPr>
        <w:tab/>
      </w:r>
      <w:r>
        <w:rPr>
          <w:noProof/>
        </w:rPr>
        <w:fldChar w:fldCharType="begin"/>
      </w:r>
      <w:r>
        <w:rPr>
          <w:noProof/>
        </w:rPr>
        <w:instrText xml:space="preserve"> PAGEREF _Toc363134027 \h </w:instrText>
      </w:r>
      <w:r>
        <w:rPr>
          <w:noProof/>
        </w:rPr>
      </w:r>
      <w:r>
        <w:rPr>
          <w:noProof/>
        </w:rPr>
        <w:fldChar w:fldCharType="separate"/>
      </w:r>
      <w:r w:rsidR="001E2683">
        <w:rPr>
          <w:noProof/>
        </w:rPr>
        <w:t>31</w:t>
      </w:r>
      <w:r>
        <w:rPr>
          <w:noProof/>
        </w:rPr>
        <w:fldChar w:fldCharType="end"/>
      </w:r>
    </w:p>
    <w:p w:rsidR="004C38EA" w:rsidRDefault="004C38EA">
      <w:pPr>
        <w:pStyle w:val="TOC1"/>
        <w:rPr>
          <w:rFonts w:ascii="Times New Roman" w:hAnsi="Times New Roman"/>
          <w:b w:val="0"/>
          <w:noProof/>
        </w:rPr>
      </w:pPr>
      <w:r>
        <w:rPr>
          <w:noProof/>
        </w:rPr>
        <w:t>8.</w:t>
      </w:r>
      <w:r>
        <w:rPr>
          <w:rFonts w:ascii="Times New Roman" w:hAnsi="Times New Roman"/>
          <w:b w:val="0"/>
          <w:noProof/>
        </w:rPr>
        <w:tab/>
      </w:r>
      <w:r>
        <w:rPr>
          <w:noProof/>
        </w:rPr>
        <w:t>Findings and Recommendations</w:t>
      </w:r>
      <w:r>
        <w:rPr>
          <w:noProof/>
        </w:rPr>
        <w:tab/>
      </w:r>
      <w:r>
        <w:rPr>
          <w:noProof/>
        </w:rPr>
        <w:fldChar w:fldCharType="begin"/>
      </w:r>
      <w:r>
        <w:rPr>
          <w:noProof/>
        </w:rPr>
        <w:instrText xml:space="preserve"> PAGEREF _Toc363134028 \h </w:instrText>
      </w:r>
      <w:r>
        <w:rPr>
          <w:noProof/>
        </w:rPr>
      </w:r>
      <w:r>
        <w:rPr>
          <w:noProof/>
        </w:rPr>
        <w:fldChar w:fldCharType="separate"/>
      </w:r>
      <w:r w:rsidR="001E2683">
        <w:rPr>
          <w:noProof/>
        </w:rPr>
        <w:t>37</w:t>
      </w:r>
      <w:r>
        <w:rPr>
          <w:noProof/>
        </w:rPr>
        <w:fldChar w:fldCharType="end"/>
      </w:r>
    </w:p>
    <w:p w:rsidR="004C38EA" w:rsidRDefault="004C38EA">
      <w:pPr>
        <w:pStyle w:val="TOC1"/>
        <w:rPr>
          <w:rFonts w:ascii="Times New Roman" w:hAnsi="Times New Roman"/>
          <w:b w:val="0"/>
          <w:noProof/>
        </w:rPr>
      </w:pPr>
      <w:r>
        <w:rPr>
          <w:noProof/>
        </w:rPr>
        <w:t>Appendix : Briefing Book</w:t>
      </w:r>
      <w:r>
        <w:rPr>
          <w:noProof/>
        </w:rPr>
        <w:tab/>
      </w:r>
      <w:r>
        <w:rPr>
          <w:noProof/>
        </w:rPr>
        <w:fldChar w:fldCharType="begin"/>
      </w:r>
      <w:r>
        <w:rPr>
          <w:noProof/>
        </w:rPr>
        <w:instrText xml:space="preserve"> PAGEREF _Toc363134029 \h </w:instrText>
      </w:r>
      <w:r>
        <w:rPr>
          <w:noProof/>
        </w:rPr>
      </w:r>
      <w:r>
        <w:rPr>
          <w:noProof/>
        </w:rPr>
        <w:fldChar w:fldCharType="separate"/>
      </w:r>
      <w:r w:rsidR="001E2683">
        <w:rPr>
          <w:noProof/>
        </w:rPr>
        <w:t>40</w:t>
      </w:r>
      <w:r>
        <w:rPr>
          <w:noProof/>
        </w:rPr>
        <w:fldChar w:fldCharType="end"/>
      </w:r>
    </w:p>
    <w:p w:rsidR="004C38EA" w:rsidRDefault="004C38EA">
      <w:r>
        <w:fldChar w:fldCharType="end"/>
      </w:r>
    </w:p>
    <w:p w:rsidR="004C38EA" w:rsidRDefault="004C38EA" w:rsidP="005244AD">
      <w:pPr>
        <w:tabs>
          <w:tab w:val="left" w:pos="3105"/>
        </w:tabs>
        <w:rPr>
          <w:rFonts w:ascii="Book Antiqua" w:hAnsi="Book Antiqua"/>
        </w:rPr>
        <w:sectPr w:rsidR="004C38EA" w:rsidSect="001E52AF">
          <w:headerReference w:type="even" r:id="rId9"/>
          <w:headerReference w:type="default" r:id="rId10"/>
          <w:footerReference w:type="even" r:id="rId11"/>
          <w:footerReference w:type="default" r:id="rId12"/>
          <w:headerReference w:type="first" r:id="rId13"/>
          <w:footerReference w:type="first" r:id="rId14"/>
          <w:pgSz w:w="12240" w:h="15840" w:code="1"/>
          <w:pgMar w:top="1728" w:right="1080" w:bottom="1440" w:left="1080" w:header="648" w:footer="648" w:gutter="0"/>
          <w:cols w:space="720"/>
          <w:docGrid w:linePitch="326"/>
        </w:sectPr>
      </w:pPr>
    </w:p>
    <w:p w:rsidR="004C38EA" w:rsidRPr="009C7DAA" w:rsidRDefault="004C38EA" w:rsidP="00DF2673">
      <w:pPr>
        <w:rPr>
          <w:rFonts w:ascii="Book Antiqua" w:hAnsi="Book Antiqua"/>
        </w:rPr>
      </w:pPr>
    </w:p>
    <w:p w:rsidR="004C38EA" w:rsidRPr="009C7DAA" w:rsidRDefault="004C38EA" w:rsidP="00136E11">
      <w:pPr>
        <w:pStyle w:val="Heading1"/>
      </w:pPr>
      <w:bookmarkStart w:id="0" w:name="_Toc363134021"/>
      <w:r>
        <w:t>Executive Summary</w:t>
      </w:r>
      <w:bookmarkEnd w:id="0"/>
    </w:p>
    <w:p w:rsidR="004C38EA" w:rsidRDefault="004C38EA" w:rsidP="00106060">
      <w:pPr>
        <w:pStyle w:val="Default"/>
      </w:pPr>
    </w:p>
    <w:p w:rsidR="004C38EA" w:rsidRPr="00C65BCA" w:rsidRDefault="004C38EA" w:rsidP="00106060">
      <w:pPr>
        <w:pStyle w:val="Default"/>
        <w:rPr>
          <w:rFonts w:ascii="Calibri" w:hAnsi="Calibri"/>
        </w:rPr>
      </w:pPr>
      <w:r w:rsidRPr="00C65BCA">
        <w:rPr>
          <w:rFonts w:ascii="Calibri" w:hAnsi="Calibri"/>
        </w:rPr>
        <w:t xml:space="preserve">Graduate Medical Education is a </w:t>
      </w:r>
      <w:r>
        <w:rPr>
          <w:rFonts w:ascii="Calibri" w:hAnsi="Calibri"/>
        </w:rPr>
        <w:t>critically</w:t>
      </w:r>
      <w:r w:rsidRPr="00C65BCA">
        <w:rPr>
          <w:rFonts w:ascii="Calibri" w:hAnsi="Calibri"/>
        </w:rPr>
        <w:t xml:space="preserve"> important part of the health care landscape in </w:t>
      </w:r>
      <w:smartTag w:uri="urn:schemas-microsoft-com:office:smarttags" w:element="State">
        <w:smartTag w:uri="urn:schemas-microsoft-com:office:smarttags" w:element="place">
          <w:r w:rsidRPr="00C65BCA">
            <w:rPr>
              <w:rFonts w:ascii="Calibri" w:hAnsi="Calibri"/>
            </w:rPr>
            <w:t>Massachusetts</w:t>
          </w:r>
        </w:smartTag>
      </w:smartTag>
      <w:r w:rsidRPr="00C65BCA">
        <w:rPr>
          <w:rFonts w:ascii="Calibri" w:hAnsi="Calibri"/>
        </w:rPr>
        <w:t xml:space="preserve">. </w:t>
      </w:r>
      <w:r>
        <w:rPr>
          <w:rFonts w:ascii="Calibri" w:hAnsi="Calibri"/>
        </w:rPr>
        <w:t xml:space="preserve">With only 2% of the </w:t>
      </w:r>
      <w:smartTag w:uri="urn:schemas-microsoft-com:office:smarttags" w:element="country-region">
        <w:smartTag w:uri="urn:schemas-microsoft-com:office:smarttags" w:element="country-region">
          <w:r>
            <w:rPr>
              <w:rFonts w:ascii="Calibri" w:hAnsi="Calibri"/>
            </w:rPr>
            <w:t>U.</w:t>
          </w:r>
        </w:smartTag>
        <w:r>
          <w:rPr>
            <w:rFonts w:ascii="Calibri" w:hAnsi="Calibri"/>
          </w:rPr>
          <w:t>S.</w:t>
        </w:r>
      </w:smartTag>
      <w:r>
        <w:rPr>
          <w:rFonts w:ascii="Calibri" w:hAnsi="Calibri"/>
        </w:rPr>
        <w:t xml:space="preserve"> population but 5% of </w:t>
      </w:r>
      <w:smartTag w:uri="urn:schemas-microsoft-com:office:smarttags" w:element="country-region">
        <w:r>
          <w:rPr>
            <w:rFonts w:ascii="Calibri" w:hAnsi="Calibri"/>
          </w:rPr>
          <w:t>U.S.</w:t>
        </w:r>
      </w:smartTag>
      <w:r>
        <w:rPr>
          <w:rFonts w:ascii="Calibri" w:hAnsi="Calibri"/>
        </w:rPr>
        <w:t xml:space="preserve"> medical trainees, the</w:t>
      </w:r>
      <w:r w:rsidRPr="00C65BCA">
        <w:rPr>
          <w:rFonts w:ascii="Calibri" w:hAnsi="Calibri"/>
        </w:rPr>
        <w:t xml:space="preserve"> Commonwealth boasts world-renowned medical training programs and provides training to a disproportionate share of physicians in the </w:t>
      </w:r>
      <w:smartTag w:uri="urn:schemas-microsoft-com:office:smarttags" w:element="country-region">
        <w:smartTag w:uri="urn:schemas-microsoft-com:office:smarttags" w:element="place">
          <w:r w:rsidRPr="00C65BCA">
            <w:rPr>
              <w:rFonts w:ascii="Calibri" w:hAnsi="Calibri"/>
            </w:rPr>
            <w:t>United States</w:t>
          </w:r>
        </w:smartTag>
      </w:smartTag>
      <w:r w:rsidRPr="00C65BCA">
        <w:rPr>
          <w:rFonts w:ascii="Calibri" w:hAnsi="Calibri"/>
        </w:rPr>
        <w:t xml:space="preserve">. </w:t>
      </w:r>
      <w:r>
        <w:rPr>
          <w:rFonts w:ascii="Calibri" w:hAnsi="Calibri"/>
        </w:rPr>
        <w:t xml:space="preserve">Trainees from the Commonwealth move on to leadership careers across the world. </w:t>
      </w:r>
      <w:r w:rsidRPr="00C65BCA">
        <w:rPr>
          <w:rFonts w:ascii="Calibri" w:hAnsi="Calibri"/>
        </w:rPr>
        <w:t xml:space="preserve">Recognizing the important role played by Graduate Medical Education in the Commonwealth, the Commonwealth’s recent comprehensive health care cost containment law, Chapter 224 of the Acts of 2012, established a special </w:t>
      </w:r>
      <w:r>
        <w:rPr>
          <w:rFonts w:ascii="Calibri" w:hAnsi="Calibri"/>
        </w:rPr>
        <w:t>c</w:t>
      </w:r>
      <w:r w:rsidRPr="00C65BCA">
        <w:rPr>
          <w:rFonts w:ascii="Calibri" w:hAnsi="Calibri"/>
        </w:rPr>
        <w:t>ommission to “examine the economic, social and educational value of graduate medical education in the Commonwealth and to recommend a fair and sustainable model for the future funding of graduate medical education in the Commonwealth.”</w:t>
      </w:r>
    </w:p>
    <w:p w:rsidR="004C38EA" w:rsidRDefault="004C38EA" w:rsidP="00106060">
      <w:pPr>
        <w:pStyle w:val="Default"/>
        <w:rPr>
          <w:rFonts w:ascii="Calibri" w:hAnsi="Calibri"/>
        </w:rPr>
      </w:pPr>
    </w:p>
    <w:p w:rsidR="004C38EA" w:rsidRDefault="004C38EA" w:rsidP="00C65BCA">
      <w:pPr>
        <w:pStyle w:val="Default"/>
        <w:rPr>
          <w:rFonts w:ascii="Calibri" w:hAnsi="Calibri"/>
        </w:rPr>
      </w:pPr>
      <w:r>
        <w:rPr>
          <w:rFonts w:ascii="Calibri" w:hAnsi="Calibri"/>
        </w:rPr>
        <w:t xml:space="preserve">This Commission was convened by the Secretary of Health and Human Services, who served as chair. The Commission met between February and July of 2013, and </w:t>
      </w:r>
      <w:r w:rsidRPr="00C65BCA">
        <w:rPr>
          <w:rFonts w:ascii="Calibri" w:hAnsi="Calibri"/>
        </w:rPr>
        <w:t>examined many aspects of Graduate Medical Education in the Commonwealth</w:t>
      </w:r>
      <w:r>
        <w:rPr>
          <w:rFonts w:ascii="Calibri" w:hAnsi="Calibri"/>
        </w:rPr>
        <w:t xml:space="preserve">. The Commission’s work included </w:t>
      </w:r>
      <w:r w:rsidRPr="00C65BCA">
        <w:rPr>
          <w:rFonts w:ascii="Calibri" w:hAnsi="Calibri"/>
        </w:rPr>
        <w:t>review</w:t>
      </w:r>
      <w:r>
        <w:rPr>
          <w:rFonts w:ascii="Calibri" w:hAnsi="Calibri"/>
        </w:rPr>
        <w:t xml:space="preserve"> of</w:t>
      </w:r>
      <w:r w:rsidRPr="00C65BCA">
        <w:rPr>
          <w:rFonts w:ascii="Calibri" w:hAnsi="Calibri"/>
        </w:rPr>
        <w:t xml:space="preserve"> existing funding sources, considering the impact of changes to the delivery system</w:t>
      </w:r>
      <w:r>
        <w:rPr>
          <w:rFonts w:ascii="Calibri" w:hAnsi="Calibri"/>
        </w:rPr>
        <w:t>,</w:t>
      </w:r>
      <w:r w:rsidRPr="00C65BCA">
        <w:rPr>
          <w:rFonts w:ascii="Calibri" w:hAnsi="Calibri"/>
        </w:rPr>
        <w:t xml:space="preserve"> analyzing the adequacy of funding sources, </w:t>
      </w:r>
      <w:r>
        <w:rPr>
          <w:rFonts w:ascii="Calibri" w:hAnsi="Calibri"/>
        </w:rPr>
        <w:t xml:space="preserve">and </w:t>
      </w:r>
      <w:r w:rsidRPr="00C65BCA">
        <w:rPr>
          <w:rFonts w:ascii="Calibri" w:hAnsi="Calibri"/>
        </w:rPr>
        <w:t xml:space="preserve">examining approaches used by other states. </w:t>
      </w:r>
      <w:r>
        <w:rPr>
          <w:rFonts w:ascii="Calibri" w:hAnsi="Calibri"/>
        </w:rPr>
        <w:t>The Commission’s meetings and work addressed the following topics:</w:t>
      </w:r>
    </w:p>
    <w:p w:rsidR="004C38EA" w:rsidRDefault="004C38EA" w:rsidP="00C65BCA">
      <w:pPr>
        <w:pStyle w:val="Default"/>
        <w:rPr>
          <w:rFonts w:ascii="Calibri" w:hAnsi="Calibri"/>
        </w:rPr>
      </w:pPr>
    </w:p>
    <w:p w:rsidR="004C38EA" w:rsidRDefault="004C38EA" w:rsidP="00C65BCA">
      <w:pPr>
        <w:pStyle w:val="Default"/>
        <w:rPr>
          <w:rFonts w:ascii="Calibri" w:hAnsi="Calibri"/>
        </w:rPr>
      </w:pPr>
      <w:r>
        <w:rPr>
          <w:rFonts w:ascii="Calibri" w:hAnsi="Calibri"/>
        </w:rPr>
        <w:t xml:space="preserve">Medicare is the largest source of GME funding in the </w:t>
      </w:r>
      <w:smartTag w:uri="urn:schemas-microsoft-com:office:smarttags" w:element="country-region">
        <w:smartTag w:uri="urn:schemas-microsoft-com:office:smarttags" w:element="place">
          <w:r>
            <w:rPr>
              <w:rFonts w:ascii="Calibri" w:hAnsi="Calibri"/>
            </w:rPr>
            <w:t>United States</w:t>
          </w:r>
        </w:smartTag>
      </w:smartTag>
      <w:r>
        <w:rPr>
          <w:rFonts w:ascii="Calibri" w:hAnsi="Calibri"/>
        </w:rPr>
        <w:t>, accounting for $9.5 billion in funding annually. Medicare funding is provided through two types of payments: Indirect Graduate Medical Education payments and Direct Graduate Medical Education payments. These payments are distributed through formulas that are not tied to actual costs incurred by programs or to performance measures.</w:t>
      </w:r>
    </w:p>
    <w:p w:rsidR="004C38EA" w:rsidRDefault="004C38EA" w:rsidP="00C65BCA">
      <w:pPr>
        <w:pStyle w:val="Default"/>
        <w:rPr>
          <w:rFonts w:ascii="Calibri" w:hAnsi="Calibri"/>
        </w:rPr>
      </w:pPr>
    </w:p>
    <w:p w:rsidR="004C38EA" w:rsidRDefault="004C38EA" w:rsidP="00C65BCA">
      <w:pPr>
        <w:pStyle w:val="Default"/>
        <w:rPr>
          <w:rFonts w:ascii="Calibri" w:hAnsi="Calibri"/>
        </w:rPr>
      </w:pPr>
      <w:r>
        <w:rPr>
          <w:rFonts w:ascii="Calibri" w:hAnsi="Calibri"/>
        </w:rPr>
        <w:t xml:space="preserve">In 2012, </w:t>
      </w:r>
      <w:smartTag w:uri="urn:schemas-microsoft-com:office:smarttags" w:element="State">
        <w:smartTag w:uri="urn:schemas-microsoft-com:office:smarttags" w:element="place">
          <w:r>
            <w:rPr>
              <w:rFonts w:ascii="Calibri" w:hAnsi="Calibri"/>
            </w:rPr>
            <w:t>Massachusetts</w:t>
          </w:r>
        </w:smartTag>
      </w:smartTag>
      <w:r>
        <w:rPr>
          <w:rFonts w:ascii="Calibri" w:hAnsi="Calibri"/>
        </w:rPr>
        <w:t xml:space="preserve"> received $568 million in Medicare GME payments. Other federal funding sources include Medicaid, the Children’s Hospital GME program, the Teaching Health Center GME program, the Title VII Health Professions program, the Department of Defense, and the Department of Veterans Affairs.</w:t>
      </w:r>
    </w:p>
    <w:p w:rsidR="004C38EA" w:rsidRDefault="004C38EA" w:rsidP="00C65BCA">
      <w:pPr>
        <w:pStyle w:val="Default"/>
        <w:rPr>
          <w:rFonts w:ascii="Calibri" w:hAnsi="Calibri"/>
        </w:rPr>
      </w:pPr>
    </w:p>
    <w:p w:rsidR="004C38EA" w:rsidRDefault="004C38EA" w:rsidP="00C65BCA">
      <w:pPr>
        <w:pStyle w:val="Default"/>
        <w:rPr>
          <w:rFonts w:ascii="Calibri" w:hAnsi="Calibri"/>
        </w:rPr>
      </w:pPr>
      <w:r>
        <w:rPr>
          <w:rFonts w:ascii="Calibri" w:hAnsi="Calibri"/>
        </w:rPr>
        <w:t xml:space="preserve">The work of the Commission occurred at a time of great interest in and pressures on GME at the national level. Nationally, there have been several proposals to reduce GME funding. Furthermore, sequestration resulted in a 2% reduction to Medicare, and the impact of this reduction on GME is yet to be seen. Debt reduction will likely remain a barrier to increasing GME funding. </w:t>
      </w:r>
    </w:p>
    <w:p w:rsidR="004C38EA" w:rsidRDefault="004C38EA" w:rsidP="00090E05">
      <w:pPr>
        <w:pStyle w:val="Default"/>
        <w:rPr>
          <w:rFonts w:ascii="Calibri" w:hAnsi="Calibri"/>
        </w:rPr>
      </w:pPr>
    </w:p>
    <w:p w:rsidR="004C38EA" w:rsidRDefault="004C38EA" w:rsidP="00090E05">
      <w:pPr>
        <w:pStyle w:val="Default"/>
        <w:rPr>
          <w:rFonts w:ascii="Calibri" w:hAnsi="Calibri"/>
        </w:rPr>
      </w:pPr>
      <w:r>
        <w:rPr>
          <w:rFonts w:ascii="Calibri" w:hAnsi="Calibri"/>
        </w:rPr>
        <w:t>The impact of delivery system changes and payment reform is particularly relevant in the consideration of the primary care workforce. At baseline, the d</w:t>
      </w:r>
      <w:r w:rsidRPr="00DE6927">
        <w:rPr>
          <w:rFonts w:ascii="Calibri" w:hAnsi="Calibri"/>
        </w:rPr>
        <w:t xml:space="preserve">emand for primary care providers </w:t>
      </w:r>
      <w:r>
        <w:rPr>
          <w:rFonts w:ascii="Calibri" w:hAnsi="Calibri"/>
        </w:rPr>
        <w:t xml:space="preserve">is </w:t>
      </w:r>
      <w:r w:rsidRPr="00DE6927">
        <w:rPr>
          <w:rFonts w:ascii="Calibri" w:hAnsi="Calibri"/>
        </w:rPr>
        <w:t>projected to increase by 8% by 2020</w:t>
      </w:r>
      <w:r>
        <w:rPr>
          <w:rFonts w:ascii="Calibri" w:hAnsi="Calibri"/>
        </w:rPr>
        <w:t xml:space="preserve">, according to one estimate. The supply of primary care providers, including MDs, NPs, and PAs), can also be modeled, though these estimates of supply vary depending on whether training based or practice-based estimates are used. The growth of Patient Centered Medical </w:t>
      </w:r>
      <w:r>
        <w:rPr>
          <w:rFonts w:ascii="Calibri" w:hAnsi="Calibri"/>
        </w:rPr>
        <w:lastRenderedPageBreak/>
        <w:t xml:space="preserve">Homes and Nurse Managed Medical Homes is expected to shift the </w:t>
      </w:r>
      <w:r w:rsidRPr="00DE6927">
        <w:rPr>
          <w:rFonts w:ascii="Calibri" w:hAnsi="Calibri"/>
        </w:rPr>
        <w:t xml:space="preserve">MD:NP:PA ratios needed </w:t>
      </w:r>
      <w:r>
        <w:rPr>
          <w:rFonts w:ascii="Calibri" w:hAnsi="Calibri"/>
        </w:rPr>
        <w:t xml:space="preserve">in the provision of </w:t>
      </w:r>
      <w:r w:rsidRPr="00DE6927">
        <w:rPr>
          <w:rFonts w:ascii="Calibri" w:hAnsi="Calibri"/>
        </w:rPr>
        <w:t>primary care</w:t>
      </w:r>
      <w:r>
        <w:rPr>
          <w:rFonts w:ascii="Calibri" w:hAnsi="Calibri"/>
        </w:rPr>
        <w:t>. In addition, changes in the delivery system will also impact the number of patients cared for by a physician (panel size), but the net impact is not yet clear. Overall estimates of primary care clinician surpluses or shortages are very sensitive to assumptions about the take-up of new delivery models and projected impact on panel size.</w:t>
      </w:r>
    </w:p>
    <w:p w:rsidR="004C38EA" w:rsidRDefault="004C38EA" w:rsidP="00090E05">
      <w:pPr>
        <w:pStyle w:val="Default"/>
        <w:rPr>
          <w:rFonts w:ascii="Calibri" w:hAnsi="Calibri"/>
        </w:rPr>
      </w:pPr>
    </w:p>
    <w:p w:rsidR="004C38EA" w:rsidRPr="00BB65A5" w:rsidRDefault="004C38EA" w:rsidP="00090E05">
      <w:pPr>
        <w:pStyle w:val="Default"/>
        <w:rPr>
          <w:rFonts w:ascii="Calibri" w:hAnsi="Calibri" w:cs="Calibri"/>
        </w:rPr>
      </w:pPr>
      <w:r>
        <w:rPr>
          <w:rFonts w:ascii="Calibri" w:hAnsi="Calibri"/>
        </w:rPr>
        <w:t xml:space="preserve">Related initiatives supporting health care workforce development include loan repayment and other programs administered through the </w:t>
      </w:r>
      <w:smartTag w:uri="urn:schemas-microsoft-com:office:smarttags" w:element="PlaceName">
        <w:smartTag w:uri="urn:schemas-microsoft-com:office:smarttags" w:element="place">
          <w:r>
            <w:rPr>
              <w:rFonts w:ascii="Calibri" w:hAnsi="Calibri"/>
            </w:rPr>
            <w:t>Healthcare</w:t>
          </w:r>
        </w:smartTag>
        <w:r>
          <w:rPr>
            <w:rFonts w:ascii="Calibri" w:hAnsi="Calibri"/>
          </w:rPr>
          <w:t xml:space="preserve"> </w:t>
        </w:r>
        <w:smartTag w:uri="urn:schemas-microsoft-com:office:smarttags" w:element="PlaceName">
          <w:r>
            <w:rPr>
              <w:rFonts w:ascii="Calibri" w:hAnsi="Calibri"/>
            </w:rPr>
            <w:t>Workforce</w:t>
          </w:r>
        </w:smartTag>
        <w:r>
          <w:rPr>
            <w:rFonts w:ascii="Calibri" w:hAnsi="Calibri"/>
          </w:rPr>
          <w:t xml:space="preserve"> </w:t>
        </w:r>
        <w:smartTag w:uri="urn:schemas-microsoft-com:office:smarttags" w:element="PlaceType">
          <w:r>
            <w:rPr>
              <w:rFonts w:ascii="Calibri" w:hAnsi="Calibri"/>
            </w:rPr>
            <w:t>Center</w:t>
          </w:r>
        </w:smartTag>
      </w:smartTag>
      <w:r>
        <w:rPr>
          <w:rFonts w:ascii="Calibri" w:hAnsi="Calibri"/>
        </w:rPr>
        <w:t xml:space="preserve"> at the Department of Public Health, and the Healthcare Workforce Transformation Trust Fund led by the Secretary of Labor and Workforce Development. The Innovation Investment program, currently being established by the Health Policy Commission, </w:t>
      </w:r>
      <w:r w:rsidRPr="00BB65A5">
        <w:rPr>
          <w:rFonts w:ascii="Calibri" w:hAnsi="Calibri" w:cs="Calibri"/>
        </w:rPr>
        <w:t>will be another source of support for innovation in health care</w:t>
      </w:r>
      <w:r>
        <w:rPr>
          <w:rFonts w:ascii="Calibri" w:hAnsi="Calibri" w:cs="Calibri"/>
        </w:rPr>
        <w:t xml:space="preserve"> and will support </w:t>
      </w:r>
      <w:r w:rsidRPr="00BB65A5">
        <w:rPr>
          <w:rFonts w:ascii="Calibri" w:hAnsi="Calibri" w:cs="Calibri"/>
        </w:rPr>
        <w:t xml:space="preserve">health care organizations’ development, implementation or evaluation of promising models in health care payment and health care service delivery. </w:t>
      </w:r>
    </w:p>
    <w:p w:rsidR="004C38EA" w:rsidRDefault="004C38EA" w:rsidP="00090E05">
      <w:pPr>
        <w:pStyle w:val="Default"/>
        <w:rPr>
          <w:rFonts w:ascii="Calibri" w:hAnsi="Calibri"/>
        </w:rPr>
      </w:pPr>
    </w:p>
    <w:p w:rsidR="004C38EA" w:rsidRDefault="004C38EA" w:rsidP="00090E05">
      <w:pPr>
        <w:pStyle w:val="Default"/>
        <w:rPr>
          <w:rFonts w:ascii="Calibri" w:hAnsi="Calibri"/>
        </w:rPr>
      </w:pPr>
      <w:r>
        <w:rPr>
          <w:rFonts w:ascii="Calibri" w:hAnsi="Calibri"/>
        </w:rPr>
        <w:t xml:space="preserve">The Commission used several different approaches to understand the adequacy of funding for GME. The Commission estimated that the </w:t>
      </w:r>
      <w:r w:rsidRPr="00A16168">
        <w:rPr>
          <w:rFonts w:ascii="Calibri" w:hAnsi="Calibri"/>
        </w:rPr>
        <w:t xml:space="preserve">cost of substituting NPs or PAs for residents’ clinical care responsibilities </w:t>
      </w:r>
      <w:r>
        <w:rPr>
          <w:rFonts w:ascii="Calibri" w:hAnsi="Calibri"/>
        </w:rPr>
        <w:t xml:space="preserve">would be </w:t>
      </w:r>
      <w:r w:rsidRPr="00A16168">
        <w:rPr>
          <w:rFonts w:ascii="Calibri" w:hAnsi="Calibri"/>
        </w:rPr>
        <w:t>$159,000 per trainee</w:t>
      </w:r>
      <w:r>
        <w:rPr>
          <w:rFonts w:ascii="Calibri" w:hAnsi="Calibri"/>
        </w:rPr>
        <w:t xml:space="preserve"> per year, though noted that in reality, there would not be adequate numbers of NPs and PAs to fill the gap</w:t>
      </w:r>
      <w:r w:rsidRPr="00A16168">
        <w:rPr>
          <w:rFonts w:ascii="Calibri" w:hAnsi="Calibri"/>
        </w:rPr>
        <w:t xml:space="preserve">. </w:t>
      </w:r>
      <w:r>
        <w:rPr>
          <w:rFonts w:ascii="Calibri" w:hAnsi="Calibri"/>
        </w:rPr>
        <w:t xml:space="preserve">The Commission further estimated that program </w:t>
      </w:r>
      <w:r w:rsidRPr="00A16168">
        <w:rPr>
          <w:rFonts w:ascii="Calibri" w:hAnsi="Calibri"/>
        </w:rPr>
        <w:t>costs</w:t>
      </w:r>
      <w:r>
        <w:rPr>
          <w:rFonts w:ascii="Calibri" w:hAnsi="Calibri"/>
        </w:rPr>
        <w:t xml:space="preserve"> (including resident salaries, faculty salaries, and administrative costs) are approximately </w:t>
      </w:r>
      <w:r w:rsidRPr="00A16168">
        <w:rPr>
          <w:rFonts w:ascii="Calibri" w:hAnsi="Calibri"/>
        </w:rPr>
        <w:t xml:space="preserve">$114,000 per trainee, with a range of $99,000 to $153,000.  </w:t>
      </w:r>
      <w:smartTag w:uri="urn:schemas-microsoft-com:office:smarttags" w:element="State">
        <w:smartTag w:uri="urn:schemas-microsoft-com:office:smarttags" w:element="place">
          <w:r w:rsidRPr="00A16168">
            <w:rPr>
              <w:rFonts w:ascii="Calibri" w:hAnsi="Calibri"/>
            </w:rPr>
            <w:t>Massachusetts</w:t>
          </w:r>
        </w:smartTag>
      </w:smartTag>
      <w:r w:rsidRPr="00A16168">
        <w:rPr>
          <w:rFonts w:ascii="Calibri" w:hAnsi="Calibri"/>
        </w:rPr>
        <w:t xml:space="preserve"> received approximately $101,000 per trainee in Medicare funding. Estimates of costs do not capture certain cost categories</w:t>
      </w:r>
      <w:r>
        <w:rPr>
          <w:rFonts w:ascii="Calibri" w:hAnsi="Calibri"/>
        </w:rPr>
        <w:t xml:space="preserve">, including the cost of malpractice, accreditation, travel and educational stipends, and facility costs. The omission of these categories likely underestimates program costs. On the other hand, this analysis did not </w:t>
      </w:r>
      <w:r w:rsidRPr="00A16168">
        <w:rPr>
          <w:rFonts w:ascii="Calibri" w:hAnsi="Calibri"/>
        </w:rPr>
        <w:t xml:space="preserve">take into consideration </w:t>
      </w:r>
      <w:r>
        <w:rPr>
          <w:rFonts w:ascii="Calibri" w:hAnsi="Calibri"/>
        </w:rPr>
        <w:t xml:space="preserve">the </w:t>
      </w:r>
      <w:r w:rsidRPr="00A16168">
        <w:rPr>
          <w:rFonts w:ascii="Calibri" w:hAnsi="Calibri"/>
        </w:rPr>
        <w:t xml:space="preserve">clinical revenue to the hospital/clinic </w:t>
      </w:r>
      <w:r>
        <w:rPr>
          <w:rFonts w:ascii="Calibri" w:hAnsi="Calibri"/>
        </w:rPr>
        <w:t xml:space="preserve">associated with </w:t>
      </w:r>
      <w:r w:rsidRPr="00A16168">
        <w:rPr>
          <w:rFonts w:ascii="Calibri" w:hAnsi="Calibri"/>
        </w:rPr>
        <w:t>clinical services attributable to residents</w:t>
      </w:r>
      <w:r>
        <w:rPr>
          <w:rFonts w:ascii="Calibri" w:hAnsi="Calibri"/>
        </w:rPr>
        <w:t xml:space="preserve">, which would underestimate the revenue associated with GME programs. On balance, the Commission acknowledges that there are a wide range of estimates for assessing costs associated with GME programs, and recognizes that the </w:t>
      </w:r>
      <w:r w:rsidRPr="00C65BCA">
        <w:rPr>
          <w:rFonts w:ascii="Calibri" w:hAnsi="Calibri"/>
        </w:rPr>
        <w:t xml:space="preserve">distribution of GME funds </w:t>
      </w:r>
      <w:r>
        <w:rPr>
          <w:rFonts w:ascii="Calibri" w:hAnsi="Calibri"/>
        </w:rPr>
        <w:t xml:space="preserve">may not be optimal. </w:t>
      </w:r>
    </w:p>
    <w:p w:rsidR="004C38EA" w:rsidRDefault="004C38EA" w:rsidP="00090E05">
      <w:pPr>
        <w:pStyle w:val="Default"/>
        <w:rPr>
          <w:rFonts w:ascii="Calibri" w:hAnsi="Calibri"/>
        </w:rPr>
      </w:pPr>
    </w:p>
    <w:p w:rsidR="004C38EA" w:rsidRDefault="004C38EA" w:rsidP="006A17B2">
      <w:pPr>
        <w:rPr>
          <w:rFonts w:ascii="Calibri" w:hAnsi="Calibri"/>
        </w:rPr>
      </w:pPr>
      <w:r w:rsidRPr="00C65BCA">
        <w:rPr>
          <w:rFonts w:ascii="Calibri" w:hAnsi="Calibri"/>
        </w:rPr>
        <w:t>T</w:t>
      </w:r>
      <w:r>
        <w:rPr>
          <w:rFonts w:ascii="Calibri" w:hAnsi="Calibri"/>
        </w:rPr>
        <w:t>he Commission finds</w:t>
      </w:r>
      <w:r w:rsidRPr="00C65BCA">
        <w:rPr>
          <w:rFonts w:ascii="Calibri" w:hAnsi="Calibri"/>
        </w:rPr>
        <w:t xml:space="preserve"> that GME provides a wide range of benefits to the economy and overall health of th</w:t>
      </w:r>
      <w:r>
        <w:rPr>
          <w:rFonts w:ascii="Calibri" w:hAnsi="Calibri"/>
        </w:rPr>
        <w:t>e Commonwealth, including p</w:t>
      </w:r>
      <w:r w:rsidRPr="008C61EF">
        <w:rPr>
          <w:rFonts w:ascii="Calibri" w:hAnsi="Calibri"/>
        </w:rPr>
        <w:t>roviding clinical care to many patients in the Commonwealth, in both the inpatient and outpatient settings</w:t>
      </w:r>
      <w:r>
        <w:rPr>
          <w:rFonts w:ascii="Calibri" w:hAnsi="Calibri"/>
        </w:rPr>
        <w:t xml:space="preserve"> that could not otherwise be provided</w:t>
      </w:r>
      <w:r w:rsidRPr="008C61EF">
        <w:rPr>
          <w:rFonts w:ascii="Calibri" w:hAnsi="Calibri"/>
        </w:rPr>
        <w:t>;</w:t>
      </w:r>
      <w:r>
        <w:rPr>
          <w:rFonts w:ascii="Calibri" w:hAnsi="Calibri"/>
        </w:rPr>
        <w:t xml:space="preserve"> t</w:t>
      </w:r>
      <w:r w:rsidRPr="008C61EF">
        <w:rPr>
          <w:rFonts w:ascii="Calibri" w:hAnsi="Calibri"/>
        </w:rPr>
        <w:t>raining the next generation of physicians to meet the medical needs of residents of the Commonwealth;</w:t>
      </w:r>
      <w:r>
        <w:rPr>
          <w:rFonts w:ascii="Calibri" w:hAnsi="Calibri"/>
        </w:rPr>
        <w:t xml:space="preserve"> p</w:t>
      </w:r>
      <w:r w:rsidRPr="008C61EF">
        <w:rPr>
          <w:rFonts w:ascii="Calibri" w:hAnsi="Calibri"/>
        </w:rPr>
        <w:t>roviding valuable teaching services, such as in the education of medical students;</w:t>
      </w:r>
      <w:r>
        <w:rPr>
          <w:rFonts w:ascii="Calibri" w:hAnsi="Calibri"/>
        </w:rPr>
        <w:t xml:space="preserve"> p</w:t>
      </w:r>
      <w:r w:rsidRPr="008C61EF">
        <w:rPr>
          <w:rFonts w:ascii="Calibri" w:hAnsi="Calibri"/>
        </w:rPr>
        <w:t>romoting innovation in medical care and research;</w:t>
      </w:r>
      <w:r>
        <w:rPr>
          <w:rFonts w:ascii="Calibri" w:hAnsi="Calibri"/>
        </w:rPr>
        <w:t xml:space="preserve"> a</w:t>
      </w:r>
      <w:r w:rsidRPr="008C61EF">
        <w:rPr>
          <w:rFonts w:ascii="Calibri" w:hAnsi="Calibri"/>
        </w:rPr>
        <w:t>ttracting and retaining talented faculty within the Commonwealth;</w:t>
      </w:r>
      <w:r>
        <w:rPr>
          <w:rFonts w:ascii="Calibri" w:hAnsi="Calibri"/>
        </w:rPr>
        <w:t xml:space="preserve"> p</w:t>
      </w:r>
      <w:r w:rsidRPr="008C61EF">
        <w:rPr>
          <w:rFonts w:ascii="Calibri" w:hAnsi="Calibri"/>
        </w:rPr>
        <w:t>roviding highly specialized</w:t>
      </w:r>
      <w:r>
        <w:rPr>
          <w:rFonts w:ascii="Calibri" w:hAnsi="Calibri"/>
        </w:rPr>
        <w:t>, cutting-edge care</w:t>
      </w:r>
      <w:r w:rsidRPr="008C61EF">
        <w:rPr>
          <w:rFonts w:ascii="Calibri" w:hAnsi="Calibri"/>
        </w:rPr>
        <w:t xml:space="preserve"> that </w:t>
      </w:r>
      <w:r>
        <w:rPr>
          <w:rFonts w:ascii="Calibri" w:hAnsi="Calibri"/>
        </w:rPr>
        <w:t>is</w:t>
      </w:r>
      <w:r w:rsidRPr="008C61EF">
        <w:rPr>
          <w:rFonts w:ascii="Calibri" w:hAnsi="Calibri"/>
        </w:rPr>
        <w:t xml:space="preserve"> not available in non-academic settings;</w:t>
      </w:r>
      <w:r>
        <w:rPr>
          <w:rFonts w:ascii="Calibri" w:hAnsi="Calibri"/>
        </w:rPr>
        <w:t xml:space="preserve"> providing care to underserved populations; a</w:t>
      </w:r>
      <w:r w:rsidRPr="008C61EF">
        <w:rPr>
          <w:rFonts w:ascii="Calibri" w:hAnsi="Calibri"/>
        </w:rPr>
        <w:t>ttracting grant funding;</w:t>
      </w:r>
      <w:r>
        <w:rPr>
          <w:rFonts w:ascii="Calibri" w:hAnsi="Calibri"/>
        </w:rPr>
        <w:t xml:space="preserve"> and c</w:t>
      </w:r>
      <w:r w:rsidRPr="008C61EF">
        <w:rPr>
          <w:rFonts w:ascii="Calibri" w:hAnsi="Calibri"/>
        </w:rPr>
        <w:t>ontributing to the local economy.</w:t>
      </w:r>
    </w:p>
    <w:p w:rsidR="004C38EA" w:rsidRDefault="004C38EA" w:rsidP="00090E05">
      <w:pPr>
        <w:pStyle w:val="Default"/>
        <w:rPr>
          <w:rFonts w:ascii="Calibri" w:hAnsi="Calibri"/>
        </w:rPr>
      </w:pPr>
    </w:p>
    <w:p w:rsidR="004C38EA" w:rsidRDefault="004C38EA" w:rsidP="00A16168">
      <w:pPr>
        <w:pStyle w:val="Default"/>
        <w:rPr>
          <w:rFonts w:ascii="Calibri" w:hAnsi="Calibri"/>
        </w:rPr>
      </w:pPr>
      <w:r>
        <w:rPr>
          <w:rFonts w:ascii="Calibri" w:hAnsi="Calibri"/>
        </w:rPr>
        <w:t xml:space="preserve">The Commission’s review of other states’ approaches to GME found that in 2012, forty-two states and the </w:t>
      </w:r>
      <w:smartTag w:uri="urn:schemas-microsoft-com:office:smarttags" w:element="State">
        <w:smartTag w:uri="urn:schemas-microsoft-com:office:smarttags" w:element="place">
          <w:r>
            <w:rPr>
              <w:rFonts w:ascii="Calibri" w:hAnsi="Calibri"/>
            </w:rPr>
            <w:t>District of Columbia</w:t>
          </w:r>
        </w:smartTag>
      </w:smartTag>
      <w:r>
        <w:rPr>
          <w:rFonts w:ascii="Calibri" w:hAnsi="Calibri"/>
        </w:rPr>
        <w:t xml:space="preserve"> provided funding for GME through their Medicaid program. States also use a range of other mechanisms for supporting GME, including cigarette taxes, general fund appropriations, insurer assessments, and other special funds. Some states have established permanent governance bodies to oversee GME activities. States vary as to whether they support non-hospital based training sites, and in the extent that they include support for training of non-physician providers.</w:t>
      </w:r>
    </w:p>
    <w:p w:rsidR="004C38EA" w:rsidRDefault="004C38EA" w:rsidP="00C65BCA">
      <w:pPr>
        <w:pStyle w:val="Default"/>
        <w:rPr>
          <w:rFonts w:ascii="Calibri" w:hAnsi="Calibri"/>
        </w:rPr>
      </w:pPr>
      <w:r>
        <w:rPr>
          <w:rFonts w:ascii="Calibri" w:hAnsi="Calibri"/>
        </w:rPr>
        <w:lastRenderedPageBreak/>
        <w:t xml:space="preserve">Based on its findings, the Commission </w:t>
      </w:r>
      <w:r w:rsidRPr="00C65BCA">
        <w:rPr>
          <w:rFonts w:ascii="Calibri" w:hAnsi="Calibri"/>
        </w:rPr>
        <w:t xml:space="preserve">developed </w:t>
      </w:r>
      <w:r>
        <w:rPr>
          <w:rFonts w:ascii="Calibri" w:hAnsi="Calibri"/>
        </w:rPr>
        <w:t xml:space="preserve">three </w:t>
      </w:r>
      <w:r w:rsidRPr="00C65BCA">
        <w:rPr>
          <w:rFonts w:ascii="Calibri" w:hAnsi="Calibri"/>
        </w:rPr>
        <w:t>recommendations</w:t>
      </w:r>
      <w:r>
        <w:rPr>
          <w:rFonts w:ascii="Calibri" w:hAnsi="Calibri"/>
        </w:rPr>
        <w:t xml:space="preserve"> relating to GME in the Commonwealth, as follows:</w:t>
      </w:r>
    </w:p>
    <w:p w:rsidR="004C38EA" w:rsidRDefault="004C38EA" w:rsidP="00106060">
      <w:pPr>
        <w:pStyle w:val="Default"/>
        <w:rPr>
          <w:rFonts w:ascii="Calibri" w:hAnsi="Calibri"/>
        </w:rPr>
      </w:pPr>
    </w:p>
    <w:p w:rsidR="004C38EA" w:rsidRPr="002E2705" w:rsidRDefault="004C38EA" w:rsidP="002E2705">
      <w:pPr>
        <w:pStyle w:val="ListParagraph"/>
        <w:ind w:left="0"/>
        <w:rPr>
          <w:rFonts w:ascii="Calibri" w:hAnsi="Calibri"/>
        </w:rPr>
      </w:pPr>
      <w:r w:rsidRPr="00FA1B8C">
        <w:rPr>
          <w:rFonts w:ascii="Calibri" w:hAnsi="Calibri"/>
          <w:u w:val="single"/>
        </w:rPr>
        <w:t>Recommendation 1</w:t>
      </w:r>
      <w:r>
        <w:rPr>
          <w:rFonts w:ascii="Calibri" w:hAnsi="Calibri"/>
        </w:rPr>
        <w:t xml:space="preserve">: </w:t>
      </w:r>
      <w:r w:rsidRPr="002E2705">
        <w:rPr>
          <w:rFonts w:ascii="Calibri" w:hAnsi="Calibri"/>
        </w:rPr>
        <w:t>In recognition of the important role played by GME in the Commonwealth and in recognition that the current system does not optimally structure GME payments, the Commission supports additional funding for GME that is tied to performance benchmarks. These performance benchmarks should take into consideration factors such as:</w:t>
      </w:r>
    </w:p>
    <w:p w:rsidR="004C38EA" w:rsidRDefault="004C38EA" w:rsidP="00FF2004">
      <w:pPr>
        <w:rPr>
          <w:rFonts w:ascii="Calibri" w:hAnsi="Calibri"/>
        </w:rPr>
      </w:pPr>
    </w:p>
    <w:p w:rsidR="004C38EA" w:rsidRPr="00FF2004" w:rsidRDefault="004C38EA" w:rsidP="00FF2004">
      <w:pPr>
        <w:pStyle w:val="ListParagraph"/>
        <w:numPr>
          <w:ilvl w:val="0"/>
          <w:numId w:val="47"/>
        </w:numPr>
        <w:rPr>
          <w:rFonts w:ascii="Calibri" w:hAnsi="Calibri"/>
        </w:rPr>
      </w:pPr>
      <w:r>
        <w:rPr>
          <w:rFonts w:ascii="Calibri" w:hAnsi="Calibri"/>
        </w:rPr>
        <w:t>R</w:t>
      </w:r>
      <w:r w:rsidRPr="00FF2004">
        <w:rPr>
          <w:rFonts w:ascii="Calibri" w:hAnsi="Calibri"/>
        </w:rPr>
        <w:t>etention rates of physicians within the Commonwealth</w:t>
      </w:r>
      <w:r>
        <w:rPr>
          <w:rFonts w:ascii="Calibri" w:hAnsi="Calibri"/>
        </w:rPr>
        <w:t>;</w:t>
      </w:r>
    </w:p>
    <w:p w:rsidR="004C38EA" w:rsidRPr="00FF2004" w:rsidRDefault="004C38EA" w:rsidP="00FF2004">
      <w:pPr>
        <w:pStyle w:val="ListParagraph"/>
        <w:numPr>
          <w:ilvl w:val="0"/>
          <w:numId w:val="47"/>
        </w:numPr>
        <w:rPr>
          <w:rFonts w:ascii="Calibri" w:hAnsi="Calibri"/>
        </w:rPr>
      </w:pPr>
      <w:r>
        <w:rPr>
          <w:rFonts w:ascii="Calibri" w:hAnsi="Calibri"/>
        </w:rPr>
        <w:t>T</w:t>
      </w:r>
      <w:r w:rsidRPr="00FF2004">
        <w:rPr>
          <w:rFonts w:ascii="Calibri" w:hAnsi="Calibri"/>
        </w:rPr>
        <w:t>raining of physicians in specialties where there are physician shortages (such as those that currently exist in primary care, psychiatry, and general surgery)</w:t>
      </w:r>
      <w:r>
        <w:rPr>
          <w:rFonts w:ascii="Calibri" w:hAnsi="Calibri"/>
        </w:rPr>
        <w:t>;</w:t>
      </w:r>
    </w:p>
    <w:p w:rsidR="004C38EA" w:rsidRPr="00FF2004" w:rsidRDefault="004C38EA" w:rsidP="00FF2004">
      <w:pPr>
        <w:pStyle w:val="ListParagraph"/>
        <w:numPr>
          <w:ilvl w:val="0"/>
          <w:numId w:val="47"/>
        </w:numPr>
        <w:rPr>
          <w:rFonts w:ascii="Calibri" w:hAnsi="Calibri"/>
        </w:rPr>
      </w:pPr>
      <w:r>
        <w:rPr>
          <w:rFonts w:ascii="Calibri" w:hAnsi="Calibri"/>
        </w:rPr>
        <w:t>T</w:t>
      </w:r>
      <w:r w:rsidRPr="00FF2004">
        <w:rPr>
          <w:rFonts w:ascii="Calibri" w:hAnsi="Calibri"/>
        </w:rPr>
        <w:t>raining of physicians in community health centers, following the model of the Teaching Health Center Graduate Medical Education Program,</w:t>
      </w:r>
      <w:r>
        <w:rPr>
          <w:rFonts w:ascii="Calibri" w:hAnsi="Calibri"/>
        </w:rPr>
        <w:t xml:space="preserve"> </w:t>
      </w:r>
      <w:r w:rsidRPr="00FF2004">
        <w:rPr>
          <w:rFonts w:ascii="Calibri" w:hAnsi="Calibri"/>
        </w:rPr>
        <w:t>or other programs sites and geographic areas that will help address physician shortages in those practice settings or areas, particularly those with vulnerable populations, provided that these program sites</w:t>
      </w:r>
      <w:r>
        <w:rPr>
          <w:rFonts w:ascii="Calibri" w:hAnsi="Calibri"/>
        </w:rPr>
        <w:t xml:space="preserve"> are affiliated with </w:t>
      </w:r>
      <w:r w:rsidRPr="00FF2004">
        <w:rPr>
          <w:rFonts w:ascii="Calibri" w:hAnsi="Calibri"/>
        </w:rPr>
        <w:t xml:space="preserve">accredited training programs; </w:t>
      </w:r>
    </w:p>
    <w:p w:rsidR="004C38EA" w:rsidRPr="00FF2004" w:rsidRDefault="004C38EA" w:rsidP="00FF2004">
      <w:pPr>
        <w:pStyle w:val="ListParagraph"/>
        <w:numPr>
          <w:ilvl w:val="0"/>
          <w:numId w:val="47"/>
        </w:numPr>
        <w:rPr>
          <w:rFonts w:ascii="Calibri" w:hAnsi="Calibri"/>
        </w:rPr>
      </w:pPr>
      <w:r>
        <w:rPr>
          <w:rFonts w:ascii="Calibri" w:hAnsi="Calibri"/>
        </w:rPr>
        <w:t>Q</w:t>
      </w:r>
      <w:r w:rsidRPr="00FF2004">
        <w:rPr>
          <w:rFonts w:ascii="Calibri" w:hAnsi="Calibri"/>
        </w:rPr>
        <w:t xml:space="preserve">uality measures for Graduate Medical Education; and </w:t>
      </w:r>
    </w:p>
    <w:p w:rsidR="004C38EA" w:rsidRPr="00FF2004" w:rsidRDefault="004C38EA" w:rsidP="00FF2004">
      <w:pPr>
        <w:pStyle w:val="ListParagraph"/>
        <w:numPr>
          <w:ilvl w:val="0"/>
          <w:numId w:val="47"/>
        </w:numPr>
        <w:rPr>
          <w:rFonts w:ascii="Calibri" w:hAnsi="Calibri"/>
        </w:rPr>
      </w:pPr>
      <w:r>
        <w:rPr>
          <w:rFonts w:ascii="Calibri" w:hAnsi="Calibri"/>
        </w:rPr>
        <w:t>P</w:t>
      </w:r>
      <w:r w:rsidRPr="00FF2004">
        <w:rPr>
          <w:rFonts w:ascii="Calibri" w:hAnsi="Calibri"/>
        </w:rPr>
        <w:t xml:space="preserve">rovision of training that supports the goals of payment and delivery system reform and transparency in expenditure of funds. </w:t>
      </w:r>
    </w:p>
    <w:p w:rsidR="004C38EA" w:rsidRDefault="004C38EA" w:rsidP="00FF2004">
      <w:pPr>
        <w:rPr>
          <w:rFonts w:ascii="Calibri" w:hAnsi="Calibri"/>
        </w:rPr>
      </w:pPr>
    </w:p>
    <w:p w:rsidR="004C38EA" w:rsidRPr="008C61EF" w:rsidRDefault="004C38EA" w:rsidP="00FF2004">
      <w:pPr>
        <w:rPr>
          <w:rFonts w:ascii="Calibri" w:hAnsi="Calibri"/>
        </w:rPr>
      </w:pPr>
      <w:r>
        <w:rPr>
          <w:rFonts w:ascii="Calibri" w:hAnsi="Calibri"/>
        </w:rPr>
        <w:t>These performance considerations should apply to existing and additional funding sources. The financing system should encourage a graduate medical education system that is nimble in responding to the needs of the Commonwealth.</w:t>
      </w:r>
    </w:p>
    <w:p w:rsidR="004C38EA" w:rsidRDefault="004C38EA" w:rsidP="00FF2004">
      <w:pPr>
        <w:rPr>
          <w:rFonts w:ascii="Calibri" w:hAnsi="Calibri"/>
        </w:rPr>
      </w:pPr>
    </w:p>
    <w:p w:rsidR="004C38EA" w:rsidRDefault="004C38EA" w:rsidP="00FF2004">
      <w:pPr>
        <w:rPr>
          <w:rFonts w:ascii="Calibri" w:hAnsi="Calibri"/>
        </w:rPr>
      </w:pPr>
      <w:r>
        <w:rPr>
          <w:rFonts w:ascii="Calibri" w:hAnsi="Calibri"/>
          <w:u w:val="single"/>
        </w:rPr>
        <w:t>Recommendation 2</w:t>
      </w:r>
      <w:r w:rsidRPr="00FA1B8C">
        <w:rPr>
          <w:rFonts w:ascii="Calibri" w:hAnsi="Calibri"/>
        </w:rPr>
        <w:t xml:space="preserve">: </w:t>
      </w:r>
      <w:r>
        <w:rPr>
          <w:rFonts w:ascii="Calibri" w:hAnsi="Calibri"/>
        </w:rPr>
        <w:t>To enhance the focus on GME in the Commonwealth, t</w:t>
      </w:r>
      <w:r w:rsidRPr="008C61EF">
        <w:rPr>
          <w:rFonts w:ascii="Calibri" w:hAnsi="Calibri"/>
        </w:rPr>
        <w:t xml:space="preserve">he Commission recommends that </w:t>
      </w:r>
      <w:r>
        <w:rPr>
          <w:rFonts w:ascii="Calibri" w:hAnsi="Calibri"/>
        </w:rPr>
        <w:t xml:space="preserve">a specific entity be given clear responsibilities related to Graduate Medical Education. The Commission recommends that these responsibilities be assigned to the </w:t>
      </w:r>
      <w:r w:rsidRPr="008C61EF">
        <w:rPr>
          <w:rFonts w:ascii="Calibri" w:hAnsi="Calibri"/>
        </w:rPr>
        <w:t>Health Care Workforce Center.</w:t>
      </w:r>
      <w:r>
        <w:rPr>
          <w:rFonts w:ascii="Calibri" w:hAnsi="Calibri"/>
        </w:rPr>
        <w:t xml:space="preserve"> The Commission further recommends that the Health Care Workforce Center convene an advisory committee on Graduate Medical Education that includes representatives of the organizations included in the Special Commission on Graduate Medical Education. </w:t>
      </w:r>
    </w:p>
    <w:p w:rsidR="004C38EA" w:rsidRPr="008C61EF" w:rsidRDefault="004C38EA" w:rsidP="00FF2004">
      <w:pPr>
        <w:rPr>
          <w:rFonts w:ascii="Calibri" w:hAnsi="Calibri"/>
        </w:rPr>
      </w:pPr>
    </w:p>
    <w:p w:rsidR="004C38EA" w:rsidRDefault="004C38EA" w:rsidP="00FF2004">
      <w:pPr>
        <w:rPr>
          <w:rFonts w:ascii="Calibri" w:hAnsi="Calibri"/>
        </w:rPr>
      </w:pPr>
      <w:r>
        <w:rPr>
          <w:rFonts w:ascii="Calibri" w:hAnsi="Calibri"/>
        </w:rPr>
        <w:t>R</w:t>
      </w:r>
      <w:r w:rsidRPr="008C61EF">
        <w:rPr>
          <w:rFonts w:ascii="Calibri" w:hAnsi="Calibri"/>
        </w:rPr>
        <w:t xml:space="preserve">esponsibilities </w:t>
      </w:r>
      <w:r>
        <w:rPr>
          <w:rFonts w:ascii="Calibri" w:hAnsi="Calibri"/>
        </w:rPr>
        <w:t xml:space="preserve">of the Health Care Workforce Center should include: data collection (as discussed in the next recommendation), communication about the importance of GME; coordination of efforts with the Health Planning Council, the Department of Public Health, EOHHS/MassHealth, the Health Care Workforce Trust Fund Advisory Board, and the Health Policy Commission; coordination with and support to loan forgiveness and other workforce retention initiatives; and oversight over the distribution of additional funding, as described above. </w:t>
      </w:r>
    </w:p>
    <w:p w:rsidR="004C38EA" w:rsidRDefault="004C38EA" w:rsidP="00FF2004">
      <w:pPr>
        <w:rPr>
          <w:rFonts w:ascii="Calibri" w:hAnsi="Calibri"/>
          <w:u w:val="single"/>
        </w:rPr>
      </w:pPr>
    </w:p>
    <w:p w:rsidR="004C38EA" w:rsidRDefault="004C38EA" w:rsidP="00FF2004">
      <w:pPr>
        <w:rPr>
          <w:rFonts w:ascii="Calibri" w:hAnsi="Calibri"/>
        </w:rPr>
      </w:pPr>
      <w:r>
        <w:rPr>
          <w:rFonts w:ascii="Calibri" w:hAnsi="Calibri"/>
          <w:u w:val="single"/>
        </w:rPr>
        <w:t>Recommendation 3</w:t>
      </w:r>
      <w:r w:rsidRPr="00FA1B8C">
        <w:rPr>
          <w:rFonts w:ascii="Calibri" w:hAnsi="Calibri"/>
        </w:rPr>
        <w:t xml:space="preserve">: </w:t>
      </w:r>
      <w:r>
        <w:rPr>
          <w:rFonts w:ascii="Calibri" w:hAnsi="Calibri"/>
        </w:rPr>
        <w:t xml:space="preserve">The Commission identified a number of areas where additional data related to GME </w:t>
      </w:r>
      <w:r w:rsidRPr="008C61EF">
        <w:rPr>
          <w:rFonts w:ascii="Calibri" w:hAnsi="Calibri"/>
        </w:rPr>
        <w:t>in the Commonwealth</w:t>
      </w:r>
      <w:r>
        <w:rPr>
          <w:rFonts w:ascii="Calibri" w:hAnsi="Calibri"/>
        </w:rPr>
        <w:t xml:space="preserve"> could be useful. Data collection should be undertaken by the Health Care Workforce Center and should be coordinated with existing data collection efforts. Data to be collected should include: </w:t>
      </w:r>
      <w:r w:rsidRPr="008C61EF">
        <w:rPr>
          <w:rFonts w:ascii="Calibri" w:hAnsi="Calibri"/>
        </w:rPr>
        <w:t xml:space="preserve">tracking the number and geographic and specialty distribution of programs in the </w:t>
      </w:r>
      <w:r w:rsidRPr="008C61EF">
        <w:rPr>
          <w:rFonts w:ascii="Calibri" w:hAnsi="Calibri"/>
        </w:rPr>
        <w:lastRenderedPageBreak/>
        <w:t>Commonwealth</w:t>
      </w:r>
      <w:r>
        <w:rPr>
          <w:rFonts w:ascii="Calibri" w:hAnsi="Calibri"/>
        </w:rPr>
        <w:t xml:space="preserve">; tracking physician workforce, including actual practicing full-time equivalent physicians; tracking program distribution by the demographic mix of the populations served; monitoring the funding received by programs in the Commonwealth for GME as well as related workforce programs; monitoring the retention of trainees, by </w:t>
      </w:r>
      <w:r w:rsidRPr="008C61EF">
        <w:rPr>
          <w:rFonts w:ascii="Calibri" w:hAnsi="Calibri"/>
        </w:rPr>
        <w:t>specialty</w:t>
      </w:r>
      <w:r>
        <w:rPr>
          <w:rFonts w:ascii="Calibri" w:hAnsi="Calibri"/>
        </w:rPr>
        <w:t xml:space="preserve">, </w:t>
      </w:r>
      <w:r w:rsidRPr="008C61EF">
        <w:rPr>
          <w:rFonts w:ascii="Calibri" w:hAnsi="Calibri"/>
        </w:rPr>
        <w:t>geographic region</w:t>
      </w:r>
      <w:r>
        <w:rPr>
          <w:rFonts w:ascii="Calibri" w:hAnsi="Calibri"/>
        </w:rPr>
        <w:t>, practice setting, and population demographics; monitoring the quality of GME programs; and monitoring the impact of Massachusetts GME on the Commonwealth and the nation.</w:t>
      </w:r>
    </w:p>
    <w:p w:rsidR="004C38EA" w:rsidRDefault="004C38EA" w:rsidP="00FF2004">
      <w:pPr>
        <w:rPr>
          <w:rFonts w:ascii="Calibri" w:hAnsi="Calibri"/>
        </w:rPr>
      </w:pPr>
    </w:p>
    <w:p w:rsidR="004C38EA" w:rsidRDefault="004C38EA" w:rsidP="00106060">
      <w:pPr>
        <w:pStyle w:val="Default"/>
        <w:rPr>
          <w:rFonts w:ascii="Calibri" w:hAnsi="Calibri"/>
        </w:rPr>
      </w:pPr>
      <w:r>
        <w:rPr>
          <w:rFonts w:ascii="Calibri" w:hAnsi="Calibri"/>
        </w:rPr>
        <w:t>The Commission appreciates the opportunity to study and make recommendations on this important topic, and hopes that this report will be useful to legislators, policy makers, and the general public in further advancing the important role Graduate Medical Education in the Commonwealth.</w:t>
      </w:r>
    </w:p>
    <w:p w:rsidR="004C38EA" w:rsidRDefault="004C38EA" w:rsidP="00106060">
      <w:pPr>
        <w:pStyle w:val="Default"/>
        <w:rPr>
          <w:rFonts w:ascii="Calibri" w:hAnsi="Calibri"/>
        </w:rPr>
      </w:pPr>
    </w:p>
    <w:p w:rsidR="004C38EA" w:rsidRDefault="004C38EA" w:rsidP="00106060">
      <w:pPr>
        <w:pStyle w:val="Default"/>
      </w:pPr>
      <w:r>
        <w:rPr>
          <w:rFonts w:ascii="Calibri" w:hAnsi="Calibri"/>
        </w:rPr>
        <w:t xml:space="preserve"> </w:t>
      </w:r>
    </w:p>
    <w:p w:rsidR="004C38EA" w:rsidRDefault="004C38EA" w:rsidP="00106060">
      <w:pPr>
        <w:pStyle w:val="Default"/>
      </w:pPr>
    </w:p>
    <w:p w:rsidR="004C38EA" w:rsidRPr="0095629E" w:rsidRDefault="004C38EA" w:rsidP="0095629E">
      <w:pPr>
        <w:rPr>
          <w:lang w:eastAsia="en-US"/>
        </w:rPr>
      </w:pPr>
    </w:p>
    <w:p w:rsidR="004C38EA" w:rsidRPr="0095629E" w:rsidRDefault="004C38EA" w:rsidP="0095629E">
      <w:pPr>
        <w:rPr>
          <w:lang w:eastAsia="en-US"/>
        </w:rPr>
      </w:pPr>
    </w:p>
    <w:p w:rsidR="004C38EA" w:rsidRDefault="004C38EA" w:rsidP="00106060">
      <w:pPr>
        <w:pStyle w:val="Default"/>
      </w:pPr>
    </w:p>
    <w:p w:rsidR="004C38EA" w:rsidRDefault="004C38EA" w:rsidP="0095629E">
      <w:pPr>
        <w:pStyle w:val="Default"/>
        <w:tabs>
          <w:tab w:val="left" w:pos="5666"/>
        </w:tabs>
      </w:pPr>
      <w:r>
        <w:tab/>
      </w:r>
    </w:p>
    <w:p w:rsidR="004C38EA" w:rsidRPr="00F753EE" w:rsidRDefault="004C38EA" w:rsidP="00106060">
      <w:pPr>
        <w:pStyle w:val="Default"/>
      </w:pPr>
      <w:r w:rsidRPr="0095629E">
        <w:br w:type="page"/>
      </w:r>
    </w:p>
    <w:p w:rsidR="004C38EA" w:rsidRPr="00136E11" w:rsidRDefault="004C38EA" w:rsidP="00136E11">
      <w:pPr>
        <w:pStyle w:val="Heading1"/>
      </w:pPr>
      <w:bookmarkStart w:id="1" w:name="_Toc363134022"/>
      <w:r>
        <w:t>Overview of Commission</w:t>
      </w:r>
      <w:bookmarkEnd w:id="1"/>
    </w:p>
    <w:p w:rsidR="004C38EA" w:rsidRPr="00C0184C" w:rsidRDefault="004C38EA" w:rsidP="006E70FD"/>
    <w:p w:rsidR="004C38EA" w:rsidRPr="00426A33" w:rsidRDefault="004C38EA" w:rsidP="00426A33">
      <w:pPr>
        <w:pStyle w:val="Heading2"/>
      </w:pPr>
      <w:r w:rsidRPr="00426A33">
        <w:t xml:space="preserve">2.1 </w:t>
      </w:r>
      <w:r>
        <w:t>Statutory Charge</w:t>
      </w:r>
    </w:p>
    <w:p w:rsidR="004C38EA" w:rsidRDefault="004C38EA" w:rsidP="00106060">
      <w:pPr>
        <w:pStyle w:val="Default"/>
        <w:rPr>
          <w:rFonts w:ascii="Calibri" w:hAnsi="Calibri"/>
          <w:sz w:val="22"/>
          <w:szCs w:val="22"/>
        </w:rPr>
      </w:pPr>
    </w:p>
    <w:p w:rsidR="004C38EA" w:rsidRPr="00D40A35" w:rsidRDefault="004C38EA" w:rsidP="00106060">
      <w:pPr>
        <w:pStyle w:val="Default"/>
        <w:rPr>
          <w:rFonts w:ascii="Calibri" w:hAnsi="Calibri"/>
        </w:rPr>
      </w:pPr>
      <w:r w:rsidRPr="00D40A35">
        <w:rPr>
          <w:rFonts w:ascii="Calibri" w:hAnsi="Calibri"/>
        </w:rPr>
        <w:t>Section 277 of Chapter 224 of the Acts of 2012 (</w:t>
      </w:r>
      <w:r w:rsidRPr="00D40A35">
        <w:rPr>
          <w:rFonts w:ascii="Calibri" w:hAnsi="Calibri"/>
          <w:i/>
        </w:rPr>
        <w:t>An Act Improving the Quality of Health Care and Reducing Costs Through Increased Transparency, Efficiency and Innovation</w:t>
      </w:r>
      <w:r w:rsidRPr="00D40A35">
        <w:rPr>
          <w:rFonts w:ascii="Calibri" w:hAnsi="Calibri"/>
        </w:rPr>
        <w:t xml:space="preserve">) created “a special commission to examine the economic, social and educational value of graduate medical education in the </w:t>
      </w:r>
      <w:r>
        <w:rPr>
          <w:rFonts w:ascii="Calibri" w:hAnsi="Calibri"/>
        </w:rPr>
        <w:t>C</w:t>
      </w:r>
      <w:r w:rsidRPr="00D40A35">
        <w:rPr>
          <w:rFonts w:ascii="Calibri" w:hAnsi="Calibri"/>
        </w:rPr>
        <w:t xml:space="preserve">ommonwealth and to recommend a fair and sustainable model for the future funding of graduate medical education in the </w:t>
      </w:r>
      <w:r>
        <w:rPr>
          <w:rFonts w:ascii="Calibri" w:hAnsi="Calibri"/>
        </w:rPr>
        <w:t>C</w:t>
      </w:r>
      <w:r w:rsidRPr="00D40A35">
        <w:rPr>
          <w:rFonts w:ascii="Calibri" w:hAnsi="Calibri"/>
        </w:rPr>
        <w:t xml:space="preserve">ommonwealth.” </w:t>
      </w:r>
    </w:p>
    <w:p w:rsidR="004C38EA" w:rsidRPr="00D40A35" w:rsidRDefault="004C38EA" w:rsidP="00106060">
      <w:pPr>
        <w:pStyle w:val="Default"/>
        <w:rPr>
          <w:rFonts w:ascii="Calibri" w:hAnsi="Calibri"/>
        </w:rPr>
      </w:pPr>
    </w:p>
    <w:p w:rsidR="004C38EA" w:rsidRPr="00D40A35" w:rsidRDefault="004C38EA" w:rsidP="00106060">
      <w:pPr>
        <w:pStyle w:val="Default"/>
        <w:rPr>
          <w:rFonts w:ascii="Calibri" w:hAnsi="Calibri"/>
        </w:rPr>
      </w:pPr>
      <w:r w:rsidRPr="00D40A35">
        <w:rPr>
          <w:rFonts w:ascii="Calibri" w:hAnsi="Calibri"/>
        </w:rPr>
        <w:t>Section 277 directed the commission to investigate and report on the following issues:</w:t>
      </w:r>
    </w:p>
    <w:p w:rsidR="004C38EA" w:rsidRPr="00D40A35" w:rsidRDefault="004C38EA" w:rsidP="00106060">
      <w:pPr>
        <w:pStyle w:val="Default"/>
        <w:rPr>
          <w:rFonts w:ascii="Calibri" w:hAnsi="Calibri"/>
        </w:rPr>
      </w:pPr>
    </w:p>
    <w:p w:rsidR="004C38EA" w:rsidRPr="00D40A35" w:rsidRDefault="004C38EA" w:rsidP="00CE450A">
      <w:pPr>
        <w:pStyle w:val="Default"/>
        <w:spacing w:after="100"/>
        <w:ind w:left="720"/>
        <w:rPr>
          <w:rFonts w:ascii="Calibri" w:hAnsi="Calibri"/>
        </w:rPr>
      </w:pPr>
      <w:r w:rsidRPr="00D40A35">
        <w:rPr>
          <w:rFonts w:ascii="Calibri" w:hAnsi="Calibri"/>
        </w:rPr>
        <w:t xml:space="preserve">(1) The role of residents and medical faculty in the provision of health care in the </w:t>
      </w:r>
      <w:r>
        <w:rPr>
          <w:rFonts w:ascii="Calibri" w:hAnsi="Calibri"/>
        </w:rPr>
        <w:t>C</w:t>
      </w:r>
      <w:r w:rsidRPr="00D40A35">
        <w:rPr>
          <w:rFonts w:ascii="Calibri" w:hAnsi="Calibri"/>
        </w:rPr>
        <w:t>ommonwealth and throughout the United States;</w:t>
      </w:r>
    </w:p>
    <w:p w:rsidR="004C38EA" w:rsidRPr="00D40A35" w:rsidRDefault="004C38EA" w:rsidP="00CE450A">
      <w:pPr>
        <w:pStyle w:val="Default"/>
        <w:spacing w:after="100"/>
        <w:ind w:left="720"/>
        <w:rPr>
          <w:rFonts w:ascii="Calibri" w:hAnsi="Calibri"/>
        </w:rPr>
      </w:pPr>
      <w:r w:rsidRPr="00D40A35">
        <w:rPr>
          <w:rFonts w:ascii="Calibri" w:hAnsi="Calibri"/>
        </w:rPr>
        <w:t>(2) The relationship of Graduate Medical Education to the state's physician workforce and emerging models of delivery of care;</w:t>
      </w:r>
    </w:p>
    <w:p w:rsidR="004C38EA" w:rsidRPr="00D40A35" w:rsidRDefault="004C38EA" w:rsidP="00CE450A">
      <w:pPr>
        <w:pStyle w:val="Default"/>
        <w:spacing w:after="100"/>
        <w:ind w:left="720"/>
        <w:rPr>
          <w:rFonts w:ascii="Calibri" w:hAnsi="Calibri"/>
        </w:rPr>
      </w:pPr>
      <w:r w:rsidRPr="00D40A35">
        <w:rPr>
          <w:rFonts w:ascii="Calibri" w:hAnsi="Calibri"/>
        </w:rPr>
        <w:t>(3) The current availability and adequacy of all sources of revenue to support Graduate Medical Education and potential additional or alternate sources of funding for Graduate Medical Education. Such review shall include the availability of federal Graduate Medical Education funding to different types of sites where training takes place; and</w:t>
      </w:r>
    </w:p>
    <w:p w:rsidR="004C38EA" w:rsidRPr="00D40A35" w:rsidRDefault="004C38EA" w:rsidP="00CE450A">
      <w:pPr>
        <w:pStyle w:val="Default"/>
        <w:spacing w:after="100"/>
        <w:ind w:left="720"/>
        <w:rPr>
          <w:rFonts w:ascii="Calibri" w:hAnsi="Calibri"/>
        </w:rPr>
      </w:pPr>
      <w:r w:rsidRPr="00D40A35">
        <w:rPr>
          <w:rFonts w:ascii="Calibri" w:hAnsi="Calibri"/>
        </w:rPr>
        <w:t>(4) Approaches taken by other states to fund Graduate Medical Education through, including, but not limited to: (a) Medicaid programs, (b) the establishment of medical education trust funds and (c) efforts to link payments to state policy goals, including:</w:t>
      </w:r>
    </w:p>
    <w:p w:rsidR="004C38EA" w:rsidRPr="00D40A35" w:rsidRDefault="004C38EA" w:rsidP="00CE450A">
      <w:pPr>
        <w:pStyle w:val="Default"/>
        <w:spacing w:after="100"/>
        <w:ind w:left="720" w:firstLine="720"/>
        <w:rPr>
          <w:rFonts w:ascii="Calibri" w:hAnsi="Calibri"/>
        </w:rPr>
      </w:pPr>
      <w:r w:rsidRPr="00D40A35">
        <w:rPr>
          <w:rFonts w:ascii="Calibri" w:hAnsi="Calibri"/>
        </w:rPr>
        <w:t>(i) Increasing the number of high demand specialties or fellowships;</w:t>
      </w:r>
    </w:p>
    <w:p w:rsidR="004C38EA" w:rsidRPr="00D40A35" w:rsidRDefault="004C38EA" w:rsidP="00CE450A">
      <w:pPr>
        <w:pStyle w:val="Default"/>
        <w:spacing w:after="100"/>
        <w:ind w:left="720" w:firstLine="720"/>
        <w:rPr>
          <w:rFonts w:ascii="Calibri" w:hAnsi="Calibri"/>
        </w:rPr>
      </w:pPr>
      <w:r w:rsidRPr="00D40A35">
        <w:rPr>
          <w:rFonts w:ascii="Calibri" w:hAnsi="Calibri"/>
        </w:rPr>
        <w:t>(ii) Enhancing retention of physicians practicing in the Commonwealth;</w:t>
      </w:r>
    </w:p>
    <w:p w:rsidR="004C38EA" w:rsidRPr="00D40A35" w:rsidRDefault="004C38EA" w:rsidP="00CE450A">
      <w:pPr>
        <w:pStyle w:val="Default"/>
        <w:spacing w:after="100"/>
        <w:ind w:left="1440"/>
        <w:rPr>
          <w:rFonts w:ascii="Calibri" w:hAnsi="Calibri"/>
        </w:rPr>
      </w:pPr>
      <w:r w:rsidRPr="00D40A35">
        <w:rPr>
          <w:rFonts w:ascii="Calibri" w:hAnsi="Calibri"/>
        </w:rPr>
        <w:t>(iii) Promoting practice in medically underserved areas of the state and reducing disparities in health care;</w:t>
      </w:r>
    </w:p>
    <w:p w:rsidR="004C38EA" w:rsidRPr="00D40A35" w:rsidRDefault="004C38EA" w:rsidP="00CE450A">
      <w:pPr>
        <w:pStyle w:val="Default"/>
        <w:spacing w:after="100"/>
        <w:ind w:left="720" w:firstLine="720"/>
        <w:rPr>
          <w:rFonts w:ascii="Calibri" w:hAnsi="Calibri"/>
        </w:rPr>
      </w:pPr>
      <w:r w:rsidRPr="00D40A35">
        <w:rPr>
          <w:rFonts w:ascii="Calibri" w:hAnsi="Calibri"/>
        </w:rPr>
        <w:t xml:space="preserve">(iv) Increasing the primary care workforce; </w:t>
      </w:r>
    </w:p>
    <w:p w:rsidR="004C38EA" w:rsidRPr="00D40A35" w:rsidRDefault="004C38EA" w:rsidP="00CE450A">
      <w:pPr>
        <w:pStyle w:val="Default"/>
        <w:spacing w:after="100"/>
        <w:ind w:left="720" w:firstLine="720"/>
        <w:rPr>
          <w:rFonts w:ascii="Calibri" w:hAnsi="Calibri"/>
        </w:rPr>
      </w:pPr>
      <w:r w:rsidRPr="00D40A35">
        <w:rPr>
          <w:rFonts w:ascii="Calibri" w:hAnsi="Calibri"/>
        </w:rPr>
        <w:t>(v) Increasing the behavioral health care workforce; and</w:t>
      </w:r>
    </w:p>
    <w:p w:rsidR="004C38EA" w:rsidRPr="00D40A35" w:rsidRDefault="004C38EA" w:rsidP="00CE450A">
      <w:pPr>
        <w:pStyle w:val="Default"/>
        <w:spacing w:after="100"/>
        <w:ind w:left="720" w:firstLine="720"/>
        <w:rPr>
          <w:rFonts w:ascii="Calibri" w:hAnsi="Calibri"/>
        </w:rPr>
      </w:pPr>
      <w:r w:rsidRPr="00D40A35">
        <w:rPr>
          <w:rFonts w:ascii="Calibri" w:hAnsi="Calibri"/>
        </w:rPr>
        <w:t xml:space="preserve">(vi) Increasing racial and ethnic diversity within the physician workforce. </w:t>
      </w:r>
    </w:p>
    <w:p w:rsidR="004C38EA" w:rsidRPr="00D40A35" w:rsidRDefault="004C38EA" w:rsidP="004F4006">
      <w:pPr>
        <w:pStyle w:val="Default"/>
        <w:rPr>
          <w:rFonts w:ascii="Calibri" w:hAnsi="Calibri"/>
        </w:rPr>
      </w:pPr>
    </w:p>
    <w:p w:rsidR="004C38EA" w:rsidRPr="00D40A35" w:rsidRDefault="004C38EA" w:rsidP="004F4006">
      <w:pPr>
        <w:pStyle w:val="Default"/>
        <w:rPr>
          <w:rFonts w:ascii="Calibri" w:hAnsi="Calibri"/>
        </w:rPr>
      </w:pPr>
      <w:r w:rsidRPr="00D40A35">
        <w:rPr>
          <w:rFonts w:ascii="Calibri" w:hAnsi="Calibri"/>
        </w:rPr>
        <w:t xml:space="preserve">The Commission is directed to file a report with the clerks of the House of Representatives and the Senate. </w:t>
      </w:r>
      <w:r w:rsidRPr="00D40A35">
        <w:rPr>
          <w:rFonts w:ascii="Calibri" w:hAnsi="Calibri"/>
        </w:rPr>
        <w:br/>
      </w:r>
    </w:p>
    <w:p w:rsidR="004C38EA" w:rsidRPr="009C7DAA" w:rsidRDefault="004C38EA" w:rsidP="00426A33">
      <w:pPr>
        <w:pStyle w:val="Heading2"/>
      </w:pPr>
      <w:r w:rsidRPr="00D40A35">
        <w:rPr>
          <w:sz w:val="24"/>
          <w:szCs w:val="24"/>
        </w:rPr>
        <w:br w:type="page"/>
      </w:r>
      <w:r>
        <w:lastRenderedPageBreak/>
        <w:t>2.2</w:t>
      </w:r>
      <w:r w:rsidRPr="009C7DAA">
        <w:t xml:space="preserve"> </w:t>
      </w:r>
      <w:r>
        <w:t>Commission Members</w:t>
      </w:r>
    </w:p>
    <w:p w:rsidR="004C38EA" w:rsidRDefault="004C38EA" w:rsidP="006E70FD"/>
    <w:p w:rsidR="004C38EA" w:rsidRPr="00D40A35" w:rsidRDefault="004C38EA" w:rsidP="006E70FD">
      <w:pPr>
        <w:rPr>
          <w:rFonts w:ascii="Calibri" w:hAnsi="Calibri"/>
        </w:rPr>
      </w:pPr>
      <w:r w:rsidRPr="00D40A35">
        <w:rPr>
          <w:rFonts w:ascii="Calibri" w:hAnsi="Calibri"/>
        </w:rPr>
        <w:t>The Special Commissi</w:t>
      </w:r>
      <w:r>
        <w:rPr>
          <w:rFonts w:ascii="Calibri" w:hAnsi="Calibri"/>
        </w:rPr>
        <w:t xml:space="preserve">on is comprised of </w:t>
      </w:r>
      <w:r w:rsidRPr="00D40A35">
        <w:rPr>
          <w:rFonts w:ascii="Calibri" w:hAnsi="Calibri"/>
        </w:rPr>
        <w:t xml:space="preserve">13 members, as outlined in Section 277. The </w:t>
      </w:r>
      <w:r>
        <w:rPr>
          <w:rFonts w:ascii="Calibri" w:hAnsi="Calibri"/>
        </w:rPr>
        <w:t xml:space="preserve">Secretary of Health and Human Services serves as chair, and convened the </w:t>
      </w:r>
      <w:r w:rsidRPr="00D40A35">
        <w:rPr>
          <w:rFonts w:ascii="Calibri" w:hAnsi="Calibri"/>
        </w:rPr>
        <w:t>Commission. The members</w:t>
      </w:r>
      <w:r>
        <w:rPr>
          <w:rFonts w:ascii="Calibri" w:hAnsi="Calibri"/>
        </w:rPr>
        <w:t>hip</w:t>
      </w:r>
      <w:r w:rsidRPr="00D40A35">
        <w:rPr>
          <w:rFonts w:ascii="Calibri" w:hAnsi="Calibri"/>
        </w:rPr>
        <w:t xml:space="preserve"> of the Commission </w:t>
      </w:r>
      <w:r>
        <w:rPr>
          <w:rFonts w:ascii="Calibri" w:hAnsi="Calibri"/>
        </w:rPr>
        <w:t>is</w:t>
      </w:r>
      <w:r w:rsidRPr="00D40A35">
        <w:rPr>
          <w:rFonts w:ascii="Calibri" w:hAnsi="Calibri"/>
        </w:rPr>
        <w:t xml:space="preserve"> shown below.</w:t>
      </w:r>
    </w:p>
    <w:p w:rsidR="004C38EA" w:rsidRPr="00D40A35" w:rsidRDefault="004C38EA" w:rsidP="006E70FD">
      <w:pPr>
        <w:rPr>
          <w:rFonts w:ascii="Calibri" w:hAnsi="Calibri"/>
        </w:rPr>
      </w:pPr>
    </w:p>
    <w:tbl>
      <w:tblPr>
        <w:tblW w:w="4647" w:type="pct"/>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3617"/>
        <w:gridCol w:w="3343"/>
      </w:tblGrid>
      <w:tr w:rsidR="004C38EA" w:rsidRPr="00D40A35" w:rsidTr="00FB67E1">
        <w:trPr>
          <w:trHeight w:val="296"/>
          <w:jc w:val="center"/>
        </w:trPr>
        <w:tc>
          <w:tcPr>
            <w:tcW w:w="1363" w:type="pct"/>
            <w:vAlign w:val="center"/>
          </w:tcPr>
          <w:p w:rsidR="004C38EA" w:rsidRPr="00D40A35" w:rsidRDefault="004C38EA" w:rsidP="00DC7F2F">
            <w:pPr>
              <w:tabs>
                <w:tab w:val="left" w:pos="1110"/>
              </w:tabs>
              <w:jc w:val="center"/>
              <w:rPr>
                <w:rFonts w:ascii="Calibri" w:hAnsi="Calibri"/>
                <w:b/>
                <w:u w:val="single"/>
              </w:rPr>
            </w:pPr>
            <w:r w:rsidRPr="00D40A35">
              <w:rPr>
                <w:rFonts w:ascii="Calibri" w:hAnsi="Calibri"/>
                <w:b/>
                <w:u w:val="single"/>
              </w:rPr>
              <w:t>Commissioner</w:t>
            </w:r>
          </w:p>
        </w:tc>
        <w:tc>
          <w:tcPr>
            <w:tcW w:w="1890" w:type="pct"/>
            <w:vAlign w:val="center"/>
          </w:tcPr>
          <w:p w:rsidR="004C38EA" w:rsidRPr="00D40A35" w:rsidRDefault="004C38EA" w:rsidP="00DC7F2F">
            <w:pPr>
              <w:jc w:val="center"/>
              <w:rPr>
                <w:rFonts w:ascii="Calibri" w:hAnsi="Calibri"/>
                <w:b/>
                <w:u w:val="single"/>
              </w:rPr>
            </w:pPr>
            <w:r w:rsidRPr="00D40A35">
              <w:rPr>
                <w:rFonts w:ascii="Calibri" w:hAnsi="Calibri"/>
                <w:b/>
                <w:u w:val="single"/>
              </w:rPr>
              <w:t>Affiliation</w:t>
            </w:r>
          </w:p>
        </w:tc>
        <w:tc>
          <w:tcPr>
            <w:tcW w:w="1747" w:type="pct"/>
            <w:vAlign w:val="center"/>
          </w:tcPr>
          <w:p w:rsidR="004C38EA" w:rsidRPr="00D40A35" w:rsidRDefault="004C38EA" w:rsidP="00DC7F2F">
            <w:pPr>
              <w:jc w:val="center"/>
              <w:rPr>
                <w:rFonts w:ascii="Calibri" w:hAnsi="Calibri"/>
                <w:b/>
                <w:u w:val="single"/>
              </w:rPr>
            </w:pPr>
            <w:r w:rsidRPr="00D40A35">
              <w:rPr>
                <w:rFonts w:ascii="Calibri" w:hAnsi="Calibri"/>
                <w:b/>
                <w:u w:val="single"/>
              </w:rPr>
              <w:t>Statutory Criteria</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John Polanowicz,</w:t>
            </w:r>
            <w:r>
              <w:rPr>
                <w:rFonts w:ascii="Calibri" w:hAnsi="Calibri"/>
              </w:rPr>
              <w:t xml:space="preserve"> </w:t>
            </w:r>
            <w:r w:rsidRPr="00D40A35">
              <w:rPr>
                <w:rFonts w:ascii="Calibri" w:hAnsi="Calibri"/>
              </w:rPr>
              <w:t>Chair</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Secretary, Executive Office of Health and Human Services</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Secretary of Health and Human Services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Ned Robinson-Lynch</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Director of the Division of Primary Care and Health Access, Department of Public Health</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Designee of the Commissioner of Public Health</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Kimberly Haddad</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Manager of Health Care Policy</w:t>
            </w:r>
            <w:r>
              <w:rPr>
                <w:rFonts w:ascii="Calibri" w:hAnsi="Calibri"/>
                <w:sz w:val="22"/>
                <w:szCs w:val="22"/>
              </w:rPr>
              <w:t xml:space="preserve"> &amp; Deputy General Counsel</w:t>
            </w:r>
            <w:r w:rsidRPr="00314886">
              <w:rPr>
                <w:rFonts w:ascii="Calibri" w:hAnsi="Calibri"/>
                <w:sz w:val="22"/>
                <w:szCs w:val="22"/>
              </w:rPr>
              <w:t>, Executive Office of Administration and Finance</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Designee of the Secretary of Administration and Finance</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Nancy Snyder</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President, Commonwealth Corporation</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Designee of the Secretary of Labor and Workforce Development</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Kevin Hinchey</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Academic Dean, Baystate Medical Center</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the Massachusetts Hospital Association</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Joseph Gravel</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Chief Medical Officer, Greater Lawrence Family Health Center</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the Massachusetts League of Community Health Centers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Joel Katz</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Director, Internal Medicine Residency Program, Brigham and Women’s Hospital</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the Massachusetts Medical Society</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Vincent Chiang</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Associate Professor in Pediatrics, Boston’s Children’s Hospital/ Harvard Medical School</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one of the Commonwealth’s medical schools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Thomas Moore</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 xml:space="preserve">Associate Provost, Boston University School of Medicine </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one of the Commonwealth’s medical schools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Henry Klapholz</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Dean for Clinical Affairs, Tufts Medical School</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one of the Commonwealth’s medical schools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lang w:val="it-IT"/>
              </w:rPr>
            </w:pPr>
            <w:r w:rsidRPr="00D40A35">
              <w:rPr>
                <w:rFonts w:ascii="Calibri" w:hAnsi="Calibri"/>
                <w:lang w:val="it-IT"/>
              </w:rPr>
              <w:t>Dr. Deborah DeMarco</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Associate Dean of Graduate Medical Education, University of Massachusetts Medical School</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one of the Commonwealth’s medical schools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Dr. Jeffrey Kuvin</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Associate Chief Medical Officer for Graduate Medical Education, Tufts Medical Center</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Representative of the Conference of Boston Teaching Hospitals</w:t>
            </w:r>
          </w:p>
        </w:tc>
      </w:tr>
      <w:tr w:rsidR="004C38EA" w:rsidRPr="00D40A35" w:rsidTr="00FB67E1">
        <w:trPr>
          <w:trHeight w:val="615"/>
          <w:jc w:val="center"/>
        </w:trPr>
        <w:tc>
          <w:tcPr>
            <w:tcW w:w="1363" w:type="pct"/>
            <w:vAlign w:val="center"/>
          </w:tcPr>
          <w:p w:rsidR="004C38EA" w:rsidRPr="00D40A35" w:rsidRDefault="004C38EA" w:rsidP="00097753">
            <w:pPr>
              <w:rPr>
                <w:rFonts w:ascii="Calibri" w:hAnsi="Calibri"/>
              </w:rPr>
            </w:pPr>
            <w:r w:rsidRPr="00D40A35">
              <w:rPr>
                <w:rFonts w:ascii="Calibri" w:hAnsi="Calibri"/>
              </w:rPr>
              <w:t xml:space="preserve">Dr. Neil Shah </w:t>
            </w:r>
          </w:p>
        </w:tc>
        <w:tc>
          <w:tcPr>
            <w:tcW w:w="1890" w:type="pct"/>
            <w:vAlign w:val="center"/>
          </w:tcPr>
          <w:p w:rsidR="004C38EA" w:rsidRPr="00314886" w:rsidRDefault="004C38EA" w:rsidP="00097753">
            <w:pPr>
              <w:rPr>
                <w:rFonts w:ascii="Calibri" w:hAnsi="Calibri"/>
              </w:rPr>
            </w:pPr>
            <w:r w:rsidRPr="00314886">
              <w:rPr>
                <w:rFonts w:ascii="Calibri" w:hAnsi="Calibri"/>
                <w:sz w:val="22"/>
                <w:szCs w:val="22"/>
              </w:rPr>
              <w:t>Resident Physician in Internal Medicine, Cambridge Health Alliance</w:t>
            </w:r>
          </w:p>
        </w:tc>
        <w:tc>
          <w:tcPr>
            <w:tcW w:w="1747" w:type="pct"/>
            <w:vAlign w:val="center"/>
          </w:tcPr>
          <w:p w:rsidR="004C38EA" w:rsidRPr="00314886" w:rsidRDefault="004C38EA" w:rsidP="00097753">
            <w:pPr>
              <w:rPr>
                <w:rFonts w:ascii="Calibri" w:hAnsi="Calibri"/>
              </w:rPr>
            </w:pPr>
            <w:r w:rsidRPr="00314886">
              <w:rPr>
                <w:rFonts w:ascii="Calibri" w:hAnsi="Calibri"/>
                <w:sz w:val="22"/>
                <w:szCs w:val="22"/>
              </w:rPr>
              <w:t>A resident in training at a Massachusetts hospital</w:t>
            </w:r>
          </w:p>
        </w:tc>
      </w:tr>
    </w:tbl>
    <w:p w:rsidR="004C38EA" w:rsidRDefault="004C38EA" w:rsidP="00587332">
      <w:pPr>
        <w:tabs>
          <w:tab w:val="left" w:pos="8406"/>
        </w:tabs>
        <w:rPr>
          <w:rFonts w:ascii="Calibri" w:hAnsi="Calibri"/>
          <w:sz w:val="22"/>
          <w:szCs w:val="22"/>
        </w:rPr>
      </w:pPr>
      <w:r>
        <w:rPr>
          <w:rFonts w:ascii="Calibri" w:hAnsi="Calibri"/>
          <w:sz w:val="22"/>
          <w:szCs w:val="22"/>
        </w:rPr>
        <w:tab/>
      </w:r>
    </w:p>
    <w:p w:rsidR="004C38EA" w:rsidRPr="00587332" w:rsidRDefault="004C38EA" w:rsidP="00587332">
      <w:pPr>
        <w:tabs>
          <w:tab w:val="left" w:pos="8406"/>
        </w:tabs>
        <w:rPr>
          <w:rFonts w:ascii="Calibri" w:hAnsi="Calibri"/>
          <w:sz w:val="22"/>
          <w:szCs w:val="22"/>
        </w:rPr>
      </w:pPr>
      <w:r>
        <w:rPr>
          <w:rFonts w:ascii="Calibri" w:hAnsi="Calibri"/>
          <w:sz w:val="22"/>
          <w:szCs w:val="22"/>
        </w:rPr>
        <w:br w:type="page"/>
      </w:r>
    </w:p>
    <w:p w:rsidR="004C38EA" w:rsidRPr="009C7DAA" w:rsidRDefault="004C38EA" w:rsidP="00CE450A">
      <w:pPr>
        <w:pStyle w:val="Heading2"/>
      </w:pPr>
      <w:r>
        <w:t>2.3</w:t>
      </w:r>
      <w:r w:rsidRPr="009C7DAA">
        <w:t xml:space="preserve"> </w:t>
      </w:r>
      <w:r>
        <w:t>Organization and Schedule of Work</w:t>
      </w:r>
    </w:p>
    <w:p w:rsidR="004C38EA" w:rsidRDefault="004C38EA" w:rsidP="006E70FD"/>
    <w:p w:rsidR="004C38EA" w:rsidRPr="00D40A35" w:rsidRDefault="004C38EA" w:rsidP="0071096C">
      <w:pPr>
        <w:pStyle w:val="Heading4"/>
        <w:keepNext w:val="0"/>
        <w:spacing w:before="0" w:after="0"/>
        <w:rPr>
          <w:rFonts w:ascii="Calibri" w:hAnsi="Calibri"/>
          <w:b w:val="0"/>
          <w:sz w:val="24"/>
          <w:szCs w:val="24"/>
        </w:rPr>
      </w:pPr>
      <w:r w:rsidRPr="00D40A35">
        <w:rPr>
          <w:rFonts w:ascii="Calibri" w:hAnsi="Calibri"/>
          <w:b w:val="0"/>
          <w:sz w:val="24"/>
          <w:szCs w:val="24"/>
        </w:rPr>
        <w:t xml:space="preserve">The Commission was convened in February 2013 and developed a workplan for addressing its statutory charge. </w:t>
      </w:r>
      <w:r>
        <w:rPr>
          <w:rFonts w:ascii="Calibri" w:hAnsi="Calibri"/>
          <w:b w:val="0"/>
          <w:sz w:val="24"/>
          <w:szCs w:val="24"/>
        </w:rPr>
        <w:t xml:space="preserve">In April, the Commission submitted its workplan to the Legislature in anticipation of submitting a final report in July 2013. </w:t>
      </w:r>
      <w:r w:rsidRPr="00D40A35">
        <w:rPr>
          <w:rFonts w:ascii="Calibri" w:hAnsi="Calibri"/>
          <w:b w:val="0"/>
          <w:sz w:val="24"/>
          <w:szCs w:val="24"/>
        </w:rPr>
        <w:t xml:space="preserve">The Commission met </w:t>
      </w:r>
      <w:r>
        <w:rPr>
          <w:rFonts w:ascii="Calibri" w:hAnsi="Calibri"/>
          <w:b w:val="0"/>
          <w:sz w:val="24"/>
          <w:szCs w:val="24"/>
        </w:rPr>
        <w:t>five</w:t>
      </w:r>
      <w:r w:rsidRPr="00D40A35">
        <w:rPr>
          <w:rFonts w:ascii="Calibri" w:hAnsi="Calibri"/>
          <w:b w:val="0"/>
          <w:sz w:val="24"/>
          <w:szCs w:val="24"/>
        </w:rPr>
        <w:t xml:space="preserve"> times, on the following schedule:</w:t>
      </w:r>
    </w:p>
    <w:p w:rsidR="004C38EA" w:rsidRPr="00D40A35" w:rsidRDefault="004C38EA" w:rsidP="009838C4">
      <w:pPr>
        <w:rPr>
          <w:rFonts w:ascii="Calibri" w:hAnsi="Calibri"/>
        </w:rPr>
      </w:pPr>
    </w:p>
    <w:p w:rsidR="004C38EA" w:rsidRPr="00D40A35" w:rsidRDefault="004C38EA" w:rsidP="009838C4">
      <w:pPr>
        <w:rPr>
          <w:rFonts w:ascii="Calibri" w:hAnsi="Calibri"/>
          <w:b/>
        </w:rPr>
      </w:pPr>
      <w:r w:rsidRPr="00D40A35">
        <w:rPr>
          <w:rFonts w:ascii="Calibri" w:hAnsi="Calibri"/>
          <w:b/>
        </w:rPr>
        <w:t>February 25</w:t>
      </w:r>
      <w:r w:rsidRPr="00D40A35">
        <w:rPr>
          <w:rFonts w:ascii="Calibri" w:hAnsi="Calibri"/>
          <w:b/>
          <w:vertAlign w:val="superscript"/>
        </w:rPr>
        <w:t>th</w:t>
      </w:r>
      <w:r w:rsidRPr="00D40A35">
        <w:rPr>
          <w:rFonts w:ascii="Calibri" w:hAnsi="Calibri"/>
          <w:b/>
        </w:rPr>
        <w:t xml:space="preserve"> </w:t>
      </w:r>
    </w:p>
    <w:p w:rsidR="004C38EA" w:rsidRPr="00D40A35" w:rsidRDefault="004C38EA" w:rsidP="009838C4">
      <w:pPr>
        <w:numPr>
          <w:ilvl w:val="0"/>
          <w:numId w:val="28"/>
        </w:numPr>
        <w:rPr>
          <w:rFonts w:ascii="Calibri" w:hAnsi="Calibri"/>
        </w:rPr>
      </w:pPr>
      <w:r w:rsidRPr="00D40A35">
        <w:rPr>
          <w:rFonts w:ascii="Calibri" w:hAnsi="Calibri"/>
        </w:rPr>
        <w:t>Overview of the Special Commission on Graduate Medical Education</w:t>
      </w:r>
    </w:p>
    <w:p w:rsidR="004C38EA" w:rsidRPr="00D40A35" w:rsidRDefault="004C38EA" w:rsidP="009838C4">
      <w:pPr>
        <w:numPr>
          <w:ilvl w:val="0"/>
          <w:numId w:val="28"/>
        </w:numPr>
        <w:rPr>
          <w:rFonts w:ascii="Calibri" w:hAnsi="Calibri"/>
        </w:rPr>
      </w:pPr>
      <w:r w:rsidRPr="00D40A35">
        <w:rPr>
          <w:rFonts w:ascii="Calibri" w:hAnsi="Calibri"/>
        </w:rPr>
        <w:t>Overview of Graduate Medical Education, including statistics and information about funding sources</w:t>
      </w:r>
    </w:p>
    <w:p w:rsidR="004C38EA" w:rsidRPr="00D40A35" w:rsidRDefault="004C38EA" w:rsidP="009838C4">
      <w:pPr>
        <w:numPr>
          <w:ilvl w:val="0"/>
          <w:numId w:val="28"/>
        </w:numPr>
        <w:rPr>
          <w:rFonts w:ascii="Calibri" w:hAnsi="Calibri"/>
        </w:rPr>
      </w:pPr>
      <w:r w:rsidRPr="00D40A35">
        <w:rPr>
          <w:rFonts w:ascii="Calibri" w:hAnsi="Calibri"/>
        </w:rPr>
        <w:t>Discussion of work plan</w:t>
      </w:r>
    </w:p>
    <w:p w:rsidR="004C38EA" w:rsidRPr="00D40A35" w:rsidRDefault="004C38EA" w:rsidP="009838C4">
      <w:pPr>
        <w:rPr>
          <w:rFonts w:ascii="Calibri" w:hAnsi="Calibri"/>
        </w:rPr>
      </w:pPr>
    </w:p>
    <w:p w:rsidR="004C38EA" w:rsidRPr="00D40A35" w:rsidRDefault="004C38EA" w:rsidP="009838C4">
      <w:pPr>
        <w:rPr>
          <w:rFonts w:ascii="Calibri" w:hAnsi="Calibri"/>
          <w:b/>
        </w:rPr>
      </w:pPr>
      <w:r w:rsidRPr="00D40A35">
        <w:rPr>
          <w:rFonts w:ascii="Calibri" w:hAnsi="Calibri"/>
          <w:b/>
        </w:rPr>
        <w:t>March 29</w:t>
      </w:r>
      <w:r w:rsidRPr="00D40A35">
        <w:rPr>
          <w:rFonts w:ascii="Calibri" w:hAnsi="Calibri"/>
          <w:b/>
          <w:vertAlign w:val="superscript"/>
        </w:rPr>
        <w:t>th</w:t>
      </w:r>
      <w:r w:rsidRPr="00D40A35">
        <w:rPr>
          <w:rFonts w:ascii="Calibri" w:hAnsi="Calibri"/>
          <w:b/>
        </w:rPr>
        <w:t xml:space="preserve"> </w:t>
      </w:r>
    </w:p>
    <w:p w:rsidR="004C38EA" w:rsidRPr="00D40A35" w:rsidRDefault="004C38EA" w:rsidP="009838C4">
      <w:pPr>
        <w:rPr>
          <w:rFonts w:ascii="Calibri" w:hAnsi="Calibri"/>
          <w:i/>
        </w:rPr>
      </w:pPr>
      <w:r w:rsidRPr="00D40A35">
        <w:rPr>
          <w:rFonts w:ascii="Calibri" w:hAnsi="Calibri"/>
          <w:i/>
        </w:rPr>
        <w:t xml:space="preserve">* Briefing book distributed (attached </w:t>
      </w:r>
      <w:r>
        <w:rPr>
          <w:rFonts w:ascii="Calibri" w:hAnsi="Calibri"/>
          <w:i/>
        </w:rPr>
        <w:t>in Appendix</w:t>
      </w:r>
      <w:r w:rsidRPr="00D40A35">
        <w:rPr>
          <w:rFonts w:ascii="Calibri" w:hAnsi="Calibri"/>
          <w:i/>
        </w:rPr>
        <w:t>)</w:t>
      </w:r>
    </w:p>
    <w:p w:rsidR="004C38EA" w:rsidRPr="00D40A35" w:rsidRDefault="004C38EA" w:rsidP="009838C4">
      <w:pPr>
        <w:numPr>
          <w:ilvl w:val="0"/>
          <w:numId w:val="29"/>
        </w:numPr>
        <w:rPr>
          <w:rFonts w:ascii="Calibri" w:hAnsi="Calibri"/>
        </w:rPr>
      </w:pPr>
      <w:r>
        <w:rPr>
          <w:rFonts w:ascii="Calibri" w:hAnsi="Calibri"/>
        </w:rPr>
        <w:t>The relationship of Graduate Medical E</w:t>
      </w:r>
      <w:r w:rsidRPr="00D40A35">
        <w:rPr>
          <w:rFonts w:ascii="Calibri" w:hAnsi="Calibri"/>
        </w:rPr>
        <w:t>ducation to the state’s physician workforce and emerging models of delivery of care</w:t>
      </w:r>
    </w:p>
    <w:p w:rsidR="004C38EA" w:rsidRPr="00D40A35" w:rsidRDefault="004C38EA" w:rsidP="009838C4">
      <w:pPr>
        <w:numPr>
          <w:ilvl w:val="0"/>
          <w:numId w:val="29"/>
        </w:numPr>
        <w:rPr>
          <w:rFonts w:ascii="Calibri" w:hAnsi="Calibri"/>
        </w:rPr>
      </w:pPr>
      <w:r w:rsidRPr="00D40A35">
        <w:rPr>
          <w:rFonts w:ascii="Calibri" w:hAnsi="Calibri"/>
        </w:rPr>
        <w:t>Approaches taken by other states regarding GME funding (results of state interviews and research)</w:t>
      </w:r>
    </w:p>
    <w:p w:rsidR="004C38EA" w:rsidRPr="00D40A35" w:rsidRDefault="004C38EA" w:rsidP="009838C4">
      <w:pPr>
        <w:numPr>
          <w:ilvl w:val="0"/>
          <w:numId w:val="29"/>
        </w:numPr>
        <w:rPr>
          <w:rFonts w:ascii="Calibri" w:hAnsi="Calibri"/>
        </w:rPr>
      </w:pPr>
      <w:r w:rsidRPr="00D40A35">
        <w:rPr>
          <w:rFonts w:ascii="Calibri" w:hAnsi="Calibri"/>
        </w:rPr>
        <w:t>Discussion and approval of work plan</w:t>
      </w:r>
    </w:p>
    <w:p w:rsidR="004C38EA" w:rsidRPr="00D40A35" w:rsidRDefault="004C38EA" w:rsidP="009838C4">
      <w:pPr>
        <w:rPr>
          <w:rFonts w:ascii="Calibri" w:hAnsi="Calibri"/>
        </w:rPr>
      </w:pPr>
    </w:p>
    <w:p w:rsidR="004C38EA" w:rsidRPr="00D40A35" w:rsidRDefault="004C38EA" w:rsidP="009838C4">
      <w:pPr>
        <w:rPr>
          <w:rFonts w:ascii="Calibri" w:hAnsi="Calibri"/>
          <w:b/>
        </w:rPr>
      </w:pPr>
      <w:r w:rsidRPr="00D40A35">
        <w:rPr>
          <w:rFonts w:ascii="Calibri" w:hAnsi="Calibri"/>
          <w:b/>
        </w:rPr>
        <w:t>May 13</w:t>
      </w:r>
      <w:r w:rsidRPr="00D40A35">
        <w:rPr>
          <w:rFonts w:ascii="Calibri" w:hAnsi="Calibri"/>
          <w:b/>
          <w:vertAlign w:val="superscript"/>
        </w:rPr>
        <w:t>th</w:t>
      </w:r>
    </w:p>
    <w:p w:rsidR="004C38EA" w:rsidRPr="00D40A35" w:rsidRDefault="004C38EA" w:rsidP="009838C4">
      <w:pPr>
        <w:numPr>
          <w:ilvl w:val="0"/>
          <w:numId w:val="30"/>
        </w:numPr>
        <w:rPr>
          <w:rFonts w:ascii="Calibri" w:hAnsi="Calibri"/>
        </w:rPr>
      </w:pPr>
      <w:r w:rsidRPr="00D40A35">
        <w:rPr>
          <w:rFonts w:ascii="Calibri" w:hAnsi="Calibri"/>
        </w:rPr>
        <w:t>National policy context</w:t>
      </w:r>
    </w:p>
    <w:p w:rsidR="004C38EA" w:rsidRPr="00D40A35" w:rsidRDefault="004C38EA" w:rsidP="009838C4">
      <w:pPr>
        <w:numPr>
          <w:ilvl w:val="0"/>
          <w:numId w:val="30"/>
        </w:numPr>
        <w:rPr>
          <w:rFonts w:ascii="Calibri" w:hAnsi="Calibri"/>
        </w:rPr>
      </w:pPr>
      <w:r w:rsidRPr="00D40A35">
        <w:rPr>
          <w:rFonts w:ascii="Calibri" w:hAnsi="Calibri"/>
        </w:rPr>
        <w:t>Approaches to understanding the adequacy of revenues for GME and measuring the impact of GME funding</w:t>
      </w:r>
    </w:p>
    <w:p w:rsidR="004C38EA" w:rsidRPr="00D40A35" w:rsidRDefault="004C38EA" w:rsidP="009838C4">
      <w:pPr>
        <w:numPr>
          <w:ilvl w:val="0"/>
          <w:numId w:val="30"/>
        </w:numPr>
        <w:rPr>
          <w:rFonts w:ascii="Calibri" w:hAnsi="Calibri"/>
        </w:rPr>
      </w:pPr>
      <w:r w:rsidRPr="00D40A35">
        <w:rPr>
          <w:rFonts w:ascii="Calibri" w:hAnsi="Calibri"/>
        </w:rPr>
        <w:t>Discussion of goals for GME in the Commonwealth</w:t>
      </w:r>
    </w:p>
    <w:p w:rsidR="004C38EA" w:rsidRPr="00D40A35" w:rsidRDefault="004C38EA" w:rsidP="009838C4">
      <w:pPr>
        <w:rPr>
          <w:rFonts w:ascii="Calibri" w:hAnsi="Calibri"/>
        </w:rPr>
      </w:pPr>
    </w:p>
    <w:p w:rsidR="004C38EA" w:rsidRPr="00D40A35" w:rsidRDefault="004C38EA" w:rsidP="009838C4">
      <w:pPr>
        <w:rPr>
          <w:rFonts w:ascii="Calibri" w:hAnsi="Calibri"/>
          <w:b/>
        </w:rPr>
      </w:pPr>
      <w:r w:rsidRPr="00D40A35">
        <w:rPr>
          <w:rFonts w:ascii="Calibri" w:hAnsi="Calibri"/>
          <w:b/>
        </w:rPr>
        <w:t>June 18</w:t>
      </w:r>
      <w:r w:rsidRPr="00D40A35">
        <w:rPr>
          <w:rFonts w:ascii="Calibri" w:hAnsi="Calibri"/>
          <w:b/>
          <w:vertAlign w:val="superscript"/>
        </w:rPr>
        <w:t>th</w:t>
      </w:r>
    </w:p>
    <w:p w:rsidR="004C38EA" w:rsidRPr="00D40A35" w:rsidRDefault="004C38EA" w:rsidP="009838C4">
      <w:pPr>
        <w:numPr>
          <w:ilvl w:val="0"/>
          <w:numId w:val="31"/>
        </w:numPr>
        <w:rPr>
          <w:rFonts w:ascii="Calibri" w:hAnsi="Calibri"/>
        </w:rPr>
      </w:pPr>
      <w:r w:rsidRPr="00D40A35">
        <w:rPr>
          <w:rFonts w:ascii="Calibri" w:hAnsi="Calibri"/>
        </w:rPr>
        <w:t>State primary care workforce programs</w:t>
      </w:r>
    </w:p>
    <w:p w:rsidR="004C38EA" w:rsidRPr="00D40A35" w:rsidRDefault="004C38EA" w:rsidP="009838C4">
      <w:pPr>
        <w:numPr>
          <w:ilvl w:val="0"/>
          <w:numId w:val="31"/>
        </w:numPr>
        <w:rPr>
          <w:rFonts w:ascii="Calibri" w:hAnsi="Calibri"/>
        </w:rPr>
      </w:pPr>
      <w:r w:rsidRPr="00D40A35">
        <w:rPr>
          <w:rFonts w:ascii="Calibri" w:hAnsi="Calibri"/>
        </w:rPr>
        <w:t>Development of draft recommendations</w:t>
      </w:r>
    </w:p>
    <w:p w:rsidR="004C38EA" w:rsidRPr="00D40A35" w:rsidRDefault="004C38EA" w:rsidP="009838C4">
      <w:pPr>
        <w:rPr>
          <w:rFonts w:ascii="Calibri" w:hAnsi="Calibri"/>
        </w:rPr>
      </w:pPr>
    </w:p>
    <w:p w:rsidR="004C38EA" w:rsidRPr="00D40A35" w:rsidRDefault="004C38EA" w:rsidP="00B640C4">
      <w:pPr>
        <w:pStyle w:val="NormalWeb"/>
        <w:spacing w:before="0" w:beforeAutospacing="0" w:after="0" w:afterAutospacing="0"/>
        <w:rPr>
          <w:rFonts w:ascii="Calibri" w:hAnsi="Calibri"/>
          <w:b/>
        </w:rPr>
      </w:pPr>
      <w:r w:rsidRPr="00D40A35">
        <w:rPr>
          <w:rFonts w:ascii="Calibri" w:hAnsi="Calibri"/>
          <w:b/>
        </w:rPr>
        <w:t>July 30</w:t>
      </w:r>
      <w:r w:rsidRPr="00D40A35">
        <w:rPr>
          <w:rFonts w:ascii="Calibri" w:hAnsi="Calibri"/>
          <w:b/>
          <w:vertAlign w:val="superscript"/>
        </w:rPr>
        <w:t>th</w:t>
      </w:r>
    </w:p>
    <w:p w:rsidR="004C38EA" w:rsidRPr="00D40A35" w:rsidRDefault="004C38EA" w:rsidP="00251702">
      <w:pPr>
        <w:pStyle w:val="NormalWeb"/>
        <w:numPr>
          <w:ilvl w:val="0"/>
          <w:numId w:val="32"/>
        </w:numPr>
        <w:spacing w:before="0" w:beforeAutospacing="0" w:after="0" w:afterAutospacing="0"/>
        <w:rPr>
          <w:rFonts w:ascii="Calibri" w:hAnsi="Calibri"/>
        </w:rPr>
      </w:pPr>
      <w:r>
        <w:rPr>
          <w:rFonts w:ascii="Calibri" w:hAnsi="Calibri"/>
        </w:rPr>
        <w:t>Presentation and vote on final report</w:t>
      </w:r>
    </w:p>
    <w:p w:rsidR="004C38EA" w:rsidRPr="00D40A35" w:rsidRDefault="004C38EA" w:rsidP="00B640C4">
      <w:pPr>
        <w:pStyle w:val="Heading3"/>
        <w:spacing w:before="0" w:after="0"/>
        <w:rPr>
          <w:rFonts w:ascii="Calibri" w:hAnsi="Calibri"/>
        </w:rPr>
      </w:pPr>
      <w:r>
        <w:rPr>
          <w:rFonts w:ascii="Calibri" w:hAnsi="Calibri"/>
        </w:rPr>
        <w:br w:type="page"/>
      </w:r>
    </w:p>
    <w:p w:rsidR="004C38EA" w:rsidRPr="00136E11" w:rsidRDefault="004C38EA" w:rsidP="003B79AB">
      <w:pPr>
        <w:pStyle w:val="Heading1"/>
      </w:pPr>
      <w:r>
        <w:t>Overview of Graduate Medical Education in the Commonwealth and the United States</w:t>
      </w:r>
    </w:p>
    <w:p w:rsidR="004C38EA" w:rsidRDefault="004C38EA" w:rsidP="005361BB">
      <w:pPr>
        <w:keepNext/>
        <w:spacing w:line="240" w:lineRule="atLeast"/>
        <w:rPr>
          <w:rFonts w:ascii="Book Antiqua" w:hAnsi="Book Antiqua" w:cs="Arial"/>
          <w:sz w:val="20"/>
          <w:szCs w:val="20"/>
          <w:lang w:eastAsia="en-US"/>
        </w:rPr>
      </w:pPr>
    </w:p>
    <w:p w:rsidR="004C38EA" w:rsidRPr="00541886" w:rsidRDefault="004C38EA" w:rsidP="005361BB">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3.1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Definition of Graduate Medical Education</w:t>
      </w:r>
    </w:p>
    <w:p w:rsidR="004C38EA" w:rsidRDefault="004C38EA" w:rsidP="00891092">
      <w:pPr>
        <w:rPr>
          <w:rFonts w:ascii="Book Antiqua" w:hAnsi="Book Antiqua" w:cs="Arial"/>
          <w:i/>
          <w:sz w:val="22"/>
          <w:szCs w:val="22"/>
          <w:lang w:eastAsia="en-US"/>
        </w:rPr>
      </w:pPr>
    </w:p>
    <w:p w:rsidR="004C38EA" w:rsidRPr="00D40A35" w:rsidRDefault="004C38EA" w:rsidP="00891092">
      <w:pPr>
        <w:rPr>
          <w:rFonts w:ascii="Calibri" w:hAnsi="Calibri" w:cs="Arial"/>
          <w:lang w:eastAsia="en-US"/>
        </w:rPr>
      </w:pPr>
      <w:r>
        <w:rPr>
          <w:rFonts w:ascii="Calibri" w:hAnsi="Calibri" w:cs="Arial"/>
          <w:lang w:eastAsia="en-US"/>
        </w:rPr>
        <w:t>Graduate Medical E</w:t>
      </w:r>
      <w:r w:rsidRPr="00D40A35">
        <w:rPr>
          <w:rFonts w:ascii="Calibri" w:hAnsi="Calibri" w:cs="Arial"/>
          <w:lang w:eastAsia="en-US"/>
        </w:rPr>
        <w:t>ducation (GME) is formal clinical training provided by approved residency and fellowship programs to physicians who have received an MD or DO degree (or a foreign equivalent). It involves a period of training las</w:t>
      </w:r>
      <w:r>
        <w:rPr>
          <w:rFonts w:ascii="Calibri" w:hAnsi="Calibri" w:cs="Arial"/>
          <w:lang w:eastAsia="en-US"/>
        </w:rPr>
        <w:t xml:space="preserve">ting </w:t>
      </w:r>
      <w:r w:rsidRPr="00D40A35">
        <w:rPr>
          <w:rFonts w:ascii="Calibri" w:hAnsi="Calibri" w:cs="Arial"/>
          <w:lang w:eastAsia="en-US"/>
        </w:rPr>
        <w:t xml:space="preserve">three to seven years in which physicians are directly supervised in their learning as they progressively assume more responsibility for patient care. In the United States, training programs </w:t>
      </w:r>
      <w:r>
        <w:rPr>
          <w:rFonts w:ascii="Calibri" w:hAnsi="Calibri" w:cs="Arial"/>
          <w:lang w:eastAsia="en-US"/>
        </w:rPr>
        <w:t>are typically</w:t>
      </w:r>
      <w:r w:rsidRPr="00D40A35">
        <w:rPr>
          <w:rFonts w:ascii="Calibri" w:hAnsi="Calibri" w:cs="Arial"/>
          <w:lang w:eastAsia="en-US"/>
        </w:rPr>
        <w:t xml:space="preserve"> accredited by the Accreditation Council for Graduate Medical Education (ACGME) or approved by the Commission on Osteopathic College Accreditation (COCA)</w:t>
      </w:r>
      <w:r>
        <w:rPr>
          <w:rFonts w:ascii="Calibri" w:hAnsi="Calibri" w:cs="Arial"/>
          <w:lang w:eastAsia="en-US"/>
        </w:rPr>
        <w:t>; a few, non-accredited programs, particularly in small, technical areas still exist</w:t>
      </w:r>
      <w:r w:rsidRPr="00D40A35">
        <w:rPr>
          <w:rFonts w:ascii="Calibri" w:hAnsi="Calibri" w:cs="Arial"/>
          <w:lang w:eastAsia="en-US"/>
        </w:rPr>
        <w:t xml:space="preserve">. Teaching hospitals generally serve as the sponsors and main training sites for most residency programs, although training </w:t>
      </w:r>
      <w:r>
        <w:rPr>
          <w:rFonts w:ascii="Calibri" w:hAnsi="Calibri" w:cs="Arial"/>
          <w:lang w:eastAsia="en-US"/>
        </w:rPr>
        <w:t xml:space="preserve">often </w:t>
      </w:r>
      <w:r w:rsidRPr="00D40A35">
        <w:rPr>
          <w:rFonts w:ascii="Calibri" w:hAnsi="Calibri" w:cs="Arial"/>
          <w:lang w:eastAsia="en-US"/>
        </w:rPr>
        <w:t>occur</w:t>
      </w:r>
      <w:r>
        <w:rPr>
          <w:rFonts w:ascii="Calibri" w:hAnsi="Calibri" w:cs="Arial"/>
          <w:lang w:eastAsia="en-US"/>
        </w:rPr>
        <w:t>s</w:t>
      </w:r>
      <w:r w:rsidRPr="00D40A35">
        <w:rPr>
          <w:rFonts w:ascii="Calibri" w:hAnsi="Calibri" w:cs="Arial"/>
          <w:lang w:eastAsia="en-US"/>
        </w:rPr>
        <w:t xml:space="preserve"> in other inpatient and ambulatory settings in a variety of community-based settings.</w:t>
      </w:r>
      <w:r w:rsidRPr="00D40A35">
        <w:rPr>
          <w:rStyle w:val="FootnoteReference"/>
          <w:rFonts w:ascii="Calibri" w:hAnsi="Calibri"/>
          <w:lang w:eastAsia="en-US"/>
        </w:rPr>
        <w:footnoteReference w:id="1"/>
      </w:r>
      <w:r>
        <w:rPr>
          <w:rFonts w:ascii="Calibri" w:hAnsi="Calibri" w:cs="Arial"/>
          <w:lang w:eastAsia="en-US"/>
        </w:rPr>
        <w:t xml:space="preserve"> University of Massachusetts Medical School is the only medical school in the Commonwealth that is the sponsoring institution for GME programs.</w:t>
      </w:r>
    </w:p>
    <w:p w:rsidR="004C38EA" w:rsidRPr="00891092" w:rsidRDefault="004C38EA" w:rsidP="00891092">
      <w:pPr>
        <w:rPr>
          <w:rFonts w:ascii="Book Antiqua" w:hAnsi="Book Antiqua" w:cs="Arial"/>
          <w:i/>
          <w:sz w:val="22"/>
          <w:szCs w:val="22"/>
          <w:lang w:eastAsia="en-US"/>
        </w:rPr>
      </w:pPr>
    </w:p>
    <w:p w:rsidR="004C38EA" w:rsidRPr="00541886" w:rsidRDefault="004C38EA" w:rsidP="00CE450A">
      <w:pPr>
        <w:pStyle w:val="Heading2"/>
      </w:pPr>
      <w:r>
        <w:t>3.2</w:t>
      </w:r>
      <w:r w:rsidRPr="009C7DAA">
        <w:t xml:space="preserve"> </w:t>
      </w:r>
      <w:r>
        <w:t>Residency Training in Massachusetts</w:t>
      </w:r>
    </w:p>
    <w:p w:rsidR="004C38EA" w:rsidRPr="00D40A35" w:rsidRDefault="004C38EA" w:rsidP="005A30A5">
      <w:pPr>
        <w:rPr>
          <w:rFonts w:ascii="Calibri" w:hAnsi="Calibri" w:cs="Arial"/>
          <w:i/>
          <w:lang w:eastAsia="en-US"/>
        </w:rPr>
      </w:pPr>
    </w:p>
    <w:p w:rsidR="004C38EA" w:rsidRPr="00D40A35" w:rsidRDefault="004C38EA" w:rsidP="00B30CAE">
      <w:pPr>
        <w:rPr>
          <w:rFonts w:ascii="Calibri" w:hAnsi="Calibri" w:cs="Arial"/>
          <w:lang w:eastAsia="en-US"/>
        </w:rPr>
      </w:pPr>
      <w:r w:rsidRPr="00D40A35">
        <w:rPr>
          <w:rFonts w:ascii="Calibri" w:hAnsi="Calibri" w:cs="Arial"/>
          <w:lang w:eastAsia="en-US"/>
        </w:rPr>
        <w:t>Massachusetts</w:t>
      </w:r>
      <w:r>
        <w:rPr>
          <w:rFonts w:ascii="Calibri" w:hAnsi="Calibri" w:cs="Arial"/>
          <w:lang w:eastAsia="en-US"/>
        </w:rPr>
        <w:t xml:space="preserve"> has a world-</w:t>
      </w:r>
      <w:r w:rsidRPr="00D40A35">
        <w:rPr>
          <w:rFonts w:ascii="Calibri" w:hAnsi="Calibri" w:cs="Arial"/>
          <w:lang w:eastAsia="en-US"/>
        </w:rPr>
        <w:t>renowned health care system, including a robust GME training system. When compared to its population, Massachusetts provides training to a disproportionate percentage of trainees in the United States.</w:t>
      </w:r>
    </w:p>
    <w:p w:rsidR="004C38EA" w:rsidRPr="00D40A35" w:rsidRDefault="004C38EA" w:rsidP="00B30CAE">
      <w:pPr>
        <w:rPr>
          <w:rFonts w:ascii="Calibri" w:hAnsi="Calibri" w:cs="Arial"/>
          <w:lang w:eastAsia="en-US"/>
        </w:rPr>
      </w:pPr>
    </w:p>
    <w:tbl>
      <w:tblPr>
        <w:tblW w:w="0" w:type="auto"/>
        <w:tblLook w:val="01E0" w:firstRow="1" w:lastRow="1" w:firstColumn="1" w:lastColumn="1" w:noHBand="0" w:noVBand="0"/>
      </w:tblPr>
      <w:tblGrid>
        <w:gridCol w:w="2153"/>
        <w:gridCol w:w="1692"/>
        <w:gridCol w:w="1691"/>
        <w:gridCol w:w="1945"/>
      </w:tblGrid>
      <w:tr w:rsidR="004C38EA" w:rsidRPr="00D40A35" w:rsidTr="007053C3">
        <w:tc>
          <w:tcPr>
            <w:tcW w:w="2153" w:type="dxa"/>
          </w:tcPr>
          <w:p w:rsidR="004C38EA" w:rsidRPr="00D40A35" w:rsidRDefault="004C38EA" w:rsidP="005A30A5">
            <w:pPr>
              <w:rPr>
                <w:rFonts w:ascii="Calibri" w:hAnsi="Calibri" w:cs="Arial"/>
                <w:b/>
                <w:lang w:eastAsia="en-US"/>
              </w:rPr>
            </w:pPr>
          </w:p>
        </w:tc>
        <w:tc>
          <w:tcPr>
            <w:tcW w:w="1692" w:type="dxa"/>
          </w:tcPr>
          <w:p w:rsidR="004C38EA" w:rsidRPr="00D40A35" w:rsidRDefault="004C38EA" w:rsidP="005A30A5">
            <w:pPr>
              <w:rPr>
                <w:rFonts w:ascii="Calibri" w:hAnsi="Calibri" w:cs="Arial"/>
                <w:b/>
                <w:lang w:eastAsia="en-US"/>
              </w:rPr>
            </w:pPr>
            <w:r w:rsidRPr="00D40A35">
              <w:rPr>
                <w:rFonts w:ascii="Calibri" w:hAnsi="Calibri" w:cs="Arial"/>
                <w:b/>
                <w:lang w:eastAsia="en-US"/>
              </w:rPr>
              <w:t>United States</w:t>
            </w:r>
          </w:p>
        </w:tc>
        <w:tc>
          <w:tcPr>
            <w:tcW w:w="1691" w:type="dxa"/>
          </w:tcPr>
          <w:p w:rsidR="004C38EA" w:rsidRPr="00D40A35" w:rsidRDefault="004C38EA" w:rsidP="005A30A5">
            <w:pPr>
              <w:rPr>
                <w:rFonts w:ascii="Calibri" w:hAnsi="Calibri" w:cs="Arial"/>
                <w:b/>
                <w:lang w:eastAsia="en-US"/>
              </w:rPr>
            </w:pPr>
            <w:r w:rsidRPr="00D40A35">
              <w:rPr>
                <w:rFonts w:ascii="Calibri" w:hAnsi="Calibri" w:cs="Arial"/>
                <w:b/>
                <w:lang w:eastAsia="en-US"/>
              </w:rPr>
              <w:t>Massachusetts</w:t>
            </w:r>
          </w:p>
        </w:tc>
        <w:tc>
          <w:tcPr>
            <w:tcW w:w="1945" w:type="dxa"/>
          </w:tcPr>
          <w:p w:rsidR="004C38EA" w:rsidRPr="00D40A35" w:rsidRDefault="004C38EA" w:rsidP="005A30A5">
            <w:pPr>
              <w:rPr>
                <w:rFonts w:ascii="Calibri" w:hAnsi="Calibri" w:cs="Arial"/>
                <w:b/>
                <w:lang w:eastAsia="en-US"/>
              </w:rPr>
            </w:pPr>
            <w:r w:rsidRPr="00D40A35">
              <w:rPr>
                <w:rFonts w:ascii="Calibri" w:hAnsi="Calibri" w:cs="Arial"/>
                <w:b/>
                <w:lang w:eastAsia="en-US"/>
              </w:rPr>
              <w:t>MA as % of U.S.</w:t>
            </w:r>
          </w:p>
        </w:tc>
      </w:tr>
      <w:tr w:rsidR="004C38EA" w:rsidRPr="00D40A35" w:rsidTr="007053C3">
        <w:tc>
          <w:tcPr>
            <w:tcW w:w="2153" w:type="dxa"/>
          </w:tcPr>
          <w:p w:rsidR="004C38EA" w:rsidRPr="00D40A35" w:rsidRDefault="004C38EA" w:rsidP="005A30A5">
            <w:pPr>
              <w:rPr>
                <w:rFonts w:ascii="Calibri" w:hAnsi="Calibri" w:cs="Arial"/>
                <w:b/>
                <w:lang w:eastAsia="en-US"/>
              </w:rPr>
            </w:pPr>
            <w:r w:rsidRPr="00D40A35">
              <w:rPr>
                <w:rFonts w:ascii="Calibri" w:hAnsi="Calibri" w:cs="Arial"/>
                <w:b/>
                <w:lang w:eastAsia="en-US"/>
              </w:rPr>
              <w:t>Population</w:t>
            </w:r>
          </w:p>
        </w:tc>
        <w:tc>
          <w:tcPr>
            <w:tcW w:w="1692"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315 million</w:t>
            </w:r>
          </w:p>
        </w:tc>
        <w:tc>
          <w:tcPr>
            <w:tcW w:w="1691"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6.6 million</w:t>
            </w:r>
          </w:p>
        </w:tc>
        <w:tc>
          <w:tcPr>
            <w:tcW w:w="1945"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2%</w:t>
            </w:r>
          </w:p>
        </w:tc>
      </w:tr>
      <w:tr w:rsidR="004C38EA" w:rsidRPr="00D40A35" w:rsidTr="007053C3">
        <w:tc>
          <w:tcPr>
            <w:tcW w:w="2153" w:type="dxa"/>
          </w:tcPr>
          <w:p w:rsidR="004C38EA" w:rsidRPr="00D40A35" w:rsidRDefault="004C38EA" w:rsidP="005A30A5">
            <w:pPr>
              <w:rPr>
                <w:rFonts w:ascii="Calibri" w:hAnsi="Calibri" w:cs="Arial"/>
                <w:b/>
                <w:lang w:eastAsia="en-US"/>
              </w:rPr>
            </w:pPr>
            <w:r w:rsidRPr="00D40A35">
              <w:rPr>
                <w:rFonts w:ascii="Calibri" w:hAnsi="Calibri" w:cs="Arial"/>
                <w:b/>
                <w:lang w:eastAsia="en-US"/>
              </w:rPr>
              <w:t>Trainees</w:t>
            </w:r>
          </w:p>
        </w:tc>
        <w:tc>
          <w:tcPr>
            <w:tcW w:w="1692"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115,293</w:t>
            </w:r>
          </w:p>
        </w:tc>
        <w:tc>
          <w:tcPr>
            <w:tcW w:w="1691"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5,414</w:t>
            </w:r>
          </w:p>
        </w:tc>
        <w:tc>
          <w:tcPr>
            <w:tcW w:w="1945"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5%</w:t>
            </w:r>
          </w:p>
        </w:tc>
      </w:tr>
      <w:tr w:rsidR="004C38EA" w:rsidRPr="00D40A35" w:rsidTr="007053C3">
        <w:tc>
          <w:tcPr>
            <w:tcW w:w="2153" w:type="dxa"/>
          </w:tcPr>
          <w:p w:rsidR="004C38EA" w:rsidRPr="00D40A35" w:rsidRDefault="004C38EA" w:rsidP="005A30A5">
            <w:pPr>
              <w:rPr>
                <w:rFonts w:ascii="Calibri" w:hAnsi="Calibri" w:cs="Arial"/>
                <w:b/>
                <w:lang w:eastAsia="en-US"/>
              </w:rPr>
            </w:pPr>
            <w:r w:rsidRPr="00D40A35">
              <w:rPr>
                <w:rFonts w:ascii="Calibri" w:hAnsi="Calibri" w:cs="Arial"/>
                <w:b/>
                <w:lang w:eastAsia="en-US"/>
              </w:rPr>
              <w:t>Training Programs</w:t>
            </w:r>
          </w:p>
        </w:tc>
        <w:tc>
          <w:tcPr>
            <w:tcW w:w="1692"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9,022</w:t>
            </w:r>
          </w:p>
        </w:tc>
        <w:tc>
          <w:tcPr>
            <w:tcW w:w="1691"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402</w:t>
            </w:r>
          </w:p>
        </w:tc>
        <w:tc>
          <w:tcPr>
            <w:tcW w:w="1945" w:type="dxa"/>
          </w:tcPr>
          <w:p w:rsidR="004C38EA" w:rsidRPr="00D40A35" w:rsidRDefault="004C38EA" w:rsidP="00FC7B08">
            <w:pPr>
              <w:jc w:val="right"/>
              <w:rPr>
                <w:rFonts w:ascii="Calibri" w:hAnsi="Calibri" w:cs="Arial"/>
                <w:lang w:eastAsia="en-US"/>
              </w:rPr>
            </w:pPr>
            <w:r w:rsidRPr="00D40A35">
              <w:rPr>
                <w:rFonts w:ascii="Calibri" w:hAnsi="Calibri" w:cs="Arial"/>
                <w:lang w:eastAsia="en-US"/>
              </w:rPr>
              <w:t>4%</w:t>
            </w:r>
          </w:p>
        </w:tc>
      </w:tr>
    </w:tbl>
    <w:p w:rsidR="004C38EA" w:rsidRPr="00D40A35" w:rsidRDefault="004C38EA" w:rsidP="005A30A5">
      <w:pPr>
        <w:rPr>
          <w:rFonts w:ascii="Calibri" w:hAnsi="Calibri" w:cs="Arial"/>
          <w:lang w:eastAsia="en-US"/>
        </w:rPr>
      </w:pPr>
    </w:p>
    <w:p w:rsidR="004C38EA" w:rsidRPr="00D40A35" w:rsidRDefault="004C38EA" w:rsidP="0075589B">
      <w:pPr>
        <w:rPr>
          <w:rFonts w:ascii="Calibri" w:hAnsi="Calibri" w:cs="Arial"/>
          <w:lang w:eastAsia="en-US"/>
        </w:rPr>
      </w:pPr>
      <w:r w:rsidRPr="00D40A35">
        <w:rPr>
          <w:rFonts w:ascii="Calibri" w:hAnsi="Calibri" w:cs="Arial"/>
          <w:lang w:eastAsia="en-US"/>
        </w:rPr>
        <w:t>Each year an estimated 16,000 U.S. allopathic medical school seniors and 15,000 graduates of osteopathic, Canadian or foreign medical schools compete for approximately 24,000 residency positions</w:t>
      </w:r>
      <w:r>
        <w:rPr>
          <w:rFonts w:ascii="Calibri" w:hAnsi="Calibri" w:cs="Arial"/>
          <w:lang w:eastAsia="en-US"/>
        </w:rPr>
        <w:t xml:space="preserve"> across the country</w:t>
      </w:r>
      <w:r w:rsidRPr="00D40A35">
        <w:rPr>
          <w:rFonts w:ascii="Calibri" w:hAnsi="Calibri" w:cs="Arial"/>
          <w:lang w:eastAsia="en-US"/>
        </w:rPr>
        <w:t>.</w:t>
      </w:r>
      <w:r w:rsidRPr="00D40A35">
        <w:rPr>
          <w:rStyle w:val="FootnoteReference"/>
          <w:rFonts w:ascii="Calibri" w:hAnsi="Calibri"/>
          <w:lang w:eastAsia="en-US"/>
        </w:rPr>
        <w:footnoteReference w:id="2"/>
      </w:r>
      <w:r w:rsidRPr="00D40A35">
        <w:rPr>
          <w:rFonts w:ascii="Calibri" w:hAnsi="Calibri" w:cs="Arial"/>
          <w:lang w:eastAsia="en-US"/>
        </w:rPr>
        <w:t xml:space="preserve"> The National Resident Match</w:t>
      </w:r>
      <w:r>
        <w:rPr>
          <w:rFonts w:ascii="Calibri" w:hAnsi="Calibri" w:cs="Arial"/>
          <w:lang w:eastAsia="en-US"/>
        </w:rPr>
        <w:t>ing</w:t>
      </w:r>
      <w:r w:rsidRPr="00D40A35">
        <w:rPr>
          <w:rFonts w:ascii="Calibri" w:hAnsi="Calibri" w:cs="Arial"/>
          <w:lang w:eastAsia="en-US"/>
        </w:rPr>
        <w:t xml:space="preserve"> Program</w:t>
      </w:r>
      <w:r>
        <w:rPr>
          <w:rFonts w:ascii="Calibri" w:hAnsi="Calibri" w:cs="Arial"/>
          <w:lang w:eastAsia="en-US"/>
        </w:rPr>
        <w:t xml:space="preserve"> (</w:t>
      </w:r>
      <w:r w:rsidRPr="00D40A35">
        <w:rPr>
          <w:rFonts w:ascii="Calibri" w:hAnsi="Calibri" w:cs="Arial"/>
          <w:lang w:eastAsia="en-US"/>
        </w:rPr>
        <w:t>NRMP</w:t>
      </w:r>
      <w:r>
        <w:rPr>
          <w:rFonts w:ascii="Calibri" w:hAnsi="Calibri" w:cs="Arial"/>
          <w:lang w:eastAsia="en-US"/>
        </w:rPr>
        <w:t>)</w:t>
      </w:r>
      <w:r w:rsidRPr="00D40A35">
        <w:rPr>
          <w:rFonts w:ascii="Calibri" w:hAnsi="Calibri" w:cs="Arial"/>
          <w:lang w:eastAsia="en-US"/>
        </w:rPr>
        <w:t xml:space="preserve"> compiles data on the matching process. Below is a breakdown of the specialties with the largest number of positions in the National Match in the United States and Massachusetts.</w:t>
      </w:r>
      <w:r>
        <w:rPr>
          <w:rFonts w:ascii="Calibri" w:hAnsi="Calibri" w:cs="Arial"/>
          <w:lang w:eastAsia="en-US"/>
        </w:rPr>
        <w:t xml:space="preserve"> Except where indicated otherwise, t</w:t>
      </w:r>
      <w:r w:rsidRPr="00D40A35">
        <w:rPr>
          <w:rFonts w:ascii="Calibri" w:hAnsi="Calibri" w:cs="Arial"/>
          <w:lang w:eastAsia="en-US"/>
        </w:rPr>
        <w:t xml:space="preserve">hese residency positions reflect training programs that accept trainees immediately </w:t>
      </w:r>
      <w:r>
        <w:rPr>
          <w:rFonts w:ascii="Calibri" w:hAnsi="Calibri" w:cs="Arial"/>
          <w:lang w:eastAsia="en-US"/>
        </w:rPr>
        <w:t xml:space="preserve">upon graduation from </w:t>
      </w:r>
      <w:r w:rsidRPr="00D40A35">
        <w:rPr>
          <w:rFonts w:ascii="Calibri" w:hAnsi="Calibri" w:cs="Arial"/>
          <w:lang w:eastAsia="en-US"/>
        </w:rPr>
        <w:t>medical school, in</w:t>
      </w:r>
      <w:r>
        <w:rPr>
          <w:rFonts w:ascii="Calibri" w:hAnsi="Calibri" w:cs="Arial"/>
          <w:lang w:eastAsia="en-US"/>
        </w:rPr>
        <w:t xml:space="preserve"> the first post-graduate year. </w:t>
      </w:r>
      <w:r w:rsidRPr="00D40A35">
        <w:rPr>
          <w:rFonts w:ascii="Calibri" w:hAnsi="Calibri" w:cs="Arial"/>
          <w:lang w:eastAsia="en-US"/>
        </w:rPr>
        <w:t xml:space="preserve">For other specialties or subspecialties, training begins after the trainee has already completed a year or </w:t>
      </w:r>
      <w:r>
        <w:rPr>
          <w:rFonts w:ascii="Calibri" w:hAnsi="Calibri" w:cs="Arial"/>
          <w:lang w:eastAsia="en-US"/>
        </w:rPr>
        <w:t>more of post-graduate training.</w:t>
      </w:r>
      <w:r w:rsidRPr="00D40A35">
        <w:rPr>
          <w:rFonts w:ascii="Calibri" w:hAnsi="Calibri" w:cs="Arial"/>
          <w:lang w:eastAsia="en-US"/>
        </w:rPr>
        <w:t xml:space="preserve"> </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304"/>
      </w:tblGrid>
      <w:tr w:rsidR="004C38EA" w:rsidRPr="00D40A35" w:rsidTr="00FC7B08">
        <w:trPr>
          <w:jc w:val="center"/>
        </w:trPr>
        <w:tc>
          <w:tcPr>
            <w:tcW w:w="4509" w:type="dxa"/>
          </w:tcPr>
          <w:p w:rsidR="004C38EA" w:rsidRPr="00136EC7" w:rsidRDefault="004C38EA" w:rsidP="00FC7B08">
            <w:pPr>
              <w:keepNext/>
              <w:rPr>
                <w:rFonts w:ascii="Calibri" w:hAnsi="Calibri" w:cs="Arial"/>
                <w:b/>
                <w:lang w:eastAsia="en-US"/>
              </w:rPr>
            </w:pPr>
            <w:r w:rsidRPr="00136EC7">
              <w:rPr>
                <w:rFonts w:ascii="Calibri" w:hAnsi="Calibri" w:cs="Arial"/>
                <w:b/>
                <w:sz w:val="22"/>
                <w:szCs w:val="22"/>
                <w:lang w:eastAsia="en-US"/>
              </w:rPr>
              <w:lastRenderedPageBreak/>
              <w:t>Specialty</w:t>
            </w:r>
            <w:r>
              <w:rPr>
                <w:rFonts w:ascii="Calibri" w:hAnsi="Calibri" w:cs="Arial"/>
                <w:b/>
                <w:sz w:val="22"/>
                <w:szCs w:val="22"/>
                <w:lang w:eastAsia="en-US"/>
              </w:rPr>
              <w:t xml:space="preserve"> </w:t>
            </w:r>
            <w:r>
              <w:rPr>
                <w:rStyle w:val="FootnoteReference"/>
                <w:rFonts w:ascii="Calibri" w:hAnsi="Calibri"/>
                <w:b/>
                <w:sz w:val="22"/>
                <w:szCs w:val="22"/>
                <w:lang w:eastAsia="en-US"/>
              </w:rPr>
              <w:footnoteReference w:id="3"/>
            </w:r>
          </w:p>
        </w:tc>
        <w:tc>
          <w:tcPr>
            <w:tcW w:w="2304" w:type="dxa"/>
          </w:tcPr>
          <w:p w:rsidR="004C38EA" w:rsidRPr="00136EC7" w:rsidRDefault="004C38EA" w:rsidP="00FC7B08">
            <w:pPr>
              <w:keepNext/>
              <w:rPr>
                <w:rFonts w:ascii="Calibri" w:hAnsi="Calibri" w:cs="Arial"/>
                <w:b/>
                <w:lang w:eastAsia="en-US"/>
              </w:rPr>
            </w:pPr>
            <w:r w:rsidRPr="00136EC7">
              <w:rPr>
                <w:rFonts w:ascii="Calibri" w:hAnsi="Calibri" w:cs="Arial"/>
                <w:b/>
                <w:sz w:val="22"/>
                <w:szCs w:val="22"/>
                <w:lang w:eastAsia="en-US"/>
              </w:rPr>
              <w:t>Number of Positions--</w:t>
            </w:r>
            <w:r w:rsidRPr="00136EC7">
              <w:rPr>
                <w:rFonts w:ascii="Calibri" w:hAnsi="Calibri" w:cs="Arial"/>
                <w:b/>
                <w:sz w:val="22"/>
                <w:szCs w:val="22"/>
                <w:lang w:eastAsia="en-US"/>
              </w:rPr>
              <w:br/>
              <w:t>United States</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Internal Medicine</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5,277</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Family Medicine</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2,740</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Pediatrics (Categorical)</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2,475</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 xml:space="preserve">Emergency Medicine </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1,668</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Anesthesiology (PGY-1 and PGY-2)</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1,476</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Obstetrics – Gynecology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1,240</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Surgery (Categorical)</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1,146</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Psychiatry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1,118</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Radiology – Diagnostic (PGY-1 and PGY-2)</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1,111</w:t>
            </w:r>
          </w:p>
        </w:tc>
      </w:tr>
      <w:tr w:rsidR="004C38EA" w:rsidRPr="00D40A35" w:rsidTr="00FC7B08">
        <w:trPr>
          <w:jc w:val="center"/>
        </w:trPr>
        <w:tc>
          <w:tcPr>
            <w:tcW w:w="4509" w:type="dxa"/>
          </w:tcPr>
          <w:p w:rsidR="004C38EA" w:rsidRPr="00136EC7" w:rsidRDefault="004C38EA" w:rsidP="005A30A5">
            <w:pPr>
              <w:rPr>
                <w:rFonts w:ascii="Calibri" w:hAnsi="Calibri" w:cs="Arial"/>
                <w:lang w:eastAsia="en-US"/>
              </w:rPr>
            </w:pPr>
            <w:r w:rsidRPr="00136EC7">
              <w:rPr>
                <w:rFonts w:ascii="Calibri" w:hAnsi="Calibri" w:cs="Arial"/>
                <w:sz w:val="22"/>
                <w:szCs w:val="22"/>
                <w:lang w:eastAsia="en-US"/>
              </w:rPr>
              <w:t>Orthopedic Surgery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682</w:t>
            </w:r>
          </w:p>
        </w:tc>
      </w:tr>
    </w:tbl>
    <w:p w:rsidR="004C38EA" w:rsidRPr="00D40A35" w:rsidRDefault="004C38EA" w:rsidP="005A30A5">
      <w:pPr>
        <w:rPr>
          <w:rFonts w:ascii="Calibri" w:hAnsi="Calibri"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2304"/>
      </w:tblGrid>
      <w:tr w:rsidR="004C38EA" w:rsidRPr="00D40A35" w:rsidTr="00FC7B08">
        <w:trPr>
          <w:jc w:val="center"/>
        </w:trPr>
        <w:tc>
          <w:tcPr>
            <w:tcW w:w="4480" w:type="dxa"/>
          </w:tcPr>
          <w:p w:rsidR="004C38EA" w:rsidRPr="00136EC7" w:rsidRDefault="004C38EA" w:rsidP="00FC7B08">
            <w:pPr>
              <w:rPr>
                <w:rFonts w:ascii="Calibri" w:hAnsi="Calibri" w:cs="Arial"/>
                <w:b/>
                <w:lang w:eastAsia="en-US"/>
              </w:rPr>
            </w:pPr>
            <w:r w:rsidRPr="00136EC7">
              <w:rPr>
                <w:rFonts w:ascii="Calibri" w:hAnsi="Calibri" w:cs="Arial"/>
                <w:b/>
                <w:sz w:val="22"/>
                <w:szCs w:val="22"/>
                <w:lang w:eastAsia="en-US"/>
              </w:rPr>
              <w:t>Specialty</w:t>
            </w:r>
            <w:r>
              <w:rPr>
                <w:rFonts w:ascii="Calibri" w:hAnsi="Calibri" w:cs="Arial"/>
                <w:b/>
                <w:sz w:val="22"/>
                <w:szCs w:val="22"/>
                <w:lang w:eastAsia="en-US"/>
              </w:rPr>
              <w:t xml:space="preserve"> </w:t>
            </w:r>
            <w:r>
              <w:rPr>
                <w:rStyle w:val="FootnoteReference"/>
                <w:rFonts w:ascii="Calibri" w:hAnsi="Calibri"/>
                <w:sz w:val="22"/>
                <w:szCs w:val="22"/>
                <w:lang w:eastAsia="en-US"/>
              </w:rPr>
              <w:footnoteReference w:id="4"/>
            </w:r>
          </w:p>
        </w:tc>
        <w:tc>
          <w:tcPr>
            <w:tcW w:w="2304" w:type="dxa"/>
          </w:tcPr>
          <w:p w:rsidR="004C38EA" w:rsidRPr="00136EC7" w:rsidRDefault="004C38EA" w:rsidP="00FC7B08">
            <w:pPr>
              <w:rPr>
                <w:rFonts w:ascii="Calibri" w:hAnsi="Calibri" w:cs="Arial"/>
                <w:b/>
                <w:lang w:eastAsia="en-US"/>
              </w:rPr>
            </w:pPr>
            <w:r w:rsidRPr="00136EC7">
              <w:rPr>
                <w:rFonts w:ascii="Calibri" w:hAnsi="Calibri" w:cs="Arial"/>
                <w:b/>
                <w:sz w:val="22"/>
                <w:szCs w:val="22"/>
                <w:lang w:eastAsia="en-US"/>
              </w:rPr>
              <w:t>Number of Positions--</w:t>
            </w:r>
            <w:r w:rsidRPr="00136EC7">
              <w:rPr>
                <w:rFonts w:ascii="Calibri" w:hAnsi="Calibri" w:cs="Arial"/>
                <w:b/>
                <w:sz w:val="22"/>
                <w:szCs w:val="22"/>
                <w:lang w:eastAsia="en-US"/>
              </w:rPr>
              <w:br/>
              <w:t>Massachusetts</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Internal Medicine</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450</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Surgery – General</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106</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Anesthesiology (PGY-1 and PGY-2)</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104</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Pediatrics (Categorical)</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89</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Psychiatry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67</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Emergency Medicine</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64</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Radiology – Diagnostic</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62</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Family Medicine</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45</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Neurology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42</w:t>
            </w:r>
          </w:p>
        </w:tc>
      </w:tr>
      <w:tr w:rsidR="004C38EA" w:rsidRPr="00D40A35" w:rsidTr="00FC7B08">
        <w:trPr>
          <w:jc w:val="center"/>
        </w:trPr>
        <w:tc>
          <w:tcPr>
            <w:tcW w:w="4480" w:type="dxa"/>
          </w:tcPr>
          <w:p w:rsidR="004C38EA" w:rsidRPr="00136EC7" w:rsidRDefault="004C38EA" w:rsidP="00FC7B08">
            <w:pPr>
              <w:rPr>
                <w:rFonts w:ascii="Calibri" w:hAnsi="Calibri" w:cs="Arial"/>
                <w:lang w:eastAsia="en-US"/>
              </w:rPr>
            </w:pPr>
            <w:r w:rsidRPr="00136EC7">
              <w:rPr>
                <w:rFonts w:ascii="Calibri" w:hAnsi="Calibri" w:cs="Arial"/>
                <w:sz w:val="22"/>
                <w:szCs w:val="22"/>
                <w:lang w:eastAsia="en-US"/>
              </w:rPr>
              <w:t>Obstetrics – Gynecology</w:t>
            </w:r>
          </w:p>
        </w:tc>
        <w:tc>
          <w:tcPr>
            <w:tcW w:w="2304" w:type="dxa"/>
          </w:tcPr>
          <w:p w:rsidR="004C38EA" w:rsidRPr="00136EC7" w:rsidRDefault="004C38EA" w:rsidP="00FC7B08">
            <w:pPr>
              <w:jc w:val="right"/>
              <w:rPr>
                <w:rFonts w:ascii="Calibri" w:hAnsi="Calibri" w:cs="Arial"/>
                <w:lang w:eastAsia="en-US"/>
              </w:rPr>
            </w:pPr>
            <w:r w:rsidRPr="00136EC7">
              <w:rPr>
                <w:rFonts w:ascii="Calibri" w:hAnsi="Calibri" w:cs="Arial"/>
                <w:sz w:val="22"/>
                <w:szCs w:val="22"/>
                <w:lang w:eastAsia="en-US"/>
              </w:rPr>
              <w:t>37</w:t>
            </w:r>
          </w:p>
        </w:tc>
      </w:tr>
    </w:tbl>
    <w:p w:rsidR="004C38EA" w:rsidRPr="00D40A35" w:rsidRDefault="004C38EA" w:rsidP="005A30A5">
      <w:pPr>
        <w:rPr>
          <w:rFonts w:ascii="Calibri" w:hAnsi="Calibri" w:cs="Arial"/>
          <w:lang w:eastAsia="en-US"/>
        </w:rPr>
      </w:pPr>
    </w:p>
    <w:p w:rsidR="004C38EA" w:rsidRPr="00D40A35" w:rsidRDefault="004C38EA" w:rsidP="0075589B">
      <w:pPr>
        <w:rPr>
          <w:rFonts w:ascii="Calibri" w:hAnsi="Calibri" w:cs="Arial"/>
          <w:lang w:eastAsia="en-US"/>
        </w:rPr>
      </w:pPr>
      <w:r w:rsidRPr="00D40A35">
        <w:rPr>
          <w:rFonts w:ascii="Calibri" w:hAnsi="Calibri" w:cs="Arial"/>
          <w:lang w:eastAsia="en-US"/>
        </w:rPr>
        <w:t>Eighteen institutions in the Commonwealth sponsor multiple programs in different specialties, and together account for the vast majority of trainees in the Commonwealth. The distribution of programs and the number of trainees at these programs is shown below.</w:t>
      </w:r>
      <w:r w:rsidRPr="00D40A35">
        <w:rPr>
          <w:rStyle w:val="FootnoteReference"/>
          <w:rFonts w:ascii="Calibri" w:hAnsi="Calibri"/>
          <w:lang w:eastAsia="en-US"/>
        </w:rPr>
        <w:footnoteReference w:id="5"/>
      </w:r>
    </w:p>
    <w:p w:rsidR="004C38EA" w:rsidRPr="00D40A35" w:rsidRDefault="004C38EA" w:rsidP="0075589B">
      <w:pPr>
        <w:rPr>
          <w:rFonts w:ascii="Calibri" w:hAnsi="Calibri" w:cs="Arial"/>
          <w:lang w:eastAsia="en-US"/>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1451"/>
        <w:gridCol w:w="1197"/>
        <w:gridCol w:w="1308"/>
      </w:tblGrid>
      <w:tr w:rsidR="004C38EA" w:rsidRPr="00D40A35" w:rsidTr="00E74831">
        <w:trPr>
          <w:jc w:val="center"/>
        </w:trPr>
        <w:tc>
          <w:tcPr>
            <w:tcW w:w="5438" w:type="dxa"/>
          </w:tcPr>
          <w:p w:rsidR="004C38EA" w:rsidRPr="00D40A35" w:rsidRDefault="004C38EA" w:rsidP="00E74831">
            <w:pPr>
              <w:rPr>
                <w:rFonts w:ascii="Calibri" w:hAnsi="Calibri" w:cs="Arial"/>
                <w:b/>
                <w:lang w:eastAsia="en-US"/>
              </w:rPr>
            </w:pPr>
            <w:r w:rsidRPr="00D40A35">
              <w:rPr>
                <w:rFonts w:ascii="Calibri" w:hAnsi="Calibri" w:cs="Arial"/>
                <w:b/>
                <w:lang w:eastAsia="en-US"/>
              </w:rPr>
              <w:t>Hospital</w:t>
            </w:r>
          </w:p>
        </w:tc>
        <w:tc>
          <w:tcPr>
            <w:tcW w:w="1451" w:type="dxa"/>
          </w:tcPr>
          <w:p w:rsidR="004C38EA" w:rsidRPr="00D40A35" w:rsidRDefault="004C38EA" w:rsidP="00E74831">
            <w:pPr>
              <w:rPr>
                <w:rFonts w:ascii="Calibri" w:hAnsi="Calibri" w:cs="Arial"/>
                <w:b/>
                <w:lang w:eastAsia="en-US"/>
              </w:rPr>
            </w:pPr>
            <w:r w:rsidRPr="00D40A35">
              <w:rPr>
                <w:rFonts w:ascii="Calibri" w:hAnsi="Calibri" w:cs="Arial"/>
                <w:b/>
                <w:lang w:eastAsia="en-US"/>
              </w:rPr>
              <w:t>City</w:t>
            </w:r>
          </w:p>
        </w:tc>
        <w:tc>
          <w:tcPr>
            <w:tcW w:w="1197" w:type="dxa"/>
          </w:tcPr>
          <w:p w:rsidR="004C38EA" w:rsidRPr="00D40A35" w:rsidRDefault="004C38EA" w:rsidP="00E74831">
            <w:pPr>
              <w:rPr>
                <w:rFonts w:ascii="Calibri" w:hAnsi="Calibri" w:cs="Arial"/>
                <w:b/>
                <w:lang w:eastAsia="en-US"/>
              </w:rPr>
            </w:pPr>
            <w:r w:rsidRPr="00D40A35">
              <w:rPr>
                <w:rFonts w:ascii="Calibri" w:hAnsi="Calibri" w:cs="Arial"/>
                <w:b/>
                <w:lang w:eastAsia="en-US"/>
              </w:rPr>
              <w:t>Programs</w:t>
            </w:r>
          </w:p>
        </w:tc>
        <w:tc>
          <w:tcPr>
            <w:tcW w:w="1308" w:type="dxa"/>
          </w:tcPr>
          <w:p w:rsidR="004C38EA" w:rsidRPr="00D40A35" w:rsidRDefault="004C38EA" w:rsidP="00E74831">
            <w:pPr>
              <w:rPr>
                <w:rFonts w:ascii="Calibri" w:hAnsi="Calibri" w:cs="Arial"/>
                <w:b/>
                <w:lang w:eastAsia="en-US"/>
              </w:rPr>
            </w:pPr>
            <w:r w:rsidRPr="00D40A35">
              <w:rPr>
                <w:rFonts w:ascii="Calibri" w:hAnsi="Calibri" w:cs="Arial"/>
                <w:b/>
                <w:lang w:eastAsia="en-US"/>
              </w:rPr>
              <w:t>Residents</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Brigham and Women’s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47</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933</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Mass General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53</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822</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 University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43</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588</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Beth Israel Deaconess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40</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566</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UMMS</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Worcester</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w:t>
            </w:r>
            <w:r>
              <w:rPr>
                <w:rFonts w:ascii="Calibri" w:hAnsi="Calibri" w:cs="Arial"/>
                <w:sz w:val="22"/>
                <w:szCs w:val="22"/>
                <w:lang w:eastAsia="en-US"/>
              </w:rPr>
              <w:t>2</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515</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Tufts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45</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444</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Children’s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37</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368</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lastRenderedPageBreak/>
              <w:t>Baystate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Springfield</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24</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317</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St. Elizabeth’s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11</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151</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Lahey Clinic</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Burlington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14</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130</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Cambridge Health Alliance</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Cambridge</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7</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98</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St. Vincent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Worcester</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97</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Berkshire Medical Center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Pittsfield</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69</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Mount Auburn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Cambridge</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2</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60</w:t>
            </w:r>
          </w:p>
        </w:tc>
      </w:tr>
      <w:tr w:rsidR="004C38EA" w:rsidRPr="00D40A35"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Steward Carney Hospital Inc.</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2</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51</w:t>
            </w:r>
          </w:p>
        </w:tc>
      </w:tr>
      <w:tr w:rsidR="004C38EA" w:rsidRPr="00CE450A"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Mass Eye and Ear</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5</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48</w:t>
            </w:r>
          </w:p>
        </w:tc>
      </w:tr>
      <w:tr w:rsidR="004C38EA" w:rsidRPr="00CE450A"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Metrowest Medical Center – Framingham Union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Framingham</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2</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37</w:t>
            </w:r>
          </w:p>
        </w:tc>
      </w:tr>
      <w:tr w:rsidR="004C38EA" w:rsidRPr="00CE450A" w:rsidTr="00E74831">
        <w:trPr>
          <w:jc w:val="center"/>
        </w:trPr>
        <w:tc>
          <w:tcPr>
            <w:tcW w:w="5438"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Spaulding Rehabilitation Hospital</w:t>
            </w:r>
          </w:p>
        </w:tc>
        <w:tc>
          <w:tcPr>
            <w:tcW w:w="1451" w:type="dxa"/>
          </w:tcPr>
          <w:p w:rsidR="004C38EA" w:rsidRPr="00314886" w:rsidRDefault="004C38EA" w:rsidP="00E74831">
            <w:pPr>
              <w:rPr>
                <w:rFonts w:ascii="Calibri" w:hAnsi="Calibri" w:cs="Arial"/>
                <w:lang w:eastAsia="en-US"/>
              </w:rPr>
            </w:pPr>
            <w:r w:rsidRPr="00314886">
              <w:rPr>
                <w:rFonts w:ascii="Calibri" w:hAnsi="Calibri" w:cs="Arial"/>
                <w:sz w:val="22"/>
                <w:szCs w:val="22"/>
                <w:lang w:eastAsia="en-US"/>
              </w:rPr>
              <w:t>Boston</w:t>
            </w:r>
          </w:p>
        </w:tc>
        <w:tc>
          <w:tcPr>
            <w:tcW w:w="1197"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3</w:t>
            </w:r>
          </w:p>
        </w:tc>
        <w:tc>
          <w:tcPr>
            <w:tcW w:w="1308" w:type="dxa"/>
          </w:tcPr>
          <w:p w:rsidR="004C38EA" w:rsidRPr="00314886" w:rsidRDefault="004C38EA" w:rsidP="00FC7B08">
            <w:pPr>
              <w:jc w:val="right"/>
              <w:rPr>
                <w:rFonts w:ascii="Calibri" w:hAnsi="Calibri" w:cs="Arial"/>
                <w:lang w:eastAsia="en-US"/>
              </w:rPr>
            </w:pPr>
            <w:r w:rsidRPr="00314886">
              <w:rPr>
                <w:rFonts w:ascii="Calibri" w:hAnsi="Calibri" w:cs="Arial"/>
                <w:sz w:val="22"/>
                <w:szCs w:val="22"/>
                <w:lang w:eastAsia="en-US"/>
              </w:rPr>
              <w:t>21</w:t>
            </w:r>
          </w:p>
        </w:tc>
      </w:tr>
    </w:tbl>
    <w:p w:rsidR="004C38EA" w:rsidRDefault="004C38EA" w:rsidP="0075589B">
      <w:pPr>
        <w:rPr>
          <w:rFonts w:ascii="Calibri" w:hAnsi="Calibri" w:cs="Arial"/>
          <w:sz w:val="22"/>
          <w:szCs w:val="22"/>
          <w:lang w:eastAsia="en-US"/>
        </w:rPr>
      </w:pPr>
    </w:p>
    <w:p w:rsidR="004C38EA" w:rsidRPr="00541886" w:rsidRDefault="004C38EA" w:rsidP="00CE450A">
      <w:pPr>
        <w:pStyle w:val="Heading2"/>
      </w:pPr>
      <w:r>
        <w:t>3.3 Overview of GME Funding Sources</w:t>
      </w:r>
    </w:p>
    <w:p w:rsidR="004C38EA" w:rsidRPr="00D40A35" w:rsidRDefault="004C38EA" w:rsidP="005A30A5">
      <w:pPr>
        <w:rPr>
          <w:rFonts w:ascii="Calibri" w:hAnsi="Calibri" w:cs="Arial"/>
          <w:i/>
          <w:lang w:eastAsia="en-US"/>
        </w:rPr>
      </w:pPr>
    </w:p>
    <w:p w:rsidR="004C38EA" w:rsidRPr="00D40A35" w:rsidRDefault="004C38EA" w:rsidP="005A30A5">
      <w:pPr>
        <w:rPr>
          <w:rFonts w:ascii="Calibri" w:hAnsi="Calibri" w:cs="Arial"/>
          <w:lang w:eastAsia="en-US"/>
        </w:rPr>
      </w:pPr>
      <w:r>
        <w:rPr>
          <w:rFonts w:ascii="Calibri" w:hAnsi="Calibri" w:cs="Arial"/>
          <w:lang w:eastAsia="en-US"/>
        </w:rPr>
        <w:t xml:space="preserve">In general, </w:t>
      </w:r>
      <w:r w:rsidRPr="00D40A35">
        <w:rPr>
          <w:rFonts w:ascii="Calibri" w:hAnsi="Calibri" w:cs="Arial"/>
          <w:lang w:eastAsia="en-US"/>
        </w:rPr>
        <w:t>GME is funded through federal programs, state programs and private sources. The Medicare program is the largest funder of GME in the United States. In addition to Medicare funding, the federal government supports GME through other programs, such as the Children’s Hospital GME Program, the Teaching Health Cen</w:t>
      </w:r>
      <w:r>
        <w:rPr>
          <w:rFonts w:ascii="Calibri" w:hAnsi="Calibri" w:cs="Arial"/>
          <w:lang w:eastAsia="en-US"/>
        </w:rPr>
        <w:t>ter GME Program, the Title VII H</w:t>
      </w:r>
      <w:r w:rsidRPr="00D40A35">
        <w:rPr>
          <w:rFonts w:ascii="Calibri" w:hAnsi="Calibri" w:cs="Arial"/>
          <w:lang w:eastAsia="en-US"/>
        </w:rPr>
        <w:t xml:space="preserve">ealth </w:t>
      </w:r>
      <w:r>
        <w:rPr>
          <w:rFonts w:ascii="Calibri" w:hAnsi="Calibri" w:cs="Arial"/>
          <w:lang w:eastAsia="en-US"/>
        </w:rPr>
        <w:t>P</w:t>
      </w:r>
      <w:r w:rsidRPr="00D40A35">
        <w:rPr>
          <w:rFonts w:ascii="Calibri" w:hAnsi="Calibri" w:cs="Arial"/>
          <w:lang w:eastAsia="en-US"/>
        </w:rPr>
        <w:t xml:space="preserve">rofessions </w:t>
      </w:r>
      <w:r>
        <w:rPr>
          <w:rFonts w:ascii="Calibri" w:hAnsi="Calibri" w:cs="Arial"/>
          <w:lang w:eastAsia="en-US"/>
        </w:rPr>
        <w:t>P</w:t>
      </w:r>
      <w:r w:rsidRPr="00D40A35">
        <w:rPr>
          <w:rFonts w:ascii="Calibri" w:hAnsi="Calibri" w:cs="Arial"/>
          <w:lang w:eastAsia="en-US"/>
        </w:rPr>
        <w:t xml:space="preserve">rogram, the Department of Defense, and the Department of Veterans Affairs. </w:t>
      </w:r>
      <w:r>
        <w:rPr>
          <w:rFonts w:ascii="Calibri" w:hAnsi="Calibri" w:cs="Arial"/>
          <w:lang w:eastAsia="en-US"/>
        </w:rPr>
        <w:t>Non-government funding often comes from industry, non-government grants, physicians’ organizations, and in some cases, foreign governments.</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b/>
          <w:i/>
          <w:u w:val="single"/>
          <w:lang w:eastAsia="en-US"/>
        </w:rPr>
      </w:pPr>
      <w:r w:rsidRPr="00D40A35">
        <w:rPr>
          <w:rFonts w:ascii="Calibri" w:hAnsi="Calibri" w:cs="Arial"/>
          <w:b/>
          <w:i/>
          <w:u w:val="single"/>
          <w:lang w:eastAsia="en-US"/>
        </w:rPr>
        <w:t xml:space="preserve">Medicare </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Medicare is the largest source of GME funding in the United States. In total, Medicare accounts for roughly $9.5 billion in funding annually. Medicare funding is provide</w:t>
      </w:r>
      <w:r>
        <w:rPr>
          <w:rFonts w:ascii="Calibri" w:hAnsi="Calibri" w:cs="Arial"/>
          <w:lang w:eastAsia="en-US"/>
        </w:rPr>
        <w:t>d through two types of payments:</w:t>
      </w:r>
      <w:r w:rsidRPr="00D40A35">
        <w:rPr>
          <w:rFonts w:ascii="Calibri" w:hAnsi="Calibri" w:cs="Arial"/>
          <w:lang w:eastAsia="en-US"/>
        </w:rPr>
        <w:t xml:space="preserve"> Indirect Graduate Medical Education Payments (IME) and Direct Graduat</w:t>
      </w:r>
      <w:r>
        <w:rPr>
          <w:rFonts w:ascii="Calibri" w:hAnsi="Calibri" w:cs="Arial"/>
          <w:lang w:eastAsia="en-US"/>
        </w:rPr>
        <w:t>e Medical Education Payments (D</w:t>
      </w:r>
      <w:r w:rsidRPr="00D40A35">
        <w:rPr>
          <w:rFonts w:ascii="Calibri" w:hAnsi="Calibri" w:cs="Arial"/>
          <w:lang w:eastAsia="en-US"/>
        </w:rPr>
        <w:t>ME).</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b/>
          <w:lang w:eastAsia="en-US"/>
        </w:rPr>
      </w:pPr>
      <w:r>
        <w:rPr>
          <w:rFonts w:ascii="Calibri" w:hAnsi="Calibri" w:cs="Arial"/>
          <w:b/>
          <w:lang w:eastAsia="en-US"/>
        </w:rPr>
        <w:t>D</w:t>
      </w:r>
      <w:r w:rsidRPr="00D40A35">
        <w:rPr>
          <w:rFonts w:ascii="Calibri" w:hAnsi="Calibri" w:cs="Arial"/>
          <w:b/>
          <w:lang w:eastAsia="en-US"/>
        </w:rPr>
        <w:t>ME Funding in the United States</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 xml:space="preserve">Direct Graduate Medical Education Payments </w:t>
      </w:r>
      <w:r>
        <w:rPr>
          <w:rFonts w:ascii="Calibri" w:hAnsi="Calibri" w:cs="Arial"/>
          <w:lang w:eastAsia="en-US"/>
        </w:rPr>
        <w:t xml:space="preserve">(DME) </w:t>
      </w:r>
      <w:r w:rsidRPr="00D40A35">
        <w:rPr>
          <w:rFonts w:ascii="Calibri" w:hAnsi="Calibri" w:cs="Arial"/>
          <w:lang w:eastAsia="en-US"/>
        </w:rPr>
        <w:t xml:space="preserve">accounted for roughly $3.2 billion in national funding in FY2011. These payments are intended to compensate institutions for Medicare’s share of the direct costs of graduate medical education. Examples of direct costs could include the stipends and benefits for residents, salaries for faculty, and institutional overhead related to GME. </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Medicare pays each teaching hospital a portion of the “per resident amount” (PRA).</w:t>
      </w:r>
      <w:r w:rsidRPr="00D40A35">
        <w:rPr>
          <w:rStyle w:val="FootnoteReference"/>
          <w:rFonts w:ascii="Calibri" w:hAnsi="Calibri"/>
          <w:lang w:eastAsia="en-US"/>
        </w:rPr>
        <w:footnoteReference w:id="6"/>
      </w:r>
      <w:r w:rsidRPr="00D40A35">
        <w:rPr>
          <w:rFonts w:ascii="Calibri" w:hAnsi="Calibri" w:cs="Arial"/>
          <w:lang w:eastAsia="en-US"/>
        </w:rPr>
        <w:t xml:space="preserve"> The PRA is the cost incurred by a hospital in a base year divided by the number of</w:t>
      </w:r>
      <w:r>
        <w:rPr>
          <w:rFonts w:ascii="Calibri" w:hAnsi="Calibri" w:cs="Arial"/>
          <w:lang w:eastAsia="en-US"/>
        </w:rPr>
        <w:t xml:space="preserve"> residents that hospital employed</w:t>
      </w:r>
      <w:r w:rsidRPr="00D40A35">
        <w:rPr>
          <w:rFonts w:ascii="Calibri" w:hAnsi="Calibri" w:cs="Arial"/>
          <w:lang w:eastAsia="en-US"/>
        </w:rPr>
        <w:t xml:space="preserve"> in that year, updated annually for inflation.  Medicare determines its share of the PRA by calculating the number of Medicare inpatient days by the total inpatient days for all patients at each hospital. </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Each hospital generally has two PRAs; this is due to Medicare only updating its primary care resident PRA for inflation in 1994 and 1995. As a result, teaching hospitals receive a slightly higher payment for primary care resident training.</w:t>
      </w:r>
    </w:p>
    <w:p w:rsidR="004C38EA" w:rsidRDefault="004C38EA" w:rsidP="005A30A5">
      <w:pPr>
        <w:rPr>
          <w:rFonts w:ascii="Calibri" w:hAnsi="Calibri" w:cs="Arial"/>
          <w:b/>
          <w:lang w:eastAsia="en-US"/>
        </w:rPr>
      </w:pPr>
    </w:p>
    <w:p w:rsidR="004C38EA" w:rsidRPr="00D40A35" w:rsidRDefault="004C38EA" w:rsidP="005A30A5">
      <w:pPr>
        <w:rPr>
          <w:rFonts w:ascii="Calibri" w:hAnsi="Calibri" w:cs="Arial"/>
          <w:b/>
          <w:lang w:eastAsia="en-US"/>
        </w:rPr>
      </w:pPr>
      <w:r w:rsidRPr="00D40A35">
        <w:rPr>
          <w:rFonts w:ascii="Calibri" w:hAnsi="Calibri" w:cs="Arial"/>
          <w:b/>
          <w:lang w:eastAsia="en-US"/>
        </w:rPr>
        <w:t>IME Funding in the United States</w:t>
      </w:r>
    </w:p>
    <w:p w:rsidR="004C38EA" w:rsidRPr="00D40A35" w:rsidRDefault="004C38EA" w:rsidP="005A30A5">
      <w:pPr>
        <w:rPr>
          <w:rFonts w:ascii="Calibri" w:hAnsi="Calibri" w:cs="Arial"/>
          <w:lang w:eastAsia="en-US"/>
        </w:rPr>
      </w:pPr>
    </w:p>
    <w:p w:rsidR="004C38EA" w:rsidRPr="00D40A35" w:rsidRDefault="004C38EA" w:rsidP="004A26D9">
      <w:pPr>
        <w:rPr>
          <w:rFonts w:ascii="Calibri" w:hAnsi="Calibri" w:cs="Arial"/>
          <w:lang w:eastAsia="en-US"/>
        </w:rPr>
      </w:pPr>
      <w:r>
        <w:rPr>
          <w:rFonts w:ascii="Calibri" w:hAnsi="Calibri" w:cs="Arial"/>
          <w:lang w:eastAsia="en-US"/>
        </w:rPr>
        <w:t>In addition to D</w:t>
      </w:r>
      <w:r w:rsidRPr="00D40A35">
        <w:rPr>
          <w:rFonts w:ascii="Calibri" w:hAnsi="Calibri" w:cs="Arial"/>
          <w:lang w:eastAsia="en-US"/>
        </w:rPr>
        <w:t xml:space="preserve">ME payments, Medicare makes Indirect Medical Education (IME) payments to teaching hospitals in recognition of the higher costs </w:t>
      </w:r>
      <w:r>
        <w:rPr>
          <w:rFonts w:ascii="Calibri" w:hAnsi="Calibri" w:cs="Arial"/>
          <w:lang w:eastAsia="en-US"/>
        </w:rPr>
        <w:t xml:space="preserve">incurred by </w:t>
      </w:r>
      <w:r w:rsidRPr="00D40A35">
        <w:rPr>
          <w:rFonts w:ascii="Calibri" w:hAnsi="Calibri" w:cs="Arial"/>
          <w:lang w:eastAsia="en-US"/>
        </w:rPr>
        <w:t xml:space="preserve">teaching </w:t>
      </w:r>
      <w:r>
        <w:rPr>
          <w:rFonts w:ascii="Calibri" w:hAnsi="Calibri" w:cs="Arial"/>
          <w:lang w:eastAsia="en-US"/>
        </w:rPr>
        <w:t>hospitals. While the D</w:t>
      </w:r>
      <w:r w:rsidRPr="00D40A35">
        <w:rPr>
          <w:rFonts w:ascii="Calibri" w:hAnsi="Calibri" w:cs="Arial"/>
          <w:lang w:eastAsia="en-US"/>
        </w:rPr>
        <w:t>ME payment is intended to compensate the direct costs associated with teaching residents</w:t>
      </w:r>
      <w:r>
        <w:rPr>
          <w:rFonts w:ascii="Calibri" w:hAnsi="Calibri" w:cs="Arial"/>
          <w:lang w:eastAsia="en-US"/>
        </w:rPr>
        <w:t xml:space="preserve">, such as </w:t>
      </w:r>
      <w:r w:rsidRPr="00D40A35">
        <w:rPr>
          <w:rFonts w:ascii="Calibri" w:hAnsi="Calibri" w:cs="Arial"/>
          <w:lang w:eastAsia="en-US"/>
        </w:rPr>
        <w:t>the salaries of faculty and residents</w:t>
      </w:r>
      <w:r>
        <w:rPr>
          <w:rFonts w:ascii="Calibri" w:hAnsi="Calibri" w:cs="Arial"/>
          <w:lang w:eastAsia="en-US"/>
        </w:rPr>
        <w:t xml:space="preserve">, </w:t>
      </w:r>
      <w:r w:rsidRPr="00D40A35">
        <w:rPr>
          <w:rFonts w:ascii="Calibri" w:hAnsi="Calibri" w:cs="Arial"/>
          <w:lang w:eastAsia="en-US"/>
        </w:rPr>
        <w:t>IME is intended to compensate for indirect costs. These indirect costs reflect the higher costs associated with teaching, involvement of residents in patient care, and the severity of illness of patients who require the specialized services that are available in teaching hospitals. In FY 2011, Medicare IME payments were approximately $6.5 billion nationally.</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The IME payment is applied as an adjustment to hospital payments. Medicare utilizes a formula to determine the IME adjustment factor.</w:t>
      </w:r>
      <w:r w:rsidRPr="00D40A35">
        <w:rPr>
          <w:rStyle w:val="FootnoteReference"/>
          <w:rFonts w:ascii="Calibri" w:hAnsi="Calibri"/>
          <w:lang w:eastAsia="en-US"/>
        </w:rPr>
        <w:footnoteReference w:id="7"/>
      </w:r>
      <w:r w:rsidRPr="00D40A35">
        <w:rPr>
          <w:rFonts w:ascii="Calibri" w:hAnsi="Calibri" w:cs="Arial"/>
          <w:lang w:eastAsia="en-US"/>
        </w:rPr>
        <w:t xml:space="preserve"> The formula is:</w:t>
      </w:r>
    </w:p>
    <w:p w:rsidR="004C38EA" w:rsidRPr="00D40A35" w:rsidRDefault="004C38EA" w:rsidP="005A30A5">
      <w:pPr>
        <w:rPr>
          <w:rFonts w:ascii="Calibri" w:hAnsi="Calibri" w:cs="Arial"/>
          <w:lang w:eastAsia="en-US"/>
        </w:rPr>
      </w:pPr>
      <w:r w:rsidRPr="00D40A35">
        <w:rPr>
          <w:rFonts w:ascii="Calibri" w:hAnsi="Calibri" w:cs="Arial"/>
          <w:lang w:eastAsia="en-US"/>
        </w:rPr>
        <w:tab/>
      </w:r>
      <w:r w:rsidRPr="00D40A35">
        <w:rPr>
          <w:rFonts w:ascii="Calibri" w:hAnsi="Calibri" w:cs="Arial"/>
          <w:lang w:eastAsia="en-US"/>
        </w:rPr>
        <w:tab/>
      </w:r>
    </w:p>
    <w:p w:rsidR="004C38EA" w:rsidRPr="00CE450A" w:rsidRDefault="004C38EA" w:rsidP="0080333C">
      <w:pPr>
        <w:ind w:left="1440" w:firstLine="720"/>
        <w:rPr>
          <w:rFonts w:ascii="Calibri" w:hAnsi="Calibri" w:cs="Arial"/>
          <w:i/>
          <w:lang w:eastAsia="en-US"/>
        </w:rPr>
      </w:pPr>
      <w:r w:rsidRPr="00CE450A">
        <w:rPr>
          <w:rFonts w:ascii="Calibri" w:hAnsi="Calibri" w:cs="Arial"/>
          <w:i/>
          <w:lang w:eastAsia="en-US"/>
        </w:rPr>
        <w:t>IME Adjustment Factor = c* [(1+r)</w:t>
      </w:r>
      <w:r w:rsidRPr="00CE450A">
        <w:rPr>
          <w:rFonts w:ascii="Calibri" w:hAnsi="Calibri" w:cs="Arial"/>
          <w:i/>
          <w:vertAlign w:val="superscript"/>
          <w:lang w:eastAsia="en-US"/>
        </w:rPr>
        <w:t xml:space="preserve">0.405 </w:t>
      </w:r>
      <w:r w:rsidRPr="00CE450A">
        <w:rPr>
          <w:rFonts w:ascii="Calibri" w:hAnsi="Calibri" w:cs="Arial"/>
          <w:i/>
          <w:lang w:eastAsia="en-US"/>
        </w:rPr>
        <w:t>– 1]</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 xml:space="preserve">In the above formula </w:t>
      </w:r>
    </w:p>
    <w:p w:rsidR="004C38EA" w:rsidRPr="00D40A35" w:rsidRDefault="004C38EA" w:rsidP="00B32346">
      <w:pPr>
        <w:ind w:firstLine="720"/>
        <w:rPr>
          <w:rFonts w:ascii="Calibri" w:hAnsi="Calibri" w:cs="Arial"/>
          <w:lang w:eastAsia="en-US"/>
        </w:rPr>
      </w:pPr>
      <w:r w:rsidRPr="00D40A35">
        <w:rPr>
          <w:rFonts w:ascii="Calibri" w:hAnsi="Calibri" w:cs="Arial"/>
          <w:lang w:eastAsia="en-US"/>
        </w:rPr>
        <w:t>(r) is the ratio of interns and residents to beds</w:t>
      </w:r>
    </w:p>
    <w:p w:rsidR="004C38EA" w:rsidRPr="00D40A35" w:rsidRDefault="004C38EA" w:rsidP="00B32346">
      <w:pPr>
        <w:ind w:firstLine="720"/>
        <w:rPr>
          <w:rFonts w:ascii="Calibri" w:hAnsi="Calibri" w:cs="Arial"/>
          <w:lang w:eastAsia="en-US"/>
        </w:rPr>
      </w:pPr>
      <w:r w:rsidRPr="00D40A35">
        <w:rPr>
          <w:rFonts w:ascii="Calibri" w:hAnsi="Calibri" w:cs="Arial"/>
          <w:lang w:eastAsia="en-US"/>
        </w:rPr>
        <w:t>(c) is a multiplier set by Congress</w:t>
      </w:r>
    </w:p>
    <w:p w:rsidR="004C38EA" w:rsidRPr="00D40A35" w:rsidRDefault="004C38EA" w:rsidP="00785EF3">
      <w:pPr>
        <w:rPr>
          <w:rFonts w:ascii="Calibri" w:hAnsi="Calibri" w:cs="Arial"/>
          <w:lang w:eastAsia="en-US"/>
        </w:rPr>
      </w:pPr>
    </w:p>
    <w:p w:rsidR="004C38EA" w:rsidRPr="00D40A35" w:rsidRDefault="004C38EA" w:rsidP="00785EF3">
      <w:pPr>
        <w:rPr>
          <w:rFonts w:ascii="Calibri" w:hAnsi="Calibri" w:cs="Arial"/>
          <w:lang w:eastAsia="en-US"/>
        </w:rPr>
      </w:pPr>
      <w:r w:rsidRPr="00D40A35">
        <w:rPr>
          <w:rFonts w:ascii="Calibri" w:hAnsi="Calibri" w:cs="TTE1FEA438t00"/>
        </w:rPr>
        <w:t>Overall, the formula translates into a 5.5 percent increase in IME payment for every 10 percent increase in the resident-to-bed ratio.</w:t>
      </w:r>
    </w:p>
    <w:p w:rsidR="004C38EA" w:rsidRDefault="004C38EA" w:rsidP="00785EF3">
      <w:pPr>
        <w:rPr>
          <w:rFonts w:ascii="Calibri" w:hAnsi="Calibri" w:cs="Arial"/>
          <w:lang w:eastAsia="en-US"/>
        </w:rPr>
      </w:pPr>
    </w:p>
    <w:p w:rsidR="004C38EA" w:rsidRPr="008F2176" w:rsidRDefault="004C38EA" w:rsidP="008F2176">
      <w:pPr>
        <w:rPr>
          <w:rFonts w:ascii="Calibri" w:hAnsi="Calibri" w:cs="Arial"/>
          <w:b/>
          <w:lang w:eastAsia="en-US"/>
        </w:rPr>
      </w:pPr>
      <w:r w:rsidRPr="008F2176">
        <w:rPr>
          <w:rFonts w:ascii="Calibri" w:hAnsi="Calibri" w:cs="Arial"/>
          <w:b/>
          <w:lang w:eastAsia="en-US"/>
        </w:rPr>
        <w:t>Medicare GME Residency Caps</w:t>
      </w:r>
    </w:p>
    <w:p w:rsidR="004C38EA" w:rsidRDefault="004C38EA" w:rsidP="008F2176">
      <w:pPr>
        <w:rPr>
          <w:rFonts w:ascii="Calibri" w:hAnsi="Calibri" w:cs="Arial"/>
          <w:lang w:eastAsia="en-US"/>
        </w:rPr>
      </w:pPr>
    </w:p>
    <w:p w:rsidR="004C38EA" w:rsidRPr="00D40A35" w:rsidRDefault="004C38EA" w:rsidP="008F2176">
      <w:pPr>
        <w:rPr>
          <w:rFonts w:ascii="Calibri" w:hAnsi="Calibri" w:cs="Arial"/>
          <w:lang w:eastAsia="en-US"/>
        </w:rPr>
      </w:pPr>
      <w:r w:rsidRPr="00D40A35">
        <w:rPr>
          <w:rFonts w:ascii="Calibri" w:hAnsi="Calibri" w:cs="Arial"/>
          <w:lang w:eastAsia="en-US"/>
        </w:rPr>
        <w:t>In 1997, the Balanced Budget Act set a cap for the number of residents a hospital c</w:t>
      </w:r>
      <w:r>
        <w:rPr>
          <w:rFonts w:ascii="Calibri" w:hAnsi="Calibri" w:cs="Arial"/>
          <w:lang w:eastAsia="en-US"/>
        </w:rPr>
        <w:t>an claim for its reimbursements under Medicare</w:t>
      </w:r>
      <w:r w:rsidRPr="00D40A35">
        <w:rPr>
          <w:rFonts w:ascii="Calibri" w:hAnsi="Calibri" w:cs="Arial"/>
          <w:lang w:eastAsia="en-US"/>
        </w:rPr>
        <w:t xml:space="preserve">. These caps were readjusted in 2002 and 2005 on the basis of a national redistribution formula. </w:t>
      </w:r>
      <w:r>
        <w:rPr>
          <w:rFonts w:ascii="Calibri" w:hAnsi="Calibri" w:cs="Arial"/>
          <w:lang w:eastAsia="en-US"/>
        </w:rPr>
        <w:t>Nearly all Massachusetts hospitals are at or over their cap.</w:t>
      </w:r>
      <w:r w:rsidRPr="00D40A35">
        <w:rPr>
          <w:rFonts w:ascii="Calibri" w:hAnsi="Calibri" w:cs="Arial"/>
          <w:lang w:eastAsia="en-US"/>
        </w:rPr>
        <w:t xml:space="preserve"> </w:t>
      </w:r>
      <w:r>
        <w:rPr>
          <w:rFonts w:ascii="Calibri" w:hAnsi="Calibri" w:cs="Arial"/>
          <w:lang w:eastAsia="en-US"/>
        </w:rPr>
        <w:t>Hospitals can choose to create more slots beyond the cap but Medicare does not help fund them.</w:t>
      </w:r>
    </w:p>
    <w:p w:rsidR="004C38EA" w:rsidRPr="00D40A35" w:rsidRDefault="004C38EA" w:rsidP="00785EF3">
      <w:pPr>
        <w:rPr>
          <w:rFonts w:ascii="Calibri" w:hAnsi="Calibri" w:cs="Arial"/>
          <w:lang w:eastAsia="en-US"/>
        </w:rPr>
      </w:pPr>
    </w:p>
    <w:p w:rsidR="004C38EA" w:rsidRPr="00D40A35" w:rsidRDefault="004C38EA" w:rsidP="00CF5B18">
      <w:pPr>
        <w:rPr>
          <w:rFonts w:ascii="Calibri" w:hAnsi="Calibri" w:cs="Arial"/>
          <w:b/>
          <w:lang w:eastAsia="en-US"/>
        </w:rPr>
      </w:pPr>
      <w:r>
        <w:rPr>
          <w:rFonts w:ascii="Calibri" w:hAnsi="Calibri" w:cs="Arial"/>
          <w:b/>
          <w:lang w:eastAsia="en-US"/>
        </w:rPr>
        <w:t>D</w:t>
      </w:r>
      <w:r w:rsidRPr="00D40A35">
        <w:rPr>
          <w:rFonts w:ascii="Calibri" w:hAnsi="Calibri" w:cs="Arial"/>
          <w:b/>
          <w:lang w:eastAsia="en-US"/>
        </w:rPr>
        <w:t>ME and IME Payments in Massachusetts</w:t>
      </w:r>
    </w:p>
    <w:p w:rsidR="004C38EA" w:rsidRPr="00D40A35" w:rsidRDefault="004C38EA" w:rsidP="00CF5B18">
      <w:pPr>
        <w:rPr>
          <w:rFonts w:ascii="Calibri" w:hAnsi="Calibri" w:cs="Arial"/>
          <w:lang w:eastAsia="en-US"/>
        </w:rPr>
      </w:pPr>
    </w:p>
    <w:p w:rsidR="004C38EA" w:rsidRPr="00D40A35" w:rsidRDefault="004C38EA" w:rsidP="00CF5B18">
      <w:pPr>
        <w:rPr>
          <w:rFonts w:ascii="Calibri" w:hAnsi="Calibri" w:cs="Arial"/>
          <w:lang w:eastAsia="en-US"/>
        </w:rPr>
      </w:pPr>
      <w:r w:rsidRPr="00D40A35">
        <w:rPr>
          <w:rFonts w:ascii="Calibri" w:hAnsi="Calibri" w:cs="Arial"/>
          <w:lang w:eastAsia="en-US"/>
        </w:rPr>
        <w:t xml:space="preserve">Academic medical institutions in Massachusetts receive both DME and IME payments. In Massachusetts, IME payments have risen over the past decade from roughly $278 million in </w:t>
      </w:r>
      <w:r>
        <w:rPr>
          <w:rFonts w:ascii="Calibri" w:hAnsi="Calibri" w:cs="Arial"/>
          <w:lang w:eastAsia="en-US"/>
        </w:rPr>
        <w:t>2000 to $404 million in 2012. D</w:t>
      </w:r>
      <w:r w:rsidRPr="00D40A35">
        <w:rPr>
          <w:rFonts w:ascii="Calibri" w:hAnsi="Calibri" w:cs="Arial"/>
          <w:lang w:eastAsia="en-US"/>
        </w:rPr>
        <w:t xml:space="preserve">ME payments have also risen over this time from $111 million in 2000 to $164 million in 2012. </w:t>
      </w:r>
    </w:p>
    <w:p w:rsidR="004C38EA" w:rsidRPr="00D40A35" w:rsidRDefault="004C38EA" w:rsidP="00CF5B18">
      <w:pPr>
        <w:rPr>
          <w:rFonts w:ascii="Calibri" w:hAnsi="Calibri" w:cs="Arial"/>
          <w:lang w:eastAsia="en-US"/>
        </w:rPr>
      </w:pPr>
    </w:p>
    <w:p w:rsidR="004C38EA" w:rsidRDefault="004C38EA" w:rsidP="00CB605B">
      <w:pPr>
        <w:rPr>
          <w:rStyle w:val="CommentReference"/>
        </w:rPr>
      </w:pPr>
      <w:r w:rsidRPr="00D40A35">
        <w:rPr>
          <w:rFonts w:ascii="Calibri" w:hAnsi="Calibri" w:cs="Arial"/>
          <w:lang w:eastAsia="en-US"/>
        </w:rPr>
        <w:lastRenderedPageBreak/>
        <w:t>Total IME and DME funding for Massachusetts is shown in the figure below</w:t>
      </w:r>
      <w:r>
        <w:rPr>
          <w:rFonts w:ascii="Calibri" w:hAnsi="Calibri" w:cs="Arial"/>
          <w:lang w:eastAsia="en-US"/>
        </w:rPr>
        <w:t>.</w:t>
      </w:r>
      <w:r>
        <w:rPr>
          <w:rStyle w:val="FootnoteReference"/>
          <w:rFonts w:ascii="Calibri" w:hAnsi="Calibri"/>
          <w:lang w:eastAsia="en-US"/>
        </w:rPr>
        <w:footnoteReference w:id="8"/>
      </w:r>
      <w:r w:rsidRPr="00D40A35">
        <w:rPr>
          <w:rFonts w:ascii="Calibri" w:hAnsi="Calibri" w:cs="Arial"/>
          <w:lang w:eastAsia="en-US"/>
        </w:rPr>
        <w:t xml:space="preserve"> </w:t>
      </w:r>
    </w:p>
    <w:p w:rsidR="004C38EA" w:rsidRDefault="004C38EA" w:rsidP="00CB605B">
      <w:pPr>
        <w:rPr>
          <w:rStyle w:val="CommentReference"/>
        </w:rPr>
      </w:pPr>
    </w:p>
    <w:p w:rsidR="004C38EA" w:rsidRDefault="004C38EA" w:rsidP="00CB605B">
      <w:pPr>
        <w:rPr>
          <w:rStyle w:val="CommentReference"/>
        </w:rPr>
      </w:pPr>
    </w:p>
    <w:p w:rsidR="004C38EA" w:rsidRPr="009A0136" w:rsidRDefault="004C38EA" w:rsidP="006B7889">
      <w:pPr>
        <w:keepNext/>
        <w:tabs>
          <w:tab w:val="left" w:pos="1920"/>
        </w:tabs>
        <w:rPr>
          <w:rStyle w:val="CommentReference"/>
          <w:rFonts w:ascii="Calibri" w:hAnsi="Calibri"/>
          <w:b/>
          <w:sz w:val="24"/>
        </w:rPr>
      </w:pPr>
      <w:r w:rsidRPr="009A0136">
        <w:rPr>
          <w:rStyle w:val="CommentReference"/>
          <w:rFonts w:ascii="Calibri" w:hAnsi="Calibri"/>
          <w:b/>
          <w:sz w:val="24"/>
        </w:rPr>
        <w:t>Massachusetts IME, DME and Total GME Funding from 2000-2012</w:t>
      </w:r>
      <w:r w:rsidRPr="009A0136">
        <w:rPr>
          <w:rStyle w:val="FootnoteReference"/>
          <w:rFonts w:ascii="Calibri" w:hAnsi="Calibri"/>
          <w:b/>
        </w:rPr>
        <w:footnoteReference w:id="9"/>
      </w:r>
    </w:p>
    <w:p w:rsidR="004C38EA" w:rsidRDefault="004C38EA" w:rsidP="006B7889">
      <w:pPr>
        <w:keepNext/>
        <w:tabs>
          <w:tab w:val="left" w:pos="1920"/>
        </w:tabs>
        <w:rPr>
          <w:rStyle w:val="CommentReference"/>
          <w:b/>
          <w:sz w:val="24"/>
        </w:rPr>
      </w:pPr>
    </w:p>
    <w:p w:rsidR="004C38EA" w:rsidRDefault="00211E86" w:rsidP="006B7889">
      <w:pPr>
        <w:keepNext/>
        <w:tabs>
          <w:tab w:val="left" w:pos="1920"/>
        </w:tabs>
        <w:rPr>
          <w:rStyle w:val="CommentReference"/>
          <w:b/>
          <w:sz w:val="24"/>
        </w:rPr>
      </w:pPr>
      <w:r>
        <w:rPr>
          <w:noProof/>
          <w:sz w:val="16"/>
          <w:lang w:eastAsia="en-US"/>
        </w:rPr>
        <w:pict>
          <v:shape id="Picture 1" o:spid="_x0000_i1025" type="#_x0000_t75" alt="Massachusetts IME, DME and Total GME Funding from 2000-2012" style="width:7in;height:255.25pt;visibility:visible">
            <v:imagedata r:id="rId15" o:title=""/>
          </v:shape>
        </w:pict>
      </w:r>
      <w:r w:rsidR="004C38EA">
        <w:rPr>
          <w:rStyle w:val="CommentReference"/>
          <w:b/>
          <w:sz w:val="24"/>
        </w:rPr>
        <w:br/>
      </w:r>
    </w:p>
    <w:p w:rsidR="004C38EA" w:rsidRPr="00D40A35" w:rsidRDefault="004C38EA" w:rsidP="00575AA7">
      <w:pPr>
        <w:rPr>
          <w:rFonts w:ascii="Calibri" w:hAnsi="Calibri"/>
        </w:rPr>
      </w:pPr>
      <w:r w:rsidRPr="00D40A35">
        <w:rPr>
          <w:rFonts w:ascii="Calibri" w:hAnsi="Calibri"/>
        </w:rPr>
        <w:t xml:space="preserve">Massachusetts </w:t>
      </w:r>
      <w:r>
        <w:rPr>
          <w:rFonts w:ascii="Calibri" w:hAnsi="Calibri"/>
        </w:rPr>
        <w:t xml:space="preserve">hospitals </w:t>
      </w:r>
      <w:r w:rsidRPr="00D40A35">
        <w:rPr>
          <w:rFonts w:ascii="Calibri" w:hAnsi="Calibri"/>
        </w:rPr>
        <w:t>receiving DME and IME payments, and the amounts received by each, are shown in the table below. According to the 2012 CMS Cost Reports, 27 Massachusetts hospitals received IME payme</w:t>
      </w:r>
      <w:r>
        <w:rPr>
          <w:rFonts w:ascii="Calibri" w:hAnsi="Calibri"/>
        </w:rPr>
        <w:t>nts and 33 hospitals received D</w:t>
      </w:r>
      <w:r w:rsidRPr="00D40A35">
        <w:rPr>
          <w:rFonts w:ascii="Calibri" w:hAnsi="Calibri"/>
        </w:rPr>
        <w:t>ME payments through Medicare in FY2012.</w:t>
      </w:r>
      <w:r>
        <w:rPr>
          <w:rStyle w:val="FootnoteReference"/>
          <w:rFonts w:ascii="Calibri" w:hAnsi="Calibri"/>
        </w:rPr>
        <w:footnoteReference w:id="10"/>
      </w:r>
    </w:p>
    <w:p w:rsidR="004C38EA" w:rsidRPr="00D40A35" w:rsidRDefault="004C38EA" w:rsidP="00575AA7">
      <w:pPr>
        <w:rPr>
          <w:rFonts w:ascii="Calibri" w:hAnsi="Calibri"/>
        </w:rPr>
      </w:pPr>
    </w:p>
    <w:tbl>
      <w:tblPr>
        <w:tblW w:w="9777" w:type="dxa"/>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1517"/>
        <w:gridCol w:w="1330"/>
        <w:gridCol w:w="1390"/>
        <w:gridCol w:w="1390"/>
      </w:tblGrid>
      <w:tr w:rsidR="004C38EA" w:rsidRPr="00D40A35" w:rsidTr="00911859">
        <w:trPr>
          <w:jc w:val="center"/>
        </w:trPr>
        <w:tc>
          <w:tcPr>
            <w:tcW w:w="4151" w:type="dxa"/>
          </w:tcPr>
          <w:p w:rsidR="004C38EA" w:rsidRPr="00136EC7" w:rsidRDefault="004C38EA" w:rsidP="00575AA7">
            <w:pPr>
              <w:rPr>
                <w:rFonts w:ascii="Calibri" w:hAnsi="Calibri" w:cs="Arial"/>
                <w:b/>
                <w:lang w:eastAsia="en-US"/>
              </w:rPr>
            </w:pPr>
            <w:r w:rsidRPr="00136EC7">
              <w:rPr>
                <w:rFonts w:ascii="Calibri" w:hAnsi="Calibri" w:cs="Arial"/>
                <w:b/>
                <w:sz w:val="22"/>
                <w:szCs w:val="22"/>
                <w:lang w:eastAsia="en-US"/>
              </w:rPr>
              <w:t>Hospital</w:t>
            </w:r>
          </w:p>
        </w:tc>
        <w:tc>
          <w:tcPr>
            <w:tcW w:w="1517" w:type="dxa"/>
          </w:tcPr>
          <w:p w:rsidR="004C38EA" w:rsidRPr="00136EC7" w:rsidRDefault="004C38EA" w:rsidP="00575AA7">
            <w:pPr>
              <w:rPr>
                <w:rFonts w:ascii="Calibri" w:hAnsi="Calibri" w:cs="Arial"/>
                <w:b/>
                <w:lang w:eastAsia="en-US"/>
              </w:rPr>
            </w:pPr>
            <w:r w:rsidRPr="00136EC7">
              <w:rPr>
                <w:rFonts w:ascii="Calibri" w:hAnsi="Calibri" w:cs="Arial"/>
                <w:b/>
                <w:sz w:val="22"/>
                <w:szCs w:val="22"/>
                <w:lang w:eastAsia="en-US"/>
              </w:rPr>
              <w:t>City</w:t>
            </w:r>
          </w:p>
        </w:tc>
        <w:tc>
          <w:tcPr>
            <w:tcW w:w="1329" w:type="dxa"/>
          </w:tcPr>
          <w:p w:rsidR="004C38EA" w:rsidRPr="00136EC7" w:rsidRDefault="004C38EA" w:rsidP="00575AA7">
            <w:pPr>
              <w:rPr>
                <w:rFonts w:ascii="Calibri" w:hAnsi="Calibri" w:cs="Arial"/>
                <w:b/>
                <w:lang w:eastAsia="en-US"/>
              </w:rPr>
            </w:pPr>
            <w:r>
              <w:rPr>
                <w:rFonts w:ascii="Calibri" w:hAnsi="Calibri" w:cs="Arial"/>
                <w:b/>
                <w:sz w:val="22"/>
                <w:szCs w:val="22"/>
                <w:lang w:eastAsia="en-US"/>
              </w:rPr>
              <w:t>D</w:t>
            </w:r>
            <w:r w:rsidRPr="00136EC7">
              <w:rPr>
                <w:rFonts w:ascii="Calibri" w:hAnsi="Calibri" w:cs="Arial"/>
                <w:b/>
                <w:sz w:val="22"/>
                <w:szCs w:val="22"/>
                <w:lang w:eastAsia="en-US"/>
              </w:rPr>
              <w:t>ME</w:t>
            </w:r>
          </w:p>
        </w:tc>
        <w:tc>
          <w:tcPr>
            <w:tcW w:w="1390" w:type="dxa"/>
          </w:tcPr>
          <w:p w:rsidR="004C38EA" w:rsidRPr="00136EC7" w:rsidRDefault="004C38EA" w:rsidP="00575AA7">
            <w:pPr>
              <w:rPr>
                <w:rFonts w:ascii="Calibri" w:hAnsi="Calibri" w:cs="Arial"/>
                <w:b/>
                <w:lang w:eastAsia="en-US"/>
              </w:rPr>
            </w:pPr>
            <w:r w:rsidRPr="00136EC7">
              <w:rPr>
                <w:rFonts w:ascii="Calibri" w:hAnsi="Calibri" w:cs="Arial"/>
                <w:b/>
                <w:sz w:val="22"/>
                <w:szCs w:val="22"/>
                <w:lang w:eastAsia="en-US"/>
              </w:rPr>
              <w:t>IME</w:t>
            </w:r>
          </w:p>
        </w:tc>
        <w:tc>
          <w:tcPr>
            <w:tcW w:w="1390" w:type="dxa"/>
          </w:tcPr>
          <w:p w:rsidR="004C38EA" w:rsidRPr="00136EC7" w:rsidRDefault="004C38EA" w:rsidP="00575AA7">
            <w:pPr>
              <w:rPr>
                <w:rFonts w:ascii="Calibri" w:hAnsi="Calibri" w:cs="Arial"/>
                <w:b/>
                <w:lang w:eastAsia="en-US"/>
              </w:rPr>
            </w:pPr>
            <w:r w:rsidRPr="00136EC7">
              <w:rPr>
                <w:rFonts w:ascii="Calibri" w:hAnsi="Calibri" w:cs="Arial"/>
                <w:b/>
                <w:sz w:val="22"/>
                <w:szCs w:val="22"/>
                <w:lang w:eastAsia="en-US"/>
              </w:rPr>
              <w:t>Total</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Massachusetts General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$27,160,508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$65,758,131</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$92,918,639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Beth Israel Deaconess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$23,049,458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$52,121,312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$75,170,770</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Brigham and Women’s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$15,753,282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$57,075,635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$72,828,917</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Pr>
                <w:rFonts w:ascii="Calibri" w:hAnsi="Calibri" w:cs="Arial"/>
                <w:sz w:val="22"/>
                <w:szCs w:val="22"/>
                <w:lang w:eastAsia="en-US"/>
              </w:rPr>
              <w:t>UMass Memorial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Worcester</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$13,433,041</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$52,531,201</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$65,964,242</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Baystate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Springfield</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$14,545,752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$30,418,726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$44,964,478</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$13,276,828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$31,211,293</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$44,488,121</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lastRenderedPageBreak/>
              <w:t>Tufts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$8,650,659</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$30,263,363</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$38,914,022</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Lahey Clinic</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Burlington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$7,391,586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$24,930,115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$32,321,701</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Steward – St. Elizabeth’s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$6,547,300</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$15,704,913</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$22,252,213</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Berkshire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Pittsfield</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$4,796,965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$9,158,363</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$13,955,328</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Mount Auburn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Cambridge</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$3,561,162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$9,076,147</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$12,637,309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Newton Wellesley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Newton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$1,983,195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$4,075,850</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$6,059,045</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Steward Carney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$2,801,755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$3,215,503</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$6,017,258</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North Shore Medical Center</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Salem</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$1,572,974</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$3,560,755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$5,133,729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Faulkner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$1,543,495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$2,348,389</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$3,891,884</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Lawrence General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Lawrence</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$1,357,029</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$2,015,910</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$3,372,939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Mass Eye &amp; Ear Infirmary</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$1,365,874</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$1,759,552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$3,125,426</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Brockton Hospital Inc.</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 xml:space="preserve">Brockton </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$998,758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$1,910,946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$2,909,704</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Milford Regional Medical Center Inc.</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Milford</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$712,167</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$1,885,529</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$2,597,696</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New England Baptist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$245,812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$1,525,100</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$1,770,912</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Health Alliance</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Leominster</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$443,924</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$1,276,594</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$1,720,518</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Good Samaritan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Brockton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$295,980</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$953,514</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$1,249,494</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Steward – St. Anne’s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Fall River</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$274,126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$529,666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$803,792</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Cape Cod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Hyannis</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$174,696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$561,626</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$736,322</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Dana Farber Cancer Institute</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$448,871</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$448,871</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Winchester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Winchester</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$93,155</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$250,018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$343,173</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Hallmark Health System</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Medford</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$78,918</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$119,342</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$198,260</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Children’s Hospital Corporation</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$96,559</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$96,559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McLean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Belmont</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$88,559</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$88,559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Spaulding Rehabilitation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Boston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$49,919</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$49,919</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Beth Israel Deaconess Hospital – Needham</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Needham</w:t>
            </w:r>
          </w:p>
        </w:tc>
        <w:tc>
          <w:tcPr>
            <w:tcW w:w="1329"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$40,037</w:t>
            </w: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$40,037</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Marlborough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Marlborough</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$1,173</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$1,173</w:t>
            </w:r>
          </w:p>
        </w:tc>
      </w:tr>
      <w:tr w:rsidR="004C38EA" w:rsidRPr="00D40A35" w:rsidTr="00911859">
        <w:trPr>
          <w:jc w:val="center"/>
        </w:trPr>
        <w:tc>
          <w:tcPr>
            <w:tcW w:w="4151"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New England Sinai Hospital</w:t>
            </w:r>
          </w:p>
        </w:tc>
        <w:tc>
          <w:tcPr>
            <w:tcW w:w="1517" w:type="dxa"/>
          </w:tcPr>
          <w:p w:rsidR="004C38EA" w:rsidRPr="00136EC7" w:rsidRDefault="004C38EA" w:rsidP="00575AA7">
            <w:pPr>
              <w:rPr>
                <w:rFonts w:ascii="Calibri" w:hAnsi="Calibri" w:cs="Arial"/>
                <w:lang w:eastAsia="en-US"/>
              </w:rPr>
            </w:pPr>
            <w:r w:rsidRPr="00136EC7">
              <w:rPr>
                <w:rFonts w:ascii="Calibri" w:hAnsi="Calibri" w:cs="Arial"/>
                <w:sz w:val="22"/>
                <w:szCs w:val="22"/>
                <w:lang w:eastAsia="en-US"/>
              </w:rPr>
              <w:t>Stoughton</w:t>
            </w:r>
          </w:p>
        </w:tc>
        <w:tc>
          <w:tcPr>
            <w:tcW w:w="1329" w:type="dxa"/>
          </w:tcPr>
          <w:p w:rsidR="004C38EA" w:rsidRPr="00136EC7" w:rsidRDefault="004C38EA" w:rsidP="009A0136">
            <w:pPr>
              <w:jc w:val="right"/>
              <w:rPr>
                <w:rFonts w:ascii="Calibri" w:hAnsi="Calibri" w:cs="Arial"/>
              </w:rPr>
            </w:pPr>
            <w:r w:rsidRPr="00136EC7">
              <w:rPr>
                <w:rFonts w:ascii="Calibri" w:hAnsi="Calibri" w:cs="Arial"/>
                <w:sz w:val="22"/>
                <w:szCs w:val="22"/>
              </w:rPr>
              <w:t>$1,158</w:t>
            </w:r>
          </w:p>
        </w:tc>
        <w:tc>
          <w:tcPr>
            <w:tcW w:w="1390" w:type="dxa"/>
          </w:tcPr>
          <w:p w:rsidR="004C38EA" w:rsidRPr="00136EC7" w:rsidRDefault="004C38EA" w:rsidP="009A0136">
            <w:pPr>
              <w:jc w:val="right"/>
              <w:rPr>
                <w:rFonts w:ascii="Calibri" w:hAnsi="Calibri" w:cs="Arial"/>
                <w:lang w:eastAsia="en-US"/>
              </w:rPr>
            </w:pPr>
          </w:p>
        </w:tc>
        <w:tc>
          <w:tcPr>
            <w:tcW w:w="1390" w:type="dxa"/>
          </w:tcPr>
          <w:p w:rsidR="004C38EA" w:rsidRPr="00136EC7" w:rsidRDefault="004C38EA" w:rsidP="009A0136">
            <w:pPr>
              <w:jc w:val="right"/>
              <w:rPr>
                <w:rFonts w:ascii="Calibri" w:hAnsi="Calibri" w:cs="Arial"/>
              </w:rPr>
            </w:pPr>
            <w:r w:rsidRPr="00136EC7">
              <w:rPr>
                <w:rFonts w:ascii="Calibri" w:hAnsi="Calibri" w:cs="Arial"/>
                <w:sz w:val="22"/>
                <w:szCs w:val="22"/>
              </w:rPr>
              <w:t>$1,158</w:t>
            </w:r>
          </w:p>
        </w:tc>
      </w:tr>
    </w:tbl>
    <w:p w:rsidR="004C38EA" w:rsidRPr="00D40A35" w:rsidRDefault="004C38EA" w:rsidP="00575AA7">
      <w:pPr>
        <w:rPr>
          <w:rFonts w:ascii="Calibri" w:hAnsi="Calibri" w:cs="Arial"/>
          <w:i/>
          <w:u w:val="single"/>
          <w:lang w:eastAsia="en-US"/>
        </w:rPr>
      </w:pPr>
    </w:p>
    <w:p w:rsidR="004C38EA" w:rsidRDefault="004C38EA" w:rsidP="005A30A5">
      <w:pPr>
        <w:rPr>
          <w:rFonts w:ascii="Calibri" w:hAnsi="Calibri" w:cs="Arial"/>
          <w:b/>
          <w:i/>
          <w:u w:val="single"/>
          <w:lang w:eastAsia="en-US"/>
        </w:rPr>
      </w:pPr>
      <w:r>
        <w:rPr>
          <w:rFonts w:ascii="Calibri" w:hAnsi="Calibri" w:cs="Arial"/>
          <w:b/>
          <w:i/>
          <w:u w:val="single"/>
          <w:lang w:eastAsia="en-US"/>
        </w:rPr>
        <w:t>Medicaid Funding</w:t>
      </w:r>
    </w:p>
    <w:p w:rsidR="004C38EA" w:rsidRDefault="004C38EA" w:rsidP="005A30A5">
      <w:pPr>
        <w:rPr>
          <w:rFonts w:ascii="Calibri" w:hAnsi="Calibri" w:cs="Arial"/>
          <w:b/>
          <w:i/>
          <w:u w:val="single"/>
          <w:lang w:eastAsia="en-US"/>
        </w:rPr>
      </w:pPr>
    </w:p>
    <w:p w:rsidR="004C38EA" w:rsidRPr="00046616" w:rsidRDefault="004C38EA" w:rsidP="007429DA">
      <w:pPr>
        <w:widowControl w:val="0"/>
        <w:autoSpaceDE w:val="0"/>
        <w:autoSpaceDN w:val="0"/>
        <w:adjustRightInd w:val="0"/>
        <w:rPr>
          <w:rFonts w:ascii="Calibri" w:hAnsi="Calibri" w:cs="Arial"/>
          <w:lang w:eastAsia="en-US"/>
        </w:rPr>
      </w:pPr>
      <w:r w:rsidRPr="00046616">
        <w:rPr>
          <w:rFonts w:ascii="Calibri" w:hAnsi="Calibri" w:cs="Arial"/>
          <w:lang w:eastAsia="en-US"/>
        </w:rPr>
        <w:t xml:space="preserve">Many states elect to provide funding for GME through Medicaid. In 2009, approximately $3.8 billion was provided through Medicaid to support GME. </w:t>
      </w:r>
      <w:r w:rsidRPr="00DB0D7D">
        <w:rPr>
          <w:rFonts w:ascii="Calibri" w:hAnsi="Calibri" w:cs="Arial"/>
          <w:lang w:eastAsia="en-US"/>
        </w:rPr>
        <w:t xml:space="preserve">Medicaid payments can support </w:t>
      </w:r>
      <w:r>
        <w:rPr>
          <w:rFonts w:ascii="Calibri" w:hAnsi="Calibri" w:cs="Arial"/>
          <w:lang w:eastAsia="en-US"/>
        </w:rPr>
        <w:t xml:space="preserve">direct </w:t>
      </w:r>
      <w:r w:rsidRPr="00DB0D7D">
        <w:rPr>
          <w:rFonts w:ascii="Calibri" w:hAnsi="Calibri"/>
        </w:rPr>
        <w:t>graduate medical education (DME), indirect medical education (IME), and other special services related to teaching hospitals.</w:t>
      </w:r>
      <w:r>
        <w:rPr>
          <w:rFonts w:ascii="Calibri" w:hAnsi="Calibri"/>
        </w:rPr>
        <w:t xml:space="preserve"> While Massachusetts in the past has paid DME as part of fee-for-service (FFS) rates, DME payments through Medicaid were eliminated starting in Rate Year 2010. </w:t>
      </w:r>
    </w:p>
    <w:p w:rsidR="004C38EA" w:rsidRDefault="004C38EA" w:rsidP="005A30A5">
      <w:pPr>
        <w:rPr>
          <w:rFonts w:ascii="Calibri" w:hAnsi="Calibri" w:cs="Arial"/>
          <w:lang w:eastAsia="en-US"/>
        </w:rPr>
      </w:pPr>
    </w:p>
    <w:p w:rsidR="004C38EA" w:rsidRPr="00D40A35" w:rsidRDefault="004C38EA" w:rsidP="005A30A5">
      <w:pPr>
        <w:rPr>
          <w:rFonts w:ascii="Calibri" w:hAnsi="Calibri" w:cs="Arial"/>
          <w:b/>
          <w:i/>
          <w:u w:val="single"/>
          <w:lang w:eastAsia="en-US"/>
        </w:rPr>
      </w:pPr>
      <w:r w:rsidRPr="00D40A35">
        <w:rPr>
          <w:rFonts w:ascii="Calibri" w:hAnsi="Calibri" w:cs="Arial"/>
          <w:b/>
          <w:i/>
          <w:u w:val="single"/>
          <w:lang w:eastAsia="en-US"/>
        </w:rPr>
        <w:t>Children’s Hospital GME Payment Program</w:t>
      </w:r>
    </w:p>
    <w:p w:rsidR="004C38EA" w:rsidRPr="00D40A35" w:rsidRDefault="004C38EA" w:rsidP="005A30A5">
      <w:pPr>
        <w:rPr>
          <w:rFonts w:ascii="Calibri" w:hAnsi="Calibri" w:cs="Arial"/>
          <w:lang w:eastAsia="en-US"/>
        </w:rPr>
      </w:pPr>
    </w:p>
    <w:p w:rsidR="004C38EA" w:rsidRPr="00D40A35" w:rsidRDefault="004C38EA" w:rsidP="005A30A5">
      <w:pPr>
        <w:rPr>
          <w:rFonts w:ascii="Calibri" w:hAnsi="Calibri" w:cs="Arial"/>
          <w:lang w:eastAsia="en-US"/>
        </w:rPr>
      </w:pPr>
      <w:r w:rsidRPr="00D40A35">
        <w:rPr>
          <w:rFonts w:ascii="Calibri" w:hAnsi="Calibri" w:cs="Arial"/>
          <w:lang w:eastAsia="en-US"/>
        </w:rPr>
        <w:t xml:space="preserve">The Children’s </w:t>
      </w:r>
      <w:r>
        <w:rPr>
          <w:rFonts w:ascii="Calibri" w:hAnsi="Calibri" w:cs="Arial"/>
          <w:lang w:eastAsia="en-US"/>
        </w:rPr>
        <w:t xml:space="preserve">Hospital </w:t>
      </w:r>
      <w:r w:rsidRPr="00D40A35">
        <w:rPr>
          <w:rFonts w:ascii="Calibri" w:hAnsi="Calibri" w:cs="Arial"/>
          <w:lang w:eastAsia="en-US"/>
        </w:rPr>
        <w:t>GME Payment Program provides federal funds to freestanding children’s hospitals. According to the Health Resources and Services Administration (HRSA) of the U</w:t>
      </w:r>
      <w:r>
        <w:rPr>
          <w:rFonts w:ascii="Calibri" w:hAnsi="Calibri" w:cs="Arial"/>
          <w:lang w:eastAsia="en-US"/>
        </w:rPr>
        <w:t>.</w:t>
      </w:r>
      <w:r w:rsidRPr="00D40A35">
        <w:rPr>
          <w:rFonts w:ascii="Calibri" w:hAnsi="Calibri" w:cs="Arial"/>
          <w:lang w:eastAsia="en-US"/>
        </w:rPr>
        <w:t>S</w:t>
      </w:r>
      <w:r>
        <w:rPr>
          <w:rFonts w:ascii="Calibri" w:hAnsi="Calibri" w:cs="Arial"/>
          <w:lang w:eastAsia="en-US"/>
        </w:rPr>
        <w:t>.</w:t>
      </w:r>
      <w:r w:rsidRPr="00D40A35">
        <w:rPr>
          <w:rFonts w:ascii="Calibri" w:hAnsi="Calibri" w:cs="Arial"/>
          <w:lang w:eastAsia="en-US"/>
        </w:rPr>
        <w:t xml:space="preserve"> Department of Health and Human Services, 55 children’s hospitals participate in the program. </w:t>
      </w:r>
    </w:p>
    <w:p w:rsidR="004C38EA" w:rsidRPr="00D40A35" w:rsidRDefault="004C38EA" w:rsidP="005A30A5">
      <w:pPr>
        <w:rPr>
          <w:rFonts w:ascii="Calibri" w:hAnsi="Calibri" w:cs="Arial"/>
          <w:lang w:eastAsia="en-US"/>
        </w:rPr>
      </w:pPr>
    </w:p>
    <w:p w:rsidR="004C38EA" w:rsidRPr="00D40A35" w:rsidRDefault="004C38EA" w:rsidP="00CE450A">
      <w:pPr>
        <w:spacing w:after="100"/>
        <w:rPr>
          <w:rFonts w:ascii="Calibri" w:hAnsi="Calibri" w:cs="Arial"/>
          <w:lang w:eastAsia="en-US"/>
        </w:rPr>
      </w:pPr>
      <w:r>
        <w:rPr>
          <w:rFonts w:ascii="Calibri" w:hAnsi="Calibri" w:cs="Arial"/>
          <w:lang w:eastAsia="en-US"/>
        </w:rPr>
        <w:lastRenderedPageBreak/>
        <w:t>The HRSA makes both D</w:t>
      </w:r>
      <w:r w:rsidRPr="00D40A35">
        <w:rPr>
          <w:rFonts w:ascii="Calibri" w:hAnsi="Calibri" w:cs="Arial"/>
          <w:lang w:eastAsia="en-US"/>
        </w:rPr>
        <w:t>ME and IME payments under this program to eligible hospitals using a statutory formula. A hospital is eligible for the program if it:</w:t>
      </w:r>
      <w:r w:rsidRPr="00D40A35">
        <w:rPr>
          <w:rStyle w:val="FootnoteReference"/>
          <w:rFonts w:ascii="Calibri" w:hAnsi="Calibri"/>
          <w:lang w:eastAsia="en-US"/>
        </w:rPr>
        <w:footnoteReference w:id="11"/>
      </w:r>
    </w:p>
    <w:p w:rsidR="004C38EA" w:rsidRPr="00D40A35" w:rsidRDefault="004C38EA" w:rsidP="00CE450A">
      <w:pPr>
        <w:numPr>
          <w:ilvl w:val="0"/>
          <w:numId w:val="33"/>
        </w:numPr>
        <w:spacing w:after="100"/>
        <w:rPr>
          <w:rFonts w:ascii="Calibri" w:hAnsi="Calibri" w:cs="Arial"/>
          <w:lang w:eastAsia="en-US"/>
        </w:rPr>
      </w:pPr>
      <w:r w:rsidRPr="00D40A35">
        <w:rPr>
          <w:rFonts w:ascii="Calibri" w:hAnsi="Calibri" w:cs="Arial"/>
          <w:lang w:eastAsia="en-US"/>
        </w:rPr>
        <w:t>Participates in an approved GME program</w:t>
      </w:r>
    </w:p>
    <w:p w:rsidR="004C38EA" w:rsidRPr="00D40A35" w:rsidRDefault="004C38EA" w:rsidP="00CE450A">
      <w:pPr>
        <w:numPr>
          <w:ilvl w:val="0"/>
          <w:numId w:val="33"/>
        </w:numPr>
        <w:spacing w:after="100"/>
        <w:rPr>
          <w:rFonts w:ascii="Calibri" w:hAnsi="Calibri" w:cs="Arial"/>
          <w:lang w:eastAsia="en-US"/>
        </w:rPr>
      </w:pPr>
      <w:r w:rsidRPr="00D40A35">
        <w:rPr>
          <w:rFonts w:ascii="Calibri" w:hAnsi="Calibri" w:cs="Arial"/>
          <w:lang w:eastAsia="en-US"/>
        </w:rPr>
        <w:t>Has a Medicare Provider Agreement</w:t>
      </w:r>
    </w:p>
    <w:p w:rsidR="004C38EA" w:rsidRPr="00D40A35" w:rsidRDefault="004C38EA" w:rsidP="00CE450A">
      <w:pPr>
        <w:numPr>
          <w:ilvl w:val="0"/>
          <w:numId w:val="33"/>
        </w:numPr>
        <w:spacing w:after="100"/>
        <w:rPr>
          <w:rFonts w:ascii="Calibri" w:hAnsi="Calibri" w:cs="Arial"/>
          <w:lang w:eastAsia="en-US"/>
        </w:rPr>
      </w:pPr>
      <w:r w:rsidRPr="00D40A35">
        <w:rPr>
          <w:rFonts w:ascii="Calibri" w:hAnsi="Calibri" w:cs="Arial"/>
          <w:lang w:eastAsia="en-US"/>
        </w:rPr>
        <w:t>Is excluded from the Medicare Inpatient Prospective Payment System (IPPS) under Section 1886(d)(1)(B)(iii) of the Social Security Act, and its accompanying regulations</w:t>
      </w:r>
    </w:p>
    <w:p w:rsidR="004C38EA" w:rsidRPr="005D48A8" w:rsidRDefault="004C38EA" w:rsidP="00CE450A">
      <w:pPr>
        <w:numPr>
          <w:ilvl w:val="0"/>
          <w:numId w:val="33"/>
        </w:numPr>
        <w:spacing w:after="100"/>
        <w:rPr>
          <w:rFonts w:ascii="Calibri" w:hAnsi="Calibri" w:cs="Arial"/>
          <w:lang w:eastAsia="en-US"/>
        </w:rPr>
      </w:pPr>
      <w:r w:rsidRPr="00D40A35">
        <w:rPr>
          <w:rFonts w:ascii="Calibri" w:hAnsi="Calibri" w:cs="Arial"/>
          <w:lang w:eastAsia="en-US"/>
        </w:rPr>
        <w:t xml:space="preserve">Operates as a “freestanding” </w:t>
      </w:r>
      <w:r w:rsidRPr="005D48A8">
        <w:rPr>
          <w:rFonts w:ascii="Calibri" w:hAnsi="Calibri" w:cs="Arial"/>
          <w:lang w:eastAsia="en-US"/>
        </w:rPr>
        <w:t>children’s teaching hospital</w:t>
      </w:r>
    </w:p>
    <w:p w:rsidR="004C38EA" w:rsidRPr="005D48A8" w:rsidRDefault="004C38EA" w:rsidP="004A456A">
      <w:pPr>
        <w:rPr>
          <w:rFonts w:ascii="Calibri" w:hAnsi="Calibri" w:cs="Arial"/>
          <w:lang w:eastAsia="en-US"/>
        </w:rPr>
      </w:pPr>
    </w:p>
    <w:p w:rsidR="004C38EA" w:rsidRPr="00D40A35" w:rsidRDefault="004C38EA" w:rsidP="004A456A">
      <w:pPr>
        <w:rPr>
          <w:rFonts w:ascii="Calibri" w:hAnsi="Calibri" w:cs="Arial"/>
          <w:lang w:eastAsia="en-US"/>
        </w:rPr>
      </w:pPr>
      <w:r w:rsidRPr="005D48A8">
        <w:rPr>
          <w:rFonts w:ascii="Calibri" w:hAnsi="Calibri" w:cs="Arial"/>
          <w:lang w:eastAsia="en-US"/>
        </w:rPr>
        <w:t>In FY 2011, roughly $253 million was distributed to children’s hospitals. Two Massachusetts hospitals received funds: Children’s Hospital in Boston received nearly</w:t>
      </w:r>
      <w:r>
        <w:rPr>
          <w:rFonts w:ascii="Calibri" w:hAnsi="Calibri" w:cs="Arial"/>
          <w:lang w:eastAsia="en-US"/>
        </w:rPr>
        <w:t xml:space="preserve"> $18 million and the Franciscan Hospital for Children in Brighton received just under $200,000.</w:t>
      </w:r>
      <w:r>
        <w:rPr>
          <w:rStyle w:val="FootnoteReference"/>
          <w:rFonts w:ascii="Calibri" w:hAnsi="Calibri"/>
          <w:lang w:eastAsia="en-US"/>
        </w:rPr>
        <w:footnoteReference w:id="12"/>
      </w:r>
    </w:p>
    <w:p w:rsidR="004C38EA" w:rsidRPr="00D40A35" w:rsidRDefault="004C38EA" w:rsidP="004A456A">
      <w:pPr>
        <w:rPr>
          <w:rFonts w:ascii="Calibri" w:hAnsi="Calibri" w:cs="Arial"/>
          <w:lang w:eastAsia="en-US"/>
        </w:rPr>
      </w:pPr>
    </w:p>
    <w:p w:rsidR="004C38EA" w:rsidRPr="00D40A35" w:rsidRDefault="004C38EA" w:rsidP="004A456A">
      <w:pPr>
        <w:rPr>
          <w:rFonts w:ascii="Calibri" w:hAnsi="Calibri" w:cs="Arial"/>
          <w:b/>
          <w:i/>
          <w:u w:val="single"/>
          <w:lang w:eastAsia="en-US"/>
        </w:rPr>
      </w:pPr>
      <w:r w:rsidRPr="00D40A35">
        <w:rPr>
          <w:rFonts w:ascii="Calibri" w:hAnsi="Calibri" w:cs="Arial"/>
          <w:b/>
          <w:i/>
          <w:u w:val="single"/>
          <w:lang w:eastAsia="en-US"/>
        </w:rPr>
        <w:t>Teaching Health Center GME Program (THCGME)</w:t>
      </w:r>
      <w:r w:rsidRPr="00D40A35">
        <w:rPr>
          <w:rStyle w:val="FootnoteReference"/>
          <w:rFonts w:ascii="Calibri" w:hAnsi="Calibri"/>
          <w:b/>
          <w:i/>
          <w:u w:val="single"/>
          <w:lang w:eastAsia="en-US"/>
        </w:rPr>
        <w:footnoteReference w:id="13"/>
      </w:r>
    </w:p>
    <w:p w:rsidR="004C38EA" w:rsidRPr="00D40A35" w:rsidRDefault="004C38EA" w:rsidP="004A456A">
      <w:pPr>
        <w:rPr>
          <w:rFonts w:ascii="Calibri" w:hAnsi="Calibri" w:cs="Arial"/>
          <w:i/>
          <w:u w:val="single"/>
          <w:lang w:eastAsia="en-US"/>
        </w:rPr>
      </w:pPr>
    </w:p>
    <w:p w:rsidR="004C38EA" w:rsidRPr="00D40A35" w:rsidRDefault="004C38EA" w:rsidP="004A456A">
      <w:pPr>
        <w:rPr>
          <w:rFonts w:ascii="Calibri" w:hAnsi="Calibri" w:cs="Arial"/>
          <w:lang w:eastAsia="en-US"/>
        </w:rPr>
      </w:pPr>
      <w:r w:rsidRPr="00D40A35">
        <w:rPr>
          <w:rFonts w:ascii="Calibri" w:hAnsi="Calibri" w:cs="Arial"/>
          <w:lang w:eastAsia="en-US"/>
        </w:rPr>
        <w:t>The THCGME program is a $230 million five-year initiative that began in 2011 to support an increased number of primary car</w:t>
      </w:r>
      <w:r>
        <w:rPr>
          <w:rFonts w:ascii="Calibri" w:hAnsi="Calibri" w:cs="Arial"/>
          <w:lang w:eastAsia="en-US"/>
        </w:rPr>
        <w:t xml:space="preserve">e residents and dentists </w:t>
      </w:r>
      <w:r w:rsidRPr="005D48A8">
        <w:rPr>
          <w:rFonts w:ascii="Calibri" w:hAnsi="Calibri" w:cs="Arial"/>
          <w:lang w:eastAsia="en-US"/>
        </w:rPr>
        <w:t>training in community</w:t>
      </w:r>
      <w:r w:rsidRPr="00D40A35">
        <w:rPr>
          <w:rFonts w:ascii="Calibri" w:hAnsi="Calibri" w:cs="Arial"/>
          <w:lang w:eastAsia="en-US"/>
        </w:rPr>
        <w:t xml:space="preserve">-based ambulatory care settings. Eligible entities include community-based ambulatory patient care centers that operate a primary care medical or dental (general or pediatric) residency program. </w:t>
      </w:r>
    </w:p>
    <w:p w:rsidR="004C38EA" w:rsidRPr="00D40A35" w:rsidRDefault="004C38EA" w:rsidP="004A456A">
      <w:pPr>
        <w:rPr>
          <w:rFonts w:ascii="Calibri" w:hAnsi="Calibri" w:cs="Arial"/>
          <w:lang w:eastAsia="en-US"/>
        </w:rPr>
      </w:pPr>
    </w:p>
    <w:p w:rsidR="004C38EA" w:rsidRPr="00D40A35" w:rsidRDefault="004C38EA" w:rsidP="004A456A">
      <w:pPr>
        <w:rPr>
          <w:rFonts w:ascii="Calibri" w:hAnsi="Calibri" w:cs="Arial"/>
          <w:lang w:eastAsia="en-US"/>
        </w:rPr>
      </w:pPr>
      <w:r w:rsidRPr="00D40A35">
        <w:rPr>
          <w:rFonts w:ascii="Calibri" w:hAnsi="Calibri" w:cs="Arial"/>
          <w:lang w:eastAsia="en-US"/>
        </w:rPr>
        <w:t>The</w:t>
      </w:r>
      <w:r>
        <w:rPr>
          <w:rFonts w:ascii="Calibri" w:hAnsi="Calibri" w:cs="Arial"/>
          <w:lang w:eastAsia="en-US"/>
        </w:rPr>
        <w:t xml:space="preserve"> program supports GME through DME and IME payments. The D</w:t>
      </w:r>
      <w:r w:rsidRPr="00D40A35">
        <w:rPr>
          <w:rFonts w:ascii="Calibri" w:hAnsi="Calibri" w:cs="Arial"/>
          <w:lang w:eastAsia="en-US"/>
        </w:rPr>
        <w:t xml:space="preserve">ME payment mechanism is established in the Affordable Care Act. The IME formula is determined by the </w:t>
      </w:r>
      <w:r>
        <w:rPr>
          <w:rFonts w:ascii="Calibri" w:hAnsi="Calibri" w:cs="Arial"/>
          <w:lang w:eastAsia="en-US"/>
        </w:rPr>
        <w:t xml:space="preserve">U.S. </w:t>
      </w:r>
      <w:r w:rsidRPr="00D40A35">
        <w:rPr>
          <w:rFonts w:ascii="Calibri" w:hAnsi="Calibri" w:cs="Arial"/>
          <w:lang w:eastAsia="en-US"/>
        </w:rPr>
        <w:t xml:space="preserve">Secretary of Health and Human Services. Funding is intended to support only the costs of new residents being trained in a </w:t>
      </w:r>
      <w:r>
        <w:rPr>
          <w:rFonts w:ascii="Calibri" w:hAnsi="Calibri" w:cs="Arial"/>
          <w:lang w:eastAsia="en-US"/>
        </w:rPr>
        <w:t>Teaching Health Center (</w:t>
      </w:r>
      <w:r w:rsidRPr="00D40A35">
        <w:rPr>
          <w:rFonts w:ascii="Calibri" w:hAnsi="Calibri" w:cs="Arial"/>
          <w:lang w:eastAsia="en-US"/>
        </w:rPr>
        <w:t>THC</w:t>
      </w:r>
      <w:r>
        <w:rPr>
          <w:rFonts w:ascii="Calibri" w:hAnsi="Calibri" w:cs="Arial"/>
          <w:lang w:eastAsia="en-US"/>
        </w:rPr>
        <w:t>)</w:t>
      </w:r>
      <w:r w:rsidRPr="00D40A35">
        <w:rPr>
          <w:rFonts w:ascii="Calibri" w:hAnsi="Calibri" w:cs="Arial"/>
          <w:lang w:eastAsia="en-US"/>
        </w:rPr>
        <w:t xml:space="preserve">. This </w:t>
      </w:r>
      <w:r>
        <w:rPr>
          <w:rFonts w:ascii="Calibri" w:hAnsi="Calibri" w:cs="Arial"/>
          <w:lang w:eastAsia="en-US"/>
        </w:rPr>
        <w:t>could include residents in</w:t>
      </w:r>
      <w:r w:rsidRPr="00D40A35">
        <w:rPr>
          <w:rFonts w:ascii="Calibri" w:hAnsi="Calibri" w:cs="Arial"/>
          <w:lang w:eastAsia="en-US"/>
        </w:rPr>
        <w:t xml:space="preserve"> a new THC</w:t>
      </w:r>
      <w:r>
        <w:rPr>
          <w:rFonts w:ascii="Calibri" w:hAnsi="Calibri" w:cs="Arial"/>
          <w:lang w:eastAsia="en-US"/>
        </w:rPr>
        <w:t xml:space="preserve"> training program</w:t>
      </w:r>
      <w:r w:rsidRPr="00D40A35">
        <w:rPr>
          <w:rFonts w:ascii="Calibri" w:hAnsi="Calibri" w:cs="Arial"/>
          <w:lang w:eastAsia="en-US"/>
        </w:rPr>
        <w:t xml:space="preserve">, or </w:t>
      </w:r>
      <w:r>
        <w:rPr>
          <w:rFonts w:ascii="Calibri" w:hAnsi="Calibri" w:cs="Arial"/>
          <w:lang w:eastAsia="en-US"/>
        </w:rPr>
        <w:t>an expansion of a training program in an existing THC program</w:t>
      </w:r>
      <w:r w:rsidRPr="00D40A35">
        <w:rPr>
          <w:rFonts w:ascii="Calibri" w:hAnsi="Calibri" w:cs="Arial"/>
          <w:lang w:eastAsia="en-US"/>
        </w:rPr>
        <w:t>.</w:t>
      </w:r>
      <w:r w:rsidRPr="00D40A35">
        <w:rPr>
          <w:rStyle w:val="FootnoteReference"/>
          <w:rFonts w:ascii="Calibri" w:hAnsi="Calibri"/>
          <w:lang w:eastAsia="en-US"/>
        </w:rPr>
        <w:footnoteReference w:id="14"/>
      </w:r>
      <w:r w:rsidRPr="00D40A35">
        <w:rPr>
          <w:rFonts w:ascii="Calibri" w:hAnsi="Calibri" w:cs="Arial"/>
          <w:lang w:eastAsia="en-US"/>
        </w:rPr>
        <w:t xml:space="preserve"> </w:t>
      </w:r>
    </w:p>
    <w:p w:rsidR="004C38EA" w:rsidRPr="00D40A35" w:rsidRDefault="004C38EA" w:rsidP="004A456A">
      <w:pPr>
        <w:rPr>
          <w:rFonts w:ascii="Calibri" w:hAnsi="Calibri" w:cs="Arial"/>
          <w:lang w:eastAsia="en-US"/>
        </w:rPr>
      </w:pPr>
    </w:p>
    <w:p w:rsidR="004C38EA" w:rsidRPr="00D40A35" w:rsidRDefault="004C38EA" w:rsidP="004A456A">
      <w:pPr>
        <w:rPr>
          <w:rFonts w:ascii="Calibri" w:hAnsi="Calibri" w:cs="Arial"/>
          <w:lang w:eastAsia="en-US"/>
        </w:rPr>
      </w:pPr>
      <w:r w:rsidRPr="00D40A35">
        <w:rPr>
          <w:rFonts w:ascii="Calibri" w:hAnsi="Calibri" w:cs="Arial"/>
          <w:lang w:eastAsia="en-US"/>
        </w:rPr>
        <w:t>The Greater Lawrence Family Health Center is the only Massachusetts THC that has received</w:t>
      </w:r>
      <w:r>
        <w:rPr>
          <w:rFonts w:ascii="Calibri" w:hAnsi="Calibri" w:cs="Arial"/>
          <w:lang w:eastAsia="en-US"/>
        </w:rPr>
        <w:t xml:space="preserve"> funding under this program. In FY</w:t>
      </w:r>
      <w:r w:rsidRPr="00D40A35">
        <w:rPr>
          <w:rFonts w:ascii="Calibri" w:hAnsi="Calibri" w:cs="Arial"/>
          <w:lang w:eastAsia="en-US"/>
        </w:rPr>
        <w:t>2011, the Center received $150,000</w:t>
      </w:r>
      <w:r>
        <w:rPr>
          <w:rFonts w:ascii="Calibri" w:hAnsi="Calibri" w:cs="Arial"/>
          <w:lang w:eastAsia="en-US"/>
        </w:rPr>
        <w:t xml:space="preserve"> through this program. The Center has received </w:t>
      </w:r>
      <w:r w:rsidRPr="00D40A35">
        <w:rPr>
          <w:rFonts w:ascii="Calibri" w:hAnsi="Calibri" w:cs="Arial"/>
          <w:lang w:eastAsia="en-US"/>
        </w:rPr>
        <w:t xml:space="preserve">$675,000 </w:t>
      </w:r>
      <w:r>
        <w:rPr>
          <w:rFonts w:ascii="Calibri" w:hAnsi="Calibri" w:cs="Arial"/>
          <w:lang w:eastAsia="en-US"/>
        </w:rPr>
        <w:t xml:space="preserve">each year </w:t>
      </w:r>
      <w:r w:rsidRPr="00D40A35">
        <w:rPr>
          <w:rFonts w:ascii="Calibri" w:hAnsi="Calibri" w:cs="Arial"/>
          <w:lang w:eastAsia="en-US"/>
        </w:rPr>
        <w:t xml:space="preserve">in </w:t>
      </w:r>
      <w:r>
        <w:rPr>
          <w:rFonts w:ascii="Calibri" w:hAnsi="Calibri" w:cs="Arial"/>
          <w:lang w:eastAsia="en-US"/>
        </w:rPr>
        <w:t>FY</w:t>
      </w:r>
      <w:r w:rsidRPr="00D40A35">
        <w:rPr>
          <w:rFonts w:ascii="Calibri" w:hAnsi="Calibri" w:cs="Arial"/>
          <w:lang w:eastAsia="en-US"/>
        </w:rPr>
        <w:t xml:space="preserve">2012 and </w:t>
      </w:r>
      <w:r>
        <w:rPr>
          <w:rFonts w:ascii="Calibri" w:hAnsi="Calibri" w:cs="Arial"/>
          <w:lang w:eastAsia="en-US"/>
        </w:rPr>
        <w:t>FY</w:t>
      </w:r>
      <w:r w:rsidRPr="00D40A35">
        <w:rPr>
          <w:rFonts w:ascii="Calibri" w:hAnsi="Calibri" w:cs="Arial"/>
          <w:lang w:eastAsia="en-US"/>
        </w:rPr>
        <w:t>2013.</w:t>
      </w:r>
      <w:r>
        <w:rPr>
          <w:rFonts w:ascii="Calibri" w:hAnsi="Calibri" w:cs="Arial"/>
          <w:lang w:eastAsia="en-US"/>
        </w:rPr>
        <w:t xml:space="preserve"> </w:t>
      </w:r>
    </w:p>
    <w:p w:rsidR="004C38EA" w:rsidRPr="00D40A35" w:rsidRDefault="004C38EA" w:rsidP="005A30A5">
      <w:pPr>
        <w:rPr>
          <w:rFonts w:ascii="Calibri" w:hAnsi="Calibri" w:cs="Arial"/>
          <w:i/>
          <w:lang w:eastAsia="en-US"/>
        </w:rPr>
      </w:pPr>
    </w:p>
    <w:p w:rsidR="004C38EA" w:rsidRPr="00DB0D7D" w:rsidRDefault="004C38EA" w:rsidP="00E32CFC">
      <w:pPr>
        <w:keepNext/>
        <w:rPr>
          <w:rFonts w:ascii="Calibri" w:hAnsi="Calibri" w:cs="Arial"/>
          <w:b/>
          <w:i/>
          <w:u w:val="single"/>
          <w:lang w:eastAsia="en-US"/>
        </w:rPr>
      </w:pPr>
      <w:r w:rsidRPr="00DB0D7D">
        <w:rPr>
          <w:rFonts w:ascii="Calibri" w:hAnsi="Calibri" w:cs="Arial"/>
          <w:b/>
          <w:i/>
          <w:u w:val="single"/>
          <w:lang w:eastAsia="en-US"/>
        </w:rPr>
        <w:lastRenderedPageBreak/>
        <w:t>Other Funding Sources</w:t>
      </w:r>
    </w:p>
    <w:p w:rsidR="004C38EA" w:rsidRPr="00D40A35" w:rsidRDefault="004C38EA" w:rsidP="00E32CFC">
      <w:pPr>
        <w:keepNext/>
        <w:rPr>
          <w:rFonts w:ascii="Calibri" w:hAnsi="Calibri" w:cs="Arial"/>
          <w:i/>
          <w:lang w:eastAsia="en-US"/>
        </w:rPr>
      </w:pPr>
    </w:p>
    <w:p w:rsidR="004C38EA" w:rsidRPr="00CB5C09" w:rsidRDefault="004C38EA" w:rsidP="009E0F56">
      <w:pPr>
        <w:pStyle w:val="PlainText"/>
        <w:rPr>
          <w:rFonts w:ascii="Calibri" w:hAnsi="Calibri" w:cs="Calibri"/>
          <w:sz w:val="24"/>
          <w:szCs w:val="24"/>
        </w:rPr>
      </w:pPr>
      <w:r w:rsidRPr="00CB5C09">
        <w:rPr>
          <w:rFonts w:ascii="Calibri" w:hAnsi="Calibri" w:cs="Calibri"/>
          <w:sz w:val="24"/>
          <w:szCs w:val="24"/>
          <w:lang w:eastAsia="en-US"/>
        </w:rPr>
        <w:t xml:space="preserve">Other sources of funding are more limited in scope and scale. The Department of Veterans Affairs supports about 9,000 residents, while the Department of Defense educates and trains about 3,000 residents. The Title VII Health Professions Program provided $39 million in funding in 2012 to support primary care. At the state level, </w:t>
      </w:r>
      <w:r>
        <w:rPr>
          <w:rFonts w:ascii="Calibri" w:hAnsi="Calibri" w:cs="Calibri"/>
          <w:sz w:val="24"/>
          <w:szCs w:val="24"/>
          <w:lang w:eastAsia="en-US"/>
        </w:rPr>
        <w:t xml:space="preserve">the Massachusetts Department of Mental Health provides approximately $4.5 million per year to </w:t>
      </w:r>
      <w:r w:rsidRPr="00CB5C09">
        <w:rPr>
          <w:rFonts w:ascii="Calibri" w:hAnsi="Calibri" w:cs="Calibri"/>
          <w:sz w:val="24"/>
          <w:szCs w:val="24"/>
        </w:rPr>
        <w:t xml:space="preserve">seven Massachusetts medical schools or hospitals affiliated with medical schools </w:t>
      </w:r>
      <w:r>
        <w:rPr>
          <w:rFonts w:ascii="Calibri" w:hAnsi="Calibri" w:cs="Calibri"/>
          <w:sz w:val="24"/>
          <w:szCs w:val="24"/>
        </w:rPr>
        <w:t xml:space="preserve">to support a portion of the salary of a limited number of </w:t>
      </w:r>
      <w:r w:rsidRPr="00CB5C09">
        <w:rPr>
          <w:rFonts w:ascii="Calibri" w:hAnsi="Calibri" w:cs="Calibri"/>
          <w:sz w:val="24"/>
          <w:szCs w:val="24"/>
        </w:rPr>
        <w:t>psychiatry residents and Ph.D. psychology students completing their clinical internship (approx</w:t>
      </w:r>
      <w:r>
        <w:rPr>
          <w:rFonts w:ascii="Calibri" w:hAnsi="Calibri" w:cs="Calibri"/>
          <w:sz w:val="24"/>
          <w:szCs w:val="24"/>
        </w:rPr>
        <w:t>imately</w:t>
      </w:r>
      <w:r w:rsidRPr="00CB5C09">
        <w:rPr>
          <w:rFonts w:ascii="Calibri" w:hAnsi="Calibri" w:cs="Calibri"/>
          <w:sz w:val="24"/>
          <w:szCs w:val="24"/>
        </w:rPr>
        <w:t xml:space="preserve"> 50 residents and 15 Ph.D. psychology interns). </w:t>
      </w:r>
    </w:p>
    <w:p w:rsidR="004C38EA" w:rsidRPr="00CB5C09" w:rsidRDefault="004C38EA" w:rsidP="00E32CFC">
      <w:pPr>
        <w:keepNext/>
        <w:rPr>
          <w:rFonts w:ascii="Calibri" w:hAnsi="Calibri" w:cs="Calibri"/>
          <w:lang w:eastAsia="en-US"/>
        </w:rPr>
      </w:pPr>
    </w:p>
    <w:p w:rsidR="004C38EA" w:rsidRPr="00D40A35" w:rsidRDefault="004C38EA" w:rsidP="005A30A5">
      <w:pPr>
        <w:rPr>
          <w:rFonts w:ascii="Calibri" w:hAnsi="Calibri" w:cs="Arial"/>
          <w:i/>
          <w:lang w:eastAsia="en-US"/>
        </w:rPr>
      </w:pPr>
    </w:p>
    <w:p w:rsidR="004C38EA" w:rsidRPr="00D40A35" w:rsidRDefault="004C38EA" w:rsidP="005A389C">
      <w:pPr>
        <w:pBdr>
          <w:top w:val="single" w:sz="4" w:space="1" w:color="auto"/>
          <w:bottom w:val="single" w:sz="4" w:space="1" w:color="auto"/>
        </w:pBdr>
        <w:spacing w:line="240" w:lineRule="atLeast"/>
        <w:outlineLvl w:val="1"/>
        <w:rPr>
          <w:rFonts w:ascii="Calibri" w:eastAsia="Batang" w:hAnsi="Calibri" w:cs="Arial"/>
          <w:b/>
          <w:bCs/>
          <w:lang w:eastAsia="ko-KR"/>
        </w:rPr>
      </w:pPr>
      <w:r w:rsidRPr="00D40A35">
        <w:rPr>
          <w:rFonts w:ascii="Calibri" w:eastAsia="Batang" w:hAnsi="Calibri" w:cs="Arial"/>
          <w:b/>
          <w:bCs/>
          <w:lang w:eastAsia="ko-KR"/>
        </w:rPr>
        <w:t>3.4 National Policy Context</w:t>
      </w:r>
    </w:p>
    <w:p w:rsidR="004C38EA" w:rsidRPr="00D40A35" w:rsidRDefault="004C38EA" w:rsidP="005A389C">
      <w:pPr>
        <w:rPr>
          <w:rFonts w:ascii="Calibri" w:hAnsi="Calibri" w:cs="Arial"/>
          <w:i/>
          <w:lang w:eastAsia="en-US"/>
        </w:rPr>
      </w:pPr>
    </w:p>
    <w:p w:rsidR="004C38EA" w:rsidRPr="003D380E" w:rsidRDefault="004C38EA" w:rsidP="005A389C">
      <w:pPr>
        <w:rPr>
          <w:rFonts w:ascii="Calibri" w:hAnsi="Calibri" w:cs="Arial"/>
          <w:lang w:eastAsia="en-US"/>
        </w:rPr>
      </w:pPr>
      <w:r w:rsidRPr="00F41F46">
        <w:rPr>
          <w:rFonts w:ascii="Calibri" w:hAnsi="Calibri" w:cs="Arial"/>
          <w:lang w:eastAsia="en-US"/>
        </w:rPr>
        <w:t xml:space="preserve">The work of the Commission is occurring at a time of </w:t>
      </w:r>
      <w:r>
        <w:rPr>
          <w:rFonts w:ascii="Calibri" w:hAnsi="Calibri" w:cs="Arial"/>
          <w:lang w:eastAsia="en-US"/>
        </w:rPr>
        <w:t xml:space="preserve">great </w:t>
      </w:r>
      <w:r w:rsidRPr="00F41F46">
        <w:rPr>
          <w:rFonts w:ascii="Calibri" w:hAnsi="Calibri" w:cs="Arial"/>
          <w:lang w:eastAsia="en-US"/>
        </w:rPr>
        <w:t>interest in and pressures on Graduate Medical Education at the national level. In June 2010, the Medicare Payment Advisory Commission (MedPAC) recommended decreasing IME payments from 5.5% to 2.5%. MedPAC recommended using savings resulting from this change to create performance-based educational incentives.</w:t>
      </w:r>
      <w:r w:rsidRPr="00F41F46">
        <w:rPr>
          <w:rStyle w:val="FootnoteReference"/>
          <w:rFonts w:ascii="Calibri" w:hAnsi="Calibri"/>
          <w:lang w:eastAsia="en-US"/>
        </w:rPr>
        <w:footnoteReference w:id="15"/>
      </w:r>
      <w:r w:rsidRPr="00F41F46">
        <w:rPr>
          <w:rFonts w:ascii="Calibri" w:hAnsi="Calibri" w:cs="Arial"/>
          <w:lang w:eastAsia="en-US"/>
        </w:rPr>
        <w:t xml:space="preserve"> In December of 2010, the plan issued by </w:t>
      </w:r>
      <w:r w:rsidRPr="003D380E">
        <w:rPr>
          <w:rFonts w:ascii="Calibri" w:hAnsi="Calibri" w:cs="Arial"/>
          <w:lang w:eastAsia="en-US"/>
        </w:rPr>
        <w:t>Erskine Bowles and Alan Simpson as co-chairs of President Obama</w:t>
      </w:r>
      <w:r>
        <w:rPr>
          <w:rFonts w:ascii="Calibri" w:hAnsi="Calibri" w:cs="Arial"/>
          <w:lang w:eastAsia="en-US"/>
        </w:rPr>
        <w:t>’</w:t>
      </w:r>
      <w:r w:rsidRPr="003D380E">
        <w:rPr>
          <w:rFonts w:ascii="Calibri" w:hAnsi="Calibri" w:cs="Arial"/>
          <w:lang w:eastAsia="en-US"/>
        </w:rPr>
        <w:t>s National Commission on Fiscal Responsibility and Reform recommended the same reduction in IME payment, but proposed funneling the resulting savings into Medicare.</w:t>
      </w:r>
      <w:r>
        <w:rPr>
          <w:rStyle w:val="FootnoteReference"/>
          <w:rFonts w:ascii="Calibri" w:hAnsi="Calibri"/>
          <w:lang w:eastAsia="en-US"/>
        </w:rPr>
        <w:footnoteReference w:id="16"/>
      </w:r>
      <w:r w:rsidRPr="003D380E">
        <w:rPr>
          <w:rFonts w:ascii="Calibri" w:hAnsi="Calibri" w:cs="Arial"/>
          <w:lang w:eastAsia="en-US"/>
        </w:rPr>
        <w:t xml:space="preserve"> These proposals have not been implemented.</w:t>
      </w:r>
    </w:p>
    <w:p w:rsidR="004C38EA" w:rsidRPr="003D380E" w:rsidRDefault="004C38EA" w:rsidP="005A389C">
      <w:pPr>
        <w:rPr>
          <w:rFonts w:ascii="Calibri" w:hAnsi="Calibri" w:cs="Arial"/>
          <w:lang w:eastAsia="en-US"/>
        </w:rPr>
      </w:pPr>
    </w:p>
    <w:p w:rsidR="004C38EA" w:rsidRPr="00F41F46" w:rsidRDefault="004C38EA" w:rsidP="005A389C">
      <w:pPr>
        <w:rPr>
          <w:rFonts w:ascii="Calibri" w:hAnsi="Calibri" w:cs="Arial"/>
          <w:lang w:eastAsia="en-US"/>
        </w:rPr>
      </w:pPr>
      <w:r w:rsidRPr="003D380E">
        <w:rPr>
          <w:rFonts w:ascii="Calibri" w:hAnsi="Calibri" w:cs="Arial"/>
          <w:lang w:eastAsia="en-US"/>
        </w:rPr>
        <w:t xml:space="preserve">In June 2012, the Institute of Medicine (IOM) was commissioned to review Graduate Medical Education in the United States, with an emphasis on increasing the capacity of the clinical workforce, and reviewing </w:t>
      </w:r>
      <w:r w:rsidRPr="00F41F46">
        <w:rPr>
          <w:rFonts w:ascii="Calibri" w:hAnsi="Calibri" w:cs="Arial"/>
          <w:lang w:eastAsia="en-US"/>
        </w:rPr>
        <w:t>current financing and governance.</w:t>
      </w:r>
      <w:r w:rsidRPr="00F41F46">
        <w:rPr>
          <w:rStyle w:val="FootnoteReference"/>
          <w:rFonts w:ascii="Calibri" w:hAnsi="Calibri"/>
          <w:lang w:eastAsia="en-US"/>
        </w:rPr>
        <w:footnoteReference w:id="17"/>
      </w:r>
      <w:r w:rsidRPr="00F41F46">
        <w:rPr>
          <w:rFonts w:ascii="Calibri" w:hAnsi="Calibri" w:cs="Arial"/>
          <w:lang w:eastAsia="en-US"/>
        </w:rPr>
        <w:t xml:space="preserve"> The IOM is expected to issue a report in December 2013.</w:t>
      </w:r>
    </w:p>
    <w:p w:rsidR="004C38EA" w:rsidRPr="00F41F46" w:rsidRDefault="004C38EA" w:rsidP="005A389C">
      <w:pPr>
        <w:rPr>
          <w:rFonts w:ascii="Calibri" w:hAnsi="Calibri" w:cs="Arial"/>
          <w:lang w:eastAsia="en-US"/>
        </w:rPr>
      </w:pPr>
    </w:p>
    <w:p w:rsidR="004C38EA" w:rsidRPr="00F41F46" w:rsidRDefault="004C38EA" w:rsidP="005A389C">
      <w:pPr>
        <w:rPr>
          <w:rFonts w:ascii="Calibri" w:hAnsi="Calibri" w:cs="Arial"/>
          <w:lang w:eastAsia="en-US"/>
        </w:rPr>
      </w:pPr>
      <w:r w:rsidRPr="00F41F46">
        <w:rPr>
          <w:rFonts w:ascii="Calibri" w:hAnsi="Calibri" w:cs="Arial"/>
          <w:lang w:eastAsia="en-US"/>
        </w:rPr>
        <w:t>In the meantime, as a result of sequestration, Medicare has been subject to a 2% funding cut. While the formula</w:t>
      </w:r>
      <w:r w:rsidRPr="00D40A35">
        <w:rPr>
          <w:rFonts w:ascii="Calibri" w:hAnsi="Calibri" w:cs="Arial"/>
          <w:lang w:eastAsia="en-US"/>
        </w:rPr>
        <w:t xml:space="preserve"> for how this cut would be applied to GME specifically is unclear, a 2% reduction in funding for GME to </w:t>
      </w:r>
      <w:r w:rsidRPr="00F41F46">
        <w:rPr>
          <w:rFonts w:ascii="Calibri" w:hAnsi="Calibri" w:cs="Arial"/>
          <w:lang w:eastAsia="en-US"/>
        </w:rPr>
        <w:t xml:space="preserve">Massachusetts at FY2010 funding levels would translate into an annual reduction of $10.9 million. </w:t>
      </w:r>
    </w:p>
    <w:p w:rsidR="004C38EA" w:rsidRPr="00F41F46" w:rsidRDefault="004C38EA" w:rsidP="005A389C">
      <w:pPr>
        <w:rPr>
          <w:rFonts w:ascii="Calibri" w:hAnsi="Calibri" w:cs="Arial"/>
          <w:lang w:eastAsia="en-US"/>
        </w:rPr>
      </w:pPr>
    </w:p>
    <w:p w:rsidR="004C38EA" w:rsidRPr="00D40A35" w:rsidRDefault="004C38EA" w:rsidP="005A389C">
      <w:pPr>
        <w:rPr>
          <w:rFonts w:ascii="Calibri" w:hAnsi="Calibri" w:cs="Arial"/>
          <w:lang w:eastAsia="en-US"/>
        </w:rPr>
      </w:pPr>
      <w:r w:rsidRPr="00F41F46">
        <w:rPr>
          <w:rFonts w:ascii="Calibri" w:hAnsi="Calibri" w:cs="Arial"/>
          <w:lang w:eastAsia="en-US"/>
        </w:rPr>
        <w:t>At the federal level, there</w:t>
      </w:r>
      <w:r w:rsidRPr="00D40A35">
        <w:rPr>
          <w:rFonts w:ascii="Calibri" w:hAnsi="Calibri" w:cs="Arial"/>
          <w:lang w:eastAsia="en-US"/>
        </w:rPr>
        <w:t xml:space="preserve"> are legislative proposals that would expand or change Graduate Medical Education funding. For example, H.R 1201/S. 577, sponsored by Representatives </w:t>
      </w:r>
      <w:r>
        <w:rPr>
          <w:rFonts w:ascii="Calibri" w:hAnsi="Calibri" w:cs="Arial"/>
          <w:lang w:eastAsia="en-US"/>
        </w:rPr>
        <w:t xml:space="preserve">Aaron </w:t>
      </w:r>
      <w:r w:rsidRPr="00D40A35">
        <w:rPr>
          <w:rFonts w:ascii="Calibri" w:hAnsi="Calibri" w:cs="Arial"/>
          <w:lang w:eastAsia="en-US"/>
        </w:rPr>
        <w:t xml:space="preserve">Schock (R-IL) </w:t>
      </w:r>
      <w:r w:rsidRPr="00D40A35">
        <w:rPr>
          <w:rFonts w:ascii="Calibri" w:hAnsi="Calibri" w:cs="Arial"/>
          <w:lang w:eastAsia="en-US"/>
        </w:rPr>
        <w:lastRenderedPageBreak/>
        <w:t xml:space="preserve">and </w:t>
      </w:r>
      <w:r>
        <w:rPr>
          <w:rFonts w:ascii="Calibri" w:hAnsi="Calibri" w:cs="Arial"/>
          <w:lang w:eastAsia="en-US"/>
        </w:rPr>
        <w:t xml:space="preserve">Allyson </w:t>
      </w:r>
      <w:r w:rsidRPr="00D40A35">
        <w:rPr>
          <w:rFonts w:ascii="Calibri" w:hAnsi="Calibri" w:cs="Arial"/>
          <w:lang w:eastAsia="en-US"/>
        </w:rPr>
        <w:t xml:space="preserve">Schwartz (D-PA), and Senators </w:t>
      </w:r>
      <w:r>
        <w:rPr>
          <w:rFonts w:ascii="Calibri" w:hAnsi="Calibri" w:cs="Arial"/>
          <w:lang w:eastAsia="en-US"/>
        </w:rPr>
        <w:t xml:space="preserve">Bill </w:t>
      </w:r>
      <w:r w:rsidRPr="00D40A35">
        <w:rPr>
          <w:rFonts w:ascii="Calibri" w:hAnsi="Calibri" w:cs="Arial"/>
          <w:lang w:eastAsia="en-US"/>
        </w:rPr>
        <w:t xml:space="preserve">Nelson (D-FL) and </w:t>
      </w:r>
      <w:r>
        <w:rPr>
          <w:rFonts w:ascii="Calibri" w:hAnsi="Calibri" w:cs="Arial"/>
          <w:lang w:eastAsia="en-US"/>
        </w:rPr>
        <w:t xml:space="preserve">Charles </w:t>
      </w:r>
      <w:r w:rsidRPr="00D40A35">
        <w:rPr>
          <w:rFonts w:ascii="Calibri" w:hAnsi="Calibri" w:cs="Arial"/>
          <w:lang w:eastAsia="en-US"/>
        </w:rPr>
        <w:t xml:space="preserve">Schumer (D-NY) would increase GME funding over 5 years to support 15,000 physicians at </w:t>
      </w:r>
      <w:r>
        <w:rPr>
          <w:rFonts w:ascii="Calibri" w:hAnsi="Calibri" w:cs="Arial"/>
          <w:lang w:eastAsia="en-US"/>
        </w:rPr>
        <w:t xml:space="preserve">an </w:t>
      </w:r>
      <w:r w:rsidRPr="00D40A35">
        <w:rPr>
          <w:rFonts w:ascii="Calibri" w:hAnsi="Calibri" w:cs="Arial"/>
          <w:lang w:eastAsia="en-US"/>
        </w:rPr>
        <w:t xml:space="preserve">estimated cost of approximately $1 billion. H.R. 487, sponsored by Representatives </w:t>
      </w:r>
      <w:r>
        <w:rPr>
          <w:rFonts w:ascii="Calibri" w:hAnsi="Calibri" w:cs="Arial"/>
          <w:lang w:eastAsia="en-US"/>
        </w:rPr>
        <w:t xml:space="preserve">Cathy </w:t>
      </w:r>
      <w:r w:rsidRPr="00D40A35">
        <w:rPr>
          <w:rFonts w:ascii="Calibri" w:hAnsi="Calibri" w:cs="Arial"/>
          <w:lang w:eastAsia="en-US"/>
        </w:rPr>
        <w:t xml:space="preserve">Rodgers (R-WA) and </w:t>
      </w:r>
      <w:r>
        <w:rPr>
          <w:rFonts w:ascii="Calibri" w:hAnsi="Calibri" w:cs="Arial"/>
          <w:lang w:eastAsia="en-US"/>
        </w:rPr>
        <w:t xml:space="preserve">Mike </w:t>
      </w:r>
      <w:r w:rsidRPr="00D40A35">
        <w:rPr>
          <w:rFonts w:ascii="Calibri" w:hAnsi="Calibri" w:cs="Arial"/>
          <w:lang w:eastAsia="en-US"/>
        </w:rPr>
        <w:t>Thompson (D-CA), would authorize HHS to conduct a 5-year GME innovation pilot for primary care funding. Passage of either of these proposals is unlikely.</w:t>
      </w:r>
    </w:p>
    <w:p w:rsidR="004C38EA" w:rsidRPr="00D40A35" w:rsidRDefault="004C38EA" w:rsidP="005A389C">
      <w:pPr>
        <w:rPr>
          <w:rFonts w:ascii="Calibri" w:hAnsi="Calibri" w:cs="Arial"/>
          <w:lang w:eastAsia="en-US"/>
        </w:rPr>
      </w:pPr>
    </w:p>
    <w:p w:rsidR="004C38EA" w:rsidRDefault="004C38EA" w:rsidP="005A389C">
      <w:pPr>
        <w:rPr>
          <w:rFonts w:ascii="Calibri" w:hAnsi="Calibri" w:cs="Arial"/>
          <w:i/>
          <w:lang w:eastAsia="en-US"/>
        </w:rPr>
      </w:pPr>
      <w:r w:rsidRPr="00D40A35">
        <w:rPr>
          <w:rFonts w:ascii="Calibri" w:hAnsi="Calibri" w:cs="Arial"/>
          <w:lang w:eastAsia="en-US"/>
        </w:rPr>
        <w:t>Overall, the key developments affecting Graduate Medical Education at the national level at this time are budgetary. Additional information will be needed to determine exactly how sequestration cuts will affect GME. In the meantime, the President’s FY 2014 budget proposed a 10% cut to IME funding, less than that proposed by MedPAC or Simpson-Bowles. This proposal would decrease funding by $10 billion over 10 years.  It is not yet clear what the fate of Graduate Medical Education will be in the final budget, but debt reduction will likely remain a barrier to increasing GME funding.</w:t>
      </w:r>
    </w:p>
    <w:p w:rsidR="004C38EA" w:rsidRDefault="004C38EA" w:rsidP="005A389C">
      <w:pPr>
        <w:rPr>
          <w:rFonts w:ascii="Calibri" w:hAnsi="Calibri" w:cs="Arial"/>
          <w:i/>
          <w:lang w:eastAsia="en-US"/>
        </w:rPr>
      </w:pPr>
    </w:p>
    <w:p w:rsidR="004C38EA" w:rsidRPr="00D40A35" w:rsidRDefault="004C38EA" w:rsidP="00786157">
      <w:pPr>
        <w:rPr>
          <w:rFonts w:ascii="Calibri" w:hAnsi="Calibri" w:cs="Arial"/>
          <w:lang w:eastAsia="en-US"/>
        </w:rPr>
      </w:pPr>
      <w:r>
        <w:rPr>
          <w:rFonts w:ascii="Calibri" w:hAnsi="Calibri" w:cs="Arial"/>
          <w:lang w:eastAsia="en-US"/>
        </w:rPr>
        <w:t xml:space="preserve">In addition to this being an unstable time for Graduate Medical Education budgets, the accreditation portion of Graduate Medical Education is also in the midst of major changes. The Accreditation Council for Graduate Medical Education (ACGME), the primary accreditation body for GME in the United States, is in the process of rolling out their “Next Accreditation System.” This new paradigm will shift the focus on educational training programs more towards issues such as duty hour mandates, competency-based curriculum and evaluations, milestones, supervision, and outcomes. This new system will undoubtedly improve the accreditation process, but will take time, effort and funding to be successful. </w:t>
      </w:r>
    </w:p>
    <w:p w:rsidR="004C38EA" w:rsidRPr="00786157" w:rsidRDefault="004C38EA" w:rsidP="005A389C">
      <w:pPr>
        <w:rPr>
          <w:rFonts w:ascii="Calibri" w:hAnsi="Calibri" w:cs="Arial"/>
          <w:lang w:eastAsia="en-US"/>
        </w:rPr>
      </w:pPr>
    </w:p>
    <w:p w:rsidR="004C38EA" w:rsidRPr="00D40A35" w:rsidRDefault="004C38EA" w:rsidP="005A389C">
      <w:pPr>
        <w:rPr>
          <w:rFonts w:ascii="Calibri" w:hAnsi="Calibri" w:cs="Arial"/>
          <w:i/>
          <w:lang w:eastAsia="en-US"/>
        </w:rPr>
      </w:pPr>
      <w:r>
        <w:rPr>
          <w:rFonts w:ascii="Calibri" w:hAnsi="Calibri" w:cs="Arial"/>
          <w:i/>
          <w:lang w:eastAsia="en-US"/>
        </w:rPr>
        <w:br w:type="page"/>
      </w:r>
    </w:p>
    <w:p w:rsidR="004C38EA" w:rsidRPr="00263F9A" w:rsidRDefault="004C38EA" w:rsidP="00263F9A">
      <w:pPr>
        <w:pStyle w:val="Heading1"/>
      </w:pPr>
      <w:bookmarkStart w:id="2" w:name="_Toc363134024"/>
      <w:bookmarkStart w:id="3" w:name="OLE_LINK3"/>
      <w:r w:rsidRPr="00263F9A">
        <w:t>Relationship of Graduate Medical Education to the state’s physician workforce and emerging</w:t>
      </w:r>
      <w:r>
        <w:t xml:space="preserve"> </w:t>
      </w:r>
      <w:r w:rsidRPr="00263F9A">
        <w:t>models of delivery of care</w:t>
      </w:r>
      <w:bookmarkEnd w:id="2"/>
    </w:p>
    <w:bookmarkEnd w:id="3"/>
    <w:p w:rsidR="004C38EA" w:rsidRDefault="004C38EA" w:rsidP="005A389C"/>
    <w:p w:rsidR="004C38EA" w:rsidRPr="00D40A35" w:rsidRDefault="004C38EA" w:rsidP="005A389C">
      <w:pPr>
        <w:rPr>
          <w:rFonts w:ascii="Calibri" w:hAnsi="Calibri"/>
        </w:rPr>
      </w:pPr>
      <w:r>
        <w:rPr>
          <w:rFonts w:ascii="Calibri" w:hAnsi="Calibri"/>
        </w:rPr>
        <w:t>In 2012, there were approximately 35,000 licensed physicians in the Commonwealth.</w:t>
      </w:r>
      <w:r>
        <w:rPr>
          <w:rStyle w:val="FootnoteReference"/>
          <w:rFonts w:ascii="Calibri" w:hAnsi="Calibri"/>
        </w:rPr>
        <w:footnoteReference w:id="18"/>
      </w:r>
      <w:r>
        <w:rPr>
          <w:rFonts w:ascii="Calibri" w:hAnsi="Calibri"/>
        </w:rPr>
        <w:t xml:space="preserve"> </w:t>
      </w:r>
      <w:r w:rsidRPr="00D40A35">
        <w:rPr>
          <w:rFonts w:ascii="Calibri" w:hAnsi="Calibri"/>
        </w:rPr>
        <w:t>The Commonwealth’s Graduate Medical Education programs play an important role in developing the state’s physician workforce. Approximately 45% of graduates from Massachusetts’ GME program</w:t>
      </w:r>
      <w:r>
        <w:rPr>
          <w:rFonts w:ascii="Calibri" w:hAnsi="Calibri"/>
        </w:rPr>
        <w:t>s</w:t>
      </w:r>
      <w:r w:rsidRPr="00D40A35">
        <w:rPr>
          <w:rFonts w:ascii="Calibri" w:hAnsi="Calibri"/>
        </w:rPr>
        <w:t xml:space="preserve"> remain in the state. Residents contribute to undergraduate medical education as well, as teachers and supervisors of medical students. Finally, the academic environment fostered by the presence of GME programs </w:t>
      </w:r>
      <w:r>
        <w:rPr>
          <w:rFonts w:ascii="Calibri" w:hAnsi="Calibri"/>
        </w:rPr>
        <w:t>facilitates the</w:t>
      </w:r>
      <w:r w:rsidRPr="00D40A35">
        <w:rPr>
          <w:rFonts w:ascii="Calibri" w:hAnsi="Calibri"/>
        </w:rPr>
        <w:t xml:space="preserve"> recruitment and retention of talented faculty.</w:t>
      </w:r>
    </w:p>
    <w:p w:rsidR="004C38EA" w:rsidRPr="00D40A35" w:rsidRDefault="004C38EA" w:rsidP="005A389C">
      <w:pPr>
        <w:rPr>
          <w:rFonts w:ascii="Calibri" w:hAnsi="Calibri"/>
        </w:rPr>
      </w:pPr>
    </w:p>
    <w:p w:rsidR="004C38EA" w:rsidRPr="00D40A35" w:rsidRDefault="004C38EA" w:rsidP="005A389C">
      <w:pPr>
        <w:rPr>
          <w:rFonts w:ascii="Calibri" w:hAnsi="Calibri"/>
        </w:rPr>
      </w:pPr>
      <w:r w:rsidRPr="00D40A35">
        <w:rPr>
          <w:rFonts w:ascii="Calibri" w:hAnsi="Calibri"/>
        </w:rPr>
        <w:t xml:space="preserve">At the same time, there are new demands on the physician workforce, as well as the medical system as a whole. Specifically, the Commonwealth has implemented policies to encourage a shift away from fee-for-service, and toward alternative payment methodologies that encourage quality and coordination in care. </w:t>
      </w:r>
    </w:p>
    <w:p w:rsidR="004C38EA" w:rsidRPr="00D40A35" w:rsidRDefault="004C38EA" w:rsidP="005A389C">
      <w:pPr>
        <w:rPr>
          <w:rFonts w:ascii="Calibri" w:hAnsi="Calibri"/>
        </w:rPr>
      </w:pPr>
    </w:p>
    <w:p w:rsidR="004C38EA" w:rsidRPr="00D40A35" w:rsidRDefault="004C38EA" w:rsidP="005A389C">
      <w:pPr>
        <w:rPr>
          <w:rFonts w:ascii="Calibri" w:hAnsi="Calibri"/>
        </w:rPr>
      </w:pPr>
      <w:r w:rsidRPr="00D40A35">
        <w:rPr>
          <w:rFonts w:ascii="Calibri" w:hAnsi="Calibri"/>
        </w:rPr>
        <w:t xml:space="preserve">As a result, it is anticipated that there will be an increase in arrangements such as </w:t>
      </w:r>
      <w:r>
        <w:rPr>
          <w:rFonts w:ascii="Calibri" w:hAnsi="Calibri"/>
        </w:rPr>
        <w:t>A</w:t>
      </w:r>
      <w:r w:rsidRPr="00D40A35">
        <w:rPr>
          <w:rFonts w:ascii="Calibri" w:hAnsi="Calibri"/>
        </w:rPr>
        <w:t xml:space="preserve">ccountable </w:t>
      </w:r>
      <w:r>
        <w:rPr>
          <w:rFonts w:ascii="Calibri" w:hAnsi="Calibri"/>
        </w:rPr>
        <w:t>C</w:t>
      </w:r>
      <w:r w:rsidRPr="00D40A35">
        <w:rPr>
          <w:rFonts w:ascii="Calibri" w:hAnsi="Calibri"/>
        </w:rPr>
        <w:t xml:space="preserve">are </w:t>
      </w:r>
      <w:r>
        <w:rPr>
          <w:rFonts w:ascii="Calibri" w:hAnsi="Calibri"/>
        </w:rPr>
        <w:t>O</w:t>
      </w:r>
      <w:r w:rsidRPr="00D40A35">
        <w:rPr>
          <w:rFonts w:ascii="Calibri" w:hAnsi="Calibri"/>
        </w:rPr>
        <w:t xml:space="preserve">rganizations and </w:t>
      </w:r>
      <w:r w:rsidRPr="00D40A35">
        <w:rPr>
          <w:rFonts w:ascii="Calibri" w:hAnsi="Calibri"/>
          <w:bCs/>
          <w:iCs/>
        </w:rPr>
        <w:t>Patient-Centered Medical Homes</w:t>
      </w:r>
      <w:r w:rsidRPr="00D40A35">
        <w:rPr>
          <w:rFonts w:ascii="Calibri" w:hAnsi="Calibri"/>
        </w:rPr>
        <w:t xml:space="preserve">. To better understand the implications of these shifts, it is important to first understand current estimates of workforce needs. These estimates range from a </w:t>
      </w:r>
      <w:r>
        <w:rPr>
          <w:rFonts w:ascii="Calibri" w:hAnsi="Calibri"/>
        </w:rPr>
        <w:t>national shortage</w:t>
      </w:r>
      <w:r w:rsidRPr="00D40A35">
        <w:rPr>
          <w:rFonts w:ascii="Calibri" w:hAnsi="Calibri"/>
        </w:rPr>
        <w:t xml:space="preserve"> of 7,000 </w:t>
      </w:r>
      <w:r>
        <w:rPr>
          <w:rFonts w:ascii="Calibri" w:hAnsi="Calibri"/>
        </w:rPr>
        <w:t>primary care physicians (</w:t>
      </w:r>
      <w:r w:rsidRPr="00D40A35">
        <w:rPr>
          <w:rFonts w:ascii="Calibri" w:hAnsi="Calibri"/>
        </w:rPr>
        <w:t>PCPs</w:t>
      </w:r>
      <w:r>
        <w:rPr>
          <w:rFonts w:ascii="Calibri" w:hAnsi="Calibri"/>
        </w:rPr>
        <w:t>)</w:t>
      </w:r>
      <w:r w:rsidRPr="00D40A35">
        <w:rPr>
          <w:rFonts w:ascii="Calibri" w:hAnsi="Calibri"/>
        </w:rPr>
        <w:t xml:space="preserve"> in 2020 to a 45,000 PCP shortage in 202</w:t>
      </w:r>
      <w:r w:rsidRPr="00C51AF8">
        <w:rPr>
          <w:rFonts w:ascii="Calibri" w:hAnsi="Calibri"/>
        </w:rPr>
        <w:t>0</w:t>
      </w:r>
      <w:r>
        <w:rPr>
          <w:rFonts w:ascii="Calibri" w:hAnsi="Calibri"/>
        </w:rPr>
        <w:t>.</w:t>
      </w:r>
      <w:r w:rsidRPr="00C51AF8">
        <w:rPr>
          <w:rStyle w:val="FootnoteReference"/>
          <w:rFonts w:ascii="Calibri" w:hAnsi="Calibri"/>
        </w:rPr>
        <w:footnoteReference w:id="19"/>
      </w:r>
      <w:r w:rsidRPr="00D40A35">
        <w:rPr>
          <w:rFonts w:ascii="Calibri" w:hAnsi="Calibri"/>
        </w:rPr>
        <w:t xml:space="preserve"> Both of these models assume that the number of physicians required to care for a population is fixed.</w:t>
      </w:r>
    </w:p>
    <w:p w:rsidR="004C38EA" w:rsidRPr="00D40A35" w:rsidRDefault="004C38EA" w:rsidP="005A389C">
      <w:pPr>
        <w:rPr>
          <w:rFonts w:ascii="Calibri" w:hAnsi="Calibri"/>
        </w:rPr>
      </w:pPr>
    </w:p>
    <w:p w:rsidR="004C38EA" w:rsidRPr="00D40A35" w:rsidRDefault="004C38EA" w:rsidP="005A389C">
      <w:pPr>
        <w:rPr>
          <w:rFonts w:ascii="Calibri" w:hAnsi="Calibri"/>
          <w:bCs/>
          <w:iCs/>
        </w:rPr>
      </w:pPr>
      <w:r w:rsidRPr="00D40A35">
        <w:rPr>
          <w:rFonts w:ascii="Calibri" w:hAnsi="Calibri"/>
          <w:bCs/>
          <w:iCs/>
        </w:rPr>
        <w:t xml:space="preserve">However, the advent of new models of care, notably Patient-Centered Medical Homes (PCMHs) and Nurse Managed Health Centers (NMHCs), could change this key assumption. An analysis presented by Dr. </w:t>
      </w:r>
      <w:r>
        <w:rPr>
          <w:rFonts w:ascii="Calibri" w:hAnsi="Calibri"/>
          <w:bCs/>
          <w:iCs/>
        </w:rPr>
        <w:t xml:space="preserve">Mark </w:t>
      </w:r>
      <w:r w:rsidRPr="00D40A35">
        <w:rPr>
          <w:rFonts w:ascii="Calibri" w:hAnsi="Calibri"/>
          <w:bCs/>
          <w:iCs/>
        </w:rPr>
        <w:t xml:space="preserve">Friedberg and Dr. </w:t>
      </w:r>
      <w:r>
        <w:rPr>
          <w:rFonts w:ascii="Calibri" w:hAnsi="Calibri"/>
          <w:bCs/>
          <w:iCs/>
        </w:rPr>
        <w:t xml:space="preserve">David </w:t>
      </w:r>
      <w:r w:rsidRPr="00D40A35">
        <w:rPr>
          <w:rFonts w:ascii="Calibri" w:hAnsi="Calibri"/>
          <w:bCs/>
          <w:iCs/>
        </w:rPr>
        <w:t xml:space="preserve">Auerbach from the RAND Corporation surveyed the available literature as well as data from Pennsylvania’s Chronic Care Initiative for PCMHs. The RAND team has built a model of the potential impact of PCMH and NMHC and workforce assumptions, which allows for analysis using different assumptions of the prevalence of these arrangements as well as of the </w:t>
      </w:r>
      <w:r>
        <w:rPr>
          <w:rFonts w:ascii="Calibri" w:hAnsi="Calibri"/>
          <w:bCs/>
          <w:iCs/>
        </w:rPr>
        <w:t xml:space="preserve">number of patients care for by a physician </w:t>
      </w:r>
      <w:r w:rsidRPr="00D40A35">
        <w:rPr>
          <w:rFonts w:ascii="Calibri" w:hAnsi="Calibri"/>
          <w:bCs/>
          <w:iCs/>
        </w:rPr>
        <w:t>associated with such arrangements. At baseline, the analysis assumed that a PCMH uses approximately 10% more NPs and PAs per MD/DO. Overall, the model assumed an increased demand for primary care of 8%, based on demographic trends and on the implementation of the A</w:t>
      </w:r>
      <w:r>
        <w:rPr>
          <w:rFonts w:ascii="Calibri" w:hAnsi="Calibri"/>
          <w:bCs/>
          <w:iCs/>
        </w:rPr>
        <w:t>ffordable Care Act</w:t>
      </w:r>
      <w:r w:rsidRPr="00D40A35">
        <w:rPr>
          <w:rFonts w:ascii="Calibri" w:hAnsi="Calibri"/>
          <w:bCs/>
          <w:iCs/>
        </w:rPr>
        <w:t xml:space="preserve">. Estimates of primary care </w:t>
      </w:r>
      <w:r>
        <w:rPr>
          <w:rFonts w:ascii="Calibri" w:hAnsi="Calibri"/>
          <w:bCs/>
          <w:iCs/>
        </w:rPr>
        <w:t>clinicians</w:t>
      </w:r>
      <w:r w:rsidRPr="00D40A35">
        <w:rPr>
          <w:rFonts w:ascii="Calibri" w:hAnsi="Calibri"/>
          <w:bCs/>
          <w:iCs/>
        </w:rPr>
        <w:t xml:space="preserve">, based on estimates of how many providers practice primary care based on their practice-based patterns (not their training specialty) suggests a </w:t>
      </w:r>
      <w:r>
        <w:rPr>
          <w:rFonts w:ascii="Calibri" w:hAnsi="Calibri"/>
          <w:bCs/>
          <w:iCs/>
        </w:rPr>
        <w:t xml:space="preserve">national </w:t>
      </w:r>
      <w:r w:rsidRPr="00D40A35">
        <w:rPr>
          <w:rFonts w:ascii="Calibri" w:hAnsi="Calibri"/>
          <w:bCs/>
          <w:iCs/>
        </w:rPr>
        <w:t xml:space="preserve">primary care supply of about 130,000 </w:t>
      </w:r>
      <w:r>
        <w:rPr>
          <w:rFonts w:ascii="Calibri" w:hAnsi="Calibri"/>
          <w:bCs/>
          <w:iCs/>
        </w:rPr>
        <w:t xml:space="preserve">clinicians </w:t>
      </w:r>
      <w:r w:rsidRPr="00D40A35">
        <w:rPr>
          <w:rFonts w:ascii="Calibri" w:hAnsi="Calibri"/>
          <w:bCs/>
          <w:iCs/>
        </w:rPr>
        <w:t xml:space="preserve">in 2010 and 140,000 </w:t>
      </w:r>
      <w:r>
        <w:rPr>
          <w:rFonts w:ascii="Calibri" w:hAnsi="Calibri"/>
          <w:bCs/>
          <w:iCs/>
        </w:rPr>
        <w:t>clinicians</w:t>
      </w:r>
      <w:r w:rsidRPr="00D40A35">
        <w:rPr>
          <w:rFonts w:ascii="Calibri" w:hAnsi="Calibri"/>
          <w:bCs/>
          <w:iCs/>
        </w:rPr>
        <w:t xml:space="preserve"> in 2</w:t>
      </w:r>
      <w:r>
        <w:rPr>
          <w:rFonts w:ascii="Calibri" w:hAnsi="Calibri"/>
          <w:bCs/>
          <w:iCs/>
        </w:rPr>
        <w:t xml:space="preserve">020, with an MD:NP:PA ratio of </w:t>
      </w:r>
      <w:r w:rsidRPr="00D40A35">
        <w:rPr>
          <w:rFonts w:ascii="Calibri" w:hAnsi="Calibri"/>
          <w:bCs/>
          <w:iCs/>
        </w:rPr>
        <w:t>61:26:13 in 2010 and 54:33:13 in 2020.</w:t>
      </w:r>
      <w:r>
        <w:rPr>
          <w:rFonts w:ascii="Calibri" w:hAnsi="Calibri"/>
          <w:bCs/>
          <w:iCs/>
        </w:rPr>
        <w:t xml:space="preserve"> </w:t>
      </w:r>
    </w:p>
    <w:p w:rsidR="004C38EA" w:rsidRPr="00D40A35" w:rsidRDefault="004C38EA" w:rsidP="005A389C">
      <w:pPr>
        <w:rPr>
          <w:rFonts w:ascii="Calibri" w:hAnsi="Calibri"/>
          <w:bCs/>
          <w:iCs/>
        </w:rPr>
      </w:pPr>
    </w:p>
    <w:p w:rsidR="004C38EA" w:rsidRDefault="004C38EA" w:rsidP="005A389C">
      <w:pPr>
        <w:rPr>
          <w:rFonts w:ascii="Calibri" w:hAnsi="Calibri"/>
          <w:bCs/>
          <w:iCs/>
        </w:rPr>
      </w:pPr>
      <w:r w:rsidRPr="00D40A35">
        <w:rPr>
          <w:rFonts w:ascii="Calibri" w:hAnsi="Calibri"/>
          <w:bCs/>
          <w:iCs/>
        </w:rPr>
        <w:t>In terms of demand, changes in assumptions about the prevalence of PCMH and NMHC, as well as about the</w:t>
      </w:r>
      <w:r>
        <w:rPr>
          <w:rFonts w:ascii="Calibri" w:hAnsi="Calibri"/>
          <w:bCs/>
          <w:iCs/>
        </w:rPr>
        <w:t xml:space="preserve"> number of patients cared for by a physician w</w:t>
      </w:r>
      <w:r w:rsidRPr="00D40A35">
        <w:rPr>
          <w:rFonts w:ascii="Calibri" w:hAnsi="Calibri"/>
          <w:bCs/>
          <w:iCs/>
        </w:rPr>
        <w:t>ith these new models of care, change results about whether there will be a shortage or surplus of ce</w:t>
      </w:r>
      <w:r>
        <w:rPr>
          <w:rFonts w:ascii="Calibri" w:hAnsi="Calibri"/>
          <w:bCs/>
          <w:iCs/>
        </w:rPr>
        <w:t>rtain provider types. Overall, e</w:t>
      </w:r>
      <w:r w:rsidRPr="00D40A35">
        <w:rPr>
          <w:rFonts w:ascii="Calibri" w:hAnsi="Calibri"/>
          <w:bCs/>
          <w:iCs/>
        </w:rPr>
        <w:t xml:space="preserve">stimates are very sensitive to changes in primary care delivery models and standard projections do not take these changing models of primary care delivery into account. Growth of PCMH and NMHC models would </w:t>
      </w:r>
      <w:r>
        <w:rPr>
          <w:rFonts w:ascii="Calibri" w:hAnsi="Calibri"/>
          <w:bCs/>
          <w:iCs/>
        </w:rPr>
        <w:t xml:space="preserve">further </w:t>
      </w:r>
      <w:r w:rsidRPr="00D40A35">
        <w:rPr>
          <w:rFonts w:ascii="Calibri" w:hAnsi="Calibri"/>
          <w:bCs/>
          <w:iCs/>
        </w:rPr>
        <w:t xml:space="preserve">affect the projected provider imbalances. </w:t>
      </w:r>
    </w:p>
    <w:p w:rsidR="004C38EA" w:rsidRDefault="004C38EA" w:rsidP="005A389C">
      <w:pPr>
        <w:rPr>
          <w:rFonts w:ascii="Calibri" w:hAnsi="Calibri"/>
          <w:bCs/>
          <w:iCs/>
        </w:rPr>
      </w:pPr>
    </w:p>
    <w:p w:rsidR="004C38EA" w:rsidRPr="00D40A35" w:rsidRDefault="004C38EA" w:rsidP="005A389C">
      <w:pPr>
        <w:rPr>
          <w:rFonts w:ascii="Calibri" w:hAnsi="Calibri"/>
          <w:bCs/>
          <w:iCs/>
        </w:rPr>
      </w:pPr>
      <w:r>
        <w:rPr>
          <w:rFonts w:ascii="Calibri" w:hAnsi="Calibri"/>
          <w:bCs/>
          <w:iCs/>
        </w:rPr>
        <w:t>Of note, the state’s Health Planning Council is studying current and projected supply and demand for primary care services in the Commonwealth as part of the state’s health plan, which is due January 1, 2014.</w:t>
      </w:r>
    </w:p>
    <w:p w:rsidR="004C38EA" w:rsidRDefault="004C38EA" w:rsidP="005A389C">
      <w:pPr>
        <w:rPr>
          <w:bCs/>
          <w:iCs/>
        </w:rPr>
      </w:pPr>
    </w:p>
    <w:p w:rsidR="004C38EA" w:rsidRPr="0095629E" w:rsidRDefault="004C38EA" w:rsidP="0095629E"/>
    <w:p w:rsidR="004C38EA" w:rsidRPr="0095629E" w:rsidRDefault="004C38EA" w:rsidP="0095629E"/>
    <w:p w:rsidR="004C38EA" w:rsidRPr="0095629E" w:rsidRDefault="004C38EA" w:rsidP="0095629E"/>
    <w:p w:rsidR="004C38EA" w:rsidRDefault="004C38EA" w:rsidP="005A389C"/>
    <w:p w:rsidR="004C38EA" w:rsidRDefault="004C38EA" w:rsidP="005A389C"/>
    <w:p w:rsidR="004C38EA" w:rsidRDefault="004C38EA" w:rsidP="0095629E">
      <w:pPr>
        <w:tabs>
          <w:tab w:val="left" w:pos="2974"/>
        </w:tabs>
      </w:pPr>
      <w:r>
        <w:tab/>
      </w:r>
    </w:p>
    <w:p w:rsidR="004C38EA" w:rsidRDefault="004C38EA" w:rsidP="005A389C">
      <w:pPr>
        <w:rPr>
          <w:bCs/>
          <w:iCs/>
        </w:rPr>
      </w:pPr>
      <w:r w:rsidRPr="0095629E">
        <w:br w:type="page"/>
      </w:r>
    </w:p>
    <w:p w:rsidR="004C38EA" w:rsidRPr="009C7DAA" w:rsidRDefault="004C38EA" w:rsidP="00263F9A">
      <w:pPr>
        <w:pStyle w:val="Heading1"/>
      </w:pPr>
      <w:bookmarkStart w:id="4" w:name="_Toc363134025"/>
      <w:r>
        <w:t>Overview of Health Care Workforce Center activities</w:t>
      </w:r>
      <w:bookmarkEnd w:id="4"/>
    </w:p>
    <w:p w:rsidR="004C38EA" w:rsidRDefault="004C38EA" w:rsidP="005A389C">
      <w:pPr>
        <w:rPr>
          <w:rFonts w:ascii="Calibri" w:hAnsi="Calibri" w:cs="Arial"/>
          <w:lang w:eastAsia="en-US"/>
        </w:rPr>
      </w:pPr>
    </w:p>
    <w:p w:rsidR="004C38EA" w:rsidRDefault="004C38EA" w:rsidP="00D44EC6">
      <w:pPr>
        <w:rPr>
          <w:rFonts w:ascii="Calibri" w:hAnsi="Calibri"/>
        </w:rPr>
      </w:pPr>
      <w:r w:rsidRPr="006B7889">
        <w:rPr>
          <w:rFonts w:ascii="Calibri" w:hAnsi="Calibri"/>
        </w:rPr>
        <w:t xml:space="preserve">The </w:t>
      </w:r>
      <w:r>
        <w:rPr>
          <w:rFonts w:ascii="Calibri" w:hAnsi="Calibri"/>
        </w:rPr>
        <w:t xml:space="preserve">Health Care Workforce Center in the </w:t>
      </w:r>
      <w:r w:rsidRPr="006B7889">
        <w:rPr>
          <w:rFonts w:ascii="Calibri" w:hAnsi="Calibri"/>
        </w:rPr>
        <w:t xml:space="preserve">Massachusetts Department of Public Health (MDPH) </w:t>
      </w:r>
      <w:r>
        <w:rPr>
          <w:rFonts w:ascii="Calibri" w:hAnsi="Calibri"/>
        </w:rPr>
        <w:t>undertakes a range of activities related to Graduate Medical Education, including</w:t>
      </w:r>
      <w:r w:rsidRPr="006B7889">
        <w:rPr>
          <w:rFonts w:ascii="Calibri" w:hAnsi="Calibri"/>
        </w:rPr>
        <w:t>:</w:t>
      </w:r>
    </w:p>
    <w:p w:rsidR="004C38EA" w:rsidRPr="006B7889" w:rsidRDefault="004C38EA" w:rsidP="00D44EC6">
      <w:pPr>
        <w:rPr>
          <w:rFonts w:ascii="Calibri" w:hAnsi="Calibri"/>
        </w:rPr>
      </w:pPr>
    </w:p>
    <w:p w:rsidR="004C38EA" w:rsidRPr="006B7889" w:rsidRDefault="004C38EA" w:rsidP="00D44EC6">
      <w:pPr>
        <w:numPr>
          <w:ilvl w:val="0"/>
          <w:numId w:val="42"/>
        </w:numPr>
        <w:rPr>
          <w:rFonts w:ascii="Calibri" w:hAnsi="Calibri"/>
        </w:rPr>
      </w:pPr>
      <w:r w:rsidRPr="006B7889">
        <w:rPr>
          <w:rFonts w:ascii="Calibri" w:hAnsi="Calibri"/>
        </w:rPr>
        <w:t>Health profession</w:t>
      </w:r>
      <w:r>
        <w:rPr>
          <w:rFonts w:ascii="Calibri" w:hAnsi="Calibri"/>
        </w:rPr>
        <w:t>s</w:t>
      </w:r>
      <w:r w:rsidRPr="006B7889">
        <w:rPr>
          <w:rFonts w:ascii="Calibri" w:hAnsi="Calibri"/>
        </w:rPr>
        <w:t xml:space="preserve"> data series collection </w:t>
      </w:r>
    </w:p>
    <w:p w:rsidR="004C38EA" w:rsidRPr="006B7889" w:rsidRDefault="004C38EA" w:rsidP="00D44EC6">
      <w:pPr>
        <w:numPr>
          <w:ilvl w:val="0"/>
          <w:numId w:val="36"/>
        </w:numPr>
        <w:rPr>
          <w:rFonts w:ascii="Calibri" w:hAnsi="Calibri"/>
        </w:rPr>
      </w:pPr>
      <w:r w:rsidRPr="006B7889">
        <w:rPr>
          <w:rFonts w:ascii="Calibri" w:hAnsi="Calibri"/>
        </w:rPr>
        <w:t xml:space="preserve">The Massachusetts loan repayment program (MLRP) </w:t>
      </w:r>
    </w:p>
    <w:p w:rsidR="004C38EA" w:rsidRPr="006B7889" w:rsidRDefault="004C38EA" w:rsidP="00D44EC6">
      <w:pPr>
        <w:numPr>
          <w:ilvl w:val="0"/>
          <w:numId w:val="36"/>
        </w:numPr>
        <w:rPr>
          <w:rFonts w:ascii="Calibri" w:hAnsi="Calibri"/>
        </w:rPr>
      </w:pPr>
      <w:r>
        <w:rPr>
          <w:rFonts w:ascii="Calibri" w:hAnsi="Calibri"/>
        </w:rPr>
        <w:t>R</w:t>
      </w:r>
      <w:r w:rsidRPr="006B7889">
        <w:rPr>
          <w:rFonts w:ascii="Calibri" w:hAnsi="Calibri"/>
        </w:rPr>
        <w:t>esearch on health workforce recruitment and retention in high need areas</w:t>
      </w:r>
    </w:p>
    <w:p w:rsidR="004C38EA" w:rsidRPr="006B7889" w:rsidRDefault="004C38EA" w:rsidP="00D44EC6">
      <w:pPr>
        <w:rPr>
          <w:rFonts w:ascii="Calibri" w:hAnsi="Calibri"/>
        </w:rPr>
      </w:pPr>
    </w:p>
    <w:p w:rsidR="004C38EA" w:rsidRPr="006B7889" w:rsidRDefault="004C38EA" w:rsidP="00D44EC6">
      <w:pPr>
        <w:rPr>
          <w:rFonts w:ascii="Calibri" w:hAnsi="Calibri"/>
        </w:rPr>
      </w:pPr>
      <w:r w:rsidRPr="006B7889">
        <w:rPr>
          <w:rFonts w:ascii="Calibri" w:hAnsi="Calibri"/>
        </w:rPr>
        <w:t>The Health Care Workforce Center was established in the Acts of 2008 and expanded in Chapter 224 of the Acts of 2012. The mandate for the Health Care Workforce Center is to coordinate MDPH health care workforce activities with state agencies and public and private entities by:</w:t>
      </w:r>
    </w:p>
    <w:p w:rsidR="004C38EA" w:rsidRPr="006B7889" w:rsidRDefault="004C38EA" w:rsidP="00D44EC6">
      <w:pPr>
        <w:rPr>
          <w:rFonts w:ascii="Calibri" w:hAnsi="Calibri"/>
        </w:rPr>
      </w:pPr>
    </w:p>
    <w:p w:rsidR="004C38EA" w:rsidRPr="006B7889" w:rsidRDefault="004C38EA" w:rsidP="00D44EC6">
      <w:pPr>
        <w:numPr>
          <w:ilvl w:val="0"/>
          <w:numId w:val="37"/>
        </w:numPr>
        <w:rPr>
          <w:rFonts w:ascii="Calibri" w:hAnsi="Calibri"/>
        </w:rPr>
      </w:pPr>
      <w:r w:rsidRPr="006B7889">
        <w:rPr>
          <w:rFonts w:ascii="Calibri" w:hAnsi="Calibri"/>
        </w:rPr>
        <w:t xml:space="preserve">Monitoring trends in access to health care providers </w:t>
      </w:r>
    </w:p>
    <w:p w:rsidR="004C38EA" w:rsidRPr="006B7889" w:rsidRDefault="004C38EA" w:rsidP="00D44EC6">
      <w:pPr>
        <w:numPr>
          <w:ilvl w:val="0"/>
          <w:numId w:val="37"/>
        </w:numPr>
        <w:rPr>
          <w:rFonts w:ascii="Calibri" w:hAnsi="Calibri"/>
        </w:rPr>
      </w:pPr>
      <w:r w:rsidRPr="006B7889">
        <w:rPr>
          <w:rFonts w:ascii="Calibri" w:hAnsi="Calibri"/>
        </w:rPr>
        <w:t>Identifying solutions to address health care workforce shortages</w:t>
      </w:r>
    </w:p>
    <w:p w:rsidR="004C38EA" w:rsidRPr="006B7889" w:rsidRDefault="004C38EA" w:rsidP="00D44EC6">
      <w:pPr>
        <w:rPr>
          <w:rFonts w:ascii="Calibri" w:hAnsi="Calibri"/>
        </w:rPr>
      </w:pPr>
    </w:p>
    <w:p w:rsidR="004C38EA" w:rsidRPr="00FA1B8C" w:rsidRDefault="004C38EA" w:rsidP="00D44EC6">
      <w:pPr>
        <w:pStyle w:val="ListParagraph"/>
        <w:ind w:left="0"/>
        <w:rPr>
          <w:rFonts w:ascii="Calibri" w:hAnsi="Calibri"/>
          <w:b/>
          <w:i/>
          <w:u w:val="single"/>
        </w:rPr>
      </w:pPr>
      <w:r w:rsidRPr="00FA1B8C">
        <w:rPr>
          <w:rFonts w:ascii="Calibri" w:hAnsi="Calibri"/>
          <w:b/>
          <w:i/>
          <w:u w:val="single"/>
        </w:rPr>
        <w:t>Health Professions Data Series</w:t>
      </w:r>
    </w:p>
    <w:p w:rsidR="004C38EA" w:rsidRPr="006B7889" w:rsidRDefault="004C38EA" w:rsidP="00D44EC6">
      <w:pPr>
        <w:pStyle w:val="ListParagraph"/>
        <w:ind w:left="0"/>
        <w:rPr>
          <w:rFonts w:ascii="Calibri" w:hAnsi="Calibri"/>
        </w:rPr>
      </w:pPr>
    </w:p>
    <w:p w:rsidR="004C38EA" w:rsidRPr="001E794E" w:rsidRDefault="004C38EA" w:rsidP="001E794E">
      <w:pPr>
        <w:rPr>
          <w:rFonts w:ascii="Calibri" w:hAnsi="Calibri"/>
        </w:rPr>
      </w:pPr>
      <w:r>
        <w:rPr>
          <w:rFonts w:ascii="Calibri" w:hAnsi="Calibri"/>
        </w:rPr>
        <w:t xml:space="preserve">The Health Professions Data Series is </w:t>
      </w:r>
      <w:r w:rsidRPr="006B7889">
        <w:rPr>
          <w:rFonts w:ascii="Calibri" w:hAnsi="Calibri"/>
        </w:rPr>
        <w:t xml:space="preserve">the first of its kind data collection which provides for systematic and consistent health professions data collection. Data collection through the electronic licensure process includes the number, type, race/ethnicity, and practice locations of primary care disciplines. </w:t>
      </w:r>
      <w:r w:rsidRPr="006B7889">
        <w:rPr>
          <w:rFonts w:ascii="Calibri" w:hAnsi="Calibri" w:cs="Arial"/>
        </w:rPr>
        <w:t>This data series characterizes the workforce from a supply perspective, enhancing the ability to identify trends and patterns in the workforce that may impact access to health care professionals and the services they provide. To date</w:t>
      </w:r>
      <w:r>
        <w:rPr>
          <w:rFonts w:ascii="Calibri" w:hAnsi="Calibri" w:cs="Arial"/>
        </w:rPr>
        <w:t>,</w:t>
      </w:r>
      <w:r w:rsidRPr="006B7889">
        <w:rPr>
          <w:rFonts w:ascii="Calibri" w:hAnsi="Calibri" w:cs="Arial"/>
        </w:rPr>
        <w:t xml:space="preserve"> data</w:t>
      </w:r>
      <w:r>
        <w:rPr>
          <w:rFonts w:ascii="Calibri" w:hAnsi="Calibri" w:cs="Arial"/>
        </w:rPr>
        <w:t xml:space="preserve"> are</w:t>
      </w:r>
      <w:r w:rsidRPr="006B7889">
        <w:rPr>
          <w:rFonts w:ascii="Calibri" w:hAnsi="Calibri" w:cs="Arial"/>
        </w:rPr>
        <w:t xml:space="preserve"> being collected from various disciplines including: physicians, nurse practitioners, physician assistants, pharmacists, dentists, dental hygienists, </w:t>
      </w:r>
      <w:r>
        <w:rPr>
          <w:rFonts w:ascii="Calibri" w:hAnsi="Calibri" w:cs="Arial"/>
        </w:rPr>
        <w:t xml:space="preserve">and </w:t>
      </w:r>
      <w:r w:rsidRPr="006B7889">
        <w:rPr>
          <w:rFonts w:ascii="Calibri" w:hAnsi="Calibri" w:cs="Arial"/>
        </w:rPr>
        <w:t xml:space="preserve">licensed practical nurses.  </w:t>
      </w:r>
    </w:p>
    <w:p w:rsidR="004C38EA" w:rsidRPr="006B7889" w:rsidRDefault="004C38EA" w:rsidP="00D44EC6">
      <w:pPr>
        <w:pStyle w:val="ListParagraph"/>
        <w:ind w:left="0"/>
        <w:rPr>
          <w:rFonts w:ascii="Calibri" w:hAnsi="Calibri" w:cs="Arial"/>
        </w:rPr>
      </w:pPr>
    </w:p>
    <w:p w:rsidR="004C38EA" w:rsidRPr="006B7889" w:rsidRDefault="004C38EA" w:rsidP="00D44EC6">
      <w:pPr>
        <w:pStyle w:val="ListParagraph"/>
        <w:ind w:left="0"/>
        <w:rPr>
          <w:rFonts w:ascii="Calibri" w:hAnsi="Calibri" w:cs="Arial"/>
        </w:rPr>
      </w:pPr>
      <w:r w:rsidRPr="006B7889">
        <w:rPr>
          <w:rFonts w:ascii="Calibri" w:hAnsi="Calibri" w:cs="Arial"/>
        </w:rPr>
        <w:t>This data collection improves our understanding and will result in targeted solutions to planning and cost containment while improving access to primary care. For example:</w:t>
      </w:r>
    </w:p>
    <w:p w:rsidR="004C38EA" w:rsidRPr="006B7889" w:rsidRDefault="004C38EA" w:rsidP="00D44EC6">
      <w:pPr>
        <w:pStyle w:val="ListParagraph"/>
        <w:ind w:left="0"/>
        <w:rPr>
          <w:rFonts w:ascii="Calibri" w:hAnsi="Calibri" w:cs="Arial"/>
        </w:rPr>
      </w:pPr>
    </w:p>
    <w:p w:rsidR="004C38EA" w:rsidRPr="006B7889" w:rsidRDefault="004C38EA" w:rsidP="00D44EC6">
      <w:pPr>
        <w:pStyle w:val="ListParagraph"/>
        <w:numPr>
          <w:ilvl w:val="0"/>
          <w:numId w:val="38"/>
        </w:numPr>
        <w:rPr>
          <w:rFonts w:ascii="Calibri" w:hAnsi="Calibri"/>
        </w:rPr>
      </w:pPr>
      <w:r>
        <w:rPr>
          <w:rFonts w:ascii="Calibri" w:hAnsi="Calibri"/>
        </w:rPr>
        <w:t>Geographic-b</w:t>
      </w:r>
      <w:r w:rsidRPr="006B7889">
        <w:rPr>
          <w:rFonts w:ascii="Calibri" w:hAnsi="Calibri"/>
        </w:rPr>
        <w:t xml:space="preserve">ased </w:t>
      </w:r>
      <w:r>
        <w:rPr>
          <w:rFonts w:ascii="Calibri" w:hAnsi="Calibri"/>
        </w:rPr>
        <w:t>p</w:t>
      </w:r>
      <w:r w:rsidRPr="006B7889">
        <w:rPr>
          <w:rFonts w:ascii="Calibri" w:hAnsi="Calibri"/>
        </w:rPr>
        <w:t xml:space="preserve">lanning </w:t>
      </w:r>
      <w:r>
        <w:rPr>
          <w:rFonts w:ascii="Calibri" w:hAnsi="Calibri"/>
        </w:rPr>
        <w:t xml:space="preserve">provides information </w:t>
      </w:r>
      <w:r w:rsidRPr="006B7889">
        <w:rPr>
          <w:rFonts w:ascii="Calibri" w:hAnsi="Calibri"/>
        </w:rPr>
        <w:t xml:space="preserve">about the impact of physician (or </w:t>
      </w:r>
      <w:r>
        <w:rPr>
          <w:rFonts w:ascii="Calibri" w:hAnsi="Calibri"/>
        </w:rPr>
        <w:t>other provider</w:t>
      </w:r>
      <w:r w:rsidRPr="006B7889">
        <w:rPr>
          <w:rFonts w:ascii="Calibri" w:hAnsi="Calibri"/>
        </w:rPr>
        <w:t>) density on access to care</w:t>
      </w:r>
      <w:r>
        <w:rPr>
          <w:rFonts w:ascii="Calibri" w:hAnsi="Calibri"/>
        </w:rPr>
        <w:t>;</w:t>
      </w:r>
      <w:r w:rsidRPr="006B7889">
        <w:rPr>
          <w:rFonts w:ascii="Calibri" w:hAnsi="Calibri"/>
        </w:rPr>
        <w:t xml:space="preserve"> </w:t>
      </w:r>
    </w:p>
    <w:p w:rsidR="004C38EA" w:rsidRPr="006B7889" w:rsidRDefault="004C38EA" w:rsidP="00D44EC6">
      <w:pPr>
        <w:pStyle w:val="ListParagraph"/>
        <w:numPr>
          <w:ilvl w:val="0"/>
          <w:numId w:val="38"/>
        </w:numPr>
        <w:rPr>
          <w:rFonts w:ascii="Calibri" w:hAnsi="Calibri"/>
        </w:rPr>
      </w:pPr>
      <w:r>
        <w:rPr>
          <w:rFonts w:ascii="Calibri" w:hAnsi="Calibri"/>
        </w:rPr>
        <w:t>Demographic-</w:t>
      </w:r>
      <w:r w:rsidRPr="006B7889">
        <w:rPr>
          <w:rFonts w:ascii="Calibri" w:hAnsi="Calibri"/>
        </w:rPr>
        <w:t xml:space="preserve">based planning informs projections based on population shifts including age, race/ethnicity, language, disability, retirement, </w:t>
      </w:r>
      <w:r>
        <w:rPr>
          <w:rFonts w:ascii="Calibri" w:hAnsi="Calibri"/>
        </w:rPr>
        <w:t xml:space="preserve">education, </w:t>
      </w:r>
      <w:r w:rsidRPr="006B7889">
        <w:rPr>
          <w:rFonts w:ascii="Calibri" w:hAnsi="Calibri"/>
        </w:rPr>
        <w:t>and public and private insurance</w:t>
      </w:r>
      <w:r>
        <w:rPr>
          <w:rFonts w:ascii="Calibri" w:hAnsi="Calibri"/>
        </w:rPr>
        <w:t>;</w:t>
      </w:r>
    </w:p>
    <w:p w:rsidR="004C38EA" w:rsidRPr="006B7889" w:rsidRDefault="004C38EA" w:rsidP="00D44EC6">
      <w:pPr>
        <w:pStyle w:val="ListParagraph"/>
        <w:numPr>
          <w:ilvl w:val="0"/>
          <w:numId w:val="38"/>
        </w:numPr>
        <w:rPr>
          <w:rFonts w:ascii="Calibri" w:hAnsi="Calibri"/>
        </w:rPr>
      </w:pPr>
      <w:r>
        <w:rPr>
          <w:rFonts w:ascii="Calibri" w:hAnsi="Calibri"/>
        </w:rPr>
        <w:t>Policy-based p</w:t>
      </w:r>
      <w:r w:rsidRPr="006B7889">
        <w:rPr>
          <w:rFonts w:ascii="Calibri" w:hAnsi="Calibri"/>
        </w:rPr>
        <w:t>lanning accounts for local policies and knowledge such as rates of disease, water fluoridation.</w:t>
      </w:r>
    </w:p>
    <w:p w:rsidR="004C38EA" w:rsidRDefault="004C38EA" w:rsidP="00D44EC6">
      <w:pPr>
        <w:rPr>
          <w:rFonts w:ascii="Calibri" w:hAnsi="Calibri"/>
          <w:u w:val="single"/>
        </w:rPr>
      </w:pPr>
    </w:p>
    <w:p w:rsidR="004C38EA" w:rsidRPr="006B7889" w:rsidRDefault="004C38EA" w:rsidP="00D44EC6">
      <w:pPr>
        <w:rPr>
          <w:rFonts w:ascii="Calibri" w:hAnsi="Calibri"/>
          <w:u w:val="single"/>
        </w:rPr>
      </w:pPr>
    </w:p>
    <w:p w:rsidR="004C38EA" w:rsidRPr="00FA1B8C" w:rsidRDefault="004C38EA" w:rsidP="001E794E">
      <w:pPr>
        <w:keepNext/>
        <w:rPr>
          <w:rFonts w:ascii="Calibri" w:hAnsi="Calibri"/>
          <w:b/>
          <w:i/>
          <w:u w:val="single"/>
        </w:rPr>
      </w:pPr>
      <w:r w:rsidRPr="00FA1B8C">
        <w:rPr>
          <w:rFonts w:ascii="Calibri" w:hAnsi="Calibri"/>
          <w:b/>
          <w:i/>
          <w:u w:val="single"/>
        </w:rPr>
        <w:lastRenderedPageBreak/>
        <w:t>The Massachusetts Loan Repayment Program for Health Professionals (MLRP)</w:t>
      </w:r>
    </w:p>
    <w:p w:rsidR="004C38EA" w:rsidRPr="006B7889" w:rsidRDefault="004C38EA" w:rsidP="001E794E">
      <w:pPr>
        <w:keepNext/>
        <w:rPr>
          <w:rFonts w:ascii="Calibri" w:hAnsi="Calibri"/>
        </w:rPr>
      </w:pPr>
    </w:p>
    <w:p w:rsidR="004C38EA" w:rsidRPr="006B7889" w:rsidRDefault="004C38EA" w:rsidP="001E794E">
      <w:pPr>
        <w:keepNext/>
        <w:rPr>
          <w:rFonts w:ascii="Calibri" w:hAnsi="Calibri"/>
        </w:rPr>
      </w:pPr>
      <w:r w:rsidRPr="006B7889">
        <w:rPr>
          <w:rFonts w:ascii="Calibri" w:hAnsi="Calibri"/>
        </w:rPr>
        <w:t>Since 1990</w:t>
      </w:r>
      <w:r>
        <w:rPr>
          <w:rFonts w:ascii="Calibri" w:hAnsi="Calibri"/>
        </w:rPr>
        <w:t>,</w:t>
      </w:r>
      <w:r w:rsidRPr="006B7889">
        <w:rPr>
          <w:rFonts w:ascii="Calibri" w:hAnsi="Calibri"/>
        </w:rPr>
        <w:t xml:space="preserve"> state and federal grant funding has supported the MLRP. This program is designed to assist in recruitment and retention by assisting clinicians with school loan repayment in return for a commitment to provide primary care in an underserved area of</w:t>
      </w:r>
      <w:r>
        <w:rPr>
          <w:rFonts w:ascii="Calibri" w:hAnsi="Calibri"/>
        </w:rPr>
        <w:t xml:space="preserve"> the Commonwealth for at least two</w:t>
      </w:r>
      <w:r w:rsidRPr="006B7889">
        <w:rPr>
          <w:rFonts w:ascii="Calibri" w:hAnsi="Calibri"/>
        </w:rPr>
        <w:t xml:space="preserve"> years. Average physician loa</w:t>
      </w:r>
      <w:r>
        <w:rPr>
          <w:rFonts w:ascii="Calibri" w:hAnsi="Calibri"/>
        </w:rPr>
        <w:t>n amounts are $50,000 for a two-</w:t>
      </w:r>
      <w:r w:rsidRPr="006B7889">
        <w:rPr>
          <w:rFonts w:ascii="Calibri" w:hAnsi="Calibri"/>
        </w:rPr>
        <w:t xml:space="preserve">year full time commitment. The program awards approximately 18 health professionals per year. Since 1990 the MLRP has made approximately 325 awards.  </w:t>
      </w:r>
    </w:p>
    <w:p w:rsidR="004C38EA" w:rsidRPr="006B7889" w:rsidRDefault="004C38EA" w:rsidP="00D44EC6">
      <w:pPr>
        <w:rPr>
          <w:rFonts w:ascii="Calibri" w:hAnsi="Calibri"/>
        </w:rPr>
      </w:pPr>
    </w:p>
    <w:p w:rsidR="004C38EA" w:rsidRPr="006B7889" w:rsidRDefault="004C38EA" w:rsidP="00D44EC6">
      <w:pPr>
        <w:rPr>
          <w:rFonts w:ascii="Calibri" w:hAnsi="Calibri"/>
          <w:highlight w:val="lightGray"/>
        </w:rPr>
      </w:pPr>
      <w:r>
        <w:rPr>
          <w:rFonts w:ascii="Calibri" w:hAnsi="Calibri"/>
        </w:rPr>
        <w:t>The Health Care Workforce Center is able to award</w:t>
      </w:r>
      <w:r w:rsidRPr="006B7889">
        <w:rPr>
          <w:rFonts w:ascii="Calibri" w:hAnsi="Calibri"/>
        </w:rPr>
        <w:t xml:space="preserve"> loan repayment to providers who do not fit federal shortage area criteria and who do care for Massachusetts-specific-underserved.  </w:t>
      </w:r>
    </w:p>
    <w:p w:rsidR="004C38EA" w:rsidRPr="006B7889" w:rsidRDefault="004C38EA" w:rsidP="00D44EC6">
      <w:pPr>
        <w:rPr>
          <w:rFonts w:ascii="Calibri" w:hAnsi="Calibri"/>
          <w:highlight w:val="lightGray"/>
        </w:rPr>
      </w:pPr>
    </w:p>
    <w:p w:rsidR="004C38EA" w:rsidRPr="006B7889" w:rsidRDefault="004C38EA" w:rsidP="00D44EC6">
      <w:pPr>
        <w:rPr>
          <w:rFonts w:ascii="Calibri" w:hAnsi="Calibri"/>
        </w:rPr>
      </w:pPr>
      <w:r w:rsidRPr="006B7889">
        <w:rPr>
          <w:rFonts w:ascii="Calibri" w:hAnsi="Calibri"/>
        </w:rPr>
        <w:t>Chapter 224 of the Acts of 2012 expands three recruitment and retention programs:</w:t>
      </w:r>
    </w:p>
    <w:p w:rsidR="004C38EA" w:rsidRPr="006B7889" w:rsidRDefault="004C38EA" w:rsidP="00D44EC6">
      <w:pPr>
        <w:rPr>
          <w:rFonts w:ascii="Calibri" w:hAnsi="Calibri"/>
        </w:rPr>
      </w:pPr>
    </w:p>
    <w:p w:rsidR="004C38EA" w:rsidRPr="006B7889" w:rsidRDefault="004C38EA" w:rsidP="00D44EC6">
      <w:pPr>
        <w:numPr>
          <w:ilvl w:val="0"/>
          <w:numId w:val="39"/>
        </w:numPr>
        <w:rPr>
          <w:rFonts w:ascii="Calibri" w:hAnsi="Calibri"/>
        </w:rPr>
      </w:pPr>
      <w:r w:rsidRPr="006B7889">
        <w:rPr>
          <w:rFonts w:ascii="Calibri" w:hAnsi="Calibri"/>
        </w:rPr>
        <w:t>Health care workforce loan repayment program</w:t>
      </w:r>
      <w:r>
        <w:rPr>
          <w:rFonts w:ascii="Calibri" w:hAnsi="Calibri"/>
        </w:rPr>
        <w:t>;</w:t>
      </w:r>
      <w:r w:rsidRPr="006B7889">
        <w:rPr>
          <w:rFonts w:ascii="Calibri" w:hAnsi="Calibri"/>
        </w:rPr>
        <w:t xml:space="preserve"> </w:t>
      </w:r>
    </w:p>
    <w:p w:rsidR="004C38EA" w:rsidRPr="006B7889" w:rsidRDefault="004C38EA" w:rsidP="00D44EC6">
      <w:pPr>
        <w:numPr>
          <w:ilvl w:val="0"/>
          <w:numId w:val="39"/>
        </w:numPr>
        <w:rPr>
          <w:rFonts w:ascii="Calibri" w:hAnsi="Calibri"/>
        </w:rPr>
      </w:pPr>
      <w:r w:rsidRPr="006B7889">
        <w:rPr>
          <w:rFonts w:ascii="Calibri" w:hAnsi="Calibri"/>
        </w:rPr>
        <w:t>The primary care residency grant program (new to this legislation)</w:t>
      </w:r>
      <w:r>
        <w:rPr>
          <w:rFonts w:ascii="Calibri" w:hAnsi="Calibri"/>
        </w:rPr>
        <w:t>;</w:t>
      </w:r>
    </w:p>
    <w:p w:rsidR="004C38EA" w:rsidRPr="006B7889" w:rsidRDefault="004C38EA" w:rsidP="00D44EC6">
      <w:pPr>
        <w:numPr>
          <w:ilvl w:val="0"/>
          <w:numId w:val="39"/>
        </w:numPr>
        <w:rPr>
          <w:rFonts w:ascii="Calibri" w:hAnsi="Calibri"/>
        </w:rPr>
      </w:pPr>
      <w:r w:rsidRPr="006B7889">
        <w:rPr>
          <w:rFonts w:ascii="Calibri" w:hAnsi="Calibri"/>
        </w:rPr>
        <w:t>Primary care workforce development and loan forgiveness grant program at community health centers (new to this legislation).</w:t>
      </w:r>
    </w:p>
    <w:p w:rsidR="004C38EA" w:rsidRDefault="004C38EA" w:rsidP="00D44EC6">
      <w:pPr>
        <w:rPr>
          <w:rFonts w:ascii="Calibri" w:hAnsi="Calibri"/>
        </w:rPr>
      </w:pPr>
    </w:p>
    <w:p w:rsidR="004C38EA" w:rsidRDefault="004C38EA" w:rsidP="00D44EC6">
      <w:pPr>
        <w:rPr>
          <w:rFonts w:ascii="Calibri" w:hAnsi="Calibri"/>
        </w:rPr>
      </w:pPr>
      <w:r>
        <w:rPr>
          <w:rFonts w:ascii="Calibri" w:hAnsi="Calibri"/>
        </w:rPr>
        <w:t>The Center will be working with stakeholders to develop and implement these programs.</w:t>
      </w:r>
    </w:p>
    <w:p w:rsidR="004C38EA" w:rsidRPr="006B7889" w:rsidRDefault="004C38EA" w:rsidP="00D44EC6">
      <w:pPr>
        <w:rPr>
          <w:rFonts w:ascii="Calibri" w:hAnsi="Calibri"/>
        </w:rPr>
      </w:pPr>
    </w:p>
    <w:p w:rsidR="004C38EA" w:rsidRPr="00FA1B8C" w:rsidRDefault="004C38EA" w:rsidP="00D44EC6">
      <w:pPr>
        <w:rPr>
          <w:rFonts w:ascii="Calibri" w:hAnsi="Calibri"/>
          <w:b/>
          <w:i/>
          <w:u w:val="single"/>
        </w:rPr>
      </w:pPr>
      <w:r w:rsidRPr="00FA1B8C">
        <w:rPr>
          <w:rFonts w:ascii="Calibri" w:hAnsi="Calibri"/>
          <w:b/>
          <w:i/>
          <w:u w:val="single"/>
        </w:rPr>
        <w:t>Summary of Health Care Workforce Center recruitment and retention research</w:t>
      </w:r>
    </w:p>
    <w:p w:rsidR="004C38EA" w:rsidRPr="006B7889" w:rsidRDefault="004C38EA" w:rsidP="00D44EC6">
      <w:pPr>
        <w:rPr>
          <w:rFonts w:ascii="Calibri" w:hAnsi="Calibri"/>
        </w:rPr>
      </w:pPr>
    </w:p>
    <w:p w:rsidR="004C38EA" w:rsidRPr="006B7889" w:rsidRDefault="004C38EA" w:rsidP="00D44EC6">
      <w:pPr>
        <w:rPr>
          <w:rFonts w:ascii="Calibri" w:hAnsi="Calibri"/>
        </w:rPr>
      </w:pPr>
      <w:r>
        <w:rPr>
          <w:rFonts w:ascii="Calibri" w:hAnsi="Calibri"/>
        </w:rPr>
        <w:t>The Health Care Workforce Center has</w:t>
      </w:r>
      <w:r w:rsidRPr="006B7889">
        <w:rPr>
          <w:rFonts w:ascii="Calibri" w:hAnsi="Calibri"/>
        </w:rPr>
        <w:t xml:space="preserve"> researched health workforce recruitment and retention through literature review, MLRP exit interviews, surveys and interviews with program participants and with health employer human resource or medical directors. </w:t>
      </w:r>
      <w:r>
        <w:rPr>
          <w:rFonts w:ascii="Calibri" w:hAnsi="Calibri"/>
        </w:rPr>
        <w:t xml:space="preserve">These </w:t>
      </w:r>
      <w:r w:rsidRPr="006B7889">
        <w:rPr>
          <w:rFonts w:ascii="Calibri" w:hAnsi="Calibri"/>
        </w:rPr>
        <w:t xml:space="preserve">research findings are consistent with other research and indicate that: </w:t>
      </w:r>
    </w:p>
    <w:p w:rsidR="004C38EA" w:rsidRPr="006B7889" w:rsidRDefault="004C38EA" w:rsidP="00D44EC6">
      <w:pPr>
        <w:rPr>
          <w:rFonts w:ascii="Calibri" w:hAnsi="Calibri"/>
        </w:rPr>
      </w:pPr>
    </w:p>
    <w:p w:rsidR="004C38EA" w:rsidRPr="006B7889" w:rsidRDefault="004C38EA" w:rsidP="00D44EC6">
      <w:pPr>
        <w:numPr>
          <w:ilvl w:val="0"/>
          <w:numId w:val="40"/>
        </w:numPr>
        <w:rPr>
          <w:rFonts w:ascii="Calibri" w:hAnsi="Calibri"/>
        </w:rPr>
      </w:pPr>
      <w:r w:rsidRPr="006B7889">
        <w:rPr>
          <w:rFonts w:ascii="Calibri" w:hAnsi="Calibri"/>
        </w:rPr>
        <w:t>Most sites do not have in place a formal recruitment or retention plan</w:t>
      </w:r>
      <w:r>
        <w:rPr>
          <w:rFonts w:ascii="Calibri" w:hAnsi="Calibri"/>
        </w:rPr>
        <w:t>;</w:t>
      </w:r>
    </w:p>
    <w:p w:rsidR="004C38EA" w:rsidRPr="006B7889" w:rsidRDefault="004C38EA" w:rsidP="00D44EC6">
      <w:pPr>
        <w:numPr>
          <w:ilvl w:val="0"/>
          <w:numId w:val="40"/>
        </w:numPr>
        <w:rPr>
          <w:rFonts w:ascii="Calibri" w:hAnsi="Calibri"/>
        </w:rPr>
      </w:pPr>
      <w:r w:rsidRPr="006B7889">
        <w:rPr>
          <w:rFonts w:ascii="Calibri" w:hAnsi="Calibri"/>
        </w:rPr>
        <w:t>A hospital affiliation increased the recruitment and retention capacity of community based agencies</w:t>
      </w:r>
      <w:r>
        <w:rPr>
          <w:rFonts w:ascii="Calibri" w:hAnsi="Calibri"/>
        </w:rPr>
        <w:t>;</w:t>
      </w:r>
    </w:p>
    <w:p w:rsidR="004C38EA" w:rsidRPr="006B7889" w:rsidRDefault="004C38EA" w:rsidP="00D44EC6">
      <w:pPr>
        <w:numPr>
          <w:ilvl w:val="0"/>
          <w:numId w:val="40"/>
        </w:numPr>
        <w:rPr>
          <w:rFonts w:ascii="Calibri" w:hAnsi="Calibri"/>
        </w:rPr>
      </w:pPr>
      <w:r w:rsidRPr="006B7889">
        <w:rPr>
          <w:rFonts w:ascii="Calibri" w:hAnsi="Calibri"/>
        </w:rPr>
        <w:t>Community based agencies find it difficult to compete with neighboring hospitals</w:t>
      </w:r>
      <w:r w:rsidRPr="00150F8D">
        <w:rPr>
          <w:rFonts w:ascii="Calibri" w:hAnsi="Calibri"/>
        </w:rPr>
        <w:t>’</w:t>
      </w:r>
      <w:r w:rsidRPr="006B7889">
        <w:rPr>
          <w:rFonts w:ascii="Calibri" w:hAnsi="Calibri"/>
        </w:rPr>
        <w:t xml:space="preserve"> salaries and benefits</w:t>
      </w:r>
      <w:r>
        <w:rPr>
          <w:rFonts w:ascii="Calibri" w:hAnsi="Calibri"/>
        </w:rPr>
        <w:t>;</w:t>
      </w:r>
    </w:p>
    <w:p w:rsidR="004C38EA" w:rsidRPr="006B7889" w:rsidRDefault="004C38EA" w:rsidP="00D44EC6">
      <w:pPr>
        <w:numPr>
          <w:ilvl w:val="0"/>
          <w:numId w:val="40"/>
        </w:numPr>
        <w:rPr>
          <w:rFonts w:ascii="Calibri" w:hAnsi="Calibri"/>
        </w:rPr>
      </w:pPr>
      <w:r w:rsidRPr="006B7889">
        <w:rPr>
          <w:rFonts w:ascii="Calibri" w:hAnsi="Calibri"/>
        </w:rPr>
        <w:t>Access to flexible funding options would likely increase recruitment and retention</w:t>
      </w:r>
      <w:r>
        <w:rPr>
          <w:rFonts w:ascii="Calibri" w:hAnsi="Calibri"/>
        </w:rPr>
        <w:t>;</w:t>
      </w:r>
      <w:r w:rsidRPr="006B7889">
        <w:rPr>
          <w:rFonts w:ascii="Calibri" w:hAnsi="Calibri"/>
        </w:rPr>
        <w:t xml:space="preserve">.  </w:t>
      </w:r>
    </w:p>
    <w:p w:rsidR="004C38EA" w:rsidRPr="006B7889" w:rsidRDefault="004C38EA" w:rsidP="00D44EC6">
      <w:pPr>
        <w:numPr>
          <w:ilvl w:val="0"/>
          <w:numId w:val="40"/>
        </w:numPr>
        <w:rPr>
          <w:rFonts w:ascii="Calibri" w:hAnsi="Calibri"/>
        </w:rPr>
      </w:pPr>
      <w:r w:rsidRPr="006B7889">
        <w:rPr>
          <w:rFonts w:ascii="Calibri" w:hAnsi="Calibri"/>
        </w:rPr>
        <w:t>It is difficult to use loan repayment as a recruitment tool when it cannot be guaranteed to prospective staff</w:t>
      </w:r>
      <w:r>
        <w:rPr>
          <w:rFonts w:ascii="Calibri" w:hAnsi="Calibri"/>
        </w:rPr>
        <w:t>.</w:t>
      </w:r>
    </w:p>
    <w:p w:rsidR="004C38EA" w:rsidRPr="006B7889" w:rsidRDefault="004C38EA" w:rsidP="00D44EC6">
      <w:pPr>
        <w:ind w:left="720"/>
        <w:rPr>
          <w:rFonts w:ascii="Calibri" w:hAnsi="Calibri"/>
        </w:rPr>
      </w:pPr>
    </w:p>
    <w:p w:rsidR="004C38EA" w:rsidRPr="006B7889" w:rsidRDefault="004C38EA" w:rsidP="00D44EC6">
      <w:pPr>
        <w:rPr>
          <w:rFonts w:ascii="Calibri" w:hAnsi="Calibri"/>
        </w:rPr>
      </w:pPr>
      <w:r>
        <w:rPr>
          <w:rFonts w:ascii="Calibri" w:hAnsi="Calibri"/>
        </w:rPr>
        <w:t>S</w:t>
      </w:r>
      <w:r w:rsidRPr="006B7889">
        <w:rPr>
          <w:rFonts w:ascii="Calibri" w:hAnsi="Calibri"/>
        </w:rPr>
        <w:t xml:space="preserve">urvey results also demonstrated </w:t>
      </w:r>
      <w:r>
        <w:rPr>
          <w:rFonts w:ascii="Calibri" w:hAnsi="Calibri"/>
        </w:rPr>
        <w:t xml:space="preserve">reasons </w:t>
      </w:r>
      <w:r w:rsidRPr="006B7889">
        <w:rPr>
          <w:rFonts w:ascii="Calibri" w:hAnsi="Calibri"/>
        </w:rPr>
        <w:t xml:space="preserve">why clinicians stay. </w:t>
      </w:r>
      <w:r>
        <w:rPr>
          <w:rFonts w:ascii="Calibri" w:hAnsi="Calibri"/>
        </w:rPr>
        <w:t xml:space="preserve">These include: </w:t>
      </w:r>
    </w:p>
    <w:p w:rsidR="004C38EA" w:rsidRPr="006B7889" w:rsidRDefault="004C38EA" w:rsidP="00D44EC6">
      <w:pPr>
        <w:rPr>
          <w:rFonts w:ascii="Calibri" w:hAnsi="Calibri"/>
        </w:rPr>
      </w:pPr>
    </w:p>
    <w:p w:rsidR="004C38EA" w:rsidRPr="006B7889" w:rsidRDefault="004C38EA" w:rsidP="00D44EC6">
      <w:pPr>
        <w:numPr>
          <w:ilvl w:val="0"/>
          <w:numId w:val="41"/>
        </w:numPr>
        <w:rPr>
          <w:rFonts w:ascii="Calibri" w:hAnsi="Calibri"/>
        </w:rPr>
      </w:pPr>
      <w:r w:rsidRPr="006B7889">
        <w:rPr>
          <w:rFonts w:ascii="Calibri" w:hAnsi="Calibri"/>
        </w:rPr>
        <w:t>Relevant and accessible training and learning opportunities</w:t>
      </w:r>
      <w:r>
        <w:rPr>
          <w:rFonts w:ascii="Calibri" w:hAnsi="Calibri"/>
        </w:rPr>
        <w:t>;</w:t>
      </w:r>
    </w:p>
    <w:p w:rsidR="004C38EA" w:rsidRPr="006B7889" w:rsidRDefault="004C38EA" w:rsidP="00D44EC6">
      <w:pPr>
        <w:numPr>
          <w:ilvl w:val="0"/>
          <w:numId w:val="41"/>
        </w:numPr>
        <w:rPr>
          <w:rFonts w:ascii="Calibri" w:hAnsi="Calibri"/>
        </w:rPr>
      </w:pPr>
      <w:r w:rsidRPr="006B7889">
        <w:rPr>
          <w:rFonts w:ascii="Calibri" w:hAnsi="Calibri"/>
        </w:rPr>
        <w:t>Opportunities for career advancement and career paths</w:t>
      </w:r>
      <w:r>
        <w:rPr>
          <w:rFonts w:ascii="Calibri" w:hAnsi="Calibri"/>
        </w:rPr>
        <w:t>;</w:t>
      </w:r>
    </w:p>
    <w:p w:rsidR="004C38EA" w:rsidRPr="006B7889" w:rsidRDefault="004C38EA" w:rsidP="00D44EC6">
      <w:pPr>
        <w:numPr>
          <w:ilvl w:val="0"/>
          <w:numId w:val="41"/>
        </w:numPr>
        <w:rPr>
          <w:rFonts w:ascii="Calibri" w:hAnsi="Calibri"/>
        </w:rPr>
      </w:pPr>
      <w:r w:rsidRPr="006B7889">
        <w:rPr>
          <w:rFonts w:ascii="Calibri" w:hAnsi="Calibri"/>
        </w:rPr>
        <w:lastRenderedPageBreak/>
        <w:t>Orientation to work site systems, colleagues, and patient population</w:t>
      </w:r>
      <w:r>
        <w:rPr>
          <w:rFonts w:ascii="Calibri" w:hAnsi="Calibri"/>
        </w:rPr>
        <w:t>.</w:t>
      </w:r>
      <w:r>
        <w:rPr>
          <w:rFonts w:ascii="Calibri" w:hAnsi="Calibri"/>
        </w:rPr>
        <w:br/>
      </w:r>
    </w:p>
    <w:p w:rsidR="004C38EA" w:rsidRPr="006B7889" w:rsidRDefault="004C38EA" w:rsidP="00D44EC6">
      <w:pPr>
        <w:rPr>
          <w:rFonts w:ascii="Calibri" w:hAnsi="Calibri"/>
        </w:rPr>
      </w:pPr>
      <w:r>
        <w:rPr>
          <w:rFonts w:ascii="Calibri" w:hAnsi="Calibri"/>
        </w:rPr>
        <w:t>N</w:t>
      </w:r>
      <w:r w:rsidRPr="006B7889">
        <w:rPr>
          <w:rFonts w:ascii="Calibri" w:hAnsi="Calibri"/>
        </w:rPr>
        <w:t>o one solution will guarantee recruiting or retaining a primary care provider and a variety of options, including loan repayment, J1 Visa Waiver, salary and benefits</w:t>
      </w:r>
      <w:r>
        <w:rPr>
          <w:rFonts w:ascii="Calibri" w:hAnsi="Calibri"/>
        </w:rPr>
        <w:t>,</w:t>
      </w:r>
      <w:r w:rsidRPr="006B7889">
        <w:rPr>
          <w:rFonts w:ascii="Calibri" w:hAnsi="Calibri"/>
        </w:rPr>
        <w:t xml:space="preserve"> and relevant educational opportunities are part of the solution. </w:t>
      </w:r>
      <w:r>
        <w:rPr>
          <w:rFonts w:ascii="Calibri" w:hAnsi="Calibri"/>
        </w:rPr>
        <w:t>T</w:t>
      </w:r>
      <w:r w:rsidRPr="006B7889">
        <w:rPr>
          <w:rFonts w:ascii="Calibri" w:hAnsi="Calibri"/>
        </w:rPr>
        <w:t>he Health Care Workforce Center is willing to assist in next steps including planning for the administration of GME, and providing additional research of best practices regarding retention and expansion for access to primary care while at the same time controlling overall costs to the system.</w:t>
      </w:r>
    </w:p>
    <w:p w:rsidR="004C38EA" w:rsidRDefault="004C38EA" w:rsidP="005A389C">
      <w:pPr>
        <w:rPr>
          <w:rFonts w:ascii="Calibri" w:hAnsi="Calibri" w:cs="Arial"/>
          <w:lang w:eastAsia="en-US"/>
        </w:rPr>
      </w:pPr>
    </w:p>
    <w:p w:rsidR="004C38EA" w:rsidRDefault="004C38EA" w:rsidP="005A389C">
      <w:pPr>
        <w:rPr>
          <w:rFonts w:ascii="Book Antiqua" w:hAnsi="Book Antiqua" w:cs="Arial"/>
          <w:i/>
          <w:sz w:val="22"/>
          <w:szCs w:val="22"/>
          <w:lang w:eastAsia="en-US"/>
        </w:rPr>
      </w:pPr>
      <w:r>
        <w:rPr>
          <w:rFonts w:ascii="Book Antiqua" w:hAnsi="Book Antiqua" w:cs="Arial"/>
          <w:i/>
          <w:sz w:val="22"/>
          <w:szCs w:val="22"/>
          <w:lang w:eastAsia="en-US"/>
        </w:rPr>
        <w:br w:type="page"/>
      </w:r>
    </w:p>
    <w:p w:rsidR="004C38EA" w:rsidRPr="009C7DAA" w:rsidRDefault="004C38EA" w:rsidP="00263F9A">
      <w:pPr>
        <w:pStyle w:val="Heading1"/>
      </w:pPr>
      <w:bookmarkStart w:id="5" w:name="_Toc363134026"/>
      <w:r>
        <w:t>Financial analysis of Graduate Medical Education</w:t>
      </w:r>
      <w:bookmarkEnd w:id="5"/>
    </w:p>
    <w:p w:rsidR="004C38EA" w:rsidRDefault="004C38EA" w:rsidP="005A389C"/>
    <w:p w:rsidR="004C38EA" w:rsidRDefault="004C38EA" w:rsidP="005A389C">
      <w:pPr>
        <w:rPr>
          <w:rFonts w:ascii="Calibri" w:hAnsi="Calibri"/>
        </w:rPr>
      </w:pPr>
      <w:r w:rsidRPr="00180D44">
        <w:rPr>
          <w:rFonts w:ascii="Calibri" w:hAnsi="Calibri"/>
        </w:rPr>
        <w:t>As part of its work, the Commission examined both the cost and the value associated with Graduate Medical Education. The Commission approached this examination from three perspectives. The first was to estimate the cost associated with replacing the clinical services provided by residents with other providers. The second was to develop an estimate of costs associated with op</w:t>
      </w:r>
      <w:r>
        <w:rPr>
          <w:rFonts w:ascii="Calibri" w:hAnsi="Calibri"/>
        </w:rPr>
        <w:t>eration of a Graduate Medical E</w:t>
      </w:r>
      <w:r w:rsidRPr="00180D44">
        <w:rPr>
          <w:rFonts w:ascii="Calibri" w:hAnsi="Calibri"/>
        </w:rPr>
        <w:t>ducation program. The last was to identify areas in which Graduate Medical Education provides value to the Commonwealth and the nation. By using three different approaches, the Commission acknowledged that there are different ways of thinking about the “true” costs and value associated with GME.</w:t>
      </w:r>
    </w:p>
    <w:p w:rsidR="004C38EA" w:rsidRPr="00180D44" w:rsidRDefault="004C38EA" w:rsidP="005A389C">
      <w:pPr>
        <w:rPr>
          <w:rFonts w:ascii="Calibri" w:hAnsi="Calibri"/>
        </w:rPr>
      </w:pPr>
    </w:p>
    <w:p w:rsidR="004C38EA" w:rsidRDefault="00211E86" w:rsidP="005A389C">
      <w:r>
        <w:rPr>
          <w:noProof/>
          <w:lang w:eastAsia="en-US"/>
        </w:rPr>
      </w:r>
      <w:r>
        <w:rPr>
          <w:noProof/>
          <w:lang w:eastAsia="en-US"/>
        </w:rPr>
        <w:pict>
          <v:group id="Group 16" o:spid="_x0000_s1034" alt="Tthree approaches to thinking about the value of Graduate Medical Education" style="width:392.4pt;height:287.95pt;mso-position-horizontal-relative:char;mso-position-vertical-relative:line" coordorigin="3790,3987" coordsize="7286,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">
            <o:lock v:ext="edit" aspectratio="t"/>
            <v:rect id="Rectangle 17" o:spid="_x0000_s1035" alt="Three approaches to thinking about &quot;true&quot; costs and value associated with GME" style="position:absolute;left:3790;top:3987;width:7286;height:5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7" o:spid="_x0000_s1036" type="#_x0000_t202" style="position:absolute;left:3790;top:4933;width:2486;height:1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bRcUA&#10;AADbAAAADwAAAGRycy9kb3ducmV2LnhtbESPT2vCQBTE7wW/w/IEb3WjYCqpG6mCIi09JErPj+zL&#10;H5p9G7JrjP303ULB4zAzv2E229G0YqDeNZYVLOYRCOLC6oYrBZfz4XkNwnlkja1lUnAnB9t08rTB&#10;RNsbZzTkvhIBwi5BBbX3XSKlK2oy6Oa2Iw5eaXuDPsi+krrHW4CbVi6jKJYGGw4LNXa0r6n4zq9G&#10;QXn9/DhnQ74a3xdf5ic7xn4Xx0rNpuPbKwhPo3+E/9snrWD5An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idtFxQAAANsAAAAPAAAAAAAAAAAAAAAAAJgCAABkcnMv&#10;ZG93bnJldi54bWxQSwUGAAAAAAQABAD1AAAAigMAAAAA&#10;" filled="f" strokecolor="#b4b4b4">
              <v:textbox style="mso-next-textbox:#Text Box 7" inset="1.98117mm,.99056mm,1.98117mm,.99056mm">
                <w:txbxContent>
                  <w:p w:rsidR="001E2683" w:rsidRPr="007A2828" w:rsidRDefault="001E2683" w:rsidP="005A389C">
                    <w:pPr>
                      <w:autoSpaceDE w:val="0"/>
                      <w:autoSpaceDN w:val="0"/>
                      <w:adjustRightInd w:val="0"/>
                      <w:jc w:val="center"/>
                      <w:rPr>
                        <w:rFonts w:ascii="Calibri" w:hAnsi="Calibri" w:cs="Calibri"/>
                        <w:color w:val="000000"/>
                        <w:sz w:val="28"/>
                        <w:szCs w:val="36"/>
                      </w:rPr>
                    </w:pPr>
                    <w:r w:rsidRPr="007A2828">
                      <w:rPr>
                        <w:rFonts w:ascii="Calibri" w:hAnsi="Calibri" w:cs="Calibri"/>
                        <w:color w:val="000000"/>
                        <w:sz w:val="28"/>
                        <w:szCs w:val="36"/>
                      </w:rPr>
                      <w:t>Estimate replacement cost of residents as care providers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37" type="#_x0000_t5" style="position:absolute;left:6362;top:5631;width:2314;height:20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e870A&#10;AADbAAAADwAAAGRycy9kb3ducmV2LnhtbERPy6rCMBDdC/5DGMGdJrpQqUYRQdCNcKuIy7EZ22Iz&#10;KU209e/N4oLLw3mvNp2txJsaXzrWMBkrEMSZMyXnGi7n/WgBwgdkg5Vj0vAhD5t1v7fCxLiW/+id&#10;hlzEEPYJaihCqBMpfVaQRT92NXHkHq6xGCJscmkabGO4reRUqZm0WHJsKLCmXUHZM31ZDeX8eAru&#10;eEuVadN7fbju8awqrYeDbrsEEagLP/G/+2A0TOPY+CX+AL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4ue870AAADbAAAADwAAAAAAAAAAAAAAAACYAgAAZHJzL2Rvd25yZXYu&#10;eG1sUEsFBgAAAAAEAAQA9QAAAIIDAAAAAA==&#10;" fillcolor="#b4b4b4" stroked="f">
              <v:textbox style="mso-next-textbox:#AutoShape 2" inset="1.98117mm,.99056mm,1.98117mm,.99056mm">
                <w:txbxContent>
                  <w:p w:rsidR="001E2683" w:rsidRPr="007A2828" w:rsidRDefault="001E2683" w:rsidP="005A389C">
                    <w:pPr>
                      <w:autoSpaceDE w:val="0"/>
                      <w:autoSpaceDN w:val="0"/>
                      <w:adjustRightInd w:val="0"/>
                      <w:rPr>
                        <w:rFonts w:ascii="Calibri" w:hAnsi="Calibri"/>
                        <w:color w:val="000000"/>
                        <w:sz w:val="25"/>
                        <w:szCs w:val="32"/>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38" type="#_x0000_t13" style="position:absolute;left:5933;top:6067;width:1029;height:960;rotation:135537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e18UA&#10;AADbAAAADwAAAGRycy9kb3ducmV2LnhtbESPzWrDMBCE74W+g9hCbo3UUPLjRjZNSiCH5FC3kOvW&#10;2tqm1spYiu28fRQI9DjMzDfMOhttI3rqfO1Yw8tUgSAunKm51PD9tXtegvAB2WDjmDRcyEOWPj6s&#10;MTFu4E/q81CKCGGfoIYqhDaR0hcVWfRT1xJH79d1FkOUXSlNh0OE20bOlJpLizXHhQpb2lZU/OVn&#10;qyE/LcbX+aHY/vT1sBmWyquPo9d68jS+v4EINIb/8L29NxpmK7h9iT9Ap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x7XxQAAANsAAAAPAAAAAAAAAAAAAAAAAJgCAABkcnMv&#10;ZG93bnJldi54bWxQSwUGAAAAAAQABAD1AAAAigMAAAAA&#10;" fillcolor="#9cf" strokecolor="#b4b4b4">
              <v:textbox style="mso-next-textbox:#AutoShape 4" inset="1.98117mm,.99056mm,1.98117mm,.99056mm">
                <w:txbxContent>
                  <w:p w:rsidR="001E2683" w:rsidRPr="007A2828" w:rsidRDefault="001E2683" w:rsidP="005A389C">
                    <w:pPr>
                      <w:autoSpaceDE w:val="0"/>
                      <w:autoSpaceDN w:val="0"/>
                      <w:adjustRightInd w:val="0"/>
                      <w:rPr>
                        <w:rFonts w:ascii="Calibri" w:hAnsi="Calibri"/>
                        <w:color w:val="000000"/>
                        <w:sz w:val="25"/>
                        <w:szCs w:val="32"/>
                      </w:rPr>
                    </w:pPr>
                  </w:p>
                </w:txbxContent>
              </v:textbox>
            </v:shape>
            <v:shape id="AutoShape 5" o:spid="_x0000_s1039" type="#_x0000_t13" style="position:absolute;left:7061;top:7625;width:916;height:102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58MAA&#10;AADbAAAADwAAAGRycy9kb3ducmV2LnhtbERPTYvCMBC9C/6HMII3TV1hkWoUURa9yFZXEW9DM7bV&#10;ZlKaWOu/Nwdhj4/3PVu0phQN1a6wrGA0jEAQp1YXnCk4/v0MJiCcR9ZYWiYFL3KwmHc7M4y1ffKe&#10;moPPRAhhF6OC3PsqltKlORl0Q1sRB+5qa4M+wDqTusZnCDel/Iqib2mw4NCQY0WrnNL74WEU7DZJ&#10;si6SlWwu53TCp6y53Mpfpfq9djkF4an1/+KPe6sVjMP6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158MAAAADbAAAADwAAAAAAAAAAAAAAAACYAgAAZHJzL2Rvd25y&#10;ZXYueG1sUEsFBgAAAAAEAAQA9QAAAIUDAAAAAA==&#10;" fillcolor="#9cf" strokecolor="#b4b4b4">
              <v:textbox style="mso-next-textbox:#AutoShape 5" inset="1.98117mm,.99056mm,1.98117mm,.99056mm">
                <w:txbxContent>
                  <w:p w:rsidR="001E2683" w:rsidRPr="007A2828" w:rsidRDefault="001E2683" w:rsidP="005A389C">
                    <w:pPr>
                      <w:autoSpaceDE w:val="0"/>
                      <w:autoSpaceDN w:val="0"/>
                      <w:adjustRightInd w:val="0"/>
                      <w:rPr>
                        <w:rFonts w:ascii="Calibri" w:hAnsi="Calibri"/>
                        <w:color w:val="000000"/>
                        <w:sz w:val="25"/>
                        <w:szCs w:val="32"/>
                      </w:rPr>
                    </w:pPr>
                  </w:p>
                </w:txbxContent>
              </v:textbox>
            </v:shape>
            <v:shape id="Text Box 6" o:spid="_x0000_s1040" type="#_x0000_t202" style="position:absolute;left:6362;top:8685;width:2314;height: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wd8QA&#10;AADbAAAADwAAAGRycy9kb3ducmV2LnhtbESPQWvCQBSE7wX/w/IK3uomFYOkrlILilR6SBTPj+wz&#10;Cc2+Ddk1xv56Vyh4HGbmG2axGkwjeupcbVlBPIlAEBdW11wqOB42b3MQziNrbCyTghs5WC1HLwtM&#10;tb1yRn3uSxEg7FJUUHnfplK6oiKDbmJb4uCdbWfQB9mVUnd4DXDTyPcoSqTBmsNChS19VVT85hej&#10;4Hz52R+yPp8N3/HJ/GXbxK+TRKnx6/D5AcLT4J/h//ZOK5jG8Pg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cHfEAAAA2wAAAA8AAAAAAAAAAAAAAAAAmAIAAGRycy9k&#10;b3ducmV2LnhtbFBLBQYAAAAABAAEAPUAAACJAwAAAAA=&#10;" filled="f" strokecolor="#b4b4b4">
              <v:textbox style="mso-next-textbox:#Text Box 6" inset="1.98117mm,.99056mm,1.98117mm,.99056mm">
                <w:txbxContent>
                  <w:p w:rsidR="001E2683" w:rsidRPr="007A2828" w:rsidRDefault="001E2683" w:rsidP="005A389C">
                    <w:pPr>
                      <w:autoSpaceDE w:val="0"/>
                      <w:autoSpaceDN w:val="0"/>
                      <w:adjustRightInd w:val="0"/>
                      <w:jc w:val="center"/>
                      <w:rPr>
                        <w:rFonts w:ascii="Calibri" w:hAnsi="Calibri" w:cs="Calibri"/>
                        <w:color w:val="000000"/>
                        <w:sz w:val="28"/>
                        <w:szCs w:val="36"/>
                      </w:rPr>
                    </w:pPr>
                    <w:r w:rsidRPr="007A2828">
                      <w:rPr>
                        <w:rFonts w:ascii="Calibri" w:hAnsi="Calibri" w:cs="Calibri"/>
                        <w:color w:val="000000"/>
                        <w:sz w:val="28"/>
                        <w:szCs w:val="36"/>
                      </w:rPr>
                      <w:t>Discuss value of GME</w:t>
                    </w:r>
                  </w:p>
                </w:txbxContent>
              </v:textbox>
            </v:shape>
            <v:shape id="Text Box 8" o:spid="_x0000_s1041" type="#_x0000_t202" style="position:absolute;left:8762;top:4933;width:2314;height:1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uAMQA&#10;AADbAAAADwAAAGRycy9kb3ducmV2LnhtbESPQWvCQBSE7wX/w/IEb3WjYpDoKiq0lEoPieL5kX0m&#10;wezbkF1j2l/vCgWPw8x8w6w2valFR62rLCuYjCMQxLnVFRcKTseP9wUI55E11pZJwS852KwHbytM&#10;tL1zSl3mCxEg7BJUUHrfJFK6vCSDbmwb4uBdbGvQB9kWUrd4D3BTy2kUxdJgxWGhxIb2JeXX7GYU&#10;XG4/h2PaZfP+e3I2f+ln7HdxrNRo2G+XIDz1/hX+b39pBbMpPL+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7gDEAAAA2wAAAA8AAAAAAAAAAAAAAAAAmAIAAGRycy9k&#10;b3ducmV2LnhtbFBLBQYAAAAABAAEAPUAAACJAwAAAAA=&#10;" filled="f" strokecolor="#b4b4b4">
              <v:textbox style="mso-next-textbox:#Text Box 8" inset="1.98117mm,.99056mm,1.98117mm,.99056mm">
                <w:txbxContent>
                  <w:p w:rsidR="001E2683" w:rsidRPr="007A2828" w:rsidRDefault="001E2683" w:rsidP="005A389C">
                    <w:pPr>
                      <w:autoSpaceDE w:val="0"/>
                      <w:autoSpaceDN w:val="0"/>
                      <w:adjustRightInd w:val="0"/>
                      <w:jc w:val="center"/>
                      <w:rPr>
                        <w:rFonts w:ascii="Calibri" w:hAnsi="Calibri" w:cs="Calibri"/>
                        <w:color w:val="000000"/>
                        <w:sz w:val="28"/>
                        <w:szCs w:val="36"/>
                      </w:rPr>
                    </w:pPr>
                    <w:r w:rsidRPr="007A2828">
                      <w:rPr>
                        <w:rFonts w:ascii="Calibri" w:hAnsi="Calibri" w:cs="Calibri"/>
                        <w:color w:val="000000"/>
                        <w:sz w:val="28"/>
                        <w:szCs w:val="36"/>
                      </w:rPr>
                      <w:t>Estimate cost associated with establishing program</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42" type="#_x0000_t85" style="position:absolute;left:7475;top:3994;width:87;height:231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wwsUA&#10;AADbAAAADwAAAGRycy9kb3ducmV2LnhtbESP3WrCQBSE7wt9h+UUvKub1lIlugmtIIoUJFHw9pA9&#10;+bHZs2l21fTt3ULBy2FmvmEW6WBacaHeNZYVvIwjEMSF1Q1XCg771fMMhPPIGlvLpOCXHKTJ48MC&#10;Y22vnNEl95UIEHYxKqi972IpXVGTQTe2HXHwStsb9EH2ldQ9XgPctPI1it6lwYbDQo0dLWsqvvOz&#10;UeC3+5+3VbZb52V1nE6z5Wf5dcqUGj0NH3MQngZ/D/+3N1rBZAJ/X8IP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TDCxQAAANsAAAAPAAAAAAAAAAAAAAAAAJgCAABkcnMv&#10;ZG93bnJldi54bWxQSwUGAAAAAAQABAD1AAAAigMAAAAA&#10;">
              <v:textbox style="mso-next-textbox:#AutoShape 9" inset="1.98117mm,.99056mm,1.98117mm,.99056mm">
                <w:txbxContent>
                  <w:p w:rsidR="001E2683" w:rsidRPr="007A2828" w:rsidRDefault="001E2683" w:rsidP="005A389C">
                    <w:pPr>
                      <w:autoSpaceDE w:val="0"/>
                      <w:autoSpaceDN w:val="0"/>
                      <w:adjustRightInd w:val="0"/>
                      <w:rPr>
                        <w:rFonts w:ascii="Calibri" w:hAnsi="Calibri"/>
                        <w:color w:val="000000"/>
                        <w:sz w:val="25"/>
                        <w:szCs w:val="32"/>
                      </w:rPr>
                    </w:pPr>
                  </w:p>
                </w:txbxContent>
              </v:textbox>
            </v:shape>
            <v:shape id="Text Box 25" o:spid="_x0000_s1043" type="#_x0000_t202" style="position:absolute;left:6533;top:3987;width:1886;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q2MQA&#10;AADbAAAADwAAAGRycy9kb3ducmV2LnhtbESPT2vCQBTE7wW/w/IEb80mLZaSuoZqK3jopan2/Mg+&#10;k9js25Dd/PHbdwXB4zAzv2FW2WQaMVDnassKkigGQVxYXXOp4PCze3wF4TyyxsYyKbiQg2w9e1hh&#10;qu3I3zTkvhQBwi5FBZX3bSqlKyoy6CLbEgfvZDuDPsiulLrDMcBNI5/i+EUarDksVNjStqLiL++N&#10;gl/+GM+bJPd7Mp9FX8uj/DoclVrMp/c3EJ4mfw/f2nut4HkJ1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66tjEAAAA2wAAAA8AAAAAAAAAAAAAAAAAmAIAAGRycy9k&#10;b3ducmV2LnhtbFBLBQYAAAAABAAEAPUAAACJAwAAAAA=&#10;" filled="f" stroked="f">
              <v:textbox style="mso-next-textbox:#Text Box 25" inset="1.98117mm,.99056mm,1.98117mm,.99056mm">
                <w:txbxContent>
                  <w:p w:rsidR="001E2683" w:rsidRPr="007A2828" w:rsidRDefault="001E2683" w:rsidP="005A389C">
                    <w:pPr>
                      <w:autoSpaceDE w:val="0"/>
                      <w:autoSpaceDN w:val="0"/>
                      <w:adjustRightInd w:val="0"/>
                      <w:jc w:val="center"/>
                      <w:rPr>
                        <w:rFonts w:ascii="Calibri" w:hAnsi="Calibri" w:cs="Calibri"/>
                        <w:color w:val="000000"/>
                        <w:sz w:val="28"/>
                        <w:szCs w:val="36"/>
                      </w:rPr>
                    </w:pPr>
                    <w:r w:rsidRPr="007A2828">
                      <w:rPr>
                        <w:rFonts w:ascii="Calibri" w:hAnsi="Calibri" w:cs="Calibri"/>
                        <w:color w:val="000000"/>
                        <w:sz w:val="28"/>
                        <w:szCs w:val="36"/>
                      </w:rPr>
                      <w:t>Compare with current funding levels</w:t>
                    </w:r>
                  </w:p>
                </w:txbxContent>
              </v:textbox>
            </v:shape>
            <v:shape id="AutoShape 11" o:spid="_x0000_s1044" type="#_x0000_t13" style="position:absolute;left:8076;top:6067;width:1028;height:960;rotation:1355378fd;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G48QA&#10;AADbAAAADwAAAGRycy9kb3ducmV2LnhtbESP3WrCQBSE7wu+w3KE3ummFoOkriJKoYhgjT/08pA9&#10;TYLZs2F31fj2bkHo5TAz3zDTeWcacSXna8sK3oYJCOLC6ppLBYf952ACwgdkjY1lUnAnD/NZ72WK&#10;mbY33tE1D6WIEPYZKqhCaDMpfVGRQT+0LXH0fq0zGKJ0pdQObxFuGjlKklQarDkuVNjSsqLinF+M&#10;gmUYf/9cUrda522yOG03zhzPTqnXfrf4ABGoC//hZ/tLK3hP4e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dxuPEAAAA2wAAAA8AAAAAAAAAAAAAAAAAmAIAAGRycy9k&#10;b3ducmV2LnhtbFBLBQYAAAAABAAEAPUAAACJAwAAAAA=&#10;" fillcolor="#9cf" strokecolor="#b4b4b4">
              <v:textbox style="mso-next-textbox:#AutoShape 11" inset="1.98117mm,.99056mm,1.98117mm,.99056mm">
                <w:txbxContent>
                  <w:p w:rsidR="001E2683" w:rsidRPr="007A2828" w:rsidRDefault="001E2683" w:rsidP="005A389C">
                    <w:pPr>
                      <w:autoSpaceDE w:val="0"/>
                      <w:autoSpaceDN w:val="0"/>
                      <w:adjustRightInd w:val="0"/>
                      <w:rPr>
                        <w:rFonts w:ascii="Calibri" w:hAnsi="Calibri"/>
                        <w:color w:val="000000"/>
                        <w:sz w:val="25"/>
                        <w:szCs w:val="32"/>
                      </w:rPr>
                    </w:pPr>
                  </w:p>
                </w:txbxContent>
              </v:textbox>
            </v:shape>
            <v:shape id="Text Box 27" o:spid="_x0000_s1045" type="#_x0000_t202" style="position:absolute;left:6876;top:6765;width:1200;height: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RNMQA&#10;AADbAAAADwAAAGRycy9kb3ducmV2LnhtbESPT2vCQBTE7wW/w/IEb80mLdiSuoZqK3jopan2/Mg+&#10;k9js25Dd/PHbdwXB4zAzv2FW2WQaMVDnassKkigGQVxYXXOp4PCze3wF4TyyxsYyKbiQg2w9e1hh&#10;qu3I3zTkvhQBwi5FBZX3bSqlKyoy6CLbEgfvZDuDPsiulLrDMcBNI5/ieCkN1hwWKmxpW1Hxl/dG&#10;wS9/jOdNkvs9mc+ir+VRfh2OSi3m0/sbCE+Tv4dv7b1W8PwC1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k0TTEAAAA2wAAAA8AAAAAAAAAAAAAAAAAmAIAAGRycy9k&#10;b3ducmV2LnhtbFBLBQYAAAAABAAEAPUAAACJAwAAAAA=&#10;" filled="f" stroked="f">
              <v:textbox style="mso-next-textbox:#Text Box 27" inset="1.98117mm,.99056mm,1.98117mm,.99056mm">
                <w:txbxContent>
                  <w:p w:rsidR="001E2683" w:rsidRPr="007A2828" w:rsidRDefault="001E2683" w:rsidP="005A389C">
                    <w:pPr>
                      <w:autoSpaceDE w:val="0"/>
                      <w:autoSpaceDN w:val="0"/>
                      <w:adjustRightInd w:val="0"/>
                      <w:jc w:val="center"/>
                      <w:rPr>
                        <w:rFonts w:ascii="Calibri" w:hAnsi="Calibri" w:cs="Calibri"/>
                        <w:color w:val="000000"/>
                        <w:sz w:val="25"/>
                        <w:szCs w:val="32"/>
                      </w:rPr>
                    </w:pPr>
                    <w:r w:rsidRPr="007A2828">
                      <w:rPr>
                        <w:rFonts w:ascii="Calibri" w:hAnsi="Calibri" w:cs="Calibri"/>
                        <w:color w:val="000000"/>
                        <w:sz w:val="25"/>
                        <w:szCs w:val="32"/>
                      </w:rPr>
                      <w:t>GME</w:t>
                    </w:r>
                    <w:r>
                      <w:rPr>
                        <w:rFonts w:ascii="Calibri" w:hAnsi="Calibri" w:cs="Calibri"/>
                        <w:color w:val="000000"/>
                        <w:sz w:val="25"/>
                        <w:szCs w:val="32"/>
                      </w:rPr>
                      <w:t xml:space="preserve"> Fund</w:t>
                    </w:r>
                    <w:r w:rsidRPr="007A2828">
                      <w:rPr>
                        <w:rFonts w:ascii="Calibri" w:hAnsi="Calibri" w:cs="Calibri"/>
                        <w:color w:val="000000"/>
                        <w:sz w:val="25"/>
                        <w:szCs w:val="32"/>
                      </w:rPr>
                      <w:t xml:space="preserve"> COST</w:t>
                    </w:r>
                  </w:p>
                </w:txbxContent>
              </v:textbox>
            </v:shape>
            <w10:wrap type="none"/>
            <w10:anchorlock/>
          </v:group>
        </w:pict>
      </w:r>
    </w:p>
    <w:p w:rsidR="004C38EA" w:rsidRDefault="004C38EA" w:rsidP="005A389C"/>
    <w:p w:rsidR="004C38EA" w:rsidRPr="00541886" w:rsidRDefault="004C38EA" w:rsidP="005A389C">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Estimating costs of replacing residents as care providers</w:t>
      </w:r>
    </w:p>
    <w:p w:rsidR="004C38EA" w:rsidRDefault="004C38EA" w:rsidP="005A389C"/>
    <w:p w:rsidR="004C38EA" w:rsidRPr="00180D44" w:rsidRDefault="004C38EA" w:rsidP="005A389C">
      <w:pPr>
        <w:rPr>
          <w:rFonts w:ascii="Calibri" w:hAnsi="Calibri"/>
        </w:rPr>
      </w:pPr>
      <w:r w:rsidRPr="00180D44">
        <w:rPr>
          <w:rFonts w:ascii="Calibri" w:hAnsi="Calibri"/>
        </w:rPr>
        <w:t xml:space="preserve">One approach to understanding the financial benefits of GME to the Commonwealth is to approximate the dollar amount associated with the </w:t>
      </w:r>
      <w:r>
        <w:rPr>
          <w:rFonts w:ascii="Calibri" w:hAnsi="Calibri"/>
        </w:rPr>
        <w:t xml:space="preserve">clinical </w:t>
      </w:r>
      <w:r w:rsidRPr="00180D44">
        <w:rPr>
          <w:rFonts w:ascii="Calibri" w:hAnsi="Calibri"/>
        </w:rPr>
        <w:t>care services provided by residents, by estimating the replacement costs if programs were to substitute residents with mid-level providers.</w:t>
      </w:r>
    </w:p>
    <w:p w:rsidR="004C38EA" w:rsidRPr="00180D44" w:rsidRDefault="004C38EA" w:rsidP="005A389C">
      <w:pPr>
        <w:rPr>
          <w:rFonts w:ascii="Calibri" w:hAnsi="Calibri"/>
        </w:rPr>
      </w:pPr>
    </w:p>
    <w:p w:rsidR="004C38EA" w:rsidRPr="00180D44" w:rsidRDefault="004C38EA" w:rsidP="00222CAF">
      <w:pPr>
        <w:rPr>
          <w:rFonts w:ascii="Calibri" w:hAnsi="Calibri"/>
        </w:rPr>
      </w:pPr>
      <w:r w:rsidRPr="00180D44">
        <w:rPr>
          <w:rFonts w:ascii="Calibri" w:hAnsi="Calibri"/>
        </w:rPr>
        <w:t xml:space="preserve">First, the Commission determined the number of residents in Commonwealth, and separated the number </w:t>
      </w:r>
      <w:r>
        <w:rPr>
          <w:rFonts w:ascii="Calibri" w:hAnsi="Calibri"/>
        </w:rPr>
        <w:t>by</w:t>
      </w:r>
      <w:r w:rsidRPr="00180D44">
        <w:rPr>
          <w:rFonts w:ascii="Calibri" w:hAnsi="Calibri"/>
        </w:rPr>
        <w:t xml:space="preserve"> interns (PGY-1) and residents (PGY 2-8). Second, the Commission estimated the number of clinical hours worked per week by residents. The Commission estimated that interns </w:t>
      </w:r>
      <w:r>
        <w:rPr>
          <w:rFonts w:ascii="Calibri" w:hAnsi="Calibri"/>
        </w:rPr>
        <w:t xml:space="preserve">provide clinical care for </w:t>
      </w:r>
      <w:r w:rsidRPr="00180D44">
        <w:rPr>
          <w:rFonts w:ascii="Calibri" w:hAnsi="Calibri"/>
        </w:rPr>
        <w:t xml:space="preserve">46 weeks per year at an average of 65 hours per week. This assumes that interns receive </w:t>
      </w:r>
      <w:r>
        <w:rPr>
          <w:rFonts w:ascii="Calibri" w:hAnsi="Calibri"/>
        </w:rPr>
        <w:t xml:space="preserve">four </w:t>
      </w:r>
      <w:r w:rsidRPr="00180D44">
        <w:rPr>
          <w:rFonts w:ascii="Calibri" w:hAnsi="Calibri"/>
        </w:rPr>
        <w:lastRenderedPageBreak/>
        <w:t xml:space="preserve">weeks of vacation and </w:t>
      </w:r>
      <w:r>
        <w:rPr>
          <w:rFonts w:ascii="Calibri" w:hAnsi="Calibri"/>
        </w:rPr>
        <w:t xml:space="preserve">two </w:t>
      </w:r>
      <w:r w:rsidRPr="00180D44">
        <w:rPr>
          <w:rFonts w:ascii="Calibri" w:hAnsi="Calibri"/>
        </w:rPr>
        <w:t xml:space="preserve">additional weeks during which they may have little or no clinical time at the hospital (this could represent research or elective time, or sick call coverage). The Commission further estimated that residents </w:t>
      </w:r>
      <w:r>
        <w:rPr>
          <w:rFonts w:ascii="Calibri" w:hAnsi="Calibri"/>
        </w:rPr>
        <w:t xml:space="preserve">provide clinical care for </w:t>
      </w:r>
      <w:r w:rsidRPr="00180D44">
        <w:rPr>
          <w:rFonts w:ascii="Calibri" w:hAnsi="Calibri"/>
        </w:rPr>
        <w:t>weeks per year at 60 hours per week</w:t>
      </w:r>
      <w:r>
        <w:rPr>
          <w:rFonts w:ascii="Calibri" w:hAnsi="Calibri"/>
        </w:rPr>
        <w:t xml:space="preserve"> and an additional eight</w:t>
      </w:r>
      <w:r w:rsidRPr="00180D44">
        <w:rPr>
          <w:rFonts w:ascii="Calibri" w:hAnsi="Calibri"/>
        </w:rPr>
        <w:t xml:space="preserve"> weeks </w:t>
      </w:r>
      <w:r>
        <w:rPr>
          <w:rFonts w:ascii="Calibri" w:hAnsi="Calibri"/>
        </w:rPr>
        <w:t>per</w:t>
      </w:r>
      <w:r w:rsidRPr="00180D44">
        <w:rPr>
          <w:rFonts w:ascii="Calibri" w:hAnsi="Calibri"/>
        </w:rPr>
        <w:t xml:space="preserve"> year at 40 hours per week (representing elective time), and have </w:t>
      </w:r>
      <w:r>
        <w:rPr>
          <w:rFonts w:ascii="Calibri" w:hAnsi="Calibri"/>
        </w:rPr>
        <w:t xml:space="preserve">four </w:t>
      </w:r>
      <w:r w:rsidRPr="00180D44">
        <w:rPr>
          <w:rFonts w:ascii="Calibri" w:hAnsi="Calibri"/>
        </w:rPr>
        <w:t>weeks of vacation.</w:t>
      </w:r>
    </w:p>
    <w:p w:rsidR="004C38EA" w:rsidRPr="00180D44" w:rsidRDefault="004C38EA" w:rsidP="005A389C">
      <w:pPr>
        <w:rPr>
          <w:rFonts w:ascii="Calibri" w:hAnsi="Calibri"/>
        </w:rPr>
      </w:pPr>
    </w:p>
    <w:p w:rsidR="004C38EA" w:rsidRPr="00FD194A" w:rsidRDefault="004C38EA" w:rsidP="005A389C">
      <w:pPr>
        <w:rPr>
          <w:rFonts w:ascii="Calibri" w:hAnsi="Calibri"/>
        </w:rPr>
      </w:pPr>
      <w:r w:rsidRPr="00180D44">
        <w:rPr>
          <w:rFonts w:ascii="Calibri" w:hAnsi="Calibri"/>
        </w:rPr>
        <w:t xml:space="preserve">Based on these assumptions, the total number of hours </w:t>
      </w:r>
      <w:r>
        <w:rPr>
          <w:rFonts w:ascii="Calibri" w:hAnsi="Calibri"/>
        </w:rPr>
        <w:t xml:space="preserve">of clinical care provided </w:t>
      </w:r>
      <w:r w:rsidRPr="00180D44">
        <w:rPr>
          <w:rFonts w:ascii="Calibri" w:hAnsi="Calibri"/>
        </w:rPr>
        <w:t>by interns and residents was estimated as follows:</w:t>
      </w:r>
    </w:p>
    <w:tbl>
      <w:tblPr>
        <w:tblW w:w="0" w:type="auto"/>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2388"/>
        <w:gridCol w:w="3720"/>
        <w:gridCol w:w="4188"/>
      </w:tblGrid>
      <w:tr w:rsidR="004C38EA" w:rsidTr="005B5C9A">
        <w:trPr>
          <w:trHeight w:val="548"/>
          <w:jc w:val="center"/>
        </w:trPr>
        <w:tc>
          <w:tcPr>
            <w:tcW w:w="2388" w:type="dxa"/>
            <w:shd w:val="clear" w:color="auto" w:fill="003399"/>
          </w:tcPr>
          <w:p w:rsidR="004C38EA" w:rsidRPr="00F517B0" w:rsidRDefault="004C38EA" w:rsidP="00F517B0">
            <w:pPr>
              <w:jc w:val="center"/>
              <w:rPr>
                <w:rFonts w:ascii="Calibri" w:hAnsi="Calibri"/>
              </w:rPr>
            </w:pPr>
          </w:p>
        </w:tc>
        <w:tc>
          <w:tcPr>
            <w:tcW w:w="372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Number in Massachusetts</w:t>
            </w:r>
            <w:r>
              <w:rPr>
                <w:rStyle w:val="FootnoteReference"/>
                <w:rFonts w:ascii="Calibri" w:hAnsi="Calibri"/>
                <w:b/>
              </w:rPr>
              <w:footnoteReference w:id="20"/>
            </w:r>
          </w:p>
        </w:tc>
        <w:tc>
          <w:tcPr>
            <w:tcW w:w="4188"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Estimated Hours Worked per Year</w:t>
            </w:r>
          </w:p>
        </w:tc>
      </w:tr>
      <w:tr w:rsidR="004C38EA" w:rsidTr="005B5C9A">
        <w:trPr>
          <w:jc w:val="center"/>
        </w:trPr>
        <w:tc>
          <w:tcPr>
            <w:tcW w:w="2388" w:type="dxa"/>
            <w:shd w:val="clear" w:color="auto" w:fill="B7CFFF"/>
          </w:tcPr>
          <w:p w:rsidR="004C38EA" w:rsidRPr="00F517B0" w:rsidRDefault="004C38EA" w:rsidP="005A389C">
            <w:pPr>
              <w:rPr>
                <w:rFonts w:ascii="Calibri" w:hAnsi="Calibri"/>
              </w:rPr>
            </w:pPr>
            <w:r w:rsidRPr="00F517B0">
              <w:rPr>
                <w:rFonts w:ascii="Calibri" w:hAnsi="Calibri"/>
              </w:rPr>
              <w:t>Interns</w:t>
            </w:r>
          </w:p>
        </w:tc>
        <w:tc>
          <w:tcPr>
            <w:tcW w:w="3720" w:type="dxa"/>
            <w:shd w:val="clear" w:color="auto" w:fill="B7CFFF"/>
          </w:tcPr>
          <w:p w:rsidR="004C38EA" w:rsidRPr="00F517B0" w:rsidRDefault="004C38EA" w:rsidP="00F517B0">
            <w:pPr>
              <w:jc w:val="center"/>
              <w:rPr>
                <w:rFonts w:ascii="Calibri" w:hAnsi="Calibri"/>
              </w:rPr>
            </w:pPr>
            <w:r w:rsidRPr="00F517B0">
              <w:rPr>
                <w:rFonts w:ascii="Calibri" w:hAnsi="Calibri"/>
              </w:rPr>
              <w:t>1,042</w:t>
            </w:r>
          </w:p>
        </w:tc>
        <w:tc>
          <w:tcPr>
            <w:tcW w:w="4188" w:type="dxa"/>
            <w:shd w:val="clear" w:color="auto" w:fill="B7CFFF"/>
          </w:tcPr>
          <w:p w:rsidR="004C38EA" w:rsidRPr="00F517B0" w:rsidRDefault="004C38EA" w:rsidP="00F517B0">
            <w:pPr>
              <w:jc w:val="center"/>
              <w:rPr>
                <w:rFonts w:ascii="Calibri" w:hAnsi="Calibri"/>
              </w:rPr>
            </w:pPr>
            <w:r w:rsidRPr="00F517B0">
              <w:rPr>
                <w:rFonts w:ascii="Calibri" w:hAnsi="Calibri"/>
              </w:rPr>
              <w:t>3.1 M</w:t>
            </w:r>
          </w:p>
        </w:tc>
      </w:tr>
      <w:tr w:rsidR="004C38EA" w:rsidTr="005B5C9A">
        <w:trPr>
          <w:jc w:val="center"/>
        </w:trPr>
        <w:tc>
          <w:tcPr>
            <w:tcW w:w="2388" w:type="dxa"/>
            <w:shd w:val="clear" w:color="auto" w:fill="B7CFFF"/>
          </w:tcPr>
          <w:p w:rsidR="004C38EA" w:rsidRPr="00F517B0" w:rsidRDefault="004C38EA" w:rsidP="005A389C">
            <w:pPr>
              <w:rPr>
                <w:rFonts w:ascii="Calibri" w:hAnsi="Calibri"/>
              </w:rPr>
            </w:pPr>
            <w:r w:rsidRPr="00F517B0">
              <w:rPr>
                <w:rFonts w:ascii="Calibri" w:hAnsi="Calibri"/>
              </w:rPr>
              <w:t>Residents, PGY2-8</w:t>
            </w:r>
          </w:p>
        </w:tc>
        <w:tc>
          <w:tcPr>
            <w:tcW w:w="3720" w:type="dxa"/>
            <w:shd w:val="clear" w:color="auto" w:fill="B7CFFF"/>
          </w:tcPr>
          <w:p w:rsidR="004C38EA" w:rsidRPr="00F517B0" w:rsidRDefault="004C38EA" w:rsidP="00F517B0">
            <w:pPr>
              <w:jc w:val="center"/>
              <w:rPr>
                <w:rFonts w:ascii="Calibri" w:hAnsi="Calibri"/>
              </w:rPr>
            </w:pPr>
            <w:r w:rsidRPr="00F517B0">
              <w:rPr>
                <w:rFonts w:ascii="Calibri" w:hAnsi="Calibri"/>
              </w:rPr>
              <w:t>4,372</w:t>
            </w:r>
          </w:p>
        </w:tc>
        <w:tc>
          <w:tcPr>
            <w:tcW w:w="4188" w:type="dxa"/>
            <w:shd w:val="clear" w:color="auto" w:fill="B7CFFF"/>
          </w:tcPr>
          <w:p w:rsidR="004C38EA" w:rsidRPr="00F517B0" w:rsidRDefault="004C38EA" w:rsidP="00F517B0">
            <w:pPr>
              <w:jc w:val="center"/>
              <w:rPr>
                <w:rFonts w:ascii="Calibri" w:hAnsi="Calibri"/>
              </w:rPr>
            </w:pPr>
            <w:r w:rsidRPr="00F517B0">
              <w:rPr>
                <w:rFonts w:ascii="Calibri" w:hAnsi="Calibri"/>
              </w:rPr>
              <w:t>11.9 M</w:t>
            </w:r>
          </w:p>
        </w:tc>
      </w:tr>
      <w:tr w:rsidR="004C38EA" w:rsidTr="005B5C9A">
        <w:trPr>
          <w:jc w:val="center"/>
        </w:trPr>
        <w:tc>
          <w:tcPr>
            <w:tcW w:w="2388" w:type="dxa"/>
            <w:shd w:val="clear" w:color="auto" w:fill="B7CFFF"/>
          </w:tcPr>
          <w:p w:rsidR="004C38EA" w:rsidRPr="00F517B0" w:rsidRDefault="004C38EA" w:rsidP="005A389C">
            <w:pPr>
              <w:rPr>
                <w:rFonts w:ascii="Calibri" w:hAnsi="Calibri"/>
              </w:rPr>
            </w:pPr>
            <w:r w:rsidRPr="00F517B0">
              <w:rPr>
                <w:rFonts w:ascii="Calibri" w:hAnsi="Calibri"/>
              </w:rPr>
              <w:t>Total</w:t>
            </w:r>
          </w:p>
        </w:tc>
        <w:tc>
          <w:tcPr>
            <w:tcW w:w="3720" w:type="dxa"/>
            <w:shd w:val="clear" w:color="auto" w:fill="B7CFFF"/>
          </w:tcPr>
          <w:p w:rsidR="004C38EA" w:rsidRPr="00F517B0" w:rsidRDefault="004C38EA" w:rsidP="00F517B0">
            <w:pPr>
              <w:jc w:val="center"/>
              <w:rPr>
                <w:rFonts w:ascii="Calibri" w:hAnsi="Calibri"/>
              </w:rPr>
            </w:pPr>
            <w:r w:rsidRPr="00F517B0">
              <w:rPr>
                <w:rFonts w:ascii="Calibri" w:hAnsi="Calibri"/>
              </w:rPr>
              <w:t>5,414</w:t>
            </w:r>
          </w:p>
        </w:tc>
        <w:tc>
          <w:tcPr>
            <w:tcW w:w="4188" w:type="dxa"/>
            <w:shd w:val="clear" w:color="auto" w:fill="B7CFFF"/>
          </w:tcPr>
          <w:p w:rsidR="004C38EA" w:rsidRPr="00F517B0" w:rsidRDefault="004C38EA" w:rsidP="00F517B0">
            <w:pPr>
              <w:jc w:val="center"/>
              <w:rPr>
                <w:rFonts w:ascii="Calibri" w:hAnsi="Calibri"/>
              </w:rPr>
            </w:pPr>
            <w:r w:rsidRPr="00F517B0">
              <w:rPr>
                <w:rFonts w:ascii="Calibri" w:hAnsi="Calibri"/>
              </w:rPr>
              <w:t>15.0 M</w:t>
            </w:r>
          </w:p>
        </w:tc>
      </w:tr>
    </w:tbl>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Second, the Commission estimated the average salaries earned by nurse practitioners and physician assistants in the Commonwealth, as noted below. The Commission estimated a 25% fringe rate for NP and PA salaries. The Commission estimated that nurse practitioners and physicians assistants work 48 weeks per year at 40 hours per week.</w:t>
      </w:r>
    </w:p>
    <w:p w:rsidR="004C38EA" w:rsidRPr="00FD194A" w:rsidRDefault="004C38EA" w:rsidP="005A389C">
      <w:pPr>
        <w:rPr>
          <w:rFonts w:ascii="Calibri" w:hAnsi="Calibri"/>
        </w:rPr>
      </w:pPr>
    </w:p>
    <w:tbl>
      <w:tblPr>
        <w:tblW w:w="0" w:type="auto"/>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985"/>
        <w:gridCol w:w="2290"/>
        <w:gridCol w:w="2473"/>
        <w:gridCol w:w="2113"/>
        <w:gridCol w:w="2435"/>
      </w:tblGrid>
      <w:tr w:rsidR="004C38EA" w:rsidTr="005B5C9A">
        <w:trPr>
          <w:trHeight w:val="548"/>
          <w:jc w:val="center"/>
        </w:trPr>
        <w:tc>
          <w:tcPr>
            <w:tcW w:w="985" w:type="dxa"/>
            <w:shd w:val="clear" w:color="auto" w:fill="003399"/>
          </w:tcPr>
          <w:p w:rsidR="004C38EA" w:rsidRPr="00F517B0" w:rsidRDefault="004C38EA" w:rsidP="00F517B0">
            <w:pPr>
              <w:jc w:val="center"/>
              <w:rPr>
                <w:rFonts w:ascii="Calibri" w:hAnsi="Calibri"/>
              </w:rPr>
            </w:pPr>
          </w:p>
        </w:tc>
        <w:tc>
          <w:tcPr>
            <w:tcW w:w="229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Avg Annual Salary</w:t>
            </w:r>
            <w:r>
              <w:rPr>
                <w:rStyle w:val="FootnoteReference"/>
                <w:rFonts w:ascii="Calibri" w:hAnsi="Calibri"/>
                <w:b/>
              </w:rPr>
              <w:footnoteReference w:id="21"/>
            </w:r>
          </w:p>
        </w:tc>
        <w:tc>
          <w:tcPr>
            <w:tcW w:w="2473"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Salary plus 25% fringe</w:t>
            </w:r>
          </w:p>
        </w:tc>
        <w:tc>
          <w:tcPr>
            <w:tcW w:w="2113"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Hours per week</w:t>
            </w:r>
          </w:p>
        </w:tc>
        <w:tc>
          <w:tcPr>
            <w:tcW w:w="2435"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Weeks per year</w:t>
            </w:r>
          </w:p>
        </w:tc>
      </w:tr>
      <w:tr w:rsidR="004C38EA" w:rsidTr="005B5C9A">
        <w:trPr>
          <w:jc w:val="center"/>
        </w:trPr>
        <w:tc>
          <w:tcPr>
            <w:tcW w:w="985" w:type="dxa"/>
            <w:shd w:val="clear" w:color="auto" w:fill="B7CFFF"/>
          </w:tcPr>
          <w:p w:rsidR="004C38EA" w:rsidRPr="00F517B0" w:rsidRDefault="004C38EA" w:rsidP="00DC30CB">
            <w:pPr>
              <w:rPr>
                <w:rFonts w:ascii="Calibri" w:hAnsi="Calibri"/>
              </w:rPr>
            </w:pPr>
            <w:r w:rsidRPr="00F517B0">
              <w:rPr>
                <w:rFonts w:ascii="Calibri" w:hAnsi="Calibri"/>
              </w:rPr>
              <w:t>NP</w:t>
            </w:r>
          </w:p>
        </w:tc>
        <w:tc>
          <w:tcPr>
            <w:tcW w:w="2290" w:type="dxa"/>
            <w:shd w:val="clear" w:color="auto" w:fill="B7CFFF"/>
          </w:tcPr>
          <w:p w:rsidR="004C38EA" w:rsidRPr="00F517B0" w:rsidRDefault="004C38EA" w:rsidP="00F517B0">
            <w:pPr>
              <w:jc w:val="center"/>
              <w:rPr>
                <w:rFonts w:ascii="Calibri" w:hAnsi="Calibri"/>
              </w:rPr>
            </w:pPr>
            <w:r w:rsidRPr="00F517B0">
              <w:rPr>
                <w:rFonts w:ascii="Calibri" w:hAnsi="Calibri"/>
              </w:rPr>
              <w:t>$97K</w:t>
            </w:r>
          </w:p>
        </w:tc>
        <w:tc>
          <w:tcPr>
            <w:tcW w:w="2473" w:type="dxa"/>
            <w:shd w:val="clear" w:color="auto" w:fill="B7CFFF"/>
          </w:tcPr>
          <w:p w:rsidR="004C38EA" w:rsidRPr="00F517B0" w:rsidRDefault="004C38EA" w:rsidP="00F517B0">
            <w:pPr>
              <w:jc w:val="center"/>
              <w:rPr>
                <w:rFonts w:ascii="Calibri" w:hAnsi="Calibri"/>
              </w:rPr>
            </w:pPr>
            <w:r w:rsidRPr="00F517B0">
              <w:rPr>
                <w:rFonts w:ascii="Calibri" w:hAnsi="Calibri"/>
              </w:rPr>
              <w:t>$122K</w:t>
            </w:r>
          </w:p>
        </w:tc>
        <w:tc>
          <w:tcPr>
            <w:tcW w:w="2113" w:type="dxa"/>
            <w:shd w:val="clear" w:color="auto" w:fill="B7CFFF"/>
          </w:tcPr>
          <w:p w:rsidR="004C38EA" w:rsidRPr="00F517B0" w:rsidRDefault="004C38EA" w:rsidP="00F517B0">
            <w:pPr>
              <w:jc w:val="center"/>
              <w:rPr>
                <w:rFonts w:ascii="Calibri" w:hAnsi="Calibri"/>
              </w:rPr>
            </w:pPr>
            <w:r w:rsidRPr="00F517B0">
              <w:rPr>
                <w:rFonts w:ascii="Calibri" w:hAnsi="Calibri"/>
              </w:rPr>
              <w:t>40</w:t>
            </w:r>
          </w:p>
        </w:tc>
        <w:tc>
          <w:tcPr>
            <w:tcW w:w="2435" w:type="dxa"/>
            <w:shd w:val="clear" w:color="auto" w:fill="B7CFFF"/>
          </w:tcPr>
          <w:p w:rsidR="004C38EA" w:rsidRPr="00F517B0" w:rsidRDefault="004C38EA" w:rsidP="00F517B0">
            <w:pPr>
              <w:jc w:val="center"/>
              <w:rPr>
                <w:rFonts w:ascii="Calibri" w:hAnsi="Calibri"/>
              </w:rPr>
            </w:pPr>
            <w:r w:rsidRPr="00F517B0">
              <w:rPr>
                <w:rFonts w:ascii="Calibri" w:hAnsi="Calibri"/>
              </w:rPr>
              <w:t>48</w:t>
            </w:r>
          </w:p>
        </w:tc>
      </w:tr>
      <w:tr w:rsidR="004C38EA" w:rsidTr="005B5C9A">
        <w:trPr>
          <w:jc w:val="center"/>
        </w:trPr>
        <w:tc>
          <w:tcPr>
            <w:tcW w:w="985" w:type="dxa"/>
            <w:shd w:val="clear" w:color="auto" w:fill="B7CFFF"/>
          </w:tcPr>
          <w:p w:rsidR="004C38EA" w:rsidRPr="00F517B0" w:rsidRDefault="004C38EA" w:rsidP="00DC30CB">
            <w:pPr>
              <w:rPr>
                <w:rFonts w:ascii="Calibri" w:hAnsi="Calibri"/>
              </w:rPr>
            </w:pPr>
            <w:r w:rsidRPr="00F517B0">
              <w:rPr>
                <w:rFonts w:ascii="Calibri" w:hAnsi="Calibri"/>
              </w:rPr>
              <w:t>PA</w:t>
            </w:r>
          </w:p>
        </w:tc>
        <w:tc>
          <w:tcPr>
            <w:tcW w:w="2290" w:type="dxa"/>
            <w:shd w:val="clear" w:color="auto" w:fill="B7CFFF"/>
          </w:tcPr>
          <w:p w:rsidR="004C38EA" w:rsidRPr="00F517B0" w:rsidRDefault="004C38EA" w:rsidP="00F517B0">
            <w:pPr>
              <w:jc w:val="center"/>
              <w:rPr>
                <w:rFonts w:ascii="Calibri" w:hAnsi="Calibri"/>
              </w:rPr>
            </w:pPr>
            <w:r w:rsidRPr="00F517B0">
              <w:rPr>
                <w:rFonts w:ascii="Calibri" w:hAnsi="Calibri"/>
              </w:rPr>
              <w:t>$99K</w:t>
            </w:r>
          </w:p>
        </w:tc>
        <w:tc>
          <w:tcPr>
            <w:tcW w:w="2473" w:type="dxa"/>
            <w:shd w:val="clear" w:color="auto" w:fill="B7CFFF"/>
          </w:tcPr>
          <w:p w:rsidR="004C38EA" w:rsidRPr="00F517B0" w:rsidRDefault="004C38EA" w:rsidP="00F517B0">
            <w:pPr>
              <w:jc w:val="center"/>
              <w:rPr>
                <w:rFonts w:ascii="Calibri" w:hAnsi="Calibri"/>
              </w:rPr>
            </w:pPr>
            <w:r w:rsidRPr="00F517B0">
              <w:rPr>
                <w:rFonts w:ascii="Calibri" w:hAnsi="Calibri"/>
              </w:rPr>
              <w:t>$123K</w:t>
            </w:r>
          </w:p>
        </w:tc>
        <w:tc>
          <w:tcPr>
            <w:tcW w:w="2113" w:type="dxa"/>
            <w:shd w:val="clear" w:color="auto" w:fill="B7CFFF"/>
          </w:tcPr>
          <w:p w:rsidR="004C38EA" w:rsidRPr="00F517B0" w:rsidRDefault="004C38EA" w:rsidP="00F517B0">
            <w:pPr>
              <w:jc w:val="center"/>
              <w:rPr>
                <w:rFonts w:ascii="Calibri" w:hAnsi="Calibri"/>
              </w:rPr>
            </w:pPr>
            <w:r w:rsidRPr="00F517B0">
              <w:rPr>
                <w:rFonts w:ascii="Calibri" w:hAnsi="Calibri"/>
              </w:rPr>
              <w:t>40</w:t>
            </w:r>
          </w:p>
        </w:tc>
        <w:tc>
          <w:tcPr>
            <w:tcW w:w="2435" w:type="dxa"/>
            <w:shd w:val="clear" w:color="auto" w:fill="B7CFFF"/>
          </w:tcPr>
          <w:p w:rsidR="004C38EA" w:rsidRPr="00F517B0" w:rsidRDefault="004C38EA" w:rsidP="00F517B0">
            <w:pPr>
              <w:jc w:val="center"/>
              <w:rPr>
                <w:rFonts w:ascii="Calibri" w:hAnsi="Calibri"/>
              </w:rPr>
            </w:pPr>
            <w:r w:rsidRPr="00F517B0">
              <w:rPr>
                <w:rFonts w:ascii="Calibri" w:hAnsi="Calibri"/>
              </w:rPr>
              <w:t>48</w:t>
            </w:r>
          </w:p>
        </w:tc>
      </w:tr>
    </w:tbl>
    <w:p w:rsidR="004C38EA" w:rsidRDefault="004C38EA" w:rsidP="005A389C"/>
    <w:p w:rsidR="004C38EA" w:rsidRDefault="004C38EA" w:rsidP="005A389C">
      <w:pPr>
        <w:rPr>
          <w:rFonts w:ascii="Calibri" w:hAnsi="Calibri"/>
        </w:rPr>
      </w:pPr>
      <w:r w:rsidRPr="00036BE6">
        <w:rPr>
          <w:rFonts w:ascii="Calibri" w:hAnsi="Calibri"/>
        </w:rPr>
        <w:t xml:space="preserve">Third, the Commission estimated the number of NPs and PAs </w:t>
      </w:r>
      <w:r>
        <w:rPr>
          <w:rFonts w:ascii="Calibri" w:hAnsi="Calibri"/>
        </w:rPr>
        <w:t>that</w:t>
      </w:r>
      <w:r w:rsidRPr="00036BE6">
        <w:rPr>
          <w:rFonts w:ascii="Calibri" w:hAnsi="Calibri"/>
        </w:rPr>
        <w:t xml:space="preserve"> would be needed to provide coverage for the hours of clinical care currently provided by interns, residents and fellows. This estimation required assumptions about what percentage of the clinical hours worked by interns, residents or fellows would need to be covered by an NP or PA. The Commission believes that all resident hours should be assumed to be covered 1:1, but that </w:t>
      </w:r>
      <w:r>
        <w:rPr>
          <w:rFonts w:ascii="Calibri" w:hAnsi="Calibri"/>
        </w:rPr>
        <w:t xml:space="preserve">it is reasonable to assume that </w:t>
      </w:r>
      <w:r w:rsidRPr="00036BE6">
        <w:rPr>
          <w:rFonts w:ascii="Calibri" w:hAnsi="Calibri"/>
        </w:rPr>
        <w:t xml:space="preserve">only half of intern hours </w:t>
      </w:r>
      <w:r>
        <w:rPr>
          <w:rFonts w:ascii="Calibri" w:hAnsi="Calibri"/>
        </w:rPr>
        <w:t xml:space="preserve">would </w:t>
      </w:r>
      <w:r w:rsidRPr="00036BE6">
        <w:rPr>
          <w:rFonts w:ascii="Calibri" w:hAnsi="Calibri"/>
        </w:rPr>
        <w:t>be covered. This is to account for a team structure frequently found in training, where interns are supervised by residents or fellows.</w:t>
      </w:r>
    </w:p>
    <w:p w:rsidR="004C38EA" w:rsidRPr="00FD194A" w:rsidRDefault="004C38EA" w:rsidP="005A389C">
      <w:pPr>
        <w:rPr>
          <w:rFonts w:ascii="Calibri" w:hAnsi="Calibri"/>
        </w:rPr>
      </w:pPr>
    </w:p>
    <w:tbl>
      <w:tblPr>
        <w:tblW w:w="0" w:type="auto"/>
        <w:tblInd w:w="551"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ayout w:type="fixed"/>
        <w:tblLook w:val="01E0" w:firstRow="1" w:lastRow="1" w:firstColumn="1" w:lastColumn="1" w:noHBand="0" w:noVBand="0"/>
      </w:tblPr>
      <w:tblGrid>
        <w:gridCol w:w="2988"/>
        <w:gridCol w:w="1680"/>
        <w:gridCol w:w="2040"/>
        <w:gridCol w:w="2280"/>
      </w:tblGrid>
      <w:tr w:rsidR="004C38EA" w:rsidTr="006C7940">
        <w:trPr>
          <w:trHeight w:val="548"/>
        </w:trPr>
        <w:tc>
          <w:tcPr>
            <w:tcW w:w="2988" w:type="dxa"/>
            <w:shd w:val="clear" w:color="auto" w:fill="003399"/>
          </w:tcPr>
          <w:p w:rsidR="004C38EA" w:rsidRPr="00F517B0" w:rsidRDefault="004C38EA" w:rsidP="00F517B0">
            <w:pPr>
              <w:jc w:val="center"/>
              <w:rPr>
                <w:rFonts w:ascii="Calibri" w:hAnsi="Calibri"/>
              </w:rPr>
            </w:pPr>
          </w:p>
        </w:tc>
        <w:tc>
          <w:tcPr>
            <w:tcW w:w="168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Total Hours worked</w:t>
            </w:r>
          </w:p>
        </w:tc>
        <w:tc>
          <w:tcPr>
            <w:tcW w:w="204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Number of NP-PA replacements needed</w:t>
            </w:r>
          </w:p>
        </w:tc>
        <w:tc>
          <w:tcPr>
            <w:tcW w:w="228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Cost of NP-PA replacements</w:t>
            </w:r>
          </w:p>
        </w:tc>
      </w:tr>
      <w:tr w:rsidR="004C38EA" w:rsidTr="006C7940">
        <w:tc>
          <w:tcPr>
            <w:tcW w:w="2988" w:type="dxa"/>
            <w:shd w:val="clear" w:color="auto" w:fill="B7CFFF"/>
          </w:tcPr>
          <w:p w:rsidR="004C38EA" w:rsidRPr="00F517B0" w:rsidRDefault="004C38EA" w:rsidP="00DC30CB">
            <w:pPr>
              <w:rPr>
                <w:rFonts w:ascii="Calibri" w:hAnsi="Calibri"/>
              </w:rPr>
            </w:pPr>
            <w:r w:rsidRPr="00F517B0">
              <w:rPr>
                <w:rFonts w:ascii="Calibri" w:hAnsi="Calibri"/>
              </w:rPr>
              <w:t>Resident hours plus 50% of intern hours</w:t>
            </w:r>
          </w:p>
        </w:tc>
        <w:tc>
          <w:tcPr>
            <w:tcW w:w="1680" w:type="dxa"/>
            <w:shd w:val="clear" w:color="auto" w:fill="B7CFFF"/>
          </w:tcPr>
          <w:p w:rsidR="004C38EA" w:rsidRPr="00F517B0" w:rsidRDefault="004C38EA" w:rsidP="00F517B0">
            <w:pPr>
              <w:jc w:val="center"/>
              <w:rPr>
                <w:rFonts w:ascii="Calibri" w:hAnsi="Calibri"/>
              </w:rPr>
            </w:pPr>
            <w:r w:rsidRPr="00F517B0">
              <w:rPr>
                <w:rFonts w:ascii="Calibri" w:hAnsi="Calibri"/>
              </w:rPr>
              <w:t>13.4 M</w:t>
            </w:r>
          </w:p>
        </w:tc>
        <w:tc>
          <w:tcPr>
            <w:tcW w:w="2040" w:type="dxa"/>
            <w:shd w:val="clear" w:color="auto" w:fill="B7CFFF"/>
          </w:tcPr>
          <w:p w:rsidR="004C38EA" w:rsidRPr="00F517B0" w:rsidRDefault="004C38EA" w:rsidP="00F517B0">
            <w:pPr>
              <w:jc w:val="center"/>
              <w:rPr>
                <w:rFonts w:ascii="Calibri" w:hAnsi="Calibri"/>
              </w:rPr>
            </w:pPr>
            <w:r w:rsidRPr="00F517B0">
              <w:rPr>
                <w:rFonts w:ascii="Calibri" w:hAnsi="Calibri"/>
              </w:rPr>
              <w:t>7,005</w:t>
            </w:r>
          </w:p>
        </w:tc>
        <w:tc>
          <w:tcPr>
            <w:tcW w:w="2280" w:type="dxa"/>
            <w:shd w:val="clear" w:color="auto" w:fill="B7CFFF"/>
          </w:tcPr>
          <w:p w:rsidR="004C38EA" w:rsidRPr="00F517B0" w:rsidRDefault="004C38EA" w:rsidP="00F517B0">
            <w:pPr>
              <w:jc w:val="center"/>
              <w:rPr>
                <w:rFonts w:ascii="Calibri" w:hAnsi="Calibri"/>
              </w:rPr>
            </w:pPr>
            <w:r w:rsidRPr="00F517B0">
              <w:rPr>
                <w:rFonts w:ascii="Calibri" w:hAnsi="Calibri"/>
              </w:rPr>
              <w:t>$860 M</w:t>
            </w:r>
          </w:p>
        </w:tc>
      </w:tr>
    </w:tbl>
    <w:p w:rsidR="004C38EA" w:rsidRPr="00036BE6" w:rsidRDefault="004C38EA" w:rsidP="005A389C">
      <w:pPr>
        <w:rPr>
          <w:rFonts w:ascii="Calibri" w:hAnsi="Calibri"/>
        </w:rPr>
      </w:pPr>
      <w:r w:rsidRPr="00036BE6">
        <w:rPr>
          <w:rFonts w:ascii="Calibri" w:hAnsi="Calibri"/>
        </w:rPr>
        <w:lastRenderedPageBreak/>
        <w:t>Using th</w:t>
      </w:r>
      <w:r>
        <w:rPr>
          <w:rFonts w:ascii="Calibri" w:hAnsi="Calibri"/>
        </w:rPr>
        <w:t>is</w:t>
      </w:r>
      <w:r w:rsidRPr="00036BE6">
        <w:rPr>
          <w:rFonts w:ascii="Calibri" w:hAnsi="Calibri"/>
        </w:rPr>
        <w:t xml:space="preserve"> methodology, the total replacement cost associated with clinical care provided by trainees is estimated to be $860 million per year, or an average of $159,000 per resident.</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 xml:space="preserve">The Commission notes that there are a number of important caveats to consider with regard to this analysis. </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 xml:space="preserve">The Commission notes that this approach does not take into </w:t>
      </w:r>
      <w:r>
        <w:rPr>
          <w:rFonts w:ascii="Calibri" w:hAnsi="Calibri"/>
        </w:rPr>
        <w:t xml:space="preserve">account </w:t>
      </w:r>
      <w:r w:rsidRPr="00036BE6">
        <w:rPr>
          <w:rFonts w:ascii="Calibri" w:hAnsi="Calibri"/>
        </w:rPr>
        <w:t>other expenses that may be relevant. For example, the Commission notes that the costs associated with covering maternity leave for mid-level providers is not accounted for in</w:t>
      </w:r>
      <w:r>
        <w:rPr>
          <w:rFonts w:ascii="Calibri" w:hAnsi="Calibri"/>
        </w:rPr>
        <w:t xml:space="preserve"> </w:t>
      </w:r>
      <w:r w:rsidRPr="00036BE6">
        <w:rPr>
          <w:rFonts w:ascii="Calibri" w:hAnsi="Calibri"/>
        </w:rPr>
        <w:t xml:space="preserve">this analysis, and that if this cost were accounted for, the overall estimate of replacement cost would increase. The Commission also noted that the analysis presumes that there are adequate numbers of mid-level providers to substitute for residents, which is not the case. Another major limitation is that the analysis assumes that NPs and PAs are able to fill the roles of interns, residents and fellows. This may not be true for all positions; in particular, some of the functions performed by fellows would likely require faculty level replacements, which would further increase the estimated replacement cost. </w:t>
      </w:r>
    </w:p>
    <w:p w:rsidR="004C38EA" w:rsidRDefault="004C38EA" w:rsidP="005A389C"/>
    <w:p w:rsidR="004C38EA" w:rsidRPr="00541886" w:rsidRDefault="004C38EA" w:rsidP="005A389C">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6.2</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Estimating costs of operating a GME program</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The second approach taken by the Commission was to examine the different costs associated with operating a GME program. The Commission considered three types of costs: direct costs (resident salaries and fringe)</w:t>
      </w:r>
      <w:r>
        <w:rPr>
          <w:rFonts w:ascii="Calibri" w:hAnsi="Calibri"/>
        </w:rPr>
        <w:t>,</w:t>
      </w:r>
      <w:r w:rsidRPr="00036BE6">
        <w:rPr>
          <w:rFonts w:ascii="Calibri" w:hAnsi="Calibri"/>
        </w:rPr>
        <w:t xml:space="preserve"> teaching costs (faculty salaries), and program costs (program director salaries and administrative expenses).</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To estimate direct costs, the Commission reviewed 2012-2013 salary data reported by the AAMC Survey of Annual Resident/Fellow Stipends.</w:t>
      </w:r>
      <w:r>
        <w:rPr>
          <w:rStyle w:val="FootnoteReference"/>
          <w:rFonts w:ascii="Calibri" w:hAnsi="Calibri"/>
        </w:rPr>
        <w:footnoteReference w:id="22"/>
      </w:r>
      <w:r w:rsidRPr="00036BE6">
        <w:rPr>
          <w:rFonts w:ascii="Calibri" w:hAnsi="Calibri"/>
        </w:rPr>
        <w:t xml:space="preserve"> The Commission compared that reported national salary data with salary information from a number of Massachusetts programs. Based on this analysis, the Commission assumed an average salary of $55,000 per year for post-graduate year (PGY) 1-3 trainees, and an average salary of $59,000 per year for PGY 4-7 trainees. These estimates correspond to the 75</w:t>
      </w:r>
      <w:r w:rsidRPr="00036BE6">
        <w:rPr>
          <w:rFonts w:ascii="Calibri" w:hAnsi="Calibri"/>
          <w:vertAlign w:val="superscript"/>
        </w:rPr>
        <w:t>th</w:t>
      </w:r>
      <w:r w:rsidRPr="00036BE6">
        <w:rPr>
          <w:rFonts w:ascii="Calibri" w:hAnsi="Calibri"/>
        </w:rPr>
        <w:t xml:space="preserve"> percentile of national salaries reported by the AAMC. The Commission further assumed that fringe was equal to 25% of the total salary.</w:t>
      </w:r>
      <w:r>
        <w:rPr>
          <w:rFonts w:ascii="Calibri" w:hAnsi="Calibri"/>
        </w:rPr>
        <w:t xml:space="preserve"> Other costs, such as malpractice, are not accounted for in this total.</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Next, the Commission made an estimate of the distribution of residents by specialty. This distribution was used in the calculation of teaching and program costs. The distribution was obtained from 2011 AAMC data, with some smaller categories combined to facilitate analysis (for example, dermatopathology was combined with pathology, and pediatric cardiology with cardiology).</w:t>
      </w:r>
      <w:r>
        <w:rPr>
          <w:rStyle w:val="FootnoteReference"/>
          <w:rFonts w:ascii="Calibri" w:hAnsi="Calibri"/>
        </w:rPr>
        <w:footnoteReference w:id="23"/>
      </w:r>
      <w:r w:rsidRPr="00036BE6">
        <w:rPr>
          <w:rFonts w:ascii="Calibri" w:hAnsi="Calibri"/>
        </w:rPr>
        <w:t xml:space="preserve"> </w:t>
      </w:r>
    </w:p>
    <w:p w:rsidR="004C38EA" w:rsidRPr="00036BE6" w:rsidRDefault="004C38EA" w:rsidP="005A389C">
      <w:pPr>
        <w:rPr>
          <w:rFonts w:ascii="Calibri" w:hAnsi="Calibri"/>
        </w:rPr>
      </w:pPr>
    </w:p>
    <w:p w:rsidR="004C38EA" w:rsidRDefault="004C38EA" w:rsidP="005A389C">
      <w:pPr>
        <w:rPr>
          <w:rFonts w:ascii="Calibri" w:hAnsi="Calibri"/>
        </w:rPr>
      </w:pPr>
      <w:r w:rsidRPr="00036BE6">
        <w:rPr>
          <w:rFonts w:ascii="Calibri" w:hAnsi="Calibri"/>
        </w:rPr>
        <w:t xml:space="preserve">The distribution of trainees by specialty is shown </w:t>
      </w:r>
      <w:r>
        <w:rPr>
          <w:rFonts w:ascii="Calibri" w:hAnsi="Calibri"/>
        </w:rPr>
        <w:t>on the next page.</w:t>
      </w:r>
    </w:p>
    <w:p w:rsidR="004C38EA" w:rsidRPr="00C12C7C" w:rsidRDefault="004C38EA" w:rsidP="005A389C">
      <w:pPr>
        <w:rPr>
          <w:rFonts w:ascii="Calibri" w:hAnsi="Calibri"/>
        </w:rPr>
      </w:pPr>
      <w:r>
        <w:rPr>
          <w:rFonts w:ascii="Calibri" w:hAnsi="Calibri"/>
        </w:rPr>
        <w:br w:type="page"/>
      </w:r>
    </w:p>
    <w:p w:rsidR="004C38EA" w:rsidRDefault="00211E86" w:rsidP="005A389C">
      <w:pPr>
        <w:rPr>
          <w:rFonts w:ascii="Calibri" w:hAnsi="Calibri"/>
        </w:rPr>
      </w:pPr>
      <w:r>
        <w:rPr>
          <w:noProof/>
          <w:lang w:eastAsia="en-US"/>
        </w:rPr>
        <w:pict>
          <v:shape id="_x0000_s1049" type="#_x0000_t75" alt="The number of trainees per specialty" style="position:absolute;margin-left:0;margin-top:-13.95pt;width:450pt;height:316.45pt;z-index:251668480">
            <v:imagedata r:id="rId16" o:title=""/>
            <w10:wrap type="square"/>
          </v:shape>
        </w:pict>
      </w: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Pr="00FD194A" w:rsidRDefault="004C38EA" w:rsidP="005A389C">
      <w:pPr>
        <w:rPr>
          <w:rFonts w:ascii="Calibri" w:hAnsi="Calibri"/>
        </w:rPr>
      </w:pPr>
    </w:p>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Default="004C38EA" w:rsidP="005A389C"/>
    <w:p w:rsidR="004C38EA" w:rsidRPr="00036BE6" w:rsidRDefault="004C38EA" w:rsidP="005A389C">
      <w:pPr>
        <w:rPr>
          <w:rFonts w:ascii="Calibri" w:hAnsi="Calibri"/>
        </w:rPr>
      </w:pPr>
    </w:p>
    <w:p w:rsidR="004C38EA" w:rsidRDefault="004C38EA" w:rsidP="005A389C">
      <w:pPr>
        <w:rPr>
          <w:rFonts w:ascii="Calibri" w:hAnsi="Calibri"/>
        </w:rPr>
      </w:pPr>
      <w:r w:rsidRPr="00036BE6">
        <w:rPr>
          <w:rFonts w:ascii="Calibri" w:hAnsi="Calibri"/>
        </w:rPr>
        <w:t>Teaching costs refer to the salary related expenses of faculty who provide teaching to trainees, and are expressed in full-time equivalents. Teaching can take the form of formal didactics (where faculty give lectures or lead discussions with students), or precepting or supervising in clinical settings. To provide an overall estimate of the burden of teaching associated with different specialties, the Commission assumed a faculty-to-trainee ratio of one full-time equivalent faculty to 12</w:t>
      </w:r>
      <w:r>
        <w:rPr>
          <w:rFonts w:ascii="Calibri" w:hAnsi="Calibri"/>
        </w:rPr>
        <w:t>, 10, or 6 trainees</w:t>
      </w:r>
      <w:r w:rsidRPr="00036BE6">
        <w:rPr>
          <w:rFonts w:ascii="Calibri" w:hAnsi="Calibri"/>
        </w:rPr>
        <w:t>, based on the expected teaching intensity. The ratios were applied differentially by specialty, with an underlying assumption that teaching intensity was less for medical specialty training for fellows (for example, rheumatology or cardiology), compared with general medical training for residents (internal medicine</w:t>
      </w:r>
      <w:r>
        <w:rPr>
          <w:rFonts w:ascii="Calibri" w:hAnsi="Calibri"/>
        </w:rPr>
        <w:t xml:space="preserve"> or</w:t>
      </w:r>
      <w:r w:rsidRPr="00036BE6">
        <w:rPr>
          <w:rFonts w:ascii="Calibri" w:hAnsi="Calibri"/>
        </w:rPr>
        <w:t xml:space="preserve"> pediatrics). The ratios were also predicated on an assumption that in highly procedural specialties (such as surgery, anesthesia, or surgical subspecialties), </w:t>
      </w:r>
      <w:r>
        <w:rPr>
          <w:rFonts w:ascii="Calibri" w:hAnsi="Calibri"/>
        </w:rPr>
        <w:t>a large proportion of the teaching occurs during “billable” time, so there is less downward pressure on faculty productivity.</w:t>
      </w:r>
      <w:r w:rsidRPr="00036BE6">
        <w:rPr>
          <w:rFonts w:ascii="Calibri" w:hAnsi="Calibri"/>
        </w:rPr>
        <w:t xml:space="preserve"> </w:t>
      </w:r>
      <w:r>
        <w:rPr>
          <w:rFonts w:ascii="Calibri" w:hAnsi="Calibri"/>
        </w:rPr>
        <w:t>Some have noted that training in outpatient settings may both be more expensive (due to higher overhead costs) and have lower clinical reimbursement.</w:t>
      </w:r>
    </w:p>
    <w:p w:rsidR="004C38EA"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 xml:space="preserve">The total number of full-time equivalent faculty needed per specialty was multiplied by the average faculty </w:t>
      </w:r>
      <w:r>
        <w:rPr>
          <w:rFonts w:ascii="Calibri" w:hAnsi="Calibri"/>
        </w:rPr>
        <w:t>salary</w:t>
      </w:r>
      <w:r w:rsidRPr="00036BE6">
        <w:rPr>
          <w:rFonts w:ascii="Calibri" w:hAnsi="Calibri"/>
        </w:rPr>
        <w:t xml:space="preserve"> for that specialty, in order to derive the total cost. Faculty salaries by specialty were based on 2010-2011 mean medical school faculty salaries by specialty at the assistant professor level for the northeast region</w:t>
      </w:r>
      <w:r>
        <w:rPr>
          <w:rFonts w:ascii="Calibri" w:hAnsi="Calibri"/>
        </w:rPr>
        <w:t>.</w:t>
      </w:r>
      <w:r>
        <w:rPr>
          <w:rStyle w:val="FootnoteReference"/>
          <w:rFonts w:ascii="Calibri" w:hAnsi="Calibri"/>
        </w:rPr>
        <w:footnoteReference w:id="24"/>
      </w:r>
      <w:r w:rsidRPr="00036BE6">
        <w:rPr>
          <w:rFonts w:ascii="Calibri" w:hAnsi="Calibri"/>
        </w:rPr>
        <w:t xml:space="preserve"> </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 xml:space="preserve">The third component of cost relates to program costs, which includes both the cost of a program director as well as the cost of administrative support. To estimate these costs, the Commission estimated the full-time equivalents required for a program director, based on Residency Review Committee requirements when available, and average program size. The FTE for program directors ranged from 0.5 to 2.5. To calculate the total cost, the FTE requirement was multiplied by an estimated program director salary, based on mean medical school faculty salaries by specialty at assistant professor level for the northeast region. For administrative cost, the Commission assumed one FTE administrative position per program, and estimated $80,000 per year for salary and fringe. </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Estimates of per-resident costs are shown below, including the average cost, weighted by specialty composition, as well as the range of per resident costs across specialties.</w:t>
      </w:r>
    </w:p>
    <w:p w:rsidR="004C38EA" w:rsidRPr="00FD194A" w:rsidRDefault="004C38EA" w:rsidP="005A389C"/>
    <w:tbl>
      <w:tblPr>
        <w:tblW w:w="9708"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2628"/>
        <w:gridCol w:w="1800"/>
        <w:gridCol w:w="1800"/>
        <w:gridCol w:w="1680"/>
        <w:gridCol w:w="1800"/>
      </w:tblGrid>
      <w:tr w:rsidR="004C38EA" w:rsidTr="005B5C9A">
        <w:trPr>
          <w:trHeight w:val="548"/>
          <w:jc w:val="center"/>
        </w:trPr>
        <w:tc>
          <w:tcPr>
            <w:tcW w:w="2628" w:type="dxa"/>
            <w:shd w:val="clear" w:color="auto" w:fill="003399"/>
          </w:tcPr>
          <w:p w:rsidR="004C38EA" w:rsidRPr="00F517B0" w:rsidRDefault="004C38EA" w:rsidP="00F517B0">
            <w:pPr>
              <w:jc w:val="center"/>
              <w:rPr>
                <w:rFonts w:ascii="Calibri" w:hAnsi="Calibri"/>
              </w:rPr>
            </w:pPr>
          </w:p>
        </w:tc>
        <w:tc>
          <w:tcPr>
            <w:tcW w:w="180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Salary plus fringe</w:t>
            </w:r>
          </w:p>
        </w:tc>
        <w:tc>
          <w:tcPr>
            <w:tcW w:w="180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Teaching costs</w:t>
            </w:r>
          </w:p>
        </w:tc>
        <w:tc>
          <w:tcPr>
            <w:tcW w:w="168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Program costs</w:t>
            </w:r>
          </w:p>
        </w:tc>
        <w:tc>
          <w:tcPr>
            <w:tcW w:w="180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Total</w:t>
            </w:r>
          </w:p>
        </w:tc>
      </w:tr>
      <w:tr w:rsidR="004C38EA" w:rsidTr="005B5C9A">
        <w:trPr>
          <w:trHeight w:val="665"/>
          <w:jc w:val="center"/>
        </w:trPr>
        <w:tc>
          <w:tcPr>
            <w:tcW w:w="2628" w:type="dxa"/>
            <w:shd w:val="clear" w:color="auto" w:fill="B7CFFF"/>
            <w:vAlign w:val="center"/>
          </w:tcPr>
          <w:p w:rsidR="004C38EA" w:rsidRPr="00F517B0" w:rsidRDefault="004C38EA" w:rsidP="006A75EF">
            <w:pPr>
              <w:rPr>
                <w:rFonts w:ascii="Calibri" w:hAnsi="Calibri"/>
              </w:rPr>
            </w:pPr>
            <w:r w:rsidRPr="00F517B0">
              <w:rPr>
                <w:rFonts w:ascii="Calibri" w:hAnsi="Calibri"/>
              </w:rPr>
              <w:t>Per resident cost (range)</w:t>
            </w:r>
          </w:p>
        </w:tc>
        <w:tc>
          <w:tcPr>
            <w:tcW w:w="180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$68,750-$73,750</w:t>
            </w:r>
          </w:p>
        </w:tc>
        <w:tc>
          <w:tcPr>
            <w:tcW w:w="180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$20,463-$60,760</w:t>
            </w:r>
          </w:p>
        </w:tc>
        <w:tc>
          <w:tcPr>
            <w:tcW w:w="168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$4,672-$26,353</w:t>
            </w:r>
          </w:p>
        </w:tc>
        <w:tc>
          <w:tcPr>
            <w:tcW w:w="1800" w:type="dxa"/>
            <w:shd w:val="clear" w:color="auto" w:fill="B7CFFF"/>
            <w:vAlign w:val="center"/>
          </w:tcPr>
          <w:p w:rsidR="004C38EA" w:rsidRPr="00F517B0" w:rsidRDefault="004C38EA" w:rsidP="00F517B0">
            <w:pPr>
              <w:jc w:val="center"/>
              <w:rPr>
                <w:rFonts w:ascii="Calibri" w:hAnsi="Calibri"/>
                <w:b/>
              </w:rPr>
            </w:pPr>
            <w:r w:rsidRPr="00F517B0">
              <w:rPr>
                <w:rFonts w:ascii="Calibri" w:hAnsi="Calibri"/>
                <w:b/>
              </w:rPr>
              <w:t>$99,388-$152,809</w:t>
            </w:r>
          </w:p>
        </w:tc>
      </w:tr>
      <w:tr w:rsidR="004C38EA" w:rsidTr="005B5C9A">
        <w:trPr>
          <w:trHeight w:val="710"/>
          <w:jc w:val="center"/>
        </w:trPr>
        <w:tc>
          <w:tcPr>
            <w:tcW w:w="2628" w:type="dxa"/>
            <w:shd w:val="clear" w:color="auto" w:fill="B7CFFF"/>
            <w:vAlign w:val="center"/>
          </w:tcPr>
          <w:p w:rsidR="004C38EA" w:rsidRPr="00F517B0" w:rsidRDefault="004C38EA" w:rsidP="006A75EF">
            <w:pPr>
              <w:rPr>
                <w:rFonts w:ascii="Calibri" w:hAnsi="Calibri"/>
              </w:rPr>
            </w:pPr>
            <w:r w:rsidRPr="00F517B0">
              <w:rPr>
                <w:rFonts w:ascii="Calibri" w:hAnsi="Calibri"/>
              </w:rPr>
              <w:t>Per resident cost (weighted avg)</w:t>
            </w:r>
          </w:p>
        </w:tc>
        <w:tc>
          <w:tcPr>
            <w:tcW w:w="180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$69,881</w:t>
            </w:r>
          </w:p>
        </w:tc>
        <w:tc>
          <w:tcPr>
            <w:tcW w:w="180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$35,270</w:t>
            </w:r>
          </w:p>
        </w:tc>
        <w:tc>
          <w:tcPr>
            <w:tcW w:w="168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$8,786</w:t>
            </w:r>
          </w:p>
        </w:tc>
        <w:tc>
          <w:tcPr>
            <w:tcW w:w="1800" w:type="dxa"/>
            <w:shd w:val="clear" w:color="auto" w:fill="B7CFFF"/>
            <w:vAlign w:val="center"/>
          </w:tcPr>
          <w:p w:rsidR="004C38EA" w:rsidRPr="00F517B0" w:rsidRDefault="004C38EA" w:rsidP="00F517B0">
            <w:pPr>
              <w:jc w:val="center"/>
              <w:rPr>
                <w:rFonts w:ascii="Calibri" w:hAnsi="Calibri"/>
                <w:b/>
              </w:rPr>
            </w:pPr>
            <w:r w:rsidRPr="00F517B0">
              <w:rPr>
                <w:rFonts w:ascii="Calibri" w:hAnsi="Calibri"/>
                <w:b/>
              </w:rPr>
              <w:t>$113,937</w:t>
            </w:r>
          </w:p>
        </w:tc>
      </w:tr>
    </w:tbl>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It is important to note that the cost estimates are based on the current model of</w:t>
      </w:r>
      <w:r>
        <w:rPr>
          <w:rFonts w:ascii="Calibri" w:hAnsi="Calibri"/>
        </w:rPr>
        <w:t xml:space="preserve"> teaching and training, and do</w:t>
      </w:r>
      <w:r w:rsidRPr="00036BE6">
        <w:rPr>
          <w:rFonts w:ascii="Calibri" w:hAnsi="Calibri"/>
        </w:rPr>
        <w:t xml:space="preserve"> not consider whether that model should be changed. In addition, the model does not account for all costs that could be associated with graduate medical education programs. Other costs, not included here, could include educational allowances, travel stipends, facility costs, the costs of malpractice coverage, and the costs of obtaining and maintaining accreditation.</w:t>
      </w:r>
    </w:p>
    <w:p w:rsidR="004C38EA" w:rsidRDefault="004C38EA" w:rsidP="005A389C"/>
    <w:p w:rsidR="004C38EA" w:rsidRPr="00541886" w:rsidRDefault="004C38EA" w:rsidP="005A389C">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6.3</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Comparison to current funding level and other studies</w:t>
      </w:r>
    </w:p>
    <w:p w:rsidR="004C38EA" w:rsidRDefault="004C38EA" w:rsidP="005A389C"/>
    <w:p w:rsidR="004C38EA" w:rsidRPr="006A75EF" w:rsidRDefault="004C38EA" w:rsidP="005A389C">
      <w:pPr>
        <w:rPr>
          <w:rFonts w:ascii="Calibri" w:hAnsi="Calibri"/>
        </w:rPr>
      </w:pPr>
      <w:r w:rsidRPr="00036BE6">
        <w:rPr>
          <w:rFonts w:ascii="Calibri" w:hAnsi="Calibri"/>
        </w:rPr>
        <w:t>The cost estimates obtained by using the previous two approaches were compared with the total amount of Medicare funding to Massachusetts for GME, on a per capita basis. This comparison is shown below:</w:t>
      </w:r>
    </w:p>
    <w:p w:rsidR="004C38EA" w:rsidRPr="00FD194A" w:rsidRDefault="004C38EA" w:rsidP="005A389C"/>
    <w:tbl>
      <w:tblPr>
        <w:tblW w:w="0" w:type="auto"/>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2868"/>
        <w:gridCol w:w="2760"/>
        <w:gridCol w:w="2760"/>
      </w:tblGrid>
      <w:tr w:rsidR="004C38EA" w:rsidTr="005B5C9A">
        <w:trPr>
          <w:trHeight w:val="548"/>
          <w:jc w:val="center"/>
        </w:trPr>
        <w:tc>
          <w:tcPr>
            <w:tcW w:w="2868" w:type="dxa"/>
            <w:shd w:val="clear" w:color="auto" w:fill="003399"/>
          </w:tcPr>
          <w:p w:rsidR="004C38EA" w:rsidRPr="00F517B0" w:rsidRDefault="004C38EA" w:rsidP="00F517B0">
            <w:pPr>
              <w:jc w:val="center"/>
              <w:rPr>
                <w:rFonts w:ascii="Calibri" w:hAnsi="Calibri"/>
              </w:rPr>
            </w:pPr>
          </w:p>
        </w:tc>
        <w:tc>
          <w:tcPr>
            <w:tcW w:w="276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Total</w:t>
            </w:r>
          </w:p>
        </w:tc>
        <w:tc>
          <w:tcPr>
            <w:tcW w:w="2760" w:type="dxa"/>
            <w:shd w:val="clear" w:color="auto" w:fill="003399"/>
            <w:vAlign w:val="center"/>
          </w:tcPr>
          <w:p w:rsidR="004C38EA" w:rsidRPr="00F517B0" w:rsidRDefault="004C38EA" w:rsidP="00F517B0">
            <w:pPr>
              <w:jc w:val="center"/>
              <w:rPr>
                <w:rFonts w:ascii="Calibri" w:hAnsi="Calibri"/>
                <w:b/>
              </w:rPr>
            </w:pPr>
            <w:r w:rsidRPr="00F517B0">
              <w:rPr>
                <w:rFonts w:ascii="Calibri" w:hAnsi="Calibri"/>
                <w:b/>
              </w:rPr>
              <w:t>Per Trainee</w:t>
            </w:r>
          </w:p>
        </w:tc>
      </w:tr>
      <w:tr w:rsidR="004C38EA" w:rsidTr="005B5C9A">
        <w:trPr>
          <w:jc w:val="center"/>
        </w:trPr>
        <w:tc>
          <w:tcPr>
            <w:tcW w:w="2868" w:type="dxa"/>
            <w:shd w:val="clear" w:color="auto" w:fill="B7CFFF"/>
          </w:tcPr>
          <w:p w:rsidR="004C38EA" w:rsidRPr="00F517B0" w:rsidRDefault="004C38EA" w:rsidP="00DC30CB">
            <w:pPr>
              <w:rPr>
                <w:rFonts w:ascii="Calibri" w:hAnsi="Calibri"/>
              </w:rPr>
            </w:pPr>
            <w:r w:rsidRPr="00F517B0">
              <w:rPr>
                <w:rFonts w:ascii="Calibri" w:hAnsi="Calibri"/>
              </w:rPr>
              <w:t>Estimated replacement cost</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$860 M</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$159K</w:t>
            </w:r>
          </w:p>
        </w:tc>
      </w:tr>
      <w:tr w:rsidR="004C38EA" w:rsidTr="005B5C9A">
        <w:trPr>
          <w:jc w:val="center"/>
        </w:trPr>
        <w:tc>
          <w:tcPr>
            <w:tcW w:w="2868" w:type="dxa"/>
            <w:shd w:val="clear" w:color="auto" w:fill="B7CFFF"/>
          </w:tcPr>
          <w:p w:rsidR="004C38EA" w:rsidRPr="00F517B0" w:rsidRDefault="004C38EA" w:rsidP="00DC30CB">
            <w:pPr>
              <w:rPr>
                <w:rFonts w:ascii="Calibri" w:hAnsi="Calibri"/>
              </w:rPr>
            </w:pPr>
            <w:r w:rsidRPr="00F517B0">
              <w:rPr>
                <w:rFonts w:ascii="Calibri" w:hAnsi="Calibri"/>
              </w:rPr>
              <w:t>Estimated cost of establishing a program</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$590 M</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$114K ($99-153K)</w:t>
            </w:r>
          </w:p>
        </w:tc>
      </w:tr>
      <w:tr w:rsidR="004C38EA" w:rsidTr="005B5C9A">
        <w:trPr>
          <w:jc w:val="center"/>
        </w:trPr>
        <w:tc>
          <w:tcPr>
            <w:tcW w:w="2868" w:type="dxa"/>
            <w:shd w:val="clear" w:color="auto" w:fill="B7CFFF"/>
          </w:tcPr>
          <w:p w:rsidR="004C38EA" w:rsidRPr="00F517B0" w:rsidRDefault="004C38EA" w:rsidP="00DC30CB">
            <w:pPr>
              <w:rPr>
                <w:rFonts w:ascii="Calibri" w:hAnsi="Calibri"/>
              </w:rPr>
            </w:pPr>
            <w:r w:rsidRPr="00F517B0">
              <w:rPr>
                <w:rFonts w:ascii="Calibri" w:hAnsi="Calibri"/>
              </w:rPr>
              <w:t>Total Medicare funding to Massachusetts to GME</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$546 M</w:t>
            </w:r>
          </w:p>
        </w:tc>
        <w:tc>
          <w:tcPr>
            <w:tcW w:w="2760" w:type="dxa"/>
            <w:shd w:val="clear" w:color="auto" w:fill="B7CFFF"/>
            <w:vAlign w:val="center"/>
          </w:tcPr>
          <w:p w:rsidR="004C38EA" w:rsidRPr="00F517B0" w:rsidRDefault="004C38EA" w:rsidP="00F517B0">
            <w:pPr>
              <w:jc w:val="center"/>
              <w:rPr>
                <w:rFonts w:ascii="Calibri" w:hAnsi="Calibri"/>
              </w:rPr>
            </w:pPr>
            <w:r w:rsidRPr="00F517B0">
              <w:rPr>
                <w:rFonts w:ascii="Calibri" w:hAnsi="Calibri"/>
              </w:rPr>
              <w:t>$101K</w:t>
            </w:r>
          </w:p>
        </w:tc>
      </w:tr>
    </w:tbl>
    <w:p w:rsidR="004C38EA" w:rsidRDefault="004C38EA" w:rsidP="005A389C">
      <w:pPr>
        <w:rPr>
          <w:rFonts w:ascii="Calibri" w:hAnsi="Calibri"/>
          <w:highlight w:val="yellow"/>
        </w:rPr>
      </w:pPr>
    </w:p>
    <w:p w:rsidR="004C38EA" w:rsidRPr="00036BE6" w:rsidRDefault="004C38EA" w:rsidP="005A389C">
      <w:pPr>
        <w:rPr>
          <w:rFonts w:ascii="Calibri" w:hAnsi="Calibri"/>
        </w:rPr>
      </w:pPr>
      <w:r w:rsidRPr="00036BE6">
        <w:rPr>
          <w:rFonts w:ascii="Calibri" w:hAnsi="Calibri"/>
        </w:rPr>
        <w:lastRenderedPageBreak/>
        <w:t xml:space="preserve">It is important to note that the estimates in </w:t>
      </w:r>
      <w:r>
        <w:rPr>
          <w:rFonts w:ascii="Calibri" w:hAnsi="Calibri"/>
        </w:rPr>
        <w:t xml:space="preserve">the first two </w:t>
      </w:r>
      <w:r w:rsidRPr="00036BE6">
        <w:rPr>
          <w:rFonts w:ascii="Calibri" w:hAnsi="Calibri"/>
        </w:rPr>
        <w:t xml:space="preserve">rows do not account for any reimbursement obtained by the hospital/clinic for clinical services provided by the trainee. In the literature there are some other studies that try to address this issue, though they tend to be specialty specific. For example, a University of Washington Family Medicine Network </w:t>
      </w:r>
      <w:r>
        <w:rPr>
          <w:rFonts w:ascii="Calibri" w:hAnsi="Calibri"/>
        </w:rPr>
        <w:t xml:space="preserve">survey from 2003 found estimated </w:t>
      </w:r>
      <w:r w:rsidRPr="00036BE6">
        <w:rPr>
          <w:rFonts w:ascii="Calibri" w:hAnsi="Calibri"/>
        </w:rPr>
        <w:t>revenue per resident of $79,959 from federal GME payments and $115,576 in mean net patient service revenue</w:t>
      </w:r>
      <w:r>
        <w:rPr>
          <w:rFonts w:ascii="Calibri" w:hAnsi="Calibri"/>
        </w:rPr>
        <w:t>, compared to expenses of $274,</w:t>
      </w:r>
      <w:r w:rsidRPr="00036BE6">
        <w:rPr>
          <w:rFonts w:ascii="Calibri" w:hAnsi="Calibri"/>
        </w:rPr>
        <w:t>239</w:t>
      </w:r>
      <w:r>
        <w:rPr>
          <w:rFonts w:ascii="Calibri" w:hAnsi="Calibri"/>
        </w:rPr>
        <w:t>.</w:t>
      </w:r>
      <w:r>
        <w:rPr>
          <w:rStyle w:val="FootnoteReference"/>
          <w:rFonts w:ascii="Calibri" w:hAnsi="Calibri"/>
        </w:rPr>
        <w:footnoteReference w:id="25"/>
      </w:r>
      <w:r w:rsidRPr="00036BE6">
        <w:rPr>
          <w:rFonts w:ascii="Calibri" w:hAnsi="Calibri"/>
        </w:rPr>
        <w:t xml:space="preserve"> </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In addition, the estimates do not account for funding from other funding sources, such as funding for Children’s Hospitals, Teaching Health Centers, or the VA.</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The Commission reviewed other studies that have estimated costs associated with Graduate Medical Education. The AAMC has estimated a per trainee cost of $100,000 per year</w:t>
      </w:r>
      <w:r>
        <w:rPr>
          <w:rFonts w:ascii="Calibri" w:hAnsi="Calibri"/>
        </w:rPr>
        <w:t>,</w:t>
      </w:r>
      <w:r>
        <w:rPr>
          <w:rStyle w:val="FootnoteReference"/>
          <w:rFonts w:ascii="Calibri" w:hAnsi="Calibri"/>
        </w:rPr>
        <w:footnoteReference w:id="26"/>
      </w:r>
      <w:r w:rsidRPr="00036BE6">
        <w:rPr>
          <w:rFonts w:ascii="Calibri" w:hAnsi="Calibri"/>
        </w:rPr>
        <w:t xml:space="preserve"> and the Alliance for Academic Internal medicine has estimated a per trainee cost of $130,000 per year</w:t>
      </w:r>
      <w:r>
        <w:rPr>
          <w:rFonts w:ascii="Calibri" w:hAnsi="Calibri"/>
        </w:rPr>
        <w:t>.</w:t>
      </w:r>
      <w:r>
        <w:rPr>
          <w:rStyle w:val="FootnoteReference"/>
          <w:rFonts w:ascii="Calibri" w:hAnsi="Calibri"/>
        </w:rPr>
        <w:footnoteReference w:id="27"/>
      </w:r>
      <w:r>
        <w:rPr>
          <w:rFonts w:ascii="Calibri" w:hAnsi="Calibri"/>
        </w:rPr>
        <w:t xml:space="preserve"> </w:t>
      </w:r>
      <w:r w:rsidRPr="00036BE6">
        <w:rPr>
          <w:rFonts w:ascii="Calibri" w:hAnsi="Calibri"/>
        </w:rPr>
        <w:t xml:space="preserve">A study of an anesthesiology program </w:t>
      </w:r>
      <w:r>
        <w:rPr>
          <w:rFonts w:ascii="Calibri" w:hAnsi="Calibri"/>
        </w:rPr>
        <w:t xml:space="preserve">for the 1996-1997 academic year </w:t>
      </w:r>
      <w:r w:rsidRPr="00036BE6">
        <w:rPr>
          <w:rFonts w:ascii="Calibri" w:hAnsi="Calibri"/>
        </w:rPr>
        <w:t>found instructional costs of $75,070 per resident and estimated the replacement value of the teaching and clinical services provided by residents to be $103,436 per resident per year</w:t>
      </w:r>
      <w:r>
        <w:rPr>
          <w:rFonts w:ascii="Calibri" w:hAnsi="Calibri"/>
        </w:rPr>
        <w:t xml:space="preserve"> above the cost of the resident.</w:t>
      </w:r>
      <w:r>
        <w:rPr>
          <w:rStyle w:val="FootnoteReference"/>
          <w:rFonts w:ascii="Calibri" w:hAnsi="Calibri"/>
        </w:rPr>
        <w:footnoteReference w:id="28"/>
      </w:r>
      <w:r w:rsidRPr="00036BE6">
        <w:rPr>
          <w:rFonts w:ascii="Calibri" w:hAnsi="Calibri"/>
        </w:rPr>
        <w:t xml:space="preserve"> A study in Minnesota that used a similar technique of estimating component costs, similar to the approach above in Section </w:t>
      </w:r>
      <w:r>
        <w:rPr>
          <w:rFonts w:ascii="Calibri" w:hAnsi="Calibri"/>
        </w:rPr>
        <w:t>6.2</w:t>
      </w:r>
      <w:r w:rsidRPr="00036BE6">
        <w:rPr>
          <w:rFonts w:ascii="Calibri" w:hAnsi="Calibri"/>
        </w:rPr>
        <w:t xml:space="preserve"> found </w:t>
      </w:r>
      <w:r>
        <w:rPr>
          <w:rFonts w:ascii="Calibri" w:hAnsi="Calibri"/>
        </w:rPr>
        <w:t xml:space="preserve">a </w:t>
      </w:r>
      <w:r w:rsidRPr="00036BE6">
        <w:rPr>
          <w:rFonts w:ascii="Calibri" w:hAnsi="Calibri"/>
        </w:rPr>
        <w:t xml:space="preserve">mean cost of $130,843, </w:t>
      </w:r>
      <w:r>
        <w:rPr>
          <w:rFonts w:ascii="Calibri" w:hAnsi="Calibri"/>
        </w:rPr>
        <w:t xml:space="preserve">of </w:t>
      </w:r>
      <w:r w:rsidRPr="00036BE6">
        <w:rPr>
          <w:rFonts w:ascii="Calibri" w:hAnsi="Calibri"/>
        </w:rPr>
        <w:t xml:space="preserve">which 52% </w:t>
      </w:r>
      <w:r>
        <w:rPr>
          <w:rFonts w:ascii="Calibri" w:hAnsi="Calibri"/>
        </w:rPr>
        <w:t xml:space="preserve">was attributed to </w:t>
      </w:r>
      <w:r w:rsidRPr="00036BE6">
        <w:rPr>
          <w:rFonts w:ascii="Calibri" w:hAnsi="Calibri"/>
        </w:rPr>
        <w:t>faculty cost</w:t>
      </w:r>
      <w:r>
        <w:rPr>
          <w:rFonts w:ascii="Calibri" w:hAnsi="Calibri"/>
        </w:rPr>
        <w:t>s</w:t>
      </w:r>
      <w:r w:rsidRPr="00036BE6">
        <w:rPr>
          <w:rFonts w:ascii="Calibri" w:hAnsi="Calibri"/>
        </w:rPr>
        <w:t xml:space="preserve">, 26% </w:t>
      </w:r>
      <w:r>
        <w:rPr>
          <w:rFonts w:ascii="Calibri" w:hAnsi="Calibri"/>
        </w:rPr>
        <w:t xml:space="preserve">to </w:t>
      </w:r>
      <w:r w:rsidRPr="00036BE6">
        <w:rPr>
          <w:rFonts w:ascii="Calibri" w:hAnsi="Calibri"/>
        </w:rPr>
        <w:t>resident cost</w:t>
      </w:r>
      <w:r>
        <w:rPr>
          <w:rFonts w:ascii="Calibri" w:hAnsi="Calibri"/>
        </w:rPr>
        <w:t>s</w:t>
      </w:r>
      <w:r w:rsidRPr="00036BE6">
        <w:rPr>
          <w:rFonts w:ascii="Calibri" w:hAnsi="Calibri"/>
        </w:rPr>
        <w:t xml:space="preserve">, and 22% </w:t>
      </w:r>
      <w:r>
        <w:rPr>
          <w:rFonts w:ascii="Calibri" w:hAnsi="Calibri"/>
        </w:rPr>
        <w:t>to administration.</w:t>
      </w:r>
      <w:r>
        <w:rPr>
          <w:rStyle w:val="FootnoteReference"/>
          <w:rFonts w:ascii="Calibri" w:hAnsi="Calibri"/>
        </w:rPr>
        <w:footnoteReference w:id="29"/>
      </w:r>
      <w:r>
        <w:rPr>
          <w:rFonts w:ascii="Calibri" w:hAnsi="Calibri"/>
        </w:rPr>
        <w:t xml:space="preserve"> </w:t>
      </w:r>
    </w:p>
    <w:p w:rsidR="004C38EA" w:rsidRPr="00036BE6"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 xml:space="preserve">Our approach in Section </w:t>
      </w:r>
      <w:r>
        <w:rPr>
          <w:rFonts w:ascii="Calibri" w:hAnsi="Calibri"/>
        </w:rPr>
        <w:t>6.2</w:t>
      </w:r>
      <w:r w:rsidRPr="00036BE6">
        <w:rPr>
          <w:rFonts w:ascii="Calibri" w:hAnsi="Calibri"/>
        </w:rPr>
        <w:t xml:space="preserve"> did not count for a number of “other” costs of residency, such as educational allowances and stipends. A recent study attempted to quantify these “other” costs and found an estimate of $4</w:t>
      </w:r>
      <w:r>
        <w:rPr>
          <w:rFonts w:ascii="Calibri" w:hAnsi="Calibri"/>
        </w:rPr>
        <w:t>,</w:t>
      </w:r>
      <w:r w:rsidRPr="00036BE6">
        <w:rPr>
          <w:rFonts w:ascii="Calibri" w:hAnsi="Calibri"/>
        </w:rPr>
        <w:t xml:space="preserve">439 per resident, though with a sizable range of </w:t>
      </w:r>
      <w:r>
        <w:rPr>
          <w:rFonts w:ascii="Calibri" w:hAnsi="Calibri"/>
        </w:rPr>
        <w:t>$1,500 to $9,417.</w:t>
      </w:r>
      <w:r>
        <w:rPr>
          <w:rStyle w:val="FootnoteReference"/>
          <w:rFonts w:ascii="Calibri" w:hAnsi="Calibri"/>
        </w:rPr>
        <w:footnoteReference w:id="30"/>
      </w:r>
    </w:p>
    <w:p w:rsidR="004C38EA" w:rsidRPr="00036BE6" w:rsidRDefault="004C38EA" w:rsidP="005A389C">
      <w:pPr>
        <w:rPr>
          <w:rFonts w:ascii="Calibri" w:hAnsi="Calibri"/>
        </w:rPr>
      </w:pPr>
    </w:p>
    <w:p w:rsidR="004C38EA" w:rsidRPr="00036BE6" w:rsidRDefault="004C38EA" w:rsidP="005A389C">
      <w:pPr>
        <w:rPr>
          <w:rFonts w:ascii="Calibri" w:hAnsi="Calibri"/>
          <w:color w:val="003366"/>
          <w:sz w:val="40"/>
          <w:szCs w:val="40"/>
          <w:lang w:eastAsia="en-US"/>
        </w:rPr>
      </w:pPr>
      <w:r w:rsidRPr="00036BE6">
        <w:rPr>
          <w:rFonts w:ascii="Calibri" w:hAnsi="Calibri"/>
        </w:rPr>
        <w:t>Overall, the estimates prepared for and reviewed by the Commission were in the range of previous studies, though there is a wide range of estimates depending on what costs and/or revenues are considered.</w:t>
      </w:r>
    </w:p>
    <w:p w:rsidR="004C38EA" w:rsidRPr="00036BE6" w:rsidRDefault="004C38EA" w:rsidP="005A389C">
      <w:pPr>
        <w:rPr>
          <w:rFonts w:ascii="Calibri" w:hAnsi="Calibri"/>
        </w:rPr>
      </w:pPr>
    </w:p>
    <w:p w:rsidR="004C38EA" w:rsidRPr="00541886" w:rsidRDefault="004C38EA" w:rsidP="005A389C">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6.4</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Discussion of broader value of GME</w:t>
      </w:r>
    </w:p>
    <w:p w:rsidR="004C38EA" w:rsidRPr="00036BE6" w:rsidRDefault="004C38EA" w:rsidP="005A389C">
      <w:pPr>
        <w:rPr>
          <w:rFonts w:ascii="Calibri" w:hAnsi="Calibri"/>
        </w:rPr>
      </w:pPr>
    </w:p>
    <w:p w:rsidR="004C38EA" w:rsidRDefault="004C38EA" w:rsidP="00ED08FE">
      <w:pPr>
        <w:rPr>
          <w:rFonts w:ascii="Calibri" w:hAnsi="Calibri"/>
        </w:rPr>
      </w:pPr>
      <w:r w:rsidRPr="00036BE6">
        <w:rPr>
          <w:rFonts w:ascii="Calibri" w:hAnsi="Calibri"/>
        </w:rPr>
        <w:t xml:space="preserve">In addition to developing cost estimates, the Commission discussed the value of GME and its impact on many sectors in the Commonwealth. The Commission noted the role of academic medical centers in </w:t>
      </w:r>
      <w:r w:rsidRPr="00036BE6">
        <w:rPr>
          <w:rFonts w:ascii="Calibri" w:hAnsi="Calibri"/>
        </w:rPr>
        <w:lastRenderedPageBreak/>
        <w:t xml:space="preserve">providing specialty care and in promoting research and innovation. </w:t>
      </w:r>
      <w:r>
        <w:rPr>
          <w:rFonts w:ascii="Calibri" w:hAnsi="Calibri"/>
        </w:rPr>
        <w:t xml:space="preserve">GME supports cutting-edge care and scientific and clinical advances. </w:t>
      </w:r>
      <w:r w:rsidRPr="00036BE6">
        <w:rPr>
          <w:rFonts w:ascii="Calibri" w:hAnsi="Calibri"/>
        </w:rPr>
        <w:t xml:space="preserve">Additionally, the academic environment plays an important role in recruiting and retaining faculty. Trainees also play an important role in teaching, particularly of medical students. Academic medical centers play a role in providing care of underserved patients. </w:t>
      </w:r>
      <w:r>
        <w:rPr>
          <w:rFonts w:ascii="Calibri" w:hAnsi="Calibri"/>
        </w:rPr>
        <w:t>Graduate Medical Education also contributes to the significant federal grant funding resources that Massachusetts institutions are able to attract. In FY2012, Massachusetts organizations received over $2.5 billion in NIH grants, supporting nearly 34,000 jobs.</w:t>
      </w:r>
    </w:p>
    <w:p w:rsidR="004C38EA" w:rsidRPr="00036BE6" w:rsidRDefault="004C38EA" w:rsidP="005A389C">
      <w:pPr>
        <w:rPr>
          <w:rFonts w:ascii="Calibri" w:hAnsi="Calibri"/>
        </w:rPr>
      </w:pPr>
    </w:p>
    <w:p w:rsidR="004C38EA" w:rsidRPr="00A65C9F" w:rsidRDefault="004C38EA" w:rsidP="005A389C">
      <w:pPr>
        <w:rPr>
          <w:rFonts w:ascii="Calibri" w:hAnsi="Calibri"/>
        </w:rPr>
      </w:pPr>
      <w:r w:rsidRPr="00036BE6">
        <w:rPr>
          <w:rFonts w:ascii="Calibri" w:hAnsi="Calibri"/>
        </w:rPr>
        <w:t xml:space="preserve">The existence of residency programs </w:t>
      </w:r>
      <w:r>
        <w:rPr>
          <w:rFonts w:ascii="Calibri" w:hAnsi="Calibri"/>
        </w:rPr>
        <w:t xml:space="preserve">also </w:t>
      </w:r>
      <w:r w:rsidRPr="00036BE6">
        <w:rPr>
          <w:rFonts w:ascii="Calibri" w:hAnsi="Calibri"/>
        </w:rPr>
        <w:t xml:space="preserve">has a positive impact of the local economy, by bringing in trainees and staff </w:t>
      </w:r>
      <w:r>
        <w:rPr>
          <w:rFonts w:ascii="Calibri" w:hAnsi="Calibri"/>
        </w:rPr>
        <w:t>to the local area, many of whom settle in the Commonwealth permanently.</w:t>
      </w:r>
      <w:r w:rsidRPr="00036BE6">
        <w:rPr>
          <w:rFonts w:ascii="Calibri" w:hAnsi="Calibri"/>
        </w:rPr>
        <w:t xml:space="preserve"> </w:t>
      </w:r>
    </w:p>
    <w:p w:rsidR="004C38EA" w:rsidRDefault="004C38EA" w:rsidP="005A389C"/>
    <w:p w:rsidR="004C38EA" w:rsidRDefault="00211E86" w:rsidP="005A389C">
      <w:pPr>
        <w:rPr>
          <w:rFonts w:ascii="Calibri" w:hAnsi="Calibri"/>
        </w:rPr>
      </w:pPr>
      <w:r>
        <w:rPr>
          <w:noProof/>
          <w:lang w:eastAsia="en-US"/>
        </w:rPr>
        <w:pict>
          <v:shape id="_x0000_s1050" type="#_x0000_t202" style="position:absolute;margin-left:245.65pt;margin-top:10.7pt;width:60.35pt;height:23.05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" filled="f" stroked="f">
            <v:textbox style="mso-next-textbox:#_x0000_s1050;mso-fit-shape-to-text:t">
              <w:txbxContent>
                <w:p w:rsidR="001E2683" w:rsidRPr="006F7B96" w:rsidRDefault="001E2683" w:rsidP="000E3BD8">
                  <w:pPr>
                    <w:autoSpaceDE w:val="0"/>
                    <w:autoSpaceDN w:val="0"/>
                    <w:adjustRightInd w:val="0"/>
                    <w:rPr>
                      <w:rFonts w:ascii="Calibri" w:hAnsi="Calibri" w:cs="Arial"/>
                      <w:b/>
                      <w:color w:val="000000"/>
                      <w:sz w:val="26"/>
                      <w:szCs w:val="26"/>
                    </w:rPr>
                  </w:pPr>
                  <w:r>
                    <w:rPr>
                      <w:rFonts w:ascii="Calibri" w:hAnsi="Calibri" w:cs="Arial"/>
                      <w:b/>
                      <w:color w:val="000000"/>
                      <w:sz w:val="26"/>
                      <w:szCs w:val="26"/>
                    </w:rPr>
                    <w:t>Trainees</w:t>
                  </w:r>
                </w:p>
              </w:txbxContent>
            </v:textbox>
          </v:shape>
        </w:pict>
      </w:r>
    </w:p>
    <w:p w:rsidR="004C38EA" w:rsidRDefault="004C38EA" w:rsidP="005A389C">
      <w:pPr>
        <w:rPr>
          <w:rFonts w:ascii="Calibri" w:hAnsi="Calibri"/>
        </w:rPr>
      </w:pPr>
    </w:p>
    <w:p w:rsidR="004C38EA" w:rsidRDefault="00211E86" w:rsidP="005A389C">
      <w:pPr>
        <w:rPr>
          <w:rFonts w:ascii="Calibri" w:hAnsi="Calibri"/>
        </w:rPr>
      </w:pPr>
      <w:r>
        <w:rPr>
          <w:noProof/>
          <w:lang w:eastAsia="en-US"/>
        </w:rPr>
        <w:pict>
          <v:shape id="AutoShape 7" o:spid="_x0000_s1051" type="#_x0000_t13" style="position:absolute;margin-left:244.9pt;margin-top:29.7pt;width:64.95pt;height:26.75pt;rotation:90;z-index:25165209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" fillcolor="blue">
            <v:textbox style="mso-next-textbox:#AutoShape 7">
              <w:txbxContent>
                <w:p w:rsidR="001E2683" w:rsidRDefault="001E2683">
                  <w:pPr>
                    <w:autoSpaceDE w:val="0"/>
                    <w:autoSpaceDN w:val="0"/>
                    <w:adjustRightInd w:val="0"/>
                    <w:rPr>
                      <w:rFonts w:ascii="Calibri" w:hAnsi="Calibri"/>
                      <w:color w:val="000000"/>
                      <w:sz w:val="32"/>
                      <w:szCs w:val="32"/>
                    </w:rPr>
                  </w:pPr>
                </w:p>
              </w:txbxContent>
            </v:textbox>
          </v:shape>
        </w:pict>
      </w:r>
    </w:p>
    <w:p w:rsidR="004C38EA" w:rsidRDefault="004C38EA" w:rsidP="005A389C">
      <w:pPr>
        <w:rPr>
          <w:rFonts w:ascii="Calibri" w:hAnsi="Calibri"/>
        </w:rPr>
      </w:pPr>
    </w:p>
    <w:p w:rsidR="004C38EA" w:rsidRDefault="004C38EA" w:rsidP="005A389C">
      <w:pPr>
        <w:rPr>
          <w:rFonts w:ascii="Calibri" w:hAnsi="Calibri"/>
        </w:rPr>
      </w:pPr>
    </w:p>
    <w:p w:rsidR="004C38EA" w:rsidRDefault="00211E86" w:rsidP="005A389C">
      <w:pPr>
        <w:rPr>
          <w:rFonts w:ascii="Calibri" w:hAnsi="Calibri"/>
        </w:rPr>
      </w:pPr>
      <w:r>
        <w:rPr>
          <w:noProof/>
          <w:lang w:eastAsia="en-US"/>
        </w:rPr>
        <w:pict>
          <v:shape id="AutoShape 6" o:spid="_x0000_s1052" style="position:absolute;margin-left:295.5pt;margin-top:4.95pt;width:39pt;height:42pt;rotation:5928659fd;flip:x;z-index:251651072;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" adj="0,,0" path="m21600,6079l13208,r,2849l12427,2849c5564,2849,,7017,,12158r,9442l6603,21600r,-9442c6603,10585,9210,9309,12427,9309r781,l13208,12158,21600,6079xe" fillcolor="blue">
            <v:stroke joinstyle="miter"/>
            <v:formulas/>
            <v:path o:connecttype="custom" o:connectlocs="2147483647,0;2147483647,2147483647;2147483647,2147483647;2147483647,2147483647" o:connectangles="270,90,90,0" textboxrect="12427,2849,17141,9309"/>
          </v:shape>
        </w:pict>
      </w:r>
      <w:r>
        <w:rPr>
          <w:noProof/>
          <w:lang w:eastAsia="en-US"/>
        </w:rPr>
        <w:pict>
          <v:shape id="Text Box 5" o:spid="_x0000_s1053" type="#_x0000_t202" style="position:absolute;margin-left:120pt;margin-top:2.65pt;width:95.25pt;height:38.95pt;z-index:2516500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" filled="f" stroked="f">
            <v:textbox style="mso-next-textbox:#Text Box 5;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Administrators</w:t>
                  </w:r>
                </w:p>
              </w:txbxContent>
            </v:textbox>
          </v:shape>
        </w:pict>
      </w:r>
      <w:r>
        <w:rPr>
          <w:noProof/>
          <w:lang w:eastAsia="en-US"/>
        </w:rPr>
        <w:pict>
          <v:shape id="AutoShape 16" o:spid="_x0000_s1054" style="position:absolute;margin-left:235.4pt;margin-top:166.15pt;width:48pt;height:36.35pt;rotation:-11706704fd;z-index:251660288;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" adj="0,,0" path="m21600,6079l15126,r,2912l12427,2912c5564,2912,,7052,,12158r,9442l6474,21600r,-9442c6474,10550,9139,9246,12427,9246r2699,l15126,12158,21600,6079xe" fillcolor="blue">
            <v:stroke joinstyle="miter"/>
            <v:formulas/>
            <v:path o:connecttype="custom" o:connectlocs="2147483647,0;2147483647,2147483647;2147483647,2147483647;2147483647,2147483647" o:connectangles="270,90,90,0" textboxrect="12427,2912,18227,9246"/>
          </v:shape>
        </w:pict>
      </w:r>
      <w:r>
        <w:rPr>
          <w:noProof/>
          <w:lang w:eastAsia="en-US"/>
        </w:rPr>
        <w:pict>
          <v:shape id="AutoShape 15" o:spid="_x0000_s1055" style="position:absolute;margin-left:235.3pt;margin-top:124.25pt;width:47.9pt;height:42.15pt;rotation:-11706704fd;z-index:251659264;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" adj="0,,0" path="m21600,6079l15126,r,2912l12427,2912c5564,2912,,7052,,12158r,9442l6474,21600r,-9442c6474,10550,9139,9246,12427,9246r2699,l15126,12158,21600,6079xe" fillcolor="blue">
            <v:stroke joinstyle="miter"/>
            <v:formulas/>
            <v:path o:connecttype="custom" o:connectlocs="2147483647,0;2147483647,2147483647;2147483647,2147483647;2147483647,2147483647" o:connectangles="270,90,90,0" textboxrect="12427,2912,18227,9246"/>
          </v:shape>
        </w:pict>
      </w:r>
      <w:r>
        <w:rPr>
          <w:noProof/>
          <w:lang w:eastAsia="en-US"/>
        </w:rPr>
        <w:pict>
          <v:shape id="AutoShape 13" o:spid="_x0000_s1056" style="position:absolute;margin-left:271.4pt;margin-top:124.5pt;width:48pt;height:42pt;rotation:-11572580fd;flip:x;z-index:251657216;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" adj="0,,0" path="m21600,6079l15126,r,2912l12427,2912c5564,2912,,7052,,12158r,9442l6474,21600r,-9442c6474,10550,9139,9246,12427,9246r2699,l15126,12158,21600,6079xe" fillcolor="blue">
            <v:stroke joinstyle="miter"/>
            <v:formulas/>
            <v:path o:connecttype="custom" o:connectlocs="2147483647,0;2147483647,2147483647;2147483647,2147483647;2147483647,2147483647" o:connectangles="270,90,90,0" textboxrect="12427,2912,18227,9246"/>
          </v:shape>
        </w:pict>
      </w:r>
      <w:r>
        <w:rPr>
          <w:noProof/>
          <w:lang w:eastAsia="en-US"/>
        </w:rPr>
        <w:pict>
          <v:shape id="Text Box 11" o:spid="_x0000_s1057" type="#_x0000_t202" style="position:absolute;margin-left:318pt;margin-top:146.65pt;width:90.4pt;height:38.95pt;z-index:2516551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" filled="f" stroked="f">
            <v:textbox style="mso-next-textbox:#Text Box 11;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Specialty Care</w:t>
                  </w:r>
                </w:p>
              </w:txbxContent>
            </v:textbox>
          </v:shape>
        </w:pict>
      </w:r>
      <w:r>
        <w:rPr>
          <w:noProof/>
          <w:lang w:eastAsia="en-US"/>
        </w:rPr>
        <w:pict>
          <v:shape id="Text Box 10" o:spid="_x0000_s1058" type="#_x0000_t202" style="position:absolute;margin-left:148.9pt;margin-top:147.85pt;width:84.35pt;height:38.95pt;z-index:2516541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" filled="f" stroked="f">
            <v:textbox style="mso-next-textbox:#Text Box 10;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Primary Care</w:t>
                  </w:r>
                </w:p>
              </w:txbxContent>
            </v:textbox>
          </v:shape>
        </w:pict>
      </w:r>
      <w:r>
        <w:rPr>
          <w:noProof/>
          <w:lang w:eastAsia="en-US"/>
        </w:rPr>
        <w:pict>
          <v:shape id="Text Box 19" o:spid="_x0000_s1059" type="#_x0000_t202" style="position:absolute;margin-left:0;margin-top:183.85pt;width:180pt;height:3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" filled="f" stroked="f">
            <v:textbox style="mso-next-textbox:#Text Box 19;mso-fit-shape-to-text:t">
              <w:txbxContent>
                <w:p w:rsidR="001E2683" w:rsidRPr="006F7B96" w:rsidRDefault="001E2683" w:rsidP="0061526A">
                  <w:pPr>
                    <w:autoSpaceDE w:val="0"/>
                    <w:autoSpaceDN w:val="0"/>
                    <w:adjustRightInd w:val="0"/>
                    <w:jc w:val="right"/>
                    <w:rPr>
                      <w:rFonts w:ascii="Calibri" w:hAnsi="Calibri" w:cs="Arial"/>
                      <w:color w:val="000000"/>
                      <w:sz w:val="22"/>
                      <w:szCs w:val="22"/>
                    </w:rPr>
                  </w:pPr>
                  <w:r w:rsidRPr="006F7B96">
                    <w:rPr>
                      <w:rFonts w:ascii="Calibri" w:hAnsi="Calibri" w:cs="Arial"/>
                      <w:color w:val="000000"/>
                      <w:sz w:val="22"/>
                      <w:szCs w:val="22"/>
                    </w:rPr>
                    <w:t>&gt;75% of VA Medical Centers are staffed by residents</w:t>
                  </w:r>
                </w:p>
              </w:txbxContent>
            </v:textbox>
          </v:shape>
        </w:pict>
      </w:r>
      <w:r>
        <w:rPr>
          <w:noProof/>
          <w:lang w:eastAsia="en-US"/>
        </w:rPr>
        <w:pict>
          <v:shape id="Text Box 12" o:spid="_x0000_s1060" type="#_x0000_t202" style="position:absolute;margin-left:318pt;margin-top:183.85pt;width:37.9pt;height:38.95pt;z-index:2516561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" filled="f" stroked="f">
            <v:textbox style="mso-next-textbox:#Text Box 12;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Jobs</w:t>
                  </w:r>
                </w:p>
              </w:txbxContent>
            </v:textbox>
          </v:shape>
        </w:pict>
      </w:r>
      <w:r>
        <w:rPr>
          <w:noProof/>
          <w:lang w:eastAsia="en-US"/>
        </w:rPr>
        <w:pict>
          <v:shape id="Text Box 18" o:spid="_x0000_s1061" type="#_x0000_t202" style="position:absolute;margin-left:179.55pt;margin-top:183.85pt;width:53.05pt;height:38.9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" filled="f" stroked="f">
            <v:textbox style="mso-next-textbox:#Text Box 18;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Service</w:t>
                  </w:r>
                </w:p>
              </w:txbxContent>
            </v:textbox>
          </v:shape>
        </w:pict>
      </w:r>
      <w:r>
        <w:rPr>
          <w:noProof/>
          <w:lang w:eastAsia="en-US"/>
        </w:rPr>
        <w:pict>
          <v:shape id="Text Box 20" o:spid="_x0000_s1062" type="#_x0000_t202" style="position:absolute;margin-left:408pt;margin-top:137.35pt;width:138pt;height:34.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" filled="f" stroked="f">
            <v:textbox style="mso-next-textbox:#Text Box 20;mso-fit-shape-to-text:t">
              <w:txbxContent>
                <w:p w:rsidR="001E2683" w:rsidRPr="006F7B96" w:rsidRDefault="001E2683" w:rsidP="0061526A">
                  <w:pPr>
                    <w:autoSpaceDE w:val="0"/>
                    <w:autoSpaceDN w:val="0"/>
                    <w:adjustRightInd w:val="0"/>
                    <w:rPr>
                      <w:rFonts w:ascii="Calibri" w:hAnsi="Calibri" w:cs="Arial"/>
                      <w:color w:val="000000"/>
                      <w:sz w:val="22"/>
                      <w:szCs w:val="22"/>
                    </w:rPr>
                  </w:pPr>
                  <w:r w:rsidRPr="006F7B96">
                    <w:rPr>
                      <w:rFonts w:ascii="Calibri" w:hAnsi="Calibri" w:cs="Arial"/>
                      <w:color w:val="000000"/>
                      <w:sz w:val="22"/>
                      <w:szCs w:val="22"/>
                    </w:rPr>
                    <w:t>Cardiac care, burn centers, and many other examples</w:t>
                  </w:r>
                </w:p>
              </w:txbxContent>
            </v:textbox>
          </v:shape>
        </w:pict>
      </w:r>
      <w:r>
        <w:rPr>
          <w:noProof/>
          <w:lang w:eastAsia="en-US"/>
        </w:rPr>
        <w:pict>
          <v:shape id="Text Box 9" o:spid="_x0000_s1063" type="#_x0000_t202" style="position:absolute;margin-left:186pt;margin-top:236.65pt;width:186pt;height:23.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" filled="f" stroked="f">
            <v:textbox style="mso-next-textbox:#Text Box 9;mso-fit-shape-to-text:t">
              <w:txbxContent>
                <w:p w:rsidR="001E2683" w:rsidRPr="006F7B96" w:rsidRDefault="001E2683" w:rsidP="0061526A">
                  <w:pPr>
                    <w:autoSpaceDE w:val="0"/>
                    <w:autoSpaceDN w:val="0"/>
                    <w:adjustRightInd w:val="0"/>
                    <w:jc w:val="center"/>
                    <w:rPr>
                      <w:rFonts w:ascii="Calibri" w:hAnsi="Calibri" w:cs="Arial"/>
                      <w:b/>
                      <w:color w:val="000000"/>
                      <w:sz w:val="26"/>
                      <w:szCs w:val="26"/>
                    </w:rPr>
                  </w:pPr>
                  <w:r w:rsidRPr="006F7B96">
                    <w:rPr>
                      <w:rFonts w:ascii="Calibri" w:hAnsi="Calibri" w:cs="Arial"/>
                      <w:b/>
                      <w:color w:val="000000"/>
                      <w:sz w:val="26"/>
                      <w:szCs w:val="26"/>
                    </w:rPr>
                    <w:t>Research/Innovation</w:t>
                  </w:r>
                </w:p>
              </w:txbxContent>
            </v:textbox>
          </v:shape>
        </w:pict>
      </w:r>
      <w:r>
        <w:rPr>
          <w:noProof/>
          <w:lang w:eastAsia="en-US"/>
        </w:rPr>
        <w:pict>
          <v:shape id="AutoShape 8" o:spid="_x0000_s1064" style="position:absolute;margin-left:223.5pt;margin-top:4.4pt;width:39pt;height:42pt;rotation:90;z-index:251653120;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" adj="0,,0" path="m21600,6079l13208,r,2849l12427,2849c5564,2849,,7017,,12158r,9442l6603,21600r,-9442c6603,10585,9210,9309,12427,9309r781,l13208,12158,21600,6079xe" fillcolor="blue">
            <v:stroke joinstyle="miter"/>
            <v:formulas/>
            <v:path o:connecttype="custom" o:connectlocs="2147483647,0;2147483647,2147483647;2147483647,2147483647;2147483647,2147483647" o:connectangles="270,90,90,0" textboxrect="12427,2849,17141,9309"/>
          </v:shape>
        </w:pict>
      </w:r>
      <w:r>
        <w:rPr>
          <w:noProof/>
          <w:lang w:eastAsia="en-US"/>
        </w:rPr>
        <w:pict>
          <v:shape id="AutoShape 17" o:spid="_x0000_s1065" type="#_x0000_t13" style="position:absolute;margin-left:218.3pt;margin-top:158.2pt;width:120pt;height:40.6pt;rotation:90;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" fillcolor="blue">
            <v:textbox style="mso-next-textbox:#AutoShape 17">
              <w:txbxContent>
                <w:p w:rsidR="001E2683" w:rsidRDefault="001E2683">
                  <w:pPr>
                    <w:autoSpaceDE w:val="0"/>
                    <w:autoSpaceDN w:val="0"/>
                    <w:adjustRightInd w:val="0"/>
                    <w:rPr>
                      <w:rFonts w:ascii="Calibri" w:hAnsi="Calibri"/>
                      <w:color w:val="000000"/>
                      <w:sz w:val="32"/>
                      <w:szCs w:val="32"/>
                    </w:rPr>
                  </w:pPr>
                  <w:bookmarkStart w:id="6" w:name="_GoBack"/>
                  <w:bookmarkEnd w:id="6"/>
                </w:p>
              </w:txbxContent>
            </v:textbox>
          </v:shape>
        </w:pict>
      </w:r>
      <w:r>
        <w:rPr>
          <w:noProof/>
          <w:lang w:eastAsia="en-US"/>
        </w:rPr>
        <w:pict>
          <v:shape id="AutoShape 14" o:spid="_x0000_s1066" style="position:absolute;margin-left:270pt;margin-top:160.5pt;width:48pt;height:42pt;rotation:-11662480fd;flip:x;z-index:251658240;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" adj="0,,0" path="m21600,6079l15126,r,2912l12427,2912c5564,2912,,7052,,12158r,9442l6474,21600r,-9442c6474,10550,9139,9246,12427,9246r2699,l15126,12158,21600,6079xe" fillcolor="blue">
            <v:stroke joinstyle="miter"/>
            <v:formulas/>
            <v:path o:connecttype="custom" o:connectlocs="2147483647,0;2147483647,2147483647;2147483647,2147483647;2147483647,2147483647" o:connectangles="270,90,90,0" textboxrect="12427,2912,18227,9246"/>
          </v:shape>
        </w:pict>
      </w:r>
      <w:r>
        <w:rPr>
          <w:noProof/>
          <w:lang w:eastAsia="en-US"/>
        </w:rPr>
        <w:pict>
          <v:shape id="Text Box 4" o:spid="_x0000_s1067" type="#_x0000_t202" style="position:absolute;margin-left:340.9pt;margin-top:2.65pt;width:67.9pt;height:38.95pt;z-index:2516490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" filled="f" stroked="f">
            <v:textbox style="mso-next-textbox:#Text Box 4;mso-fit-shape-to-text:t">
              <w:txbxContent>
                <w:p w:rsidR="001E2683" w:rsidRPr="006F7B96" w:rsidRDefault="001E2683">
                  <w:pPr>
                    <w:autoSpaceDE w:val="0"/>
                    <w:autoSpaceDN w:val="0"/>
                    <w:adjustRightInd w:val="0"/>
                    <w:rPr>
                      <w:rFonts w:ascii="Calibri" w:hAnsi="Calibri" w:cs="Arial"/>
                      <w:b/>
                      <w:color w:val="000000"/>
                      <w:sz w:val="26"/>
                      <w:szCs w:val="26"/>
                    </w:rPr>
                  </w:pPr>
                  <w:r w:rsidRPr="006F7B96">
                    <w:rPr>
                      <w:rFonts w:ascii="Calibri" w:hAnsi="Calibri" w:cs="Arial"/>
                      <w:b/>
                      <w:color w:val="000000"/>
                      <w:sz w:val="26"/>
                      <w:szCs w:val="26"/>
                    </w:rPr>
                    <w:t>Educators</w:t>
                  </w:r>
                </w:p>
              </w:txbxContent>
            </v:textbox>
          </v:shape>
        </w:pict>
      </w:r>
      <w:r>
        <w:rPr>
          <w:noProof/>
          <w:lang w:eastAsia="en-US"/>
        </w:rPr>
        <w:pict>
          <v:rect id="Rectangle 40" o:spid="_x0000_s1068" style="position:absolute;margin-left:228pt;margin-top:50pt;width:102pt;height:60.6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" filled="f">
            <v:textbox style="mso-next-textbox:#Rectangle 40">
              <w:txbxContent>
                <w:p w:rsidR="001E2683" w:rsidRPr="006F7B96" w:rsidRDefault="001E2683">
                  <w:pPr>
                    <w:autoSpaceDE w:val="0"/>
                    <w:autoSpaceDN w:val="0"/>
                    <w:adjustRightInd w:val="0"/>
                    <w:jc w:val="center"/>
                    <w:rPr>
                      <w:rFonts w:ascii="Calibri" w:hAnsi="Calibri" w:cs="Arial"/>
                      <w:color w:val="000000"/>
                      <w:sz w:val="28"/>
                      <w:szCs w:val="28"/>
                    </w:rPr>
                  </w:pPr>
                  <w:r w:rsidRPr="006F7B96">
                    <w:rPr>
                      <w:rFonts w:ascii="Calibri" w:hAnsi="Calibri" w:cs="Arial"/>
                      <w:color w:val="000000"/>
                      <w:sz w:val="28"/>
                      <w:szCs w:val="28"/>
                    </w:rPr>
                    <w:t xml:space="preserve">Graduate </w:t>
                  </w:r>
                </w:p>
                <w:p w:rsidR="001E2683" w:rsidRPr="006F7B96" w:rsidRDefault="001E2683">
                  <w:pPr>
                    <w:autoSpaceDE w:val="0"/>
                    <w:autoSpaceDN w:val="0"/>
                    <w:adjustRightInd w:val="0"/>
                    <w:jc w:val="center"/>
                    <w:rPr>
                      <w:rFonts w:ascii="Calibri" w:hAnsi="Calibri" w:cs="Arial"/>
                      <w:color w:val="000000"/>
                      <w:sz w:val="28"/>
                      <w:szCs w:val="28"/>
                    </w:rPr>
                  </w:pPr>
                  <w:r w:rsidRPr="006F7B96">
                    <w:rPr>
                      <w:rFonts w:ascii="Calibri" w:hAnsi="Calibri" w:cs="Arial"/>
                      <w:color w:val="000000"/>
                      <w:sz w:val="28"/>
                      <w:szCs w:val="28"/>
                    </w:rPr>
                    <w:t xml:space="preserve">Medical </w:t>
                  </w:r>
                </w:p>
                <w:p w:rsidR="001E2683" w:rsidRPr="006F7B96" w:rsidRDefault="001E2683">
                  <w:pPr>
                    <w:autoSpaceDE w:val="0"/>
                    <w:autoSpaceDN w:val="0"/>
                    <w:adjustRightInd w:val="0"/>
                    <w:jc w:val="center"/>
                    <w:rPr>
                      <w:rFonts w:ascii="Calibri" w:hAnsi="Calibri" w:cs="Arial"/>
                      <w:color w:val="000000"/>
                      <w:sz w:val="28"/>
                      <w:szCs w:val="28"/>
                    </w:rPr>
                  </w:pPr>
                  <w:r w:rsidRPr="006F7B96">
                    <w:rPr>
                      <w:rFonts w:ascii="Calibri" w:hAnsi="Calibri" w:cs="Arial"/>
                      <w:color w:val="000000"/>
                      <w:sz w:val="28"/>
                      <w:szCs w:val="28"/>
                    </w:rPr>
                    <w:t>Education</w:t>
                  </w:r>
                </w:p>
              </w:txbxContent>
            </v:textbox>
          </v:rect>
        </w:pict>
      </w:r>
      <w:r>
        <w:rPr>
          <w:noProof/>
          <w:lang w:eastAsia="en-US"/>
        </w:rPr>
        <w:pict>
          <v:shape id="Text Box 51" o:spid="_x0000_s1069" type="#_x0000_t202" style="position:absolute;margin-left:-6pt;margin-top:135.45pt;width:156pt;height:3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" filled="f" stroked="f">
            <v:textbox style="mso-next-textbox:#Text Box 51;mso-fit-shape-to-text:t">
              <w:txbxContent>
                <w:p w:rsidR="001E2683" w:rsidRPr="006F7B96" w:rsidRDefault="001E2683" w:rsidP="0061526A">
                  <w:pPr>
                    <w:autoSpaceDE w:val="0"/>
                    <w:autoSpaceDN w:val="0"/>
                    <w:adjustRightInd w:val="0"/>
                    <w:jc w:val="right"/>
                    <w:rPr>
                      <w:rFonts w:ascii="Calibri" w:hAnsi="Calibri" w:cs="Arial"/>
                      <w:color w:val="000000"/>
                      <w:sz w:val="22"/>
                      <w:szCs w:val="22"/>
                    </w:rPr>
                  </w:pPr>
                  <w:r w:rsidRPr="006F7B96">
                    <w:rPr>
                      <w:rFonts w:ascii="Calibri" w:hAnsi="Calibri" w:cs="Arial"/>
                      <w:color w:val="000000"/>
                      <w:sz w:val="22"/>
                      <w:szCs w:val="22"/>
                    </w:rPr>
                    <w:t xml:space="preserve">&gt;50% of safety net hospitals are staffed by residents </w:t>
                  </w:r>
                </w:p>
              </w:txbxContent>
            </v:textbox>
          </v:shape>
        </w:pict>
      </w:r>
      <w:r>
        <w:rPr>
          <w:noProof/>
          <w:lang w:eastAsia="en-US"/>
        </w:rPr>
        <w:pict>
          <v:shape id="Text Box 53" o:spid="_x0000_s1070" type="#_x0000_t202" style="position:absolute;margin-left:354pt;margin-top:182.5pt;width:180pt;height:4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" filled="f" stroked="f">
            <v:textbox style="mso-next-textbox:#Text Box 53;mso-fit-shape-to-text:t">
              <w:txbxContent>
                <w:p w:rsidR="001E2683" w:rsidRPr="006F7B96" w:rsidRDefault="001E2683" w:rsidP="0061526A">
                  <w:pPr>
                    <w:autoSpaceDE w:val="0"/>
                    <w:autoSpaceDN w:val="0"/>
                    <w:adjustRightInd w:val="0"/>
                    <w:rPr>
                      <w:rFonts w:ascii="Calibri" w:hAnsi="Calibri" w:cs="Arial"/>
                      <w:color w:val="000000"/>
                      <w:sz w:val="22"/>
                      <w:szCs w:val="22"/>
                    </w:rPr>
                  </w:pPr>
                  <w:r w:rsidRPr="006F7B96">
                    <w:rPr>
                      <w:rFonts w:ascii="Calibri" w:hAnsi="Calibri" w:cs="Arial"/>
                      <w:color w:val="000000"/>
                      <w:sz w:val="22"/>
                      <w:szCs w:val="22"/>
                    </w:rPr>
                    <w:t xml:space="preserve">Research and education attract grants that generate local employment opportunities </w:t>
                  </w:r>
                </w:p>
              </w:txbxContent>
            </v:textbox>
          </v:shape>
        </w:pict>
      </w: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Default="004C38EA" w:rsidP="005A389C">
      <w:pPr>
        <w:rPr>
          <w:rFonts w:ascii="Calibri" w:hAnsi="Calibri"/>
        </w:rPr>
      </w:pPr>
    </w:p>
    <w:p w:rsidR="004C38EA" w:rsidRPr="00036BE6" w:rsidRDefault="004C38EA" w:rsidP="005A389C">
      <w:pPr>
        <w:rPr>
          <w:rFonts w:ascii="Calibri" w:hAnsi="Calibri"/>
        </w:rPr>
      </w:pPr>
      <w:r w:rsidRPr="00036BE6">
        <w:rPr>
          <w:rFonts w:ascii="Calibri" w:hAnsi="Calibri"/>
        </w:rPr>
        <w:t>While many of these impacts are difficult to quantify, they are important factors to recognize in reviewing the importance of Graduate Medical Education in the Commonwealth.</w:t>
      </w:r>
    </w:p>
    <w:p w:rsidR="004C38EA" w:rsidRPr="00036BE6" w:rsidRDefault="004C38EA" w:rsidP="005A389C">
      <w:pPr>
        <w:rPr>
          <w:rFonts w:ascii="Calibri" w:hAnsi="Calibri"/>
        </w:rPr>
      </w:pPr>
    </w:p>
    <w:p w:rsidR="004C38EA" w:rsidRPr="00036BE6" w:rsidRDefault="004C38EA" w:rsidP="005A389C">
      <w:pPr>
        <w:rPr>
          <w:rFonts w:ascii="Calibri" w:hAnsi="Calibri"/>
        </w:rPr>
      </w:pPr>
      <w:r>
        <w:rPr>
          <w:rFonts w:ascii="Calibri" w:hAnsi="Calibri"/>
        </w:rPr>
        <w:br w:type="page"/>
      </w:r>
    </w:p>
    <w:p w:rsidR="004C38EA" w:rsidRPr="009C7DAA" w:rsidRDefault="004C38EA" w:rsidP="00263F9A">
      <w:pPr>
        <w:pStyle w:val="Heading1"/>
      </w:pPr>
      <w:bookmarkStart w:id="7" w:name="_Toc363134027"/>
      <w:r>
        <w:t>Approaches taken by other states</w:t>
      </w:r>
      <w:bookmarkEnd w:id="7"/>
    </w:p>
    <w:p w:rsidR="004C38EA" w:rsidRPr="00036BE6" w:rsidRDefault="004C38EA" w:rsidP="005A389C">
      <w:pPr>
        <w:rPr>
          <w:rFonts w:ascii="Calibri" w:hAnsi="Calibri" w:cs="Arial"/>
          <w:i/>
          <w:lang w:eastAsia="en-US"/>
        </w:rPr>
      </w:pPr>
    </w:p>
    <w:p w:rsidR="004C38EA" w:rsidRPr="00036BE6" w:rsidRDefault="004C38EA" w:rsidP="008F6568">
      <w:pPr>
        <w:rPr>
          <w:rFonts w:ascii="Calibri" w:hAnsi="Calibri" w:cs="Arial"/>
          <w:lang w:eastAsia="en-US"/>
        </w:rPr>
      </w:pPr>
      <w:r>
        <w:rPr>
          <w:rFonts w:ascii="Calibri" w:hAnsi="Calibri" w:cs="Arial"/>
          <w:lang w:eastAsia="en-US"/>
        </w:rPr>
        <w:t xml:space="preserve">To better understand different states’ approaches to GME, the Commission reviewed the </w:t>
      </w:r>
      <w:r w:rsidRPr="00036BE6">
        <w:rPr>
          <w:rFonts w:ascii="Calibri" w:hAnsi="Calibri" w:cs="Arial"/>
          <w:lang w:eastAsia="en-US"/>
        </w:rPr>
        <w:t>Association of American Medical Colleges</w:t>
      </w:r>
      <w:r>
        <w:rPr>
          <w:rFonts w:ascii="Calibri" w:hAnsi="Calibri" w:cs="Arial"/>
          <w:lang w:eastAsia="en-US"/>
        </w:rPr>
        <w:t>’</w:t>
      </w:r>
      <w:r w:rsidRPr="00036BE6">
        <w:rPr>
          <w:rFonts w:ascii="Calibri" w:hAnsi="Calibri" w:cs="Arial"/>
          <w:lang w:eastAsia="en-US"/>
        </w:rPr>
        <w:t xml:space="preserve"> (AAMC) </w:t>
      </w:r>
      <w:r>
        <w:rPr>
          <w:rFonts w:ascii="Calibri" w:hAnsi="Calibri" w:cs="Arial"/>
          <w:lang w:eastAsia="en-US"/>
        </w:rPr>
        <w:t xml:space="preserve">50-state </w:t>
      </w:r>
      <w:r w:rsidRPr="00036BE6">
        <w:rPr>
          <w:rFonts w:ascii="Calibri" w:hAnsi="Calibri" w:cs="Arial"/>
          <w:lang w:eastAsia="en-US"/>
        </w:rPr>
        <w:t>survey</w:t>
      </w:r>
      <w:r>
        <w:rPr>
          <w:rFonts w:ascii="Calibri" w:hAnsi="Calibri" w:cs="Arial"/>
          <w:lang w:eastAsia="en-US"/>
        </w:rPr>
        <w:t>.</w:t>
      </w:r>
      <w:r>
        <w:rPr>
          <w:rStyle w:val="FootnoteReference"/>
          <w:rFonts w:ascii="Calibri" w:hAnsi="Calibri"/>
          <w:lang w:eastAsia="en-US"/>
        </w:rPr>
        <w:footnoteReference w:id="31"/>
      </w:r>
      <w:r>
        <w:rPr>
          <w:rFonts w:ascii="Calibri" w:hAnsi="Calibri" w:cs="Arial"/>
          <w:lang w:eastAsia="en-US"/>
        </w:rPr>
        <w:t xml:space="preserve"> This survey asks states to report on the types of GME funding provided, through Medicaid or other programs. </w:t>
      </w:r>
      <w:r w:rsidRPr="00036BE6">
        <w:rPr>
          <w:rFonts w:ascii="Calibri" w:hAnsi="Calibri" w:cs="Arial"/>
          <w:lang w:eastAsia="en-US"/>
        </w:rPr>
        <w:t xml:space="preserve">The Commission reviewed the report to gauge Medicaid GME spending around the nation. </w:t>
      </w:r>
    </w:p>
    <w:p w:rsidR="004C38EA" w:rsidRPr="00036BE6" w:rsidRDefault="004C38EA" w:rsidP="008F6568">
      <w:pPr>
        <w:rPr>
          <w:rFonts w:ascii="Calibri" w:hAnsi="Calibri" w:cs="Arial"/>
          <w:lang w:eastAsia="en-US"/>
        </w:rPr>
      </w:pPr>
    </w:p>
    <w:p w:rsidR="004C38EA" w:rsidRDefault="004C38EA" w:rsidP="008F6568">
      <w:pPr>
        <w:rPr>
          <w:rFonts w:ascii="Calibri" w:hAnsi="Calibri" w:cs="Arial"/>
          <w:lang w:eastAsia="en-US"/>
        </w:rPr>
      </w:pPr>
      <w:r w:rsidRPr="00772F2E">
        <w:rPr>
          <w:rFonts w:ascii="Calibri" w:hAnsi="Calibri" w:cs="Arial"/>
          <w:lang w:eastAsia="en-US"/>
        </w:rPr>
        <w:t>In 2012</w:t>
      </w:r>
      <w:r>
        <w:rPr>
          <w:rFonts w:ascii="Calibri" w:hAnsi="Calibri" w:cs="Arial"/>
          <w:lang w:eastAsia="en-US"/>
        </w:rPr>
        <w:t>, f</w:t>
      </w:r>
      <w:r w:rsidRPr="00036BE6">
        <w:rPr>
          <w:rFonts w:ascii="Calibri" w:hAnsi="Calibri" w:cs="Arial"/>
          <w:lang w:eastAsia="en-US"/>
        </w:rPr>
        <w:t xml:space="preserve">orty-two states </w:t>
      </w:r>
      <w:r>
        <w:rPr>
          <w:rFonts w:ascii="Calibri" w:hAnsi="Calibri" w:cs="Arial"/>
          <w:lang w:eastAsia="en-US"/>
        </w:rPr>
        <w:t xml:space="preserve">and the District of Columbia provided funding for GME through their </w:t>
      </w:r>
      <w:r w:rsidRPr="00036BE6">
        <w:rPr>
          <w:rFonts w:ascii="Calibri" w:hAnsi="Calibri" w:cs="Arial"/>
          <w:lang w:eastAsia="en-US"/>
        </w:rPr>
        <w:t>Medicaid</w:t>
      </w:r>
      <w:r>
        <w:rPr>
          <w:rFonts w:ascii="Calibri" w:hAnsi="Calibri" w:cs="Arial"/>
          <w:lang w:eastAsia="en-US"/>
        </w:rPr>
        <w:t xml:space="preserve"> program</w:t>
      </w:r>
      <w:r w:rsidRPr="00036BE6">
        <w:rPr>
          <w:rFonts w:ascii="Calibri" w:hAnsi="Calibri" w:cs="Arial"/>
          <w:lang w:eastAsia="en-US"/>
        </w:rPr>
        <w:t xml:space="preserve">. Of these, forty states </w:t>
      </w:r>
      <w:r>
        <w:rPr>
          <w:rFonts w:ascii="Calibri" w:hAnsi="Calibri" w:cs="Arial"/>
          <w:lang w:eastAsia="en-US"/>
        </w:rPr>
        <w:t xml:space="preserve">and the District of Columbia </w:t>
      </w:r>
      <w:r w:rsidRPr="00036BE6">
        <w:rPr>
          <w:rFonts w:ascii="Calibri" w:hAnsi="Calibri" w:cs="Arial"/>
          <w:lang w:eastAsia="en-US"/>
        </w:rPr>
        <w:t>fund GME under their fee-for-service programs with twelve states using payment calculation methods similar to Medicare. The remaining twenty-eight</w:t>
      </w:r>
      <w:r>
        <w:rPr>
          <w:rFonts w:ascii="Calibri" w:hAnsi="Calibri" w:cs="Arial"/>
          <w:lang w:eastAsia="en-US"/>
        </w:rPr>
        <w:t xml:space="preserve"> states</w:t>
      </w:r>
      <w:r w:rsidRPr="00036BE6">
        <w:rPr>
          <w:rFonts w:ascii="Calibri" w:hAnsi="Calibri" w:cs="Arial"/>
          <w:lang w:eastAsia="en-US"/>
        </w:rPr>
        <w:t xml:space="preserve"> </w:t>
      </w:r>
      <w:r>
        <w:rPr>
          <w:rFonts w:ascii="Calibri" w:hAnsi="Calibri" w:cs="Arial"/>
          <w:lang w:eastAsia="en-US"/>
        </w:rPr>
        <w:t xml:space="preserve">(and the District of Columbia) </w:t>
      </w:r>
      <w:r w:rsidRPr="00036BE6">
        <w:rPr>
          <w:rFonts w:ascii="Calibri" w:hAnsi="Calibri" w:cs="Arial"/>
          <w:lang w:eastAsia="en-US"/>
        </w:rPr>
        <w:t>use methods that differ from Medicare</w:t>
      </w:r>
      <w:r>
        <w:rPr>
          <w:rFonts w:ascii="Calibri" w:hAnsi="Calibri" w:cs="Arial"/>
          <w:lang w:eastAsia="en-US"/>
        </w:rPr>
        <w:t xml:space="preserve">. Examples of the different methods employed by states </w:t>
      </w:r>
      <w:r w:rsidRPr="00036BE6">
        <w:rPr>
          <w:rFonts w:ascii="Calibri" w:hAnsi="Calibri" w:cs="Arial"/>
          <w:lang w:eastAsia="en-US"/>
        </w:rPr>
        <w:t>include a per-resident method based on the teaching hospital’s share of total Medicaid revenues, costs or volume (</w:t>
      </w:r>
      <w:r>
        <w:rPr>
          <w:rFonts w:ascii="Calibri" w:hAnsi="Calibri" w:cs="Arial"/>
          <w:lang w:eastAsia="en-US"/>
        </w:rPr>
        <w:t>six</w:t>
      </w:r>
      <w:r w:rsidRPr="00036BE6">
        <w:rPr>
          <w:rFonts w:ascii="Calibri" w:hAnsi="Calibri" w:cs="Arial"/>
          <w:lang w:eastAsia="en-US"/>
        </w:rPr>
        <w:t xml:space="preserve"> states)</w:t>
      </w:r>
      <w:r>
        <w:rPr>
          <w:rFonts w:ascii="Calibri" w:hAnsi="Calibri" w:cs="Arial"/>
          <w:lang w:eastAsia="en-US"/>
        </w:rPr>
        <w:t xml:space="preserve"> </w:t>
      </w:r>
      <w:r w:rsidRPr="00036BE6">
        <w:rPr>
          <w:rFonts w:ascii="Calibri" w:hAnsi="Calibri" w:cs="Arial"/>
          <w:lang w:eastAsia="en-US"/>
        </w:rPr>
        <w:t>a modified Medicare methodology (</w:t>
      </w:r>
      <w:r>
        <w:rPr>
          <w:rFonts w:ascii="Calibri" w:hAnsi="Calibri" w:cs="Arial"/>
          <w:lang w:eastAsia="en-US"/>
        </w:rPr>
        <w:t xml:space="preserve">three </w:t>
      </w:r>
      <w:r w:rsidRPr="00036BE6">
        <w:rPr>
          <w:rFonts w:ascii="Calibri" w:hAnsi="Calibri" w:cs="Arial"/>
          <w:lang w:eastAsia="en-US"/>
        </w:rPr>
        <w:t>states) and a lump sum amount (</w:t>
      </w:r>
      <w:r>
        <w:rPr>
          <w:rFonts w:ascii="Calibri" w:hAnsi="Calibri" w:cs="Arial"/>
          <w:lang w:eastAsia="en-US"/>
        </w:rPr>
        <w:t>three</w:t>
      </w:r>
      <w:r w:rsidRPr="00036BE6">
        <w:rPr>
          <w:rFonts w:ascii="Calibri" w:hAnsi="Calibri" w:cs="Arial"/>
          <w:lang w:eastAsia="en-US"/>
        </w:rPr>
        <w:t xml:space="preserve"> states)</w:t>
      </w:r>
      <w:r>
        <w:rPr>
          <w:rFonts w:ascii="Calibri" w:hAnsi="Calibri" w:cs="Arial"/>
          <w:lang w:eastAsia="en-US"/>
        </w:rPr>
        <w:t xml:space="preserve">. An additional three states make their payments to teaching hospitals using a state subsidy approved through state appropriations. </w:t>
      </w:r>
    </w:p>
    <w:p w:rsidR="004C38EA" w:rsidRDefault="004C38EA" w:rsidP="008F6568">
      <w:pPr>
        <w:rPr>
          <w:rFonts w:ascii="Calibri" w:hAnsi="Calibri" w:cs="Arial"/>
          <w:lang w:eastAsia="en-US"/>
        </w:rPr>
      </w:pPr>
    </w:p>
    <w:p w:rsidR="004C38EA" w:rsidRPr="00036BE6" w:rsidRDefault="004C38EA" w:rsidP="008F6568">
      <w:pPr>
        <w:rPr>
          <w:rFonts w:ascii="Calibri" w:hAnsi="Calibri" w:cs="Arial"/>
          <w:lang w:eastAsia="en-US"/>
        </w:rPr>
      </w:pPr>
      <w:r w:rsidRPr="00036BE6">
        <w:rPr>
          <w:rFonts w:ascii="Calibri" w:hAnsi="Calibri" w:cs="Arial"/>
          <w:lang w:eastAsia="en-US"/>
        </w:rPr>
        <w:t xml:space="preserve">Teaching hospitals are the primary training institution for most states. Four states </w:t>
      </w:r>
      <w:r>
        <w:rPr>
          <w:rFonts w:ascii="Calibri" w:hAnsi="Calibri" w:cs="Arial"/>
          <w:lang w:eastAsia="en-US"/>
        </w:rPr>
        <w:t xml:space="preserve">stated that they provided Medicaid </w:t>
      </w:r>
      <w:r w:rsidRPr="00036BE6">
        <w:rPr>
          <w:rFonts w:ascii="Calibri" w:hAnsi="Calibri" w:cs="Arial"/>
          <w:lang w:eastAsia="en-US"/>
        </w:rPr>
        <w:t>funding to non-hospital based teaching sites (K</w:t>
      </w:r>
      <w:r>
        <w:rPr>
          <w:rFonts w:ascii="Calibri" w:hAnsi="Calibri" w:cs="Arial"/>
          <w:lang w:eastAsia="en-US"/>
        </w:rPr>
        <w:t>ansas</w:t>
      </w:r>
      <w:r w:rsidRPr="00036BE6">
        <w:rPr>
          <w:rFonts w:ascii="Calibri" w:hAnsi="Calibri" w:cs="Arial"/>
          <w:lang w:eastAsia="en-US"/>
        </w:rPr>
        <w:t>, M</w:t>
      </w:r>
      <w:r>
        <w:rPr>
          <w:rFonts w:ascii="Calibri" w:hAnsi="Calibri" w:cs="Arial"/>
          <w:lang w:eastAsia="en-US"/>
        </w:rPr>
        <w:t>innesota</w:t>
      </w:r>
      <w:r w:rsidRPr="00036BE6">
        <w:rPr>
          <w:rFonts w:ascii="Calibri" w:hAnsi="Calibri" w:cs="Arial"/>
          <w:lang w:eastAsia="en-US"/>
        </w:rPr>
        <w:t>, M</w:t>
      </w:r>
      <w:r>
        <w:rPr>
          <w:rFonts w:ascii="Calibri" w:hAnsi="Calibri" w:cs="Arial"/>
          <w:lang w:eastAsia="en-US"/>
        </w:rPr>
        <w:t>ississippi</w:t>
      </w:r>
      <w:r w:rsidRPr="00036BE6">
        <w:rPr>
          <w:rFonts w:ascii="Calibri" w:hAnsi="Calibri" w:cs="Arial"/>
          <w:lang w:eastAsia="en-US"/>
        </w:rPr>
        <w:t xml:space="preserve">, </w:t>
      </w:r>
      <w:r>
        <w:rPr>
          <w:rFonts w:ascii="Calibri" w:hAnsi="Calibri" w:cs="Arial"/>
          <w:lang w:eastAsia="en-US"/>
        </w:rPr>
        <w:t>and Virginia</w:t>
      </w:r>
      <w:r w:rsidRPr="00036BE6">
        <w:rPr>
          <w:rFonts w:ascii="Calibri" w:hAnsi="Calibri" w:cs="Arial"/>
          <w:lang w:eastAsia="en-US"/>
        </w:rPr>
        <w:t>). Three states give</w:t>
      </w:r>
      <w:r>
        <w:rPr>
          <w:rFonts w:ascii="Calibri" w:hAnsi="Calibri" w:cs="Arial"/>
          <w:lang w:eastAsia="en-US"/>
        </w:rPr>
        <w:t xml:space="preserve"> Medicaid</w:t>
      </w:r>
      <w:r w:rsidRPr="00036BE6">
        <w:rPr>
          <w:rFonts w:ascii="Calibri" w:hAnsi="Calibri" w:cs="Arial"/>
          <w:lang w:eastAsia="en-US"/>
        </w:rPr>
        <w:t xml:space="preserve"> funding to medical schools as well (O</w:t>
      </w:r>
      <w:r>
        <w:rPr>
          <w:rFonts w:ascii="Calibri" w:hAnsi="Calibri" w:cs="Arial"/>
          <w:lang w:eastAsia="en-US"/>
        </w:rPr>
        <w:t>klahoma, Tennessee, and Minnesota</w:t>
      </w:r>
      <w:r w:rsidRPr="00036BE6">
        <w:rPr>
          <w:rFonts w:ascii="Calibri" w:hAnsi="Calibri" w:cs="Arial"/>
          <w:lang w:eastAsia="en-US"/>
        </w:rPr>
        <w:t>). Twelve states allow or require funding for non-physician trainees, including nine that explicitly included graduate nursing programs.</w:t>
      </w:r>
    </w:p>
    <w:p w:rsidR="004C38EA" w:rsidRPr="00046616" w:rsidRDefault="004C38EA" w:rsidP="008F6568">
      <w:pPr>
        <w:rPr>
          <w:rFonts w:ascii="Calibri" w:hAnsi="Calibri" w:cs="Arial"/>
          <w:lang w:eastAsia="en-US"/>
        </w:rPr>
      </w:pPr>
    </w:p>
    <w:p w:rsidR="004C38EA" w:rsidRDefault="004C38EA" w:rsidP="008F6568">
      <w:pPr>
        <w:rPr>
          <w:rFonts w:ascii="Calibri" w:hAnsi="Calibri" w:cs="Arial"/>
          <w:lang w:eastAsia="en-US"/>
        </w:rPr>
      </w:pPr>
      <w:r w:rsidRPr="00046616">
        <w:rPr>
          <w:rFonts w:ascii="Calibri" w:hAnsi="Calibri" w:cs="Arial"/>
          <w:lang w:eastAsia="en-US"/>
        </w:rPr>
        <w:t>T</w:t>
      </w:r>
      <w:r>
        <w:rPr>
          <w:rFonts w:ascii="Calibri" w:hAnsi="Calibri" w:cs="Arial"/>
          <w:lang w:eastAsia="en-US"/>
        </w:rPr>
        <w:t xml:space="preserve">o better understand states’ approaches to GME, staff from the Executive Office of Health and Human services </w:t>
      </w:r>
      <w:r w:rsidRPr="00046616">
        <w:rPr>
          <w:rFonts w:ascii="Calibri" w:hAnsi="Calibri" w:cs="Arial"/>
          <w:lang w:eastAsia="en-US"/>
        </w:rPr>
        <w:t xml:space="preserve">conducted </w:t>
      </w:r>
      <w:r>
        <w:rPr>
          <w:rFonts w:ascii="Calibri" w:hAnsi="Calibri" w:cs="Arial"/>
          <w:lang w:eastAsia="en-US"/>
        </w:rPr>
        <w:t xml:space="preserve">phone </w:t>
      </w:r>
      <w:r w:rsidRPr="00046616">
        <w:rPr>
          <w:rFonts w:ascii="Calibri" w:hAnsi="Calibri" w:cs="Arial"/>
          <w:lang w:eastAsia="en-US"/>
        </w:rPr>
        <w:t xml:space="preserve">interviews with staff from several states. Five states were chosen for interviews and four of those states responded to the interview request. The states were </w:t>
      </w:r>
      <w:r>
        <w:rPr>
          <w:rFonts w:ascii="Calibri" w:hAnsi="Calibri" w:cs="Arial"/>
          <w:lang w:eastAsia="en-US"/>
        </w:rPr>
        <w:t xml:space="preserve">selected for </w:t>
      </w:r>
      <w:r w:rsidRPr="00046616">
        <w:rPr>
          <w:rFonts w:ascii="Calibri" w:hAnsi="Calibri" w:cs="Arial"/>
          <w:lang w:eastAsia="en-US"/>
        </w:rPr>
        <w:t>the diversity of their GME funding mechanisms</w:t>
      </w:r>
      <w:r>
        <w:rPr>
          <w:rFonts w:ascii="Calibri" w:hAnsi="Calibri" w:cs="Arial"/>
          <w:lang w:eastAsia="en-US"/>
        </w:rPr>
        <w:t xml:space="preserve">, </w:t>
      </w:r>
      <w:r w:rsidRPr="00046616">
        <w:rPr>
          <w:rFonts w:ascii="Calibri" w:hAnsi="Calibri" w:cs="Arial"/>
          <w:lang w:eastAsia="en-US"/>
        </w:rPr>
        <w:t>based upon examination of the AAMC 50-State Survey</w:t>
      </w:r>
      <w:r>
        <w:rPr>
          <w:rFonts w:ascii="Calibri" w:hAnsi="Calibri" w:cs="Arial"/>
          <w:lang w:eastAsia="en-US"/>
        </w:rPr>
        <w:t xml:space="preserve"> and interviews with experts in the field. Interviews were conducted with </w:t>
      </w:r>
      <w:r w:rsidRPr="00046616">
        <w:rPr>
          <w:rFonts w:ascii="Calibri" w:hAnsi="Calibri" w:cs="Arial"/>
          <w:lang w:eastAsia="en-US"/>
        </w:rPr>
        <w:t xml:space="preserve">Minnesota, New York, Oklahoma and Texas. </w:t>
      </w:r>
      <w:r>
        <w:rPr>
          <w:rFonts w:ascii="Calibri" w:hAnsi="Calibri" w:cs="Arial"/>
          <w:lang w:eastAsia="en-US"/>
        </w:rPr>
        <w:t>Characteristics of these states, compared to Massachusetts, are shown in the tables below.</w:t>
      </w:r>
    </w:p>
    <w:p w:rsidR="004C38EA" w:rsidRPr="00046616" w:rsidRDefault="004C38EA" w:rsidP="008F6568">
      <w:pPr>
        <w:rPr>
          <w:rFonts w:ascii="Calibri" w:hAnsi="Calibri"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488"/>
        <w:gridCol w:w="1292"/>
        <w:gridCol w:w="1800"/>
        <w:gridCol w:w="1800"/>
      </w:tblGrid>
      <w:tr w:rsidR="004C38EA" w:rsidRPr="00046616" w:rsidTr="00C26CF2">
        <w:trPr>
          <w:jc w:val="center"/>
        </w:trPr>
        <w:tc>
          <w:tcPr>
            <w:tcW w:w="824" w:type="dxa"/>
          </w:tcPr>
          <w:p w:rsidR="004C38EA" w:rsidRPr="00046616" w:rsidRDefault="004C38EA" w:rsidP="008F6568">
            <w:pPr>
              <w:rPr>
                <w:rFonts w:ascii="Calibri" w:hAnsi="Calibri" w:cs="Arial"/>
                <w:b/>
                <w:lang w:eastAsia="en-US"/>
              </w:rPr>
            </w:pPr>
            <w:r w:rsidRPr="00046616">
              <w:rPr>
                <w:rFonts w:ascii="Calibri" w:hAnsi="Calibri" w:cs="Arial"/>
                <w:b/>
                <w:lang w:eastAsia="en-US"/>
              </w:rPr>
              <w:t>State</w:t>
            </w:r>
          </w:p>
        </w:tc>
        <w:tc>
          <w:tcPr>
            <w:tcW w:w="1488" w:type="dxa"/>
          </w:tcPr>
          <w:p w:rsidR="004C38EA" w:rsidRPr="00046616" w:rsidRDefault="004C38EA" w:rsidP="008F6568">
            <w:pPr>
              <w:rPr>
                <w:rFonts w:ascii="Calibri" w:hAnsi="Calibri" w:cs="Arial"/>
                <w:b/>
                <w:lang w:eastAsia="en-US"/>
              </w:rPr>
            </w:pPr>
            <w:r w:rsidRPr="00046616">
              <w:rPr>
                <w:rFonts w:ascii="Calibri" w:hAnsi="Calibri" w:cs="Arial"/>
                <w:b/>
                <w:lang w:eastAsia="en-US"/>
              </w:rPr>
              <w:t>Population</w:t>
            </w:r>
          </w:p>
        </w:tc>
        <w:tc>
          <w:tcPr>
            <w:tcW w:w="1292" w:type="dxa"/>
          </w:tcPr>
          <w:p w:rsidR="004C38EA" w:rsidRPr="00046616" w:rsidRDefault="004C38EA" w:rsidP="008F6568">
            <w:pPr>
              <w:rPr>
                <w:rFonts w:ascii="Calibri" w:hAnsi="Calibri" w:cs="Arial"/>
                <w:b/>
                <w:lang w:eastAsia="en-US"/>
              </w:rPr>
            </w:pPr>
            <w:r w:rsidRPr="00046616">
              <w:rPr>
                <w:rFonts w:ascii="Calibri" w:hAnsi="Calibri" w:cs="Arial"/>
                <w:b/>
                <w:lang w:eastAsia="en-US"/>
              </w:rPr>
              <w:t>Residents</w:t>
            </w:r>
          </w:p>
        </w:tc>
        <w:tc>
          <w:tcPr>
            <w:tcW w:w="1800" w:type="dxa"/>
          </w:tcPr>
          <w:p w:rsidR="004C38EA" w:rsidRPr="00046616" w:rsidRDefault="004C38EA" w:rsidP="008F6568">
            <w:pPr>
              <w:rPr>
                <w:rFonts w:ascii="Calibri" w:hAnsi="Calibri" w:cs="Arial"/>
                <w:b/>
                <w:lang w:eastAsia="en-US"/>
              </w:rPr>
            </w:pPr>
            <w:r w:rsidRPr="00046616">
              <w:rPr>
                <w:rFonts w:ascii="Calibri" w:hAnsi="Calibri" w:cs="Arial"/>
                <w:b/>
                <w:lang w:eastAsia="en-US"/>
              </w:rPr>
              <w:t>Residents/ 100,000</w:t>
            </w:r>
          </w:p>
        </w:tc>
        <w:tc>
          <w:tcPr>
            <w:tcW w:w="1800" w:type="dxa"/>
          </w:tcPr>
          <w:p w:rsidR="004C38EA" w:rsidRPr="00046616" w:rsidRDefault="004C38EA" w:rsidP="008F6568">
            <w:pPr>
              <w:rPr>
                <w:rFonts w:ascii="Calibri" w:hAnsi="Calibri" w:cs="Arial"/>
                <w:b/>
                <w:lang w:eastAsia="en-US"/>
              </w:rPr>
            </w:pPr>
            <w:r w:rsidRPr="00046616">
              <w:rPr>
                <w:rFonts w:ascii="Calibri" w:hAnsi="Calibri" w:cs="Arial"/>
                <w:b/>
                <w:lang w:eastAsia="en-US"/>
              </w:rPr>
              <w:t># of sponsoring institutions</w:t>
            </w:r>
          </w:p>
        </w:tc>
      </w:tr>
      <w:tr w:rsidR="004C38EA" w:rsidRPr="00046616" w:rsidTr="00C26CF2">
        <w:trPr>
          <w:jc w:val="center"/>
        </w:trPr>
        <w:tc>
          <w:tcPr>
            <w:tcW w:w="824" w:type="dxa"/>
          </w:tcPr>
          <w:p w:rsidR="004C38EA" w:rsidRPr="00046616" w:rsidRDefault="004C38EA" w:rsidP="008F6568">
            <w:pPr>
              <w:rPr>
                <w:rFonts w:ascii="Calibri" w:hAnsi="Calibri" w:cs="Arial"/>
                <w:lang w:eastAsia="en-US"/>
              </w:rPr>
            </w:pPr>
            <w:r w:rsidRPr="00046616">
              <w:rPr>
                <w:rFonts w:ascii="Calibri" w:hAnsi="Calibri" w:cs="Arial"/>
                <w:lang w:eastAsia="en-US"/>
              </w:rPr>
              <w:t>MA</w:t>
            </w:r>
          </w:p>
        </w:tc>
        <w:tc>
          <w:tcPr>
            <w:tcW w:w="1488"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6.6 million</w:t>
            </w:r>
          </w:p>
        </w:tc>
        <w:tc>
          <w:tcPr>
            <w:tcW w:w="1292"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5,414</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82.2</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25</w:t>
            </w:r>
          </w:p>
        </w:tc>
      </w:tr>
      <w:tr w:rsidR="004C38EA" w:rsidRPr="00046616" w:rsidTr="00C26CF2">
        <w:trPr>
          <w:jc w:val="center"/>
        </w:trPr>
        <w:tc>
          <w:tcPr>
            <w:tcW w:w="824" w:type="dxa"/>
          </w:tcPr>
          <w:p w:rsidR="004C38EA" w:rsidRPr="00046616" w:rsidRDefault="004C38EA" w:rsidP="008F6568">
            <w:pPr>
              <w:rPr>
                <w:rFonts w:ascii="Calibri" w:hAnsi="Calibri" w:cs="Arial"/>
                <w:lang w:eastAsia="en-US"/>
              </w:rPr>
            </w:pPr>
            <w:r w:rsidRPr="00046616">
              <w:rPr>
                <w:rFonts w:ascii="Calibri" w:hAnsi="Calibri" w:cs="Arial"/>
                <w:lang w:eastAsia="en-US"/>
              </w:rPr>
              <w:t>MN</w:t>
            </w:r>
          </w:p>
        </w:tc>
        <w:tc>
          <w:tcPr>
            <w:tcW w:w="1488"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5.3 million</w:t>
            </w:r>
          </w:p>
        </w:tc>
        <w:tc>
          <w:tcPr>
            <w:tcW w:w="1292"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2,183</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40.8</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10</w:t>
            </w:r>
          </w:p>
        </w:tc>
      </w:tr>
      <w:tr w:rsidR="004C38EA" w:rsidRPr="00046616" w:rsidTr="00C26CF2">
        <w:trPr>
          <w:jc w:val="center"/>
        </w:trPr>
        <w:tc>
          <w:tcPr>
            <w:tcW w:w="824" w:type="dxa"/>
          </w:tcPr>
          <w:p w:rsidR="004C38EA" w:rsidRPr="00046616" w:rsidRDefault="004C38EA" w:rsidP="008F6568">
            <w:pPr>
              <w:rPr>
                <w:rFonts w:ascii="Calibri" w:hAnsi="Calibri" w:cs="Arial"/>
                <w:lang w:eastAsia="en-US"/>
              </w:rPr>
            </w:pPr>
            <w:r w:rsidRPr="00046616">
              <w:rPr>
                <w:rFonts w:ascii="Calibri" w:hAnsi="Calibri" w:cs="Arial"/>
                <w:lang w:eastAsia="en-US"/>
              </w:rPr>
              <w:t>NY</w:t>
            </w:r>
          </w:p>
        </w:tc>
        <w:tc>
          <w:tcPr>
            <w:tcW w:w="1488"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19.5 million</w:t>
            </w:r>
          </w:p>
        </w:tc>
        <w:tc>
          <w:tcPr>
            <w:tcW w:w="1292"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15,989</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82.1</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58</w:t>
            </w:r>
          </w:p>
        </w:tc>
      </w:tr>
      <w:tr w:rsidR="004C38EA" w:rsidRPr="00046616" w:rsidTr="00C26CF2">
        <w:trPr>
          <w:jc w:val="center"/>
        </w:trPr>
        <w:tc>
          <w:tcPr>
            <w:tcW w:w="824" w:type="dxa"/>
          </w:tcPr>
          <w:p w:rsidR="004C38EA" w:rsidRPr="00046616" w:rsidRDefault="004C38EA" w:rsidP="008F6568">
            <w:pPr>
              <w:rPr>
                <w:rFonts w:ascii="Calibri" w:hAnsi="Calibri" w:cs="Arial"/>
                <w:lang w:eastAsia="en-US"/>
              </w:rPr>
            </w:pPr>
            <w:r w:rsidRPr="00046616">
              <w:rPr>
                <w:rFonts w:ascii="Calibri" w:hAnsi="Calibri" w:cs="Arial"/>
                <w:lang w:eastAsia="en-US"/>
              </w:rPr>
              <w:t>OK</w:t>
            </w:r>
          </w:p>
        </w:tc>
        <w:tc>
          <w:tcPr>
            <w:tcW w:w="1488"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3.8 million</w:t>
            </w:r>
          </w:p>
        </w:tc>
        <w:tc>
          <w:tcPr>
            <w:tcW w:w="1292"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810</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21.4</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7</w:t>
            </w:r>
          </w:p>
        </w:tc>
      </w:tr>
      <w:tr w:rsidR="004C38EA" w:rsidRPr="00046616" w:rsidTr="00C26CF2">
        <w:trPr>
          <w:jc w:val="center"/>
        </w:trPr>
        <w:tc>
          <w:tcPr>
            <w:tcW w:w="824" w:type="dxa"/>
          </w:tcPr>
          <w:p w:rsidR="004C38EA" w:rsidRPr="00046616" w:rsidRDefault="004C38EA" w:rsidP="008F6568">
            <w:pPr>
              <w:rPr>
                <w:rFonts w:ascii="Calibri" w:hAnsi="Calibri" w:cs="Arial"/>
                <w:lang w:eastAsia="en-US"/>
              </w:rPr>
            </w:pPr>
            <w:r w:rsidRPr="00046616">
              <w:rPr>
                <w:rFonts w:ascii="Calibri" w:hAnsi="Calibri" w:cs="Arial"/>
                <w:lang w:eastAsia="en-US"/>
              </w:rPr>
              <w:t>TX</w:t>
            </w:r>
          </w:p>
        </w:tc>
        <w:tc>
          <w:tcPr>
            <w:tcW w:w="1488"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25.7 million</w:t>
            </w:r>
          </w:p>
        </w:tc>
        <w:tc>
          <w:tcPr>
            <w:tcW w:w="1292"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7,395</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28.8</w:t>
            </w:r>
          </w:p>
        </w:tc>
        <w:tc>
          <w:tcPr>
            <w:tcW w:w="1800" w:type="dxa"/>
          </w:tcPr>
          <w:p w:rsidR="004C38EA" w:rsidRPr="00046616" w:rsidRDefault="004C38EA" w:rsidP="00C26CF2">
            <w:pPr>
              <w:jc w:val="right"/>
              <w:rPr>
                <w:rFonts w:ascii="Calibri" w:hAnsi="Calibri" w:cs="Arial"/>
                <w:lang w:eastAsia="en-US"/>
              </w:rPr>
            </w:pPr>
            <w:r w:rsidRPr="00046616">
              <w:rPr>
                <w:rFonts w:ascii="Calibri" w:hAnsi="Calibri" w:cs="Arial"/>
                <w:lang w:eastAsia="en-US"/>
              </w:rPr>
              <w:t>38</w:t>
            </w:r>
          </w:p>
        </w:tc>
      </w:tr>
    </w:tbl>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p>
    <w:tbl>
      <w:tblPr>
        <w:tblW w:w="7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258"/>
        <w:gridCol w:w="3352"/>
      </w:tblGrid>
      <w:tr w:rsidR="004C38EA" w:rsidRPr="00046616" w:rsidTr="0093390D">
        <w:trPr>
          <w:jc w:val="center"/>
        </w:trPr>
        <w:tc>
          <w:tcPr>
            <w:tcW w:w="824" w:type="dxa"/>
          </w:tcPr>
          <w:p w:rsidR="004C38EA" w:rsidRPr="00046616" w:rsidRDefault="004C38EA" w:rsidP="000437E9">
            <w:pPr>
              <w:rPr>
                <w:rFonts w:ascii="Calibri" w:hAnsi="Calibri" w:cs="Arial"/>
                <w:b/>
                <w:lang w:eastAsia="en-US"/>
              </w:rPr>
            </w:pPr>
            <w:r w:rsidRPr="00046616">
              <w:rPr>
                <w:rFonts w:ascii="Calibri" w:hAnsi="Calibri" w:cs="Arial"/>
                <w:b/>
                <w:lang w:eastAsia="en-US"/>
              </w:rPr>
              <w:t>State</w:t>
            </w:r>
          </w:p>
        </w:tc>
        <w:tc>
          <w:tcPr>
            <w:tcW w:w="3258" w:type="dxa"/>
          </w:tcPr>
          <w:p w:rsidR="004C38EA" w:rsidRPr="00046616" w:rsidRDefault="004C38EA" w:rsidP="008F6568">
            <w:pPr>
              <w:rPr>
                <w:rFonts w:ascii="Calibri" w:hAnsi="Calibri" w:cs="Arial"/>
                <w:b/>
                <w:lang w:eastAsia="en-US"/>
              </w:rPr>
            </w:pPr>
            <w:r w:rsidRPr="00046616">
              <w:rPr>
                <w:rFonts w:ascii="Calibri" w:hAnsi="Calibri" w:cs="Arial"/>
                <w:b/>
                <w:lang w:eastAsia="en-US"/>
              </w:rPr>
              <w:t>Medicaid GME Payments (2012)</w:t>
            </w:r>
          </w:p>
        </w:tc>
        <w:tc>
          <w:tcPr>
            <w:tcW w:w="3352" w:type="dxa"/>
          </w:tcPr>
          <w:p w:rsidR="004C38EA" w:rsidRPr="00046616" w:rsidRDefault="004C38EA" w:rsidP="008F6568">
            <w:pPr>
              <w:rPr>
                <w:rFonts w:ascii="Calibri" w:hAnsi="Calibri" w:cs="Arial"/>
                <w:b/>
                <w:lang w:eastAsia="en-US"/>
              </w:rPr>
            </w:pPr>
            <w:r>
              <w:rPr>
                <w:rFonts w:ascii="Calibri" w:hAnsi="Calibri" w:cs="Arial"/>
                <w:b/>
                <w:lang w:eastAsia="en-US"/>
              </w:rPr>
              <w:t xml:space="preserve">Medicare GME Payments </w:t>
            </w:r>
          </w:p>
          <w:p w:rsidR="004C38EA" w:rsidRPr="00046616" w:rsidRDefault="004C38EA" w:rsidP="008F6568">
            <w:pPr>
              <w:rPr>
                <w:rFonts w:ascii="Calibri" w:hAnsi="Calibri" w:cs="Arial"/>
                <w:b/>
                <w:lang w:eastAsia="en-US"/>
              </w:rPr>
            </w:pPr>
            <w:r>
              <w:rPr>
                <w:rFonts w:ascii="Calibri" w:hAnsi="Calibri" w:cs="Arial"/>
                <w:b/>
                <w:lang w:eastAsia="en-US"/>
              </w:rPr>
              <w:t>(Total IME and D</w:t>
            </w:r>
            <w:r w:rsidRPr="00046616">
              <w:rPr>
                <w:rFonts w:ascii="Calibri" w:hAnsi="Calibri" w:cs="Arial"/>
                <w:b/>
                <w:lang w:eastAsia="en-US"/>
              </w:rPr>
              <w:t>ME Combined)</w:t>
            </w:r>
            <w:r>
              <w:rPr>
                <w:rFonts w:ascii="Calibri" w:hAnsi="Calibri" w:cs="Arial"/>
                <w:b/>
                <w:lang w:eastAsia="en-US"/>
              </w:rPr>
              <w:t xml:space="preserve"> (2011)</w:t>
            </w:r>
          </w:p>
        </w:tc>
      </w:tr>
      <w:tr w:rsidR="004C38EA" w:rsidRPr="00046616" w:rsidTr="0093390D">
        <w:trPr>
          <w:jc w:val="center"/>
        </w:trPr>
        <w:tc>
          <w:tcPr>
            <w:tcW w:w="824" w:type="dxa"/>
          </w:tcPr>
          <w:p w:rsidR="004C38EA" w:rsidRPr="00046616" w:rsidRDefault="004C38EA" w:rsidP="000437E9">
            <w:pPr>
              <w:rPr>
                <w:rFonts w:ascii="Calibri" w:hAnsi="Calibri" w:cs="Arial"/>
                <w:lang w:eastAsia="en-US"/>
              </w:rPr>
            </w:pPr>
            <w:r w:rsidRPr="00046616">
              <w:rPr>
                <w:rFonts w:ascii="Calibri" w:hAnsi="Calibri" w:cs="Arial"/>
                <w:lang w:eastAsia="en-US"/>
              </w:rPr>
              <w:t>MA</w:t>
            </w:r>
          </w:p>
        </w:tc>
        <w:tc>
          <w:tcPr>
            <w:tcW w:w="3258" w:type="dxa"/>
          </w:tcPr>
          <w:p w:rsidR="004C38EA" w:rsidRPr="00046616" w:rsidRDefault="004C38EA" w:rsidP="008F6568">
            <w:pPr>
              <w:rPr>
                <w:rFonts w:ascii="Calibri" w:hAnsi="Calibri" w:cs="Arial"/>
                <w:lang w:eastAsia="en-US"/>
              </w:rPr>
            </w:pPr>
            <w:r w:rsidRPr="00046616">
              <w:rPr>
                <w:rFonts w:ascii="Calibri" w:hAnsi="Calibri" w:cs="Arial"/>
                <w:lang w:eastAsia="en-US"/>
              </w:rPr>
              <w:t>n/a</w:t>
            </w:r>
          </w:p>
        </w:tc>
        <w:tc>
          <w:tcPr>
            <w:tcW w:w="3352" w:type="dxa"/>
          </w:tcPr>
          <w:p w:rsidR="004C38EA" w:rsidRPr="00046616" w:rsidRDefault="004C38EA" w:rsidP="008F6568">
            <w:pPr>
              <w:rPr>
                <w:rFonts w:ascii="Calibri" w:hAnsi="Calibri" w:cs="Arial"/>
                <w:lang w:eastAsia="en-US"/>
              </w:rPr>
            </w:pPr>
            <w:r w:rsidRPr="00046616">
              <w:rPr>
                <w:rFonts w:ascii="Calibri" w:hAnsi="Calibri" w:cs="Arial"/>
                <w:lang w:eastAsia="en-US"/>
              </w:rPr>
              <w:t>$597.8 million</w:t>
            </w:r>
          </w:p>
        </w:tc>
      </w:tr>
      <w:tr w:rsidR="004C38EA" w:rsidRPr="00046616" w:rsidTr="0093390D">
        <w:trPr>
          <w:jc w:val="center"/>
        </w:trPr>
        <w:tc>
          <w:tcPr>
            <w:tcW w:w="824" w:type="dxa"/>
          </w:tcPr>
          <w:p w:rsidR="004C38EA" w:rsidRPr="00046616" w:rsidRDefault="004C38EA" w:rsidP="000437E9">
            <w:pPr>
              <w:rPr>
                <w:rFonts w:ascii="Calibri" w:hAnsi="Calibri" w:cs="Arial"/>
                <w:lang w:eastAsia="en-US"/>
              </w:rPr>
            </w:pPr>
            <w:r w:rsidRPr="00046616">
              <w:rPr>
                <w:rFonts w:ascii="Calibri" w:hAnsi="Calibri" w:cs="Arial"/>
                <w:lang w:eastAsia="en-US"/>
              </w:rPr>
              <w:t>MN</w:t>
            </w:r>
          </w:p>
        </w:tc>
        <w:tc>
          <w:tcPr>
            <w:tcW w:w="3258" w:type="dxa"/>
          </w:tcPr>
          <w:p w:rsidR="004C38EA" w:rsidRPr="00046616" w:rsidRDefault="004C38EA" w:rsidP="008F6568">
            <w:pPr>
              <w:rPr>
                <w:rFonts w:ascii="Calibri" w:hAnsi="Calibri" w:cs="Arial"/>
                <w:lang w:eastAsia="en-US"/>
              </w:rPr>
            </w:pPr>
            <w:r w:rsidRPr="00046616">
              <w:rPr>
                <w:rFonts w:ascii="Calibri" w:hAnsi="Calibri" w:cs="Arial"/>
                <w:lang w:eastAsia="en-US"/>
              </w:rPr>
              <w:t>$40.1 million</w:t>
            </w:r>
          </w:p>
        </w:tc>
        <w:tc>
          <w:tcPr>
            <w:tcW w:w="3352" w:type="dxa"/>
          </w:tcPr>
          <w:p w:rsidR="004C38EA" w:rsidRPr="00046616" w:rsidRDefault="004C38EA" w:rsidP="008F6568">
            <w:pPr>
              <w:rPr>
                <w:rFonts w:ascii="Calibri" w:hAnsi="Calibri" w:cs="Arial"/>
                <w:lang w:eastAsia="en-US"/>
              </w:rPr>
            </w:pPr>
            <w:r w:rsidRPr="00046616">
              <w:rPr>
                <w:rFonts w:ascii="Calibri" w:hAnsi="Calibri" w:cs="Arial"/>
                <w:lang w:eastAsia="en-US"/>
              </w:rPr>
              <w:t>$165.4 million</w:t>
            </w:r>
          </w:p>
        </w:tc>
      </w:tr>
      <w:tr w:rsidR="004C38EA" w:rsidRPr="00046616" w:rsidTr="0093390D">
        <w:trPr>
          <w:jc w:val="center"/>
        </w:trPr>
        <w:tc>
          <w:tcPr>
            <w:tcW w:w="824" w:type="dxa"/>
          </w:tcPr>
          <w:p w:rsidR="004C38EA" w:rsidRPr="00046616" w:rsidRDefault="004C38EA" w:rsidP="000437E9">
            <w:pPr>
              <w:rPr>
                <w:rFonts w:ascii="Calibri" w:hAnsi="Calibri" w:cs="Arial"/>
                <w:lang w:eastAsia="en-US"/>
              </w:rPr>
            </w:pPr>
            <w:r w:rsidRPr="00046616">
              <w:rPr>
                <w:rFonts w:ascii="Calibri" w:hAnsi="Calibri" w:cs="Arial"/>
                <w:lang w:eastAsia="en-US"/>
              </w:rPr>
              <w:t>NY</w:t>
            </w:r>
          </w:p>
        </w:tc>
        <w:tc>
          <w:tcPr>
            <w:tcW w:w="3258" w:type="dxa"/>
          </w:tcPr>
          <w:p w:rsidR="004C38EA" w:rsidRPr="00046616" w:rsidRDefault="004C38EA" w:rsidP="008F6568">
            <w:pPr>
              <w:rPr>
                <w:rFonts w:ascii="Calibri" w:hAnsi="Calibri" w:cs="Arial"/>
                <w:lang w:eastAsia="en-US"/>
              </w:rPr>
            </w:pPr>
            <w:r w:rsidRPr="00046616">
              <w:rPr>
                <w:rFonts w:ascii="Calibri" w:hAnsi="Calibri" w:cs="Arial"/>
                <w:lang w:eastAsia="en-US"/>
              </w:rPr>
              <w:t>$1,815.0 million</w:t>
            </w:r>
          </w:p>
        </w:tc>
        <w:tc>
          <w:tcPr>
            <w:tcW w:w="3352" w:type="dxa"/>
          </w:tcPr>
          <w:p w:rsidR="004C38EA" w:rsidRPr="00046616" w:rsidRDefault="004C38EA" w:rsidP="008F6568">
            <w:pPr>
              <w:rPr>
                <w:rFonts w:ascii="Calibri" w:hAnsi="Calibri" w:cs="Arial"/>
                <w:lang w:eastAsia="en-US"/>
              </w:rPr>
            </w:pPr>
            <w:r w:rsidRPr="00046616">
              <w:rPr>
                <w:rFonts w:ascii="Calibri" w:hAnsi="Calibri" w:cs="Arial"/>
                <w:lang w:eastAsia="en-US"/>
              </w:rPr>
              <w:t>$2,028.5 million</w:t>
            </w:r>
          </w:p>
        </w:tc>
      </w:tr>
      <w:tr w:rsidR="004C38EA" w:rsidRPr="00046616" w:rsidTr="0093390D">
        <w:trPr>
          <w:jc w:val="center"/>
        </w:trPr>
        <w:tc>
          <w:tcPr>
            <w:tcW w:w="824" w:type="dxa"/>
          </w:tcPr>
          <w:p w:rsidR="004C38EA" w:rsidRPr="00046616" w:rsidRDefault="004C38EA" w:rsidP="000437E9">
            <w:pPr>
              <w:rPr>
                <w:rFonts w:ascii="Calibri" w:hAnsi="Calibri" w:cs="Arial"/>
                <w:lang w:eastAsia="en-US"/>
              </w:rPr>
            </w:pPr>
            <w:r w:rsidRPr="00046616">
              <w:rPr>
                <w:rFonts w:ascii="Calibri" w:hAnsi="Calibri" w:cs="Arial"/>
                <w:lang w:eastAsia="en-US"/>
              </w:rPr>
              <w:t>OK</w:t>
            </w:r>
          </w:p>
        </w:tc>
        <w:tc>
          <w:tcPr>
            <w:tcW w:w="3258" w:type="dxa"/>
          </w:tcPr>
          <w:p w:rsidR="004C38EA" w:rsidRPr="00046616" w:rsidRDefault="004C38EA" w:rsidP="008F6568">
            <w:pPr>
              <w:rPr>
                <w:rFonts w:ascii="Calibri" w:hAnsi="Calibri" w:cs="Arial"/>
                <w:lang w:eastAsia="en-US"/>
              </w:rPr>
            </w:pPr>
            <w:r w:rsidRPr="00046616">
              <w:rPr>
                <w:rFonts w:ascii="Calibri" w:hAnsi="Calibri" w:cs="Arial"/>
                <w:lang w:eastAsia="en-US"/>
              </w:rPr>
              <w:t>$73.4 million</w:t>
            </w:r>
          </w:p>
        </w:tc>
        <w:tc>
          <w:tcPr>
            <w:tcW w:w="3352" w:type="dxa"/>
          </w:tcPr>
          <w:p w:rsidR="004C38EA" w:rsidRPr="00046616" w:rsidRDefault="004C38EA" w:rsidP="008F6568">
            <w:pPr>
              <w:rPr>
                <w:rFonts w:ascii="Calibri" w:hAnsi="Calibri" w:cs="Arial"/>
                <w:lang w:eastAsia="en-US"/>
              </w:rPr>
            </w:pPr>
            <w:r w:rsidRPr="00046616">
              <w:rPr>
                <w:rFonts w:ascii="Calibri" w:hAnsi="Calibri" w:cs="Arial"/>
                <w:lang w:eastAsia="en-US"/>
              </w:rPr>
              <w:t>$53.8 million</w:t>
            </w:r>
          </w:p>
        </w:tc>
      </w:tr>
      <w:tr w:rsidR="004C38EA" w:rsidRPr="00046616" w:rsidTr="0093390D">
        <w:trPr>
          <w:jc w:val="center"/>
        </w:trPr>
        <w:tc>
          <w:tcPr>
            <w:tcW w:w="824" w:type="dxa"/>
          </w:tcPr>
          <w:p w:rsidR="004C38EA" w:rsidRPr="00046616" w:rsidRDefault="004C38EA" w:rsidP="000437E9">
            <w:pPr>
              <w:rPr>
                <w:rFonts w:ascii="Calibri" w:hAnsi="Calibri" w:cs="Arial"/>
                <w:lang w:eastAsia="en-US"/>
              </w:rPr>
            </w:pPr>
            <w:r w:rsidRPr="00046616">
              <w:rPr>
                <w:rFonts w:ascii="Calibri" w:hAnsi="Calibri" w:cs="Arial"/>
                <w:lang w:eastAsia="en-US"/>
              </w:rPr>
              <w:t>TX</w:t>
            </w:r>
          </w:p>
        </w:tc>
        <w:tc>
          <w:tcPr>
            <w:tcW w:w="3258" w:type="dxa"/>
          </w:tcPr>
          <w:p w:rsidR="004C38EA" w:rsidRPr="00046616" w:rsidRDefault="004C38EA" w:rsidP="008F6568">
            <w:pPr>
              <w:rPr>
                <w:rFonts w:ascii="Calibri" w:hAnsi="Calibri" w:cs="Arial"/>
                <w:lang w:eastAsia="en-US"/>
              </w:rPr>
            </w:pPr>
            <w:r w:rsidRPr="00046616">
              <w:rPr>
                <w:rFonts w:ascii="Calibri" w:hAnsi="Calibri" w:cs="Arial"/>
                <w:lang w:eastAsia="en-US"/>
              </w:rPr>
              <w:t>$32.0 million</w:t>
            </w:r>
          </w:p>
        </w:tc>
        <w:tc>
          <w:tcPr>
            <w:tcW w:w="3352" w:type="dxa"/>
          </w:tcPr>
          <w:p w:rsidR="004C38EA" w:rsidRPr="00046616" w:rsidRDefault="004C38EA" w:rsidP="008F6568">
            <w:pPr>
              <w:rPr>
                <w:rFonts w:ascii="Calibri" w:hAnsi="Calibri" w:cs="Arial"/>
                <w:lang w:eastAsia="en-US"/>
              </w:rPr>
            </w:pPr>
            <w:r w:rsidRPr="00046616">
              <w:rPr>
                <w:rFonts w:ascii="Calibri" w:hAnsi="Calibri" w:cs="Arial"/>
                <w:lang w:eastAsia="en-US"/>
              </w:rPr>
              <w:t>$296.9 million</w:t>
            </w:r>
          </w:p>
        </w:tc>
      </w:tr>
    </w:tbl>
    <w:p w:rsidR="004C38EA" w:rsidRPr="00046616" w:rsidRDefault="004C38EA" w:rsidP="008F6568">
      <w:pPr>
        <w:rPr>
          <w:rFonts w:ascii="Calibri" w:hAnsi="Calibri" w:cs="Arial"/>
          <w:lang w:eastAsia="en-US"/>
        </w:rPr>
      </w:pPr>
    </w:p>
    <w:p w:rsidR="004C38EA" w:rsidRPr="00046616" w:rsidRDefault="004C38EA" w:rsidP="00B03C96">
      <w:pPr>
        <w:rPr>
          <w:rFonts w:ascii="Calibri" w:hAnsi="Calibri" w:cs="Arial"/>
          <w:lang w:eastAsia="en-US"/>
        </w:rPr>
      </w:pPr>
      <w:r w:rsidRPr="00046616">
        <w:rPr>
          <w:rFonts w:ascii="Calibri" w:hAnsi="Calibri" w:cs="Arial"/>
          <w:lang w:eastAsia="en-US"/>
        </w:rPr>
        <w:t xml:space="preserve">The </w:t>
      </w:r>
      <w:r>
        <w:rPr>
          <w:rFonts w:ascii="Calibri" w:hAnsi="Calibri" w:cs="Arial"/>
          <w:lang w:eastAsia="en-US"/>
        </w:rPr>
        <w:t xml:space="preserve">state </w:t>
      </w:r>
      <w:r w:rsidRPr="00046616">
        <w:rPr>
          <w:rFonts w:ascii="Calibri" w:hAnsi="Calibri" w:cs="Arial"/>
          <w:lang w:eastAsia="en-US"/>
        </w:rPr>
        <w:t xml:space="preserve">interviews focused on the </w:t>
      </w:r>
      <w:r>
        <w:rPr>
          <w:rFonts w:ascii="Calibri" w:hAnsi="Calibri" w:cs="Arial"/>
          <w:lang w:eastAsia="en-US"/>
        </w:rPr>
        <w:t xml:space="preserve">governance structures for GME, </w:t>
      </w:r>
      <w:r w:rsidRPr="00046616">
        <w:rPr>
          <w:rFonts w:ascii="Calibri" w:hAnsi="Calibri" w:cs="Arial"/>
          <w:lang w:eastAsia="en-US"/>
        </w:rPr>
        <w:t xml:space="preserve">types of funding mechanisms used, the eligibility criteria for institutions to receive funding (i.e. hospitals, </w:t>
      </w:r>
      <w:r>
        <w:rPr>
          <w:rFonts w:ascii="Calibri" w:hAnsi="Calibri" w:cs="Arial"/>
          <w:lang w:eastAsia="en-US"/>
        </w:rPr>
        <w:t>training programs, or non-hospital clinical sites)</w:t>
      </w:r>
      <w:r w:rsidRPr="00046616">
        <w:rPr>
          <w:rFonts w:ascii="Calibri" w:hAnsi="Calibri" w:cs="Arial"/>
          <w:lang w:eastAsia="en-US"/>
        </w:rPr>
        <w:t xml:space="preserve">, and </w:t>
      </w:r>
      <w:r>
        <w:rPr>
          <w:rFonts w:ascii="Calibri" w:hAnsi="Calibri" w:cs="Arial"/>
          <w:lang w:eastAsia="en-US"/>
        </w:rPr>
        <w:t xml:space="preserve">the types of trainees targeted by these arrangements </w:t>
      </w:r>
      <w:r w:rsidRPr="00046616">
        <w:rPr>
          <w:rFonts w:ascii="Calibri" w:hAnsi="Calibri" w:cs="Arial"/>
          <w:lang w:eastAsia="en-US"/>
        </w:rPr>
        <w:t>(</w:t>
      </w:r>
      <w:r>
        <w:rPr>
          <w:rFonts w:ascii="Calibri" w:hAnsi="Calibri" w:cs="Arial"/>
          <w:lang w:eastAsia="en-US"/>
        </w:rPr>
        <w:t>e.g.</w:t>
      </w:r>
      <w:r w:rsidRPr="00046616">
        <w:rPr>
          <w:rFonts w:ascii="Calibri" w:hAnsi="Calibri" w:cs="Arial"/>
          <w:lang w:eastAsia="en-US"/>
        </w:rPr>
        <w:t xml:space="preserve"> primary care residents, specialty care residents, nurse practitioners, </w:t>
      </w:r>
      <w:r>
        <w:rPr>
          <w:rFonts w:ascii="Calibri" w:hAnsi="Calibri" w:cs="Arial"/>
          <w:lang w:eastAsia="en-US"/>
        </w:rPr>
        <w:t xml:space="preserve">and </w:t>
      </w:r>
      <w:r w:rsidRPr="00046616">
        <w:rPr>
          <w:rFonts w:ascii="Calibri" w:hAnsi="Calibri" w:cs="Arial"/>
          <w:lang w:eastAsia="en-US"/>
        </w:rPr>
        <w:t xml:space="preserve">physician assistants) </w:t>
      </w:r>
    </w:p>
    <w:p w:rsidR="004C38EA" w:rsidRPr="00046616" w:rsidRDefault="004C38EA" w:rsidP="00B03C96">
      <w:pPr>
        <w:rPr>
          <w:rFonts w:ascii="Calibri" w:hAnsi="Calibri" w:cs="Arial"/>
          <w:lang w:eastAsia="en-US"/>
        </w:rPr>
      </w:pPr>
    </w:p>
    <w:p w:rsidR="004C38EA" w:rsidRPr="00046616" w:rsidRDefault="004C38EA" w:rsidP="008F6568">
      <w:pPr>
        <w:rPr>
          <w:rFonts w:ascii="Calibri" w:hAnsi="Calibri" w:cs="Arial"/>
          <w:b/>
          <w:lang w:eastAsia="en-US"/>
        </w:rPr>
      </w:pPr>
      <w:r w:rsidRPr="00046616">
        <w:rPr>
          <w:rFonts w:ascii="Calibri" w:hAnsi="Calibri" w:cs="Arial"/>
          <w:b/>
          <w:lang w:eastAsia="en-US"/>
        </w:rPr>
        <w:t>Minnesota</w:t>
      </w:r>
    </w:p>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r w:rsidRPr="00046616">
        <w:rPr>
          <w:rFonts w:ascii="Calibri" w:hAnsi="Calibri" w:cs="Arial"/>
          <w:lang w:eastAsia="en-US"/>
        </w:rPr>
        <w:t xml:space="preserve">Minnesota primarily </w:t>
      </w:r>
      <w:r>
        <w:rPr>
          <w:rFonts w:ascii="Calibri" w:hAnsi="Calibri" w:cs="Arial"/>
          <w:lang w:eastAsia="en-US"/>
        </w:rPr>
        <w:t xml:space="preserve">provides state </w:t>
      </w:r>
      <w:r w:rsidRPr="00046616">
        <w:rPr>
          <w:rFonts w:ascii="Calibri" w:hAnsi="Calibri" w:cs="Arial"/>
          <w:lang w:eastAsia="en-US"/>
        </w:rPr>
        <w:t xml:space="preserve">funds </w:t>
      </w:r>
      <w:r>
        <w:rPr>
          <w:rFonts w:ascii="Calibri" w:hAnsi="Calibri" w:cs="Arial"/>
          <w:lang w:eastAsia="en-US"/>
        </w:rPr>
        <w:t xml:space="preserve">for </w:t>
      </w:r>
      <w:r w:rsidRPr="00046616">
        <w:rPr>
          <w:rFonts w:ascii="Calibri" w:hAnsi="Calibri" w:cs="Arial"/>
          <w:lang w:eastAsia="en-US"/>
        </w:rPr>
        <w:t xml:space="preserve">GME through the Medical Education and Research Cost Fund (MERC). MERC was established in 1996 by the Minnesota legislature. The legislature found that teaching facilities were facing a competitive disadvantage as third party payers were becoming less willing to pay the higher costs associated with such facilities. The MERC fund was created to pay a portion of the costs of clinical training to alleviate some of the burden on these facilities. </w:t>
      </w:r>
    </w:p>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r w:rsidRPr="00046616">
        <w:rPr>
          <w:rFonts w:ascii="Calibri" w:hAnsi="Calibri" w:cs="Arial"/>
          <w:lang w:eastAsia="en-US"/>
        </w:rPr>
        <w:t xml:space="preserve">The MERC funding mechanism has changed since its inception. Currently, the fund combines revenue from a </w:t>
      </w:r>
      <w:r>
        <w:rPr>
          <w:rFonts w:ascii="Calibri" w:hAnsi="Calibri" w:cs="Arial"/>
          <w:lang w:eastAsia="en-US"/>
        </w:rPr>
        <w:t>per-pack cigarette tax and</w:t>
      </w:r>
      <w:r w:rsidRPr="00046616">
        <w:rPr>
          <w:rFonts w:ascii="Calibri" w:hAnsi="Calibri" w:cs="Arial"/>
          <w:lang w:eastAsia="en-US"/>
        </w:rPr>
        <w:t xml:space="preserve"> the Prepaid Medicaid Assistance Program (PMAP). The</w:t>
      </w:r>
      <w:r>
        <w:rPr>
          <w:rFonts w:ascii="Calibri" w:hAnsi="Calibri" w:cs="Arial"/>
          <w:lang w:eastAsia="en-US"/>
        </w:rPr>
        <w:t xml:space="preserve"> cigarette tax nets roughly $3.9</w:t>
      </w:r>
      <w:r w:rsidRPr="00046616">
        <w:rPr>
          <w:rFonts w:ascii="Calibri" w:hAnsi="Calibri" w:cs="Arial"/>
          <w:lang w:eastAsia="en-US"/>
        </w:rPr>
        <w:t xml:space="preserve"> million in state taxes that are transferred to the MERC fund. This amount receives the standard Medical Assistance Federal Match which is roughly one-to-one for Minnesota. This amount is also added to the fund. </w:t>
      </w:r>
    </w:p>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r w:rsidRPr="00046616">
        <w:rPr>
          <w:rFonts w:ascii="Calibri" w:hAnsi="Calibri" w:cs="Arial"/>
          <w:lang w:eastAsia="en-US"/>
        </w:rPr>
        <w:t>In addition, Minnesota “carves out” a percentage of its state general funds used for capitation payments to health plans under the PMAP. These carve outs also receive the standard federal match. The amount of the carve outs have diminished over the past few fiscal years. For FY14 and FY15, an estimated $</w:t>
      </w:r>
      <w:r>
        <w:rPr>
          <w:rFonts w:ascii="Calibri" w:hAnsi="Calibri" w:cs="Arial"/>
          <w:lang w:eastAsia="en-US"/>
        </w:rPr>
        <w:t>49</w:t>
      </w:r>
      <w:r w:rsidRPr="00046616">
        <w:rPr>
          <w:rFonts w:ascii="Calibri" w:hAnsi="Calibri" w:cs="Arial"/>
          <w:lang w:eastAsia="en-US"/>
        </w:rPr>
        <w:t xml:space="preserve"> million in combined state and federal funds will be distributed. </w:t>
      </w:r>
    </w:p>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r w:rsidRPr="00046616">
        <w:rPr>
          <w:rFonts w:ascii="Calibri" w:hAnsi="Calibri" w:cs="Arial"/>
          <w:lang w:eastAsia="en-US"/>
        </w:rPr>
        <w:t>Finally, the University of Minnesota makes several transfers to the Department of Human Services</w:t>
      </w:r>
      <w:r>
        <w:rPr>
          <w:rFonts w:ascii="Calibri" w:hAnsi="Calibri" w:cs="Arial"/>
          <w:lang w:eastAsia="en-US"/>
        </w:rPr>
        <w:t xml:space="preserve"> for the purposes of supporting Graduate Medical Education</w:t>
      </w:r>
      <w:r w:rsidRPr="00046616">
        <w:rPr>
          <w:rFonts w:ascii="Calibri" w:hAnsi="Calibri" w:cs="Arial"/>
          <w:lang w:eastAsia="en-US"/>
        </w:rPr>
        <w:t xml:space="preserve">. </w:t>
      </w:r>
    </w:p>
    <w:p w:rsidR="004C38EA" w:rsidRPr="00046616" w:rsidRDefault="004C38EA" w:rsidP="008F6568">
      <w:pPr>
        <w:rPr>
          <w:rFonts w:ascii="Calibri" w:hAnsi="Calibri" w:cs="Arial"/>
          <w:lang w:eastAsia="en-US"/>
        </w:rPr>
      </w:pPr>
    </w:p>
    <w:p w:rsidR="004C38EA" w:rsidRPr="00046616" w:rsidRDefault="004C38EA" w:rsidP="008F6568">
      <w:pPr>
        <w:rPr>
          <w:rFonts w:ascii="Calibri" w:hAnsi="Calibri" w:cs="Arial"/>
          <w:lang w:eastAsia="en-US"/>
        </w:rPr>
      </w:pPr>
      <w:r w:rsidRPr="00046616">
        <w:rPr>
          <w:rFonts w:ascii="Calibri" w:hAnsi="Calibri" w:cs="Arial"/>
          <w:lang w:eastAsia="en-US"/>
        </w:rPr>
        <w:t>The MERC fund distributes its funds to “training sites” by transferring funds to those sites</w:t>
      </w:r>
      <w:r>
        <w:rPr>
          <w:rFonts w:ascii="Calibri" w:hAnsi="Calibri" w:cs="Arial"/>
          <w:lang w:eastAsia="en-US"/>
        </w:rPr>
        <w:t>’</w:t>
      </w:r>
      <w:r w:rsidRPr="00046616">
        <w:rPr>
          <w:rFonts w:ascii="Calibri" w:hAnsi="Calibri" w:cs="Arial"/>
          <w:lang w:eastAsia="en-US"/>
        </w:rPr>
        <w:t xml:space="preserve"> “sponsoring institutions.” The sponsoring institutions then must transfer to each training site the funds they are entitled to as defined by the initial distribution from the MERC fund. The first barrier that sponsoring institution must pass is to demonstrate that they are a teaching program. From there, each site is </w:t>
      </w:r>
      <w:r w:rsidRPr="00046616">
        <w:rPr>
          <w:rFonts w:ascii="Calibri" w:hAnsi="Calibri" w:cs="Arial"/>
          <w:lang w:eastAsia="en-US"/>
        </w:rPr>
        <w:lastRenderedPageBreak/>
        <w:t xml:space="preserve">allocated funds based on the individual training sites’ relative public program volume. The relative public program volume is determined by calculating each individual training site’s percentage of the total </w:t>
      </w:r>
      <w:r>
        <w:rPr>
          <w:rFonts w:ascii="Calibri" w:hAnsi="Calibri" w:cs="Arial"/>
          <w:lang w:eastAsia="en-US"/>
        </w:rPr>
        <w:t>training sites’</w:t>
      </w:r>
      <w:r w:rsidRPr="00046616">
        <w:rPr>
          <w:rFonts w:ascii="Calibri" w:hAnsi="Calibri" w:cs="Arial"/>
          <w:lang w:eastAsia="en-US"/>
        </w:rPr>
        <w:t xml:space="preserve"> public program volume. </w:t>
      </w:r>
    </w:p>
    <w:p w:rsidR="004C38EA" w:rsidRPr="00CA406E" w:rsidRDefault="004C38EA" w:rsidP="008F6568">
      <w:pPr>
        <w:rPr>
          <w:rFonts w:ascii="Calibri" w:hAnsi="Calibri" w:cs="Arial"/>
          <w:lang w:eastAsia="en-US"/>
        </w:rPr>
      </w:pPr>
    </w:p>
    <w:p w:rsidR="004C38EA" w:rsidRPr="00CA406E" w:rsidRDefault="004C38EA" w:rsidP="008F6568">
      <w:pPr>
        <w:rPr>
          <w:rFonts w:ascii="Calibri" w:hAnsi="Calibri" w:cs="Arial"/>
          <w:lang w:eastAsia="en-US"/>
        </w:rPr>
      </w:pPr>
      <w:r w:rsidRPr="00CA406E">
        <w:rPr>
          <w:rFonts w:ascii="Calibri" w:hAnsi="Calibri" w:cs="Arial"/>
          <w:lang w:eastAsia="en-US"/>
        </w:rPr>
        <w:t>The MERC also adds a supplement</w:t>
      </w:r>
      <w:r>
        <w:rPr>
          <w:rFonts w:ascii="Calibri" w:hAnsi="Calibri" w:cs="Arial"/>
          <w:lang w:eastAsia="en-US"/>
        </w:rPr>
        <w:t>al</w:t>
      </w:r>
      <w:r w:rsidRPr="00CA406E">
        <w:rPr>
          <w:rFonts w:ascii="Calibri" w:hAnsi="Calibri" w:cs="Arial"/>
          <w:lang w:eastAsia="en-US"/>
        </w:rPr>
        <w:t xml:space="preserve"> grant of 20% on top of the original grant to any site </w:t>
      </w:r>
      <w:r>
        <w:rPr>
          <w:rFonts w:ascii="Calibri" w:hAnsi="Calibri" w:cs="Arial"/>
          <w:lang w:eastAsia="en-US"/>
        </w:rPr>
        <w:t xml:space="preserve">whose Medicaid revenue accounted for more than 0.98% of the total Medicaid revenue. </w:t>
      </w:r>
      <w:r w:rsidRPr="00CA406E">
        <w:rPr>
          <w:rFonts w:ascii="Calibri" w:hAnsi="Calibri" w:cs="Arial"/>
          <w:lang w:eastAsia="en-US"/>
        </w:rPr>
        <w:t xml:space="preserve">The 20% supplement grant is borne by the </w:t>
      </w:r>
      <w:r w:rsidRPr="00F3280A">
        <w:rPr>
          <w:rFonts w:ascii="Calibri" w:hAnsi="Calibri" w:cs="Arial"/>
          <w:lang w:eastAsia="en-US"/>
        </w:rPr>
        <w:t>sites whose revenue accounts for less than 0.98% of the total Medicaid revenue pool.</w:t>
      </w:r>
      <w:r w:rsidRPr="00F3280A">
        <w:rPr>
          <w:rStyle w:val="FootnoteReference"/>
          <w:rFonts w:ascii="Calibri" w:hAnsi="Calibri"/>
          <w:lang w:eastAsia="en-US"/>
        </w:rPr>
        <w:footnoteReference w:id="32"/>
      </w:r>
      <w:r w:rsidRPr="00F3280A">
        <w:rPr>
          <w:rFonts w:ascii="Calibri" w:hAnsi="Calibri" w:cs="Arial"/>
          <w:lang w:eastAsia="en-US"/>
        </w:rPr>
        <w:t xml:space="preserve"> Sites whose total grant would be less than $1,000 are eliminated from the distribution. </w:t>
      </w:r>
      <w:r w:rsidRPr="00F3280A">
        <w:rPr>
          <w:rFonts w:ascii="Calibri" w:hAnsi="Calibri"/>
        </w:rPr>
        <w:t>Portions of the distribution formula were changed in Minnesota’s most recent legislative session.  Changes included a gradual phase-out of the 20% supplemental grant, which will decrease to 10% in SFY14 and disappear thereafter, and the addition of community health workers, community paramedics, and other provider types to the list of eligible providers for MERC.</w:t>
      </w:r>
    </w:p>
    <w:p w:rsidR="004C38EA" w:rsidRPr="00CA406E" w:rsidRDefault="004C38EA" w:rsidP="008F6568">
      <w:pPr>
        <w:rPr>
          <w:rFonts w:ascii="Calibri" w:hAnsi="Calibri" w:cs="Arial"/>
          <w:lang w:eastAsia="en-US"/>
        </w:rPr>
      </w:pPr>
    </w:p>
    <w:p w:rsidR="004C38EA" w:rsidRPr="00CA406E" w:rsidRDefault="004C38EA" w:rsidP="008F6568">
      <w:pPr>
        <w:rPr>
          <w:rFonts w:ascii="Calibri" w:hAnsi="Calibri" w:cs="Arial"/>
          <w:lang w:eastAsia="en-US"/>
        </w:rPr>
      </w:pPr>
      <w:r w:rsidRPr="00CA406E">
        <w:rPr>
          <w:rFonts w:ascii="Calibri" w:hAnsi="Calibri" w:cs="TTE25EFAA8t00"/>
        </w:rPr>
        <w:t>Funds support training for medicine</w:t>
      </w:r>
      <w:r>
        <w:rPr>
          <w:rFonts w:ascii="Calibri" w:hAnsi="Calibri" w:cs="TTE25EFAA8t00"/>
        </w:rPr>
        <w:t>, physician assistants</w:t>
      </w:r>
      <w:r w:rsidRPr="00CA406E">
        <w:rPr>
          <w:rFonts w:ascii="Calibri" w:hAnsi="Calibri" w:cs="TTE25EFAA8t00"/>
        </w:rPr>
        <w:t xml:space="preserve">, dentistry, </w:t>
      </w:r>
      <w:r>
        <w:rPr>
          <w:rFonts w:ascii="Calibri" w:hAnsi="Calibri" w:cs="TTE25EFAA8t00"/>
        </w:rPr>
        <w:t xml:space="preserve">advanced practice </w:t>
      </w:r>
      <w:r w:rsidRPr="00CA406E">
        <w:rPr>
          <w:rFonts w:ascii="Calibri" w:hAnsi="Calibri" w:cs="TTE25EFAA8t00"/>
        </w:rPr>
        <w:t xml:space="preserve">nursing, </w:t>
      </w:r>
      <w:r>
        <w:rPr>
          <w:rFonts w:ascii="Calibri" w:hAnsi="Calibri" w:cs="TTE25EFAA8t00"/>
        </w:rPr>
        <w:t xml:space="preserve">chiropractic and </w:t>
      </w:r>
      <w:r w:rsidRPr="00CA406E">
        <w:rPr>
          <w:rFonts w:ascii="Calibri" w:hAnsi="Calibri" w:cs="TTE25EFAA8t00"/>
        </w:rPr>
        <w:t>pharmacy</w:t>
      </w:r>
      <w:r>
        <w:rPr>
          <w:rFonts w:ascii="Calibri" w:hAnsi="Calibri" w:cs="TTE25EFAA8t00"/>
        </w:rPr>
        <w:t>.</w:t>
      </w:r>
    </w:p>
    <w:p w:rsidR="004C38EA" w:rsidRPr="00CA406E" w:rsidRDefault="004C38EA" w:rsidP="008F6568">
      <w:pPr>
        <w:rPr>
          <w:rFonts w:ascii="Calibri" w:hAnsi="Calibri" w:cs="Arial"/>
          <w:lang w:eastAsia="en-US"/>
        </w:rPr>
      </w:pPr>
    </w:p>
    <w:p w:rsidR="004C38EA" w:rsidRPr="001247E2" w:rsidRDefault="004C38EA" w:rsidP="008F6568">
      <w:pPr>
        <w:rPr>
          <w:rFonts w:ascii="Calibri" w:hAnsi="Calibri" w:cs="Arial"/>
          <w:b/>
          <w:lang w:eastAsia="en-US"/>
        </w:rPr>
      </w:pPr>
      <w:r w:rsidRPr="001247E2">
        <w:rPr>
          <w:rFonts w:ascii="Calibri" w:hAnsi="Calibri" w:cs="Arial"/>
          <w:b/>
          <w:lang w:eastAsia="en-US"/>
        </w:rPr>
        <w:t>New York</w:t>
      </w:r>
    </w:p>
    <w:p w:rsidR="004C38EA" w:rsidRPr="001247E2" w:rsidRDefault="004C38EA" w:rsidP="008F6568">
      <w:pPr>
        <w:rPr>
          <w:rFonts w:ascii="Calibri" w:hAnsi="Calibri" w:cs="Arial"/>
          <w:lang w:eastAsia="en-US"/>
        </w:rPr>
      </w:pPr>
    </w:p>
    <w:p w:rsidR="004C38EA" w:rsidRPr="001247E2" w:rsidRDefault="004C38EA" w:rsidP="008F6568">
      <w:pPr>
        <w:rPr>
          <w:rFonts w:ascii="Calibri" w:hAnsi="Calibri" w:cs="Arial"/>
          <w:lang w:eastAsia="en-US"/>
        </w:rPr>
      </w:pPr>
      <w:r w:rsidRPr="001247E2">
        <w:rPr>
          <w:rFonts w:ascii="Calibri" w:hAnsi="Calibri" w:cs="Arial"/>
          <w:lang w:eastAsia="en-US"/>
        </w:rPr>
        <w:t xml:space="preserve">New York has more medical residents than any other state. New York has a number of programs to support GME, with Medicaid being by far the largest source of state funds. In 2012, New York made $1.8 billion in Medicaid GME payments. New York’s Medicaid program pays GME through both FFS and managed care. New York’s Medicaid </w:t>
      </w:r>
      <w:r>
        <w:rPr>
          <w:rFonts w:ascii="Calibri" w:hAnsi="Calibri" w:cs="Arial"/>
          <w:lang w:eastAsia="en-US"/>
        </w:rPr>
        <w:t>funding for GME includes both D</w:t>
      </w:r>
      <w:r w:rsidRPr="001247E2">
        <w:rPr>
          <w:rFonts w:ascii="Calibri" w:hAnsi="Calibri" w:cs="Arial"/>
          <w:lang w:eastAsia="en-US"/>
        </w:rPr>
        <w:t xml:space="preserve">ME and IME payments. It funds GME through state appropriation as well as a “covered lives assessment” on third party payers. </w:t>
      </w:r>
    </w:p>
    <w:p w:rsidR="004C38EA" w:rsidRPr="001247E2" w:rsidRDefault="004C38EA" w:rsidP="008F6568">
      <w:pPr>
        <w:rPr>
          <w:rFonts w:ascii="Calibri" w:hAnsi="Calibri" w:cs="Arial"/>
          <w:lang w:eastAsia="en-US"/>
        </w:rPr>
      </w:pPr>
    </w:p>
    <w:p w:rsidR="004C38EA" w:rsidRPr="001247E2" w:rsidRDefault="004C38EA" w:rsidP="008F6568">
      <w:pPr>
        <w:rPr>
          <w:rFonts w:ascii="Calibri" w:hAnsi="Calibri" w:cs="Arial"/>
          <w:lang w:eastAsia="en-US"/>
        </w:rPr>
      </w:pPr>
      <w:r w:rsidRPr="001247E2">
        <w:rPr>
          <w:rFonts w:ascii="Calibri" w:hAnsi="Calibri" w:cs="Arial"/>
          <w:lang w:eastAsia="en-US"/>
        </w:rPr>
        <w:t>New York created the New York State Council on Graduate Medical Education by Executive Order in 1987. The Council consists of 30 members appointed by the Governor. The Council provides the Governor and Commissioner of Health with advice and guidan</w:t>
      </w:r>
      <w:r>
        <w:rPr>
          <w:rFonts w:ascii="Calibri" w:hAnsi="Calibri" w:cs="Arial"/>
          <w:lang w:eastAsia="en-US"/>
        </w:rPr>
        <w:t>ce on Graduate Medical E</w:t>
      </w:r>
      <w:r w:rsidRPr="001247E2">
        <w:rPr>
          <w:rFonts w:ascii="Calibri" w:hAnsi="Calibri" w:cs="Arial"/>
          <w:lang w:eastAsia="en-US"/>
        </w:rPr>
        <w:t>ducation policies in the state. The Council is charged with the following:</w:t>
      </w:r>
      <w:r w:rsidRPr="001247E2">
        <w:rPr>
          <w:rFonts w:ascii="Calibri" w:hAnsi="Calibri" w:cs="Arial"/>
          <w:lang w:eastAsia="en-US"/>
        </w:rPr>
        <w:br/>
      </w:r>
    </w:p>
    <w:p w:rsidR="004C38EA" w:rsidRPr="001247E2" w:rsidRDefault="004C38EA" w:rsidP="00D32044">
      <w:pPr>
        <w:numPr>
          <w:ilvl w:val="0"/>
          <w:numId w:val="34"/>
        </w:numPr>
        <w:shd w:val="clear" w:color="auto" w:fill="FFFFFF"/>
        <w:spacing w:before="60" w:after="100" w:afterAutospacing="1"/>
        <w:rPr>
          <w:rFonts w:ascii="Calibri" w:hAnsi="Calibri"/>
          <w:color w:val="000000"/>
        </w:rPr>
      </w:pPr>
      <w:r w:rsidRPr="001247E2">
        <w:rPr>
          <w:rFonts w:ascii="Calibri" w:hAnsi="Calibri"/>
          <w:color w:val="000000"/>
        </w:rPr>
        <w:t>Graduate medical education programs including the composition, supply and distribution of residency programs, subspecialty programs and fellowship training;</w:t>
      </w:r>
    </w:p>
    <w:p w:rsidR="004C38EA" w:rsidRPr="001247E2" w:rsidRDefault="004C38EA" w:rsidP="00D32044">
      <w:pPr>
        <w:numPr>
          <w:ilvl w:val="0"/>
          <w:numId w:val="34"/>
        </w:numPr>
        <w:shd w:val="clear" w:color="auto" w:fill="FFFFFF"/>
        <w:spacing w:before="60" w:after="100" w:afterAutospacing="1"/>
        <w:rPr>
          <w:rFonts w:ascii="Calibri" w:hAnsi="Calibri"/>
          <w:color w:val="000000"/>
        </w:rPr>
      </w:pPr>
      <w:r w:rsidRPr="001247E2">
        <w:rPr>
          <w:rFonts w:ascii="Calibri" w:hAnsi="Calibri"/>
          <w:color w:val="000000"/>
        </w:rPr>
        <w:t>Efforts to increase the number of minority physicians in training in New York and to increase and improve the training of physicians who will serve as medical residents, and subsequently as practitioners, in underserved areas of the State and serve populations with special health needs;</w:t>
      </w:r>
    </w:p>
    <w:p w:rsidR="004C38EA" w:rsidRPr="001247E2" w:rsidRDefault="004C38EA" w:rsidP="00D32044">
      <w:pPr>
        <w:numPr>
          <w:ilvl w:val="0"/>
          <w:numId w:val="34"/>
        </w:numPr>
        <w:shd w:val="clear" w:color="auto" w:fill="FFFFFF"/>
        <w:spacing w:before="60" w:after="100" w:afterAutospacing="1"/>
        <w:rPr>
          <w:rFonts w:ascii="Calibri" w:hAnsi="Calibri"/>
          <w:color w:val="000000"/>
        </w:rPr>
      </w:pPr>
      <w:r w:rsidRPr="001247E2">
        <w:rPr>
          <w:rFonts w:ascii="Calibri" w:hAnsi="Calibri"/>
          <w:color w:val="000000"/>
        </w:rPr>
        <w:t>The number and specialties of physicians needed in New York State;</w:t>
      </w:r>
    </w:p>
    <w:p w:rsidR="004C38EA" w:rsidRPr="001247E2" w:rsidRDefault="004C38EA" w:rsidP="00D32044">
      <w:pPr>
        <w:numPr>
          <w:ilvl w:val="0"/>
          <w:numId w:val="34"/>
        </w:numPr>
        <w:shd w:val="clear" w:color="auto" w:fill="FFFFFF"/>
        <w:spacing w:before="60" w:after="100" w:afterAutospacing="1"/>
        <w:rPr>
          <w:rFonts w:ascii="Calibri" w:hAnsi="Calibri"/>
          <w:color w:val="000000"/>
        </w:rPr>
      </w:pPr>
      <w:r w:rsidRPr="001247E2">
        <w:rPr>
          <w:rFonts w:ascii="Calibri" w:hAnsi="Calibri"/>
          <w:color w:val="000000"/>
        </w:rPr>
        <w:t>Policies and programs to increase the training of primary care physicians and the training of physicians in non-hospital settings; and</w:t>
      </w:r>
    </w:p>
    <w:p w:rsidR="004C38EA" w:rsidRPr="001247E2" w:rsidRDefault="004C38EA" w:rsidP="00D32044">
      <w:pPr>
        <w:numPr>
          <w:ilvl w:val="0"/>
          <w:numId w:val="34"/>
        </w:numPr>
        <w:shd w:val="clear" w:color="auto" w:fill="FFFFFF"/>
        <w:spacing w:before="60" w:after="100" w:afterAutospacing="1"/>
        <w:rPr>
          <w:rFonts w:ascii="Calibri" w:hAnsi="Calibri"/>
          <w:color w:val="000000"/>
        </w:rPr>
      </w:pPr>
      <w:r w:rsidRPr="001247E2">
        <w:rPr>
          <w:rFonts w:ascii="Calibri" w:hAnsi="Calibri"/>
          <w:color w:val="000000"/>
        </w:rPr>
        <w:lastRenderedPageBreak/>
        <w:t>Promotion of high quality residency and training programs.</w:t>
      </w:r>
      <w:r w:rsidRPr="001247E2">
        <w:rPr>
          <w:rStyle w:val="FootnoteReference"/>
          <w:rFonts w:ascii="Calibri" w:hAnsi="Calibri"/>
          <w:color w:val="000000"/>
        </w:rPr>
        <w:footnoteReference w:id="33"/>
      </w:r>
    </w:p>
    <w:p w:rsidR="004C38EA" w:rsidRPr="001247E2" w:rsidRDefault="004C38EA" w:rsidP="00D32044">
      <w:pPr>
        <w:shd w:val="clear" w:color="auto" w:fill="FFFFFF"/>
        <w:spacing w:before="60" w:after="100" w:afterAutospacing="1"/>
        <w:rPr>
          <w:rFonts w:ascii="Calibri" w:hAnsi="Calibri"/>
          <w:color w:val="000000"/>
        </w:rPr>
      </w:pPr>
      <w:r w:rsidRPr="001247E2">
        <w:rPr>
          <w:rFonts w:ascii="Calibri" w:hAnsi="Calibri"/>
          <w:color w:val="000000"/>
        </w:rPr>
        <w:t xml:space="preserve">The Council has created several sub-committees and work groups that develop policy and individual programs which are administered by Council staff. The Council staff is located in the Office of Health Insurance Premiums in the Department of Health. The Council and its staff helped to create and oversee the Empire Clinical Research Investigators Program (ECRIP); grant programs to promote minority participation in medical education; the NYS Area Health Education Center (AHEC) program; the Institutional GME Budget; and the DOH Clinical Clerkship Survey. </w:t>
      </w:r>
    </w:p>
    <w:p w:rsidR="004C38EA" w:rsidRPr="001247E2" w:rsidRDefault="004C38EA" w:rsidP="001247E2">
      <w:pPr>
        <w:autoSpaceDE w:val="0"/>
        <w:autoSpaceDN w:val="0"/>
        <w:adjustRightInd w:val="0"/>
        <w:rPr>
          <w:rFonts w:ascii="Calibri" w:hAnsi="Calibri"/>
          <w:color w:val="000000"/>
        </w:rPr>
      </w:pPr>
      <w:r w:rsidRPr="001247E2">
        <w:rPr>
          <w:rFonts w:ascii="Calibri" w:hAnsi="Calibri"/>
          <w:color w:val="000000"/>
        </w:rPr>
        <w:t>In addition, the Council and its staff helped create and administer the Doctors Across New York (DANY) programs, which are aimed at training and placing physicians in underserved communities. These programs include Physician Practice Support, Physician Loan Repayment, Ambulatory Care Training, Diversity in Medicine and Physician Workforce Studies. New York also has a GME reform incentive pool/innovation pool which is aimed at encouraging new approaches to enrich teaching and address statewide residency and physician workforce goal</w:t>
      </w:r>
      <w:r>
        <w:rPr>
          <w:rFonts w:ascii="Calibri" w:hAnsi="Calibri"/>
          <w:color w:val="000000"/>
        </w:rPr>
        <w:t>s</w:t>
      </w:r>
      <w:r w:rsidRPr="001247E2">
        <w:rPr>
          <w:rFonts w:ascii="Calibri" w:hAnsi="Calibri"/>
          <w:color w:val="000000"/>
        </w:rPr>
        <w:t>. This pool is currently unfunded. In the past, New York also had a Designated Priority, or “Upweighting” program, that applied a tiered adjustment to Medicaid GME rates so that certain primary care programs received enhanced payments, but this program ended in 2009.</w:t>
      </w:r>
    </w:p>
    <w:p w:rsidR="004C38EA" w:rsidRPr="001247E2" w:rsidRDefault="004C38EA" w:rsidP="008F6568">
      <w:pPr>
        <w:rPr>
          <w:rFonts w:ascii="Calibri" w:hAnsi="Calibri" w:cs="Arial"/>
          <w:b/>
          <w:lang w:eastAsia="en-US"/>
        </w:rPr>
      </w:pPr>
    </w:p>
    <w:p w:rsidR="004C38EA" w:rsidRDefault="004C38EA" w:rsidP="00F10794">
      <w:pPr>
        <w:rPr>
          <w:rFonts w:ascii="Calibri" w:hAnsi="Calibri"/>
          <w:b/>
          <w:bCs/>
        </w:rPr>
      </w:pPr>
      <w:r>
        <w:rPr>
          <w:rFonts w:ascii="Calibri" w:hAnsi="Calibri"/>
          <w:b/>
          <w:bCs/>
        </w:rPr>
        <w:t>Oklahoma</w:t>
      </w:r>
    </w:p>
    <w:p w:rsidR="004C38EA" w:rsidRDefault="004C38EA" w:rsidP="00F10794">
      <w:pPr>
        <w:rPr>
          <w:rFonts w:ascii="Calibri" w:hAnsi="Calibri"/>
          <w:b/>
          <w:bCs/>
        </w:rPr>
      </w:pPr>
    </w:p>
    <w:p w:rsidR="004C38EA" w:rsidRDefault="004C38EA" w:rsidP="00F10794">
      <w:pPr>
        <w:rPr>
          <w:rFonts w:ascii="Calibri" w:hAnsi="Calibri"/>
        </w:rPr>
      </w:pPr>
      <w:r>
        <w:rPr>
          <w:rFonts w:ascii="Calibri" w:hAnsi="Calibri"/>
        </w:rPr>
        <w:t xml:space="preserve">The Oklahoma Health Care Authority (OHCA) oversees the majority of GME funding in Oklahoma. There are three types of payments: DME and IME payments to hospitals, and payments made under Oklahoma’s managed care waiver that are provided to medical schools. </w:t>
      </w:r>
    </w:p>
    <w:p w:rsidR="004C38EA" w:rsidRDefault="004C38EA" w:rsidP="00F10794">
      <w:pPr>
        <w:rPr>
          <w:rFonts w:ascii="Calibri" w:hAnsi="Calibri"/>
        </w:rPr>
      </w:pPr>
    </w:p>
    <w:p w:rsidR="004C38EA" w:rsidRDefault="004C38EA" w:rsidP="00F10794">
      <w:pPr>
        <w:rPr>
          <w:rFonts w:ascii="Calibri" w:hAnsi="Calibri"/>
        </w:rPr>
      </w:pPr>
      <w:r>
        <w:rPr>
          <w:rFonts w:ascii="Calibri" w:hAnsi="Calibri"/>
        </w:rPr>
        <w:t xml:space="preserve">Oklahoma makes quarterly direct GME supplement payments to hospitals based on resident months weighted for Medicaid days and acuity. This methodology was created to enhance GME payments and to replace reimbursements lost through implementation of managed care systems of payment. The payments are made from a pool of funds made available by matching the State funds transferred to the OHCA by the University Hospital Authority from general appropriations. In SFY 2012, the total amount of direct GME supplement payments was $16 million with roughly $5.5 million being provided by the state through the University Hospital Authority and $10.5 million being provided by the federal government. </w:t>
      </w:r>
    </w:p>
    <w:p w:rsidR="004C38EA" w:rsidRDefault="004C38EA" w:rsidP="00F10794">
      <w:pPr>
        <w:rPr>
          <w:rFonts w:ascii="Calibri" w:hAnsi="Calibri"/>
        </w:rPr>
      </w:pPr>
    </w:p>
    <w:p w:rsidR="004C38EA" w:rsidRPr="00F10794" w:rsidRDefault="004C38EA" w:rsidP="00F10794">
      <w:pPr>
        <w:rPr>
          <w:rFonts w:ascii="Calibri" w:hAnsi="Calibri"/>
        </w:rPr>
      </w:pPr>
      <w:r>
        <w:rPr>
          <w:rFonts w:ascii="Calibri" w:hAnsi="Calibri"/>
        </w:rPr>
        <w:t xml:space="preserve">Oklahoma also makes </w:t>
      </w:r>
      <w:r>
        <w:rPr>
          <w:rFonts w:ascii="Calibri" w:hAnsi="Calibri"/>
          <w:color w:val="1F497D"/>
        </w:rPr>
        <w:t>I</w:t>
      </w:r>
      <w:r>
        <w:rPr>
          <w:rFonts w:ascii="Calibri" w:hAnsi="Calibri"/>
        </w:rPr>
        <w:t xml:space="preserve">ndirect Graduate Medical Education payments to major teaching hospitals. To be eligible for this </w:t>
      </w:r>
      <w:r w:rsidRPr="00F10794">
        <w:rPr>
          <w:rFonts w:ascii="Calibri" w:hAnsi="Calibri"/>
        </w:rPr>
        <w:t xml:space="preserve">payment, the teaching hospital must have 150 or more resident </w:t>
      </w:r>
      <w:r>
        <w:rPr>
          <w:rFonts w:ascii="Calibri" w:hAnsi="Calibri"/>
        </w:rPr>
        <w:t>full-time equivalents (</w:t>
      </w:r>
      <w:r w:rsidRPr="00F10794">
        <w:rPr>
          <w:rFonts w:ascii="Calibri" w:hAnsi="Calibri"/>
        </w:rPr>
        <w:t>FTEs</w:t>
      </w:r>
      <w:r>
        <w:rPr>
          <w:rFonts w:ascii="Calibri" w:hAnsi="Calibri"/>
        </w:rPr>
        <w:t>)</w:t>
      </w:r>
      <w:r w:rsidRPr="00F10794">
        <w:rPr>
          <w:rFonts w:ascii="Calibri" w:hAnsi="Calibri"/>
        </w:rPr>
        <w:t xml:space="preserve">. </w:t>
      </w:r>
      <w:r>
        <w:rPr>
          <w:rFonts w:ascii="Calibri" w:hAnsi="Calibri"/>
        </w:rPr>
        <w:t>O</w:t>
      </w:r>
      <w:r w:rsidRPr="00F10794">
        <w:rPr>
          <w:rFonts w:ascii="Calibri" w:hAnsi="Calibri"/>
        </w:rPr>
        <w:t>nly two hospitals are eligible and they split the funds equally. Payments are made once a year, with state funds coming from the Oklahoma University Hospital Trust/Authority and the Oklahoma State University Hospital Trust/Authority. For SFY</w:t>
      </w:r>
      <w:r>
        <w:rPr>
          <w:rFonts w:ascii="Calibri" w:hAnsi="Calibri"/>
        </w:rPr>
        <w:t xml:space="preserve"> </w:t>
      </w:r>
      <w:r w:rsidRPr="00F10794">
        <w:rPr>
          <w:rFonts w:ascii="Calibri" w:hAnsi="Calibri"/>
        </w:rPr>
        <w:t xml:space="preserve">2013 (for which payments were made in </w:t>
      </w:r>
      <w:r w:rsidRPr="00F10794">
        <w:rPr>
          <w:rFonts w:ascii="Calibri" w:hAnsi="Calibri"/>
        </w:rPr>
        <w:lastRenderedPageBreak/>
        <w:t>August 2012), each hospital received $15.2 million in funds with $5.5 million from the state and $9.7 million from the federal government.</w:t>
      </w:r>
    </w:p>
    <w:p w:rsidR="004C38EA" w:rsidRPr="00F10794" w:rsidRDefault="004C38EA" w:rsidP="00F10794">
      <w:pPr>
        <w:rPr>
          <w:rFonts w:ascii="Calibri" w:hAnsi="Calibri"/>
        </w:rPr>
      </w:pPr>
    </w:p>
    <w:p w:rsidR="004C38EA" w:rsidRDefault="004C38EA" w:rsidP="00F10794">
      <w:pPr>
        <w:rPr>
          <w:rFonts w:ascii="Calibri" w:hAnsi="Calibri"/>
        </w:rPr>
      </w:pPr>
      <w:r w:rsidRPr="00F10794">
        <w:rPr>
          <w:rFonts w:ascii="Calibri" w:hAnsi="Calibri"/>
        </w:rPr>
        <w:t>Under the managed care waiver, payments are made directly to three major colleges of medicine – University</w:t>
      </w:r>
      <w:r>
        <w:rPr>
          <w:rFonts w:ascii="Calibri" w:hAnsi="Calibri"/>
        </w:rPr>
        <w:t xml:space="preserve"> of Oklahoma – OKC, University of Oklahoma – Tulsa, and OSU School of Osteopathy. These schools operate clinics throughout the state in both hospital and non-hospital settings. The payments are made in support of a contracted number of managed care recipients with a PCP who is a member of the college of medicine’s staff and in support of contractually defined specialty care services. In SFY 2013 the schools received $74 million in payments. </w:t>
      </w:r>
    </w:p>
    <w:p w:rsidR="004C38EA" w:rsidRDefault="004C38EA" w:rsidP="00F10794">
      <w:pPr>
        <w:rPr>
          <w:rFonts w:ascii="Calibri" w:hAnsi="Calibri"/>
        </w:rPr>
      </w:pPr>
    </w:p>
    <w:p w:rsidR="004C38EA" w:rsidRDefault="004C38EA" w:rsidP="00F10794">
      <w:pPr>
        <w:rPr>
          <w:rFonts w:ascii="Calibri" w:hAnsi="Calibri"/>
        </w:rPr>
      </w:pPr>
      <w:r>
        <w:rPr>
          <w:rFonts w:ascii="Calibri" w:hAnsi="Calibri"/>
        </w:rPr>
        <w:t>The payments are intended to support GME but also ensure access to care for SoonerCare recipients. Payments are contingent on the contractors’ continued performance in providing primary care and specialty services to Oklahoma Medicaid recipients, with the following requirements:</w:t>
      </w:r>
    </w:p>
    <w:p w:rsidR="004C38EA" w:rsidRDefault="004C38EA" w:rsidP="00F10794">
      <w:pPr>
        <w:rPr>
          <w:rFonts w:ascii="Calibri" w:hAnsi="Calibri"/>
          <w:b/>
          <w:bCs/>
        </w:rPr>
      </w:pPr>
    </w:p>
    <w:p w:rsidR="004C38EA" w:rsidRDefault="004C38EA" w:rsidP="00F10794">
      <w:pPr>
        <w:ind w:left="720"/>
        <w:rPr>
          <w:rFonts w:ascii="Calibri" w:hAnsi="Calibri"/>
          <w:b/>
          <w:bCs/>
        </w:rPr>
      </w:pPr>
      <w:r>
        <w:rPr>
          <w:rFonts w:ascii="Calibri" w:hAnsi="Calibri"/>
          <w:b/>
          <w:bCs/>
        </w:rPr>
        <w:t>SoonerCare member months:</w:t>
      </w:r>
      <w:r>
        <w:rPr>
          <w:rFonts w:ascii="Calibri" w:hAnsi="Calibri"/>
        </w:rPr>
        <w:t xml:space="preserve"> a pre-established minimum number of member months (131,400 per quarter for OSU and 137,850 for OU OKC and Tulsa combined) will be maintained.</w:t>
      </w:r>
    </w:p>
    <w:p w:rsidR="004C38EA" w:rsidRDefault="004C38EA" w:rsidP="00F10794">
      <w:pPr>
        <w:ind w:left="720"/>
        <w:rPr>
          <w:rFonts w:ascii="Calibri" w:hAnsi="Calibri"/>
          <w:b/>
          <w:bCs/>
        </w:rPr>
      </w:pPr>
      <w:r>
        <w:rPr>
          <w:rFonts w:ascii="Calibri" w:hAnsi="Calibri"/>
          <w:b/>
          <w:bCs/>
        </w:rPr>
        <w:t>Emergency Room utilization rate:</w:t>
      </w:r>
      <w:r>
        <w:rPr>
          <w:rFonts w:ascii="Calibri" w:hAnsi="Calibri"/>
        </w:rPr>
        <w:t xml:space="preserve"> a pre-established maximum utilization rate established as that occurring during the first quarter of SFY 2006 (65 visits per 1,000 members for OU and 63 visits per 1,000 members for OSU) will be maintained</w:t>
      </w:r>
    </w:p>
    <w:p w:rsidR="004C38EA" w:rsidRDefault="004C38EA" w:rsidP="00F10794">
      <w:pPr>
        <w:ind w:left="720"/>
        <w:rPr>
          <w:rFonts w:ascii="Calibri" w:hAnsi="Calibri"/>
          <w:b/>
          <w:bCs/>
        </w:rPr>
      </w:pPr>
      <w:r>
        <w:rPr>
          <w:rFonts w:ascii="Calibri" w:hAnsi="Calibri"/>
          <w:b/>
          <w:bCs/>
        </w:rPr>
        <w:t>Early Periodic Screening, Diagnosis and Treatment (EPSDT) screening rate:</w:t>
      </w:r>
      <w:r>
        <w:rPr>
          <w:rFonts w:ascii="Calibri" w:hAnsi="Calibri"/>
        </w:rPr>
        <w:t xml:space="preserve"> a pre-established minimum screening rate (45% for OU and 63% for OSU)</w:t>
      </w:r>
    </w:p>
    <w:p w:rsidR="004C38EA" w:rsidRDefault="004C38EA" w:rsidP="00F10794">
      <w:pPr>
        <w:ind w:left="720"/>
        <w:rPr>
          <w:rFonts w:ascii="Calibri" w:hAnsi="Calibri"/>
          <w:b/>
          <w:bCs/>
        </w:rPr>
      </w:pPr>
      <w:r>
        <w:rPr>
          <w:rFonts w:ascii="Calibri" w:hAnsi="Calibri"/>
          <w:b/>
          <w:bCs/>
        </w:rPr>
        <w:t>Breast Cancer and Cervical Cancer screening rates:</w:t>
      </w:r>
      <w:r>
        <w:rPr>
          <w:rFonts w:ascii="Calibri" w:hAnsi="Calibri"/>
        </w:rPr>
        <w:t xml:space="preserve"> pre-established minimum screening rate (4% for breast cancer and 48% for cervical cancer for OU; 37% for breast cancer and 55% for cervical cancer for OSU).</w:t>
      </w:r>
    </w:p>
    <w:p w:rsidR="004C38EA" w:rsidRDefault="004C38EA" w:rsidP="00F10794">
      <w:pPr>
        <w:ind w:left="720"/>
        <w:rPr>
          <w:rFonts w:ascii="Calibri" w:hAnsi="Calibri"/>
          <w:b/>
          <w:bCs/>
        </w:rPr>
      </w:pPr>
      <w:r>
        <w:rPr>
          <w:rFonts w:ascii="Calibri" w:hAnsi="Calibri"/>
          <w:b/>
          <w:bCs/>
        </w:rPr>
        <w:t>Specialty physicians employed by contractor</w:t>
      </w:r>
      <w:r>
        <w:rPr>
          <w:rFonts w:ascii="Calibri" w:hAnsi="Calibri"/>
        </w:rPr>
        <w:t>: minimum number of specialty physicians (350 for OU and 200 for OSU) actively enrolled as Medicaid Providers.</w:t>
      </w:r>
    </w:p>
    <w:p w:rsidR="004C38EA" w:rsidRDefault="004C38EA" w:rsidP="00F10794">
      <w:pPr>
        <w:rPr>
          <w:rFonts w:ascii="Calibri" w:hAnsi="Calibri"/>
          <w:b/>
          <w:bCs/>
        </w:rPr>
      </w:pPr>
    </w:p>
    <w:p w:rsidR="004C38EA" w:rsidRDefault="004C38EA" w:rsidP="00F10794">
      <w:pPr>
        <w:rPr>
          <w:rFonts w:ascii="Calibri" w:hAnsi="Calibri"/>
        </w:rPr>
      </w:pPr>
      <w:r>
        <w:rPr>
          <w:rFonts w:ascii="Calibri" w:hAnsi="Calibri"/>
        </w:rPr>
        <w:t>In terms of governance, Oklahoma created the Physician Manpower Training Commission (PMTC) in 1975 to administer programs with the goal of encouraging medical and nursing personnel to practice in rural and underserved areas. The PMTC oversees the Oklahoma Rural Medical Education Scholarship, the Oklahoma Intern-Resident Cost-Sharing Program, the Physician Placement Program, the Nursing Student Assistance Program, the Family Practice Resident Rural Scholarship Program, the Physician/Community Match Loan, and the Physician Assistant Scholarship Program. These programs have been utilized to increase the numbers of residents, physicians, nurses and physicians assistants serving rural areas in Oklahoma.</w:t>
      </w:r>
    </w:p>
    <w:p w:rsidR="004C38EA" w:rsidRDefault="004C38EA" w:rsidP="00F10794">
      <w:pPr>
        <w:rPr>
          <w:rFonts w:ascii="Calibri" w:hAnsi="Calibri"/>
        </w:rPr>
      </w:pPr>
    </w:p>
    <w:p w:rsidR="004C38EA" w:rsidRPr="001247E2" w:rsidRDefault="004C38EA" w:rsidP="00F10794">
      <w:pPr>
        <w:rPr>
          <w:rFonts w:ascii="Calibri" w:hAnsi="Calibri" w:cs="Arial"/>
          <w:b/>
          <w:lang w:eastAsia="en-US"/>
        </w:rPr>
      </w:pPr>
      <w:r w:rsidRPr="001247E2">
        <w:rPr>
          <w:rFonts w:ascii="Calibri" w:hAnsi="Calibri" w:cs="Arial"/>
          <w:b/>
          <w:lang w:eastAsia="en-US"/>
        </w:rPr>
        <w:t>Texas</w:t>
      </w:r>
    </w:p>
    <w:p w:rsidR="004C38EA" w:rsidRPr="001247E2" w:rsidRDefault="004C38EA" w:rsidP="008F6568">
      <w:pPr>
        <w:rPr>
          <w:rFonts w:ascii="Calibri" w:hAnsi="Calibri" w:cs="Arial"/>
          <w:lang w:eastAsia="en-US"/>
        </w:rPr>
      </w:pPr>
    </w:p>
    <w:p w:rsidR="004C38EA" w:rsidRPr="00BD16BC" w:rsidRDefault="004C38EA" w:rsidP="00BD16BC">
      <w:pPr>
        <w:rPr>
          <w:rFonts w:ascii="Calibri" w:hAnsi="Calibri"/>
        </w:rPr>
      </w:pPr>
      <w:r w:rsidRPr="00BD16BC">
        <w:rPr>
          <w:rFonts w:ascii="Calibri" w:hAnsi="Calibri"/>
        </w:rPr>
        <w:t>Texas funds GME through three sources</w:t>
      </w:r>
      <w:r>
        <w:rPr>
          <w:rFonts w:ascii="Calibri" w:hAnsi="Calibri"/>
        </w:rPr>
        <w:t>:</w:t>
      </w:r>
      <w:r w:rsidRPr="00BD16BC">
        <w:rPr>
          <w:rFonts w:ascii="Calibri" w:hAnsi="Calibri"/>
        </w:rPr>
        <w:t xml:space="preserve"> Medicaid, formula funding provided directly </w:t>
      </w:r>
      <w:r>
        <w:rPr>
          <w:rFonts w:ascii="Calibri" w:hAnsi="Calibri"/>
        </w:rPr>
        <w:t>to</w:t>
      </w:r>
      <w:r w:rsidRPr="00BD16BC">
        <w:rPr>
          <w:rFonts w:ascii="Calibri" w:hAnsi="Calibri"/>
        </w:rPr>
        <w:t xml:space="preserve"> medical schools, and the Texas Higher Education Coordinating Board (THECB).  Texas’ organizational structure separates reimbursements for education expenses and medical expenses. Under Texas’ system, Medicaid reimburses certain hospitals for medical expenses incurred through GME, the formula funding supports the education and operation of residency training programs affiliated with one of the </w:t>
      </w:r>
      <w:r w:rsidRPr="00BD16BC">
        <w:rPr>
          <w:rFonts w:ascii="Calibri" w:hAnsi="Calibri"/>
        </w:rPr>
        <w:lastRenderedPageBreak/>
        <w:t xml:space="preserve">state’s eight public and one independent medical schools, while the THECB programs fund specific residency programs and support educational costs. This structure allows the THECB to focus solely on coordinating the educational aspects of GME in relation to all Texas’ higher education needs. </w:t>
      </w:r>
    </w:p>
    <w:p w:rsidR="004C38EA" w:rsidRPr="00BD16BC" w:rsidRDefault="004C38EA" w:rsidP="00BD16BC">
      <w:pPr>
        <w:rPr>
          <w:rFonts w:ascii="Calibri" w:hAnsi="Calibri"/>
        </w:rPr>
      </w:pPr>
    </w:p>
    <w:p w:rsidR="004C38EA" w:rsidRPr="00BD16BC" w:rsidRDefault="004C38EA" w:rsidP="00BD16BC">
      <w:pPr>
        <w:rPr>
          <w:rFonts w:ascii="Calibri" w:hAnsi="Calibri"/>
        </w:rPr>
      </w:pPr>
      <w:r w:rsidRPr="00BD16BC">
        <w:rPr>
          <w:rFonts w:ascii="Calibri" w:hAnsi="Calibri"/>
        </w:rPr>
        <w:t xml:space="preserve">The THECB has several programs to fund GME. All funds go directly to residency programs or to the health-related institutions. The first program provides roughly $4,400 per resident through an allocation formula. The total allocation was $56 million over 2012-2013. In addition, the THECB provides an additional payment of $3,800 per resident to family medicine residents through a trusteed fund that the THECB administers. There are 26 programs, and a total of $5.6 million was provided in 2012-2013. Appropriations have been declining; however, the Texas Legislature recently appropriated an additional $16.35 million for six new programs to support medical and graduate medical education efforts to address concerns about the need for additional GME positions. </w:t>
      </w:r>
    </w:p>
    <w:p w:rsidR="004C38EA" w:rsidRPr="00BD16BC" w:rsidRDefault="004C38EA" w:rsidP="00BD16BC">
      <w:pPr>
        <w:rPr>
          <w:rFonts w:ascii="Calibri" w:hAnsi="Calibri"/>
          <w:sz w:val="22"/>
          <w:szCs w:val="22"/>
        </w:rPr>
      </w:pPr>
    </w:p>
    <w:p w:rsidR="004C38EA" w:rsidRPr="00BD16BC" w:rsidRDefault="004C38EA" w:rsidP="00BD16BC">
      <w:pPr>
        <w:rPr>
          <w:rFonts w:ascii="Calibri" w:hAnsi="Calibri"/>
        </w:rPr>
      </w:pPr>
      <w:r w:rsidRPr="00BD16BC">
        <w:rPr>
          <w:rFonts w:ascii="Calibri" w:hAnsi="Calibri"/>
        </w:rPr>
        <w:t xml:space="preserve">Additionally, Medicaid provides about $32 million per year for GME. To be eligible for Medicaid GME payments, the teaching hospital must be state-owned or operated. There are a total of five eligible hospitals. Each of these hospitals provides funds to match dollars appropriated by the legislature. </w:t>
      </w:r>
    </w:p>
    <w:p w:rsidR="004C38EA" w:rsidRDefault="004C38EA" w:rsidP="008F6568">
      <w:pPr>
        <w:rPr>
          <w:rFonts w:ascii="Calibri" w:hAnsi="Calibri" w:cs="Arial"/>
          <w:lang w:eastAsia="en-US"/>
        </w:rPr>
      </w:pPr>
    </w:p>
    <w:p w:rsidR="004C38EA" w:rsidRPr="005F73C4" w:rsidRDefault="004C38EA" w:rsidP="008F6568">
      <w:pPr>
        <w:rPr>
          <w:rFonts w:ascii="Calibri" w:hAnsi="Calibri" w:cs="Arial"/>
          <w:b/>
          <w:lang w:eastAsia="en-US"/>
        </w:rPr>
      </w:pPr>
      <w:r w:rsidRPr="005F73C4">
        <w:rPr>
          <w:rFonts w:ascii="Calibri" w:hAnsi="Calibri" w:cs="Arial"/>
          <w:b/>
          <w:lang w:eastAsia="en-US"/>
        </w:rPr>
        <w:t>Summary</w:t>
      </w:r>
    </w:p>
    <w:p w:rsidR="004C38EA" w:rsidRDefault="004C38EA" w:rsidP="008F6568">
      <w:pPr>
        <w:rPr>
          <w:rFonts w:ascii="Calibri" w:hAnsi="Calibri" w:cs="Arial"/>
          <w:lang w:eastAsia="en-US"/>
        </w:rPr>
      </w:pPr>
    </w:p>
    <w:p w:rsidR="004C38EA" w:rsidRDefault="004C38EA" w:rsidP="008F6568">
      <w:pPr>
        <w:rPr>
          <w:rFonts w:ascii="Calibri" w:hAnsi="Calibri" w:cs="Arial"/>
          <w:lang w:eastAsia="en-US"/>
        </w:rPr>
      </w:pPr>
      <w:r>
        <w:rPr>
          <w:rFonts w:ascii="Calibri" w:hAnsi="Calibri" w:cs="Arial"/>
          <w:lang w:eastAsia="en-US"/>
        </w:rPr>
        <w:t>In summary, most states provide Medicaid GME funding, and some states have additional funding streams such as cigarette taxes, general fund appropriations, insurer assessments, and other special funds. Some states have coordinating bodies or councils that oversee GME policy and/or funding. There is some variation across states as to the inclusion of non-hospital sites. Across states, it is clear that overall funding levels are subject to state budgetary pressures.</w:t>
      </w:r>
    </w:p>
    <w:p w:rsidR="004C38EA" w:rsidRDefault="004C38EA" w:rsidP="008F6568">
      <w:pPr>
        <w:rPr>
          <w:rFonts w:ascii="Calibri" w:hAnsi="Calibri" w:cs="Arial"/>
          <w:lang w:eastAsia="en-US"/>
        </w:rPr>
      </w:pPr>
    </w:p>
    <w:p w:rsidR="004C38EA" w:rsidRPr="00E64516" w:rsidRDefault="004C38EA" w:rsidP="008F6568">
      <w:pPr>
        <w:rPr>
          <w:rFonts w:ascii="Book Antiqua" w:hAnsi="Book Antiqua" w:cs="Arial"/>
          <w:sz w:val="22"/>
          <w:szCs w:val="22"/>
          <w:lang w:eastAsia="en-US"/>
        </w:rPr>
      </w:pPr>
      <w:r>
        <w:rPr>
          <w:rFonts w:ascii="Book Antiqua" w:hAnsi="Book Antiqua" w:cs="Arial"/>
          <w:sz w:val="22"/>
          <w:szCs w:val="22"/>
          <w:lang w:eastAsia="en-US"/>
        </w:rPr>
        <w:br w:type="page"/>
      </w:r>
    </w:p>
    <w:p w:rsidR="004C38EA" w:rsidRPr="00263F9A" w:rsidRDefault="004C38EA" w:rsidP="00263F9A">
      <w:pPr>
        <w:pStyle w:val="Heading1"/>
      </w:pPr>
      <w:bookmarkStart w:id="8" w:name="_Toc363134028"/>
      <w:bookmarkStart w:id="9" w:name="_Toc333404108"/>
      <w:r>
        <w:t xml:space="preserve">Findings and </w:t>
      </w:r>
      <w:r w:rsidRPr="00263F9A">
        <w:t>Recommendations</w:t>
      </w:r>
      <w:bookmarkEnd w:id="8"/>
    </w:p>
    <w:p w:rsidR="004C38EA" w:rsidRDefault="004C38EA" w:rsidP="00524156"/>
    <w:bookmarkEnd w:id="9"/>
    <w:p w:rsidR="004C38EA" w:rsidRDefault="004C38EA" w:rsidP="00D64902">
      <w:pPr>
        <w:rPr>
          <w:rFonts w:ascii="Calibri" w:hAnsi="Calibri"/>
          <w:b/>
        </w:rPr>
      </w:pPr>
      <w:r>
        <w:rPr>
          <w:rFonts w:ascii="Calibri" w:hAnsi="Calibri"/>
        </w:rPr>
        <w:t xml:space="preserve">In its deliberations, the Commission carefully considered its statutory charge, discussed the information presented at its meetings, and weighed goals for GME in the Commonwealth. As result of this process, the Commission has developed the following findings and recommendations for Graduate Medical Education in the Commonwealth. </w:t>
      </w:r>
    </w:p>
    <w:p w:rsidR="004C38EA" w:rsidRDefault="004C38EA" w:rsidP="00D64902">
      <w:pPr>
        <w:rPr>
          <w:rFonts w:ascii="Calibri" w:hAnsi="Calibri"/>
          <w:b/>
        </w:rPr>
      </w:pPr>
    </w:p>
    <w:p w:rsidR="004C38EA" w:rsidRPr="00684642" w:rsidRDefault="004C38EA" w:rsidP="00D64902">
      <w:pPr>
        <w:rPr>
          <w:rFonts w:ascii="Calibri" w:hAnsi="Calibri"/>
          <w:b/>
        </w:rPr>
      </w:pPr>
      <w:r w:rsidRPr="00684642">
        <w:rPr>
          <w:rFonts w:ascii="Calibri" w:hAnsi="Calibri"/>
          <w:b/>
        </w:rPr>
        <w:t>Findings</w:t>
      </w:r>
    </w:p>
    <w:p w:rsidR="004C38EA" w:rsidRDefault="004C38EA" w:rsidP="00D64902">
      <w:pPr>
        <w:rPr>
          <w:rFonts w:ascii="Calibri" w:hAnsi="Calibri"/>
        </w:rPr>
      </w:pPr>
    </w:p>
    <w:p w:rsidR="004C38EA" w:rsidRPr="008C61EF" w:rsidRDefault="004C38EA" w:rsidP="00D64902">
      <w:pPr>
        <w:rPr>
          <w:rFonts w:ascii="Calibri" w:hAnsi="Calibri"/>
          <w:u w:val="single"/>
        </w:rPr>
      </w:pPr>
      <w:r w:rsidRPr="008C61EF">
        <w:rPr>
          <w:rFonts w:ascii="Calibri" w:hAnsi="Calibri"/>
          <w:u w:val="single"/>
        </w:rPr>
        <w:t>Value of Graduate Medical Education</w:t>
      </w:r>
    </w:p>
    <w:p w:rsidR="004C38EA" w:rsidRPr="008C61EF" w:rsidRDefault="004C38EA" w:rsidP="00D64902">
      <w:pPr>
        <w:rPr>
          <w:rFonts w:ascii="Calibri" w:hAnsi="Calibri"/>
        </w:rPr>
      </w:pPr>
      <w:r w:rsidRPr="008C61EF">
        <w:rPr>
          <w:rFonts w:ascii="Calibri" w:hAnsi="Calibri"/>
        </w:rPr>
        <w:t>The Commission affirms the important role that graduate medical education plays in the Commonwealth. The benefits of graduate medical education include, but are not limited to:</w:t>
      </w:r>
    </w:p>
    <w:p w:rsidR="004C38EA" w:rsidRPr="008C61EF" w:rsidRDefault="004C38EA" w:rsidP="00866855">
      <w:pPr>
        <w:numPr>
          <w:ilvl w:val="0"/>
          <w:numId w:val="35"/>
        </w:numPr>
        <w:rPr>
          <w:rFonts w:ascii="Calibri" w:hAnsi="Calibri"/>
        </w:rPr>
      </w:pPr>
      <w:r w:rsidRPr="008C61EF">
        <w:rPr>
          <w:rFonts w:ascii="Calibri" w:hAnsi="Calibri"/>
        </w:rPr>
        <w:t>Providing clinical care to many patients in the Commonwealth, in both the inpatient and outpatient settings</w:t>
      </w:r>
      <w:r>
        <w:rPr>
          <w:rFonts w:ascii="Calibri" w:hAnsi="Calibri"/>
        </w:rPr>
        <w:t>, that could not otherwise be provided</w:t>
      </w:r>
      <w:r w:rsidRPr="008C61EF">
        <w:rPr>
          <w:rFonts w:ascii="Calibri" w:hAnsi="Calibri"/>
        </w:rPr>
        <w:t>;</w:t>
      </w:r>
    </w:p>
    <w:p w:rsidR="004C38EA" w:rsidRPr="008C61EF" w:rsidRDefault="004C38EA" w:rsidP="00866855">
      <w:pPr>
        <w:numPr>
          <w:ilvl w:val="0"/>
          <w:numId w:val="35"/>
        </w:numPr>
        <w:rPr>
          <w:rFonts w:ascii="Calibri" w:hAnsi="Calibri"/>
        </w:rPr>
      </w:pPr>
      <w:r w:rsidRPr="008C61EF">
        <w:rPr>
          <w:rFonts w:ascii="Calibri" w:hAnsi="Calibri"/>
        </w:rPr>
        <w:t>Training the next generation of physicians to meet the medical needs of residents of the Commonwealth;</w:t>
      </w:r>
    </w:p>
    <w:p w:rsidR="004C38EA" w:rsidRPr="008C61EF" w:rsidRDefault="004C38EA" w:rsidP="00866855">
      <w:pPr>
        <w:numPr>
          <w:ilvl w:val="0"/>
          <w:numId w:val="35"/>
        </w:numPr>
        <w:rPr>
          <w:rFonts w:ascii="Calibri" w:hAnsi="Calibri"/>
        </w:rPr>
      </w:pPr>
      <w:r w:rsidRPr="008C61EF">
        <w:rPr>
          <w:rFonts w:ascii="Calibri" w:hAnsi="Calibri"/>
        </w:rPr>
        <w:t>Providing valuable teaching services, such as in the education of medical students;</w:t>
      </w:r>
    </w:p>
    <w:p w:rsidR="004C38EA" w:rsidRPr="008C61EF" w:rsidRDefault="004C38EA" w:rsidP="00866855">
      <w:pPr>
        <w:numPr>
          <w:ilvl w:val="0"/>
          <w:numId w:val="35"/>
        </w:numPr>
        <w:rPr>
          <w:rFonts w:ascii="Calibri" w:hAnsi="Calibri"/>
        </w:rPr>
      </w:pPr>
      <w:r w:rsidRPr="008C61EF">
        <w:rPr>
          <w:rFonts w:ascii="Calibri" w:hAnsi="Calibri"/>
        </w:rPr>
        <w:t>Promoting innovation in medical care and research;</w:t>
      </w:r>
    </w:p>
    <w:p w:rsidR="004C38EA" w:rsidRPr="008C61EF" w:rsidRDefault="004C38EA" w:rsidP="00866855">
      <w:pPr>
        <w:numPr>
          <w:ilvl w:val="0"/>
          <w:numId w:val="35"/>
        </w:numPr>
        <w:rPr>
          <w:rFonts w:ascii="Calibri" w:hAnsi="Calibri"/>
        </w:rPr>
      </w:pPr>
      <w:r w:rsidRPr="008C61EF">
        <w:rPr>
          <w:rFonts w:ascii="Calibri" w:hAnsi="Calibri"/>
        </w:rPr>
        <w:t>Attracting and retaining talented faculty within the Commonwealth;</w:t>
      </w:r>
    </w:p>
    <w:p w:rsidR="004C38EA" w:rsidRDefault="004C38EA" w:rsidP="00866855">
      <w:pPr>
        <w:numPr>
          <w:ilvl w:val="0"/>
          <w:numId w:val="35"/>
        </w:numPr>
        <w:rPr>
          <w:rFonts w:ascii="Calibri" w:hAnsi="Calibri"/>
        </w:rPr>
      </w:pPr>
      <w:r w:rsidRPr="008C61EF">
        <w:rPr>
          <w:rFonts w:ascii="Calibri" w:hAnsi="Calibri"/>
        </w:rPr>
        <w:t>Providing highly specialized services that are not available in non-academic settings;</w:t>
      </w:r>
    </w:p>
    <w:p w:rsidR="004C38EA" w:rsidRPr="008C61EF" w:rsidRDefault="004C38EA" w:rsidP="00866855">
      <w:pPr>
        <w:numPr>
          <w:ilvl w:val="0"/>
          <w:numId w:val="35"/>
        </w:numPr>
        <w:rPr>
          <w:rFonts w:ascii="Calibri" w:hAnsi="Calibri"/>
        </w:rPr>
      </w:pPr>
      <w:r>
        <w:rPr>
          <w:rFonts w:ascii="Calibri" w:hAnsi="Calibri"/>
        </w:rPr>
        <w:t>Providing care to underserved populations;</w:t>
      </w:r>
    </w:p>
    <w:p w:rsidR="004C38EA" w:rsidRPr="008C61EF" w:rsidRDefault="004C38EA" w:rsidP="00866855">
      <w:pPr>
        <w:numPr>
          <w:ilvl w:val="0"/>
          <w:numId w:val="35"/>
        </w:numPr>
        <w:rPr>
          <w:rFonts w:ascii="Calibri" w:hAnsi="Calibri"/>
        </w:rPr>
      </w:pPr>
      <w:r w:rsidRPr="008C61EF">
        <w:rPr>
          <w:rFonts w:ascii="Calibri" w:hAnsi="Calibri"/>
        </w:rPr>
        <w:t>Attracting grant funding;</w:t>
      </w:r>
      <w:r>
        <w:rPr>
          <w:rFonts w:ascii="Calibri" w:hAnsi="Calibri"/>
        </w:rPr>
        <w:t xml:space="preserve"> and</w:t>
      </w:r>
    </w:p>
    <w:p w:rsidR="004C38EA" w:rsidRPr="008C61EF" w:rsidRDefault="004C38EA" w:rsidP="00866855">
      <w:pPr>
        <w:numPr>
          <w:ilvl w:val="0"/>
          <w:numId w:val="35"/>
        </w:numPr>
        <w:rPr>
          <w:rFonts w:ascii="Calibri" w:hAnsi="Calibri"/>
        </w:rPr>
      </w:pPr>
      <w:r w:rsidRPr="008C61EF">
        <w:rPr>
          <w:rFonts w:ascii="Calibri" w:hAnsi="Calibri"/>
        </w:rPr>
        <w:t>Contributing to the local economy.</w:t>
      </w:r>
    </w:p>
    <w:p w:rsidR="004C38EA" w:rsidRDefault="004C38EA" w:rsidP="00D64902">
      <w:pPr>
        <w:rPr>
          <w:rFonts w:ascii="Calibri" w:hAnsi="Calibri"/>
        </w:rPr>
      </w:pPr>
    </w:p>
    <w:p w:rsidR="004C38EA" w:rsidRPr="008C61EF" w:rsidRDefault="004C38EA" w:rsidP="00D64902">
      <w:pPr>
        <w:rPr>
          <w:rFonts w:ascii="Calibri" w:hAnsi="Calibri"/>
          <w:u w:val="single"/>
        </w:rPr>
      </w:pPr>
      <w:r w:rsidRPr="008C61EF">
        <w:rPr>
          <w:rFonts w:ascii="Calibri" w:hAnsi="Calibri"/>
          <w:u w:val="single"/>
        </w:rPr>
        <w:t>Impact of payment and delivery system reform</w:t>
      </w:r>
    </w:p>
    <w:p w:rsidR="004C38EA" w:rsidRPr="008C61EF" w:rsidRDefault="004C38EA" w:rsidP="00D64902">
      <w:pPr>
        <w:rPr>
          <w:rFonts w:ascii="Calibri" w:hAnsi="Calibri"/>
        </w:rPr>
      </w:pPr>
      <w:r w:rsidRPr="008C61EF">
        <w:rPr>
          <w:rFonts w:ascii="Calibri" w:hAnsi="Calibri"/>
        </w:rPr>
        <w:t xml:space="preserve">The Commission recognizes that payment and delivery system reform may change the healthcare landscape in the Commonwealth, such as by increasing demand for primary care </w:t>
      </w:r>
      <w:r>
        <w:rPr>
          <w:rFonts w:ascii="Calibri" w:hAnsi="Calibri"/>
        </w:rPr>
        <w:t>clinicians</w:t>
      </w:r>
      <w:r w:rsidRPr="008C61EF">
        <w:rPr>
          <w:rFonts w:ascii="Calibri" w:hAnsi="Calibri"/>
        </w:rPr>
        <w:t xml:space="preserve"> and requiring provision of coordinated, team-based care. These changes will affect the demands on the GME system moving forward</w:t>
      </w:r>
      <w:r>
        <w:rPr>
          <w:rFonts w:ascii="Calibri" w:hAnsi="Calibri"/>
        </w:rPr>
        <w:t>, including the supply of and demand for different types of specialties of providers as well as the type of training that will be needed</w:t>
      </w:r>
      <w:r w:rsidRPr="008C61EF">
        <w:rPr>
          <w:rFonts w:ascii="Calibri" w:hAnsi="Calibri"/>
        </w:rPr>
        <w:t>.</w:t>
      </w:r>
    </w:p>
    <w:p w:rsidR="004C38EA" w:rsidRDefault="004C38EA" w:rsidP="00D64902">
      <w:pPr>
        <w:rPr>
          <w:rFonts w:ascii="Calibri" w:hAnsi="Calibri"/>
        </w:rPr>
      </w:pPr>
    </w:p>
    <w:p w:rsidR="004C38EA" w:rsidRPr="008C61EF" w:rsidRDefault="004C38EA" w:rsidP="00D64902">
      <w:pPr>
        <w:rPr>
          <w:rFonts w:ascii="Calibri" w:hAnsi="Calibri"/>
          <w:u w:val="single"/>
        </w:rPr>
      </w:pPr>
      <w:r w:rsidRPr="008C61EF">
        <w:rPr>
          <w:rFonts w:ascii="Calibri" w:hAnsi="Calibri"/>
          <w:u w:val="single"/>
        </w:rPr>
        <w:t>Financing structure</w:t>
      </w:r>
    </w:p>
    <w:p w:rsidR="004C38EA" w:rsidRDefault="004C38EA" w:rsidP="004661E9">
      <w:pPr>
        <w:rPr>
          <w:rFonts w:ascii="Calibri" w:hAnsi="Calibri"/>
        </w:rPr>
      </w:pPr>
      <w:r w:rsidRPr="008C61EF">
        <w:rPr>
          <w:rFonts w:ascii="Calibri" w:hAnsi="Calibri"/>
        </w:rPr>
        <w:t xml:space="preserve">While it is difficult to determine whether the current level of </w:t>
      </w:r>
      <w:r>
        <w:rPr>
          <w:rFonts w:ascii="Calibri" w:hAnsi="Calibri"/>
        </w:rPr>
        <w:t xml:space="preserve">GME </w:t>
      </w:r>
      <w:r w:rsidRPr="008C61EF">
        <w:rPr>
          <w:rFonts w:ascii="Calibri" w:hAnsi="Calibri"/>
        </w:rPr>
        <w:t>funding is adequate</w:t>
      </w:r>
      <w:r>
        <w:rPr>
          <w:rFonts w:ascii="Calibri" w:hAnsi="Calibri"/>
        </w:rPr>
        <w:t xml:space="preserve"> using available data and analyses</w:t>
      </w:r>
      <w:r w:rsidRPr="008C61EF">
        <w:rPr>
          <w:rFonts w:ascii="Calibri" w:hAnsi="Calibri"/>
        </w:rPr>
        <w:t xml:space="preserve">, the Commission acknowledges that the current formulas for the distribution of funds </w:t>
      </w:r>
      <w:r>
        <w:rPr>
          <w:rFonts w:ascii="Calibri" w:hAnsi="Calibri"/>
        </w:rPr>
        <w:t xml:space="preserve">are not optimally structured to </w:t>
      </w:r>
      <w:r w:rsidRPr="008C61EF">
        <w:rPr>
          <w:rFonts w:ascii="Calibri" w:hAnsi="Calibri"/>
        </w:rPr>
        <w:t>ensure that programs are appropriately compensated for their incurred costs.</w:t>
      </w:r>
      <w:r>
        <w:rPr>
          <w:rFonts w:ascii="Calibri" w:hAnsi="Calibri"/>
        </w:rPr>
        <w:t xml:space="preserve"> In reaching this finding, t</w:t>
      </w:r>
      <w:r w:rsidRPr="008C61EF">
        <w:rPr>
          <w:rFonts w:ascii="Calibri" w:hAnsi="Calibri"/>
        </w:rPr>
        <w:t>he Commission reviewed other s</w:t>
      </w:r>
      <w:r>
        <w:rPr>
          <w:rFonts w:ascii="Calibri" w:hAnsi="Calibri"/>
        </w:rPr>
        <w:t>tates’ approaches to funding GME, as well as</w:t>
      </w:r>
      <w:r w:rsidRPr="008C61EF">
        <w:rPr>
          <w:rFonts w:ascii="Calibri" w:hAnsi="Calibri"/>
        </w:rPr>
        <w:t xml:space="preserve"> estimates of the adequacy of GME funding from all sources, which demonstrate a range of estimated costs associated with GME funding and rely on a number of assumptions.  </w:t>
      </w:r>
    </w:p>
    <w:p w:rsidR="004C38EA" w:rsidRDefault="004C38EA" w:rsidP="004661E9">
      <w:pPr>
        <w:rPr>
          <w:rFonts w:ascii="Calibri" w:hAnsi="Calibri"/>
        </w:rPr>
      </w:pPr>
    </w:p>
    <w:p w:rsidR="004C38EA" w:rsidRDefault="004C38EA" w:rsidP="004661E9">
      <w:pPr>
        <w:rPr>
          <w:rFonts w:ascii="Calibri" w:hAnsi="Calibri"/>
        </w:rPr>
      </w:pPr>
    </w:p>
    <w:p w:rsidR="004C38EA" w:rsidRDefault="004C38EA" w:rsidP="004661E9">
      <w:pPr>
        <w:rPr>
          <w:rFonts w:ascii="Calibri" w:hAnsi="Calibri"/>
        </w:rPr>
      </w:pPr>
    </w:p>
    <w:p w:rsidR="004C38EA" w:rsidRDefault="004C38EA">
      <w:pPr>
        <w:keepNext/>
        <w:rPr>
          <w:rFonts w:ascii="Calibri" w:hAnsi="Calibri"/>
          <w:b/>
        </w:rPr>
      </w:pPr>
      <w:r w:rsidRPr="00684642">
        <w:rPr>
          <w:rFonts w:ascii="Calibri" w:hAnsi="Calibri"/>
          <w:b/>
        </w:rPr>
        <w:lastRenderedPageBreak/>
        <w:t>Recommendations</w:t>
      </w:r>
    </w:p>
    <w:p w:rsidR="004C38EA" w:rsidRDefault="004C38EA">
      <w:pPr>
        <w:keepNext/>
        <w:rPr>
          <w:rFonts w:ascii="Calibri" w:hAnsi="Calibri"/>
        </w:rPr>
      </w:pPr>
    </w:p>
    <w:p w:rsidR="004C38EA" w:rsidRDefault="004C38EA">
      <w:pPr>
        <w:keepNext/>
        <w:rPr>
          <w:rFonts w:ascii="Calibri" w:hAnsi="Calibri"/>
          <w:u w:val="single"/>
        </w:rPr>
      </w:pPr>
      <w:r w:rsidRPr="00684642">
        <w:rPr>
          <w:rFonts w:ascii="Calibri" w:hAnsi="Calibri"/>
          <w:u w:val="single"/>
        </w:rPr>
        <w:t>Financing of Graduate Medical Education</w:t>
      </w:r>
    </w:p>
    <w:p w:rsidR="004C38EA" w:rsidRDefault="004C38EA" w:rsidP="00D64902">
      <w:pPr>
        <w:rPr>
          <w:rFonts w:ascii="Calibri" w:hAnsi="Calibri"/>
        </w:rPr>
      </w:pPr>
      <w:r>
        <w:rPr>
          <w:rFonts w:ascii="Calibri" w:hAnsi="Calibri"/>
        </w:rPr>
        <w:t>In recognition of the important role played by GME in the Commonwealth and in recognition that the current system does not optimally structure GME payments, t</w:t>
      </w:r>
      <w:r w:rsidRPr="008C61EF">
        <w:rPr>
          <w:rFonts w:ascii="Calibri" w:hAnsi="Calibri"/>
        </w:rPr>
        <w:t xml:space="preserve">he Commission supports </w:t>
      </w:r>
      <w:r>
        <w:rPr>
          <w:rFonts w:ascii="Calibri" w:hAnsi="Calibri"/>
        </w:rPr>
        <w:t xml:space="preserve">additional </w:t>
      </w:r>
      <w:r w:rsidRPr="008C61EF">
        <w:rPr>
          <w:rFonts w:ascii="Calibri" w:hAnsi="Calibri"/>
        </w:rPr>
        <w:t xml:space="preserve">funding </w:t>
      </w:r>
      <w:r>
        <w:rPr>
          <w:rFonts w:ascii="Calibri" w:hAnsi="Calibri"/>
        </w:rPr>
        <w:t xml:space="preserve">for GME </w:t>
      </w:r>
      <w:r w:rsidRPr="008C61EF">
        <w:rPr>
          <w:rFonts w:ascii="Calibri" w:hAnsi="Calibri"/>
        </w:rPr>
        <w:t>that is tied to performance benchmarks</w:t>
      </w:r>
      <w:r>
        <w:rPr>
          <w:rFonts w:ascii="Calibri" w:hAnsi="Calibri"/>
        </w:rPr>
        <w:t xml:space="preserve">. These performance benchmarks should </w:t>
      </w:r>
      <w:r w:rsidRPr="008C61EF">
        <w:rPr>
          <w:rFonts w:ascii="Calibri" w:hAnsi="Calibri"/>
        </w:rPr>
        <w:t>take into consideration factors such as</w:t>
      </w:r>
      <w:r>
        <w:rPr>
          <w:rFonts w:ascii="Calibri" w:hAnsi="Calibri"/>
        </w:rPr>
        <w:t>:</w:t>
      </w:r>
    </w:p>
    <w:p w:rsidR="004C38EA" w:rsidRDefault="004C38EA" w:rsidP="00D64902">
      <w:pPr>
        <w:rPr>
          <w:rFonts w:ascii="Calibri" w:hAnsi="Calibri"/>
        </w:rPr>
      </w:pPr>
    </w:p>
    <w:p w:rsidR="004C38EA" w:rsidRPr="004578F2" w:rsidRDefault="004C38EA" w:rsidP="004578F2">
      <w:pPr>
        <w:pStyle w:val="ListParagraph"/>
        <w:numPr>
          <w:ilvl w:val="0"/>
          <w:numId w:val="49"/>
        </w:numPr>
        <w:rPr>
          <w:rFonts w:ascii="Calibri" w:hAnsi="Calibri"/>
        </w:rPr>
      </w:pPr>
      <w:r>
        <w:rPr>
          <w:rFonts w:ascii="Calibri" w:hAnsi="Calibri"/>
        </w:rPr>
        <w:t>R</w:t>
      </w:r>
      <w:r w:rsidRPr="004578F2">
        <w:rPr>
          <w:rFonts w:ascii="Calibri" w:hAnsi="Calibri"/>
        </w:rPr>
        <w:t>etention rates of physicians within the Commonwealth</w:t>
      </w:r>
      <w:r>
        <w:rPr>
          <w:rFonts w:ascii="Calibri" w:hAnsi="Calibri"/>
        </w:rPr>
        <w:t>;</w:t>
      </w:r>
    </w:p>
    <w:p w:rsidR="004C38EA" w:rsidRPr="004578F2" w:rsidRDefault="004C38EA" w:rsidP="004578F2">
      <w:pPr>
        <w:pStyle w:val="ListParagraph"/>
        <w:numPr>
          <w:ilvl w:val="0"/>
          <w:numId w:val="49"/>
        </w:numPr>
        <w:rPr>
          <w:rFonts w:ascii="Calibri" w:hAnsi="Calibri"/>
        </w:rPr>
      </w:pPr>
      <w:r>
        <w:rPr>
          <w:rFonts w:ascii="Calibri" w:hAnsi="Calibri"/>
        </w:rPr>
        <w:t>T</w:t>
      </w:r>
      <w:r w:rsidRPr="004578F2">
        <w:rPr>
          <w:rFonts w:ascii="Calibri" w:hAnsi="Calibri"/>
        </w:rPr>
        <w:t>raining of physicians in specialties where there are physician shortages (such as those that currently exist in primary care, psychiatry, and general surgery)</w:t>
      </w:r>
      <w:r>
        <w:rPr>
          <w:rFonts w:ascii="Calibri" w:hAnsi="Calibri"/>
        </w:rPr>
        <w:t>;</w:t>
      </w:r>
    </w:p>
    <w:p w:rsidR="004C38EA" w:rsidRPr="004578F2" w:rsidRDefault="004C38EA" w:rsidP="004578F2">
      <w:pPr>
        <w:pStyle w:val="ListParagraph"/>
        <w:numPr>
          <w:ilvl w:val="0"/>
          <w:numId w:val="49"/>
        </w:numPr>
        <w:rPr>
          <w:rFonts w:ascii="Calibri" w:hAnsi="Calibri"/>
        </w:rPr>
      </w:pPr>
      <w:r>
        <w:rPr>
          <w:rFonts w:ascii="Calibri" w:hAnsi="Calibri"/>
        </w:rPr>
        <w:t>T</w:t>
      </w:r>
      <w:r w:rsidRPr="004578F2">
        <w:rPr>
          <w:rFonts w:ascii="Calibri" w:hAnsi="Calibri"/>
        </w:rPr>
        <w:t>raining of physicians in community health centers, following the model of the Teaching Health Center Graduate Medical Education Program,</w:t>
      </w:r>
      <w:r>
        <w:rPr>
          <w:rFonts w:ascii="Calibri" w:hAnsi="Calibri"/>
        </w:rPr>
        <w:t xml:space="preserve"> </w:t>
      </w:r>
      <w:r w:rsidRPr="004578F2">
        <w:rPr>
          <w:rFonts w:ascii="Calibri" w:hAnsi="Calibri"/>
        </w:rPr>
        <w:t xml:space="preserve">or other programs sites and geographic areas that will help address physician shortages in those practice settings or areas, particularly those with vulnerable populations, provided that these program sites </w:t>
      </w:r>
      <w:r>
        <w:rPr>
          <w:rFonts w:ascii="Calibri" w:hAnsi="Calibri"/>
        </w:rPr>
        <w:t xml:space="preserve">are affiliated with </w:t>
      </w:r>
      <w:r w:rsidRPr="004578F2">
        <w:rPr>
          <w:rFonts w:ascii="Calibri" w:hAnsi="Calibri"/>
        </w:rPr>
        <w:t xml:space="preserve">accredited training programs; </w:t>
      </w:r>
    </w:p>
    <w:p w:rsidR="004C38EA" w:rsidRPr="004578F2" w:rsidRDefault="004C38EA" w:rsidP="004578F2">
      <w:pPr>
        <w:pStyle w:val="ListParagraph"/>
        <w:numPr>
          <w:ilvl w:val="0"/>
          <w:numId w:val="49"/>
        </w:numPr>
        <w:rPr>
          <w:rFonts w:ascii="Calibri" w:hAnsi="Calibri"/>
        </w:rPr>
      </w:pPr>
      <w:r>
        <w:rPr>
          <w:rFonts w:ascii="Calibri" w:hAnsi="Calibri"/>
        </w:rPr>
        <w:t>Q</w:t>
      </w:r>
      <w:r w:rsidRPr="004578F2">
        <w:rPr>
          <w:rFonts w:ascii="Calibri" w:hAnsi="Calibri"/>
        </w:rPr>
        <w:t xml:space="preserve">uality measures for Graduate Medical Education; and </w:t>
      </w:r>
    </w:p>
    <w:p w:rsidR="004C38EA" w:rsidRPr="004578F2" w:rsidRDefault="004C38EA" w:rsidP="004578F2">
      <w:pPr>
        <w:pStyle w:val="ListParagraph"/>
        <w:numPr>
          <w:ilvl w:val="0"/>
          <w:numId w:val="49"/>
        </w:numPr>
        <w:rPr>
          <w:rFonts w:ascii="Calibri" w:hAnsi="Calibri"/>
        </w:rPr>
      </w:pPr>
      <w:r>
        <w:rPr>
          <w:rFonts w:ascii="Calibri" w:hAnsi="Calibri"/>
        </w:rPr>
        <w:t>P</w:t>
      </w:r>
      <w:r w:rsidRPr="004578F2">
        <w:rPr>
          <w:rFonts w:ascii="Calibri" w:hAnsi="Calibri"/>
        </w:rPr>
        <w:t xml:space="preserve">rovision of training that supports the goals of payment and delivery system reform and transparency in expenditure of funds. </w:t>
      </w:r>
    </w:p>
    <w:p w:rsidR="004C38EA" w:rsidRDefault="004C38EA" w:rsidP="00D64902">
      <w:pPr>
        <w:rPr>
          <w:rFonts w:ascii="Calibri" w:hAnsi="Calibri"/>
        </w:rPr>
      </w:pPr>
    </w:p>
    <w:p w:rsidR="004C38EA" w:rsidRPr="008C61EF" w:rsidRDefault="004C38EA" w:rsidP="00D64902">
      <w:pPr>
        <w:rPr>
          <w:rFonts w:ascii="Calibri" w:hAnsi="Calibri"/>
        </w:rPr>
      </w:pPr>
      <w:r>
        <w:rPr>
          <w:rFonts w:ascii="Calibri" w:hAnsi="Calibri"/>
        </w:rPr>
        <w:t>These performance considerations should apply to existing and additional funding sources. The financing system should encourage a graduate medical education system that is nimble in responding to the needs of the Commonwealth.</w:t>
      </w:r>
    </w:p>
    <w:p w:rsidR="004C38EA" w:rsidRDefault="004C38EA" w:rsidP="00D64902">
      <w:pPr>
        <w:rPr>
          <w:rFonts w:ascii="Calibri" w:hAnsi="Calibri"/>
        </w:rPr>
      </w:pPr>
    </w:p>
    <w:p w:rsidR="004C38EA" w:rsidRPr="00B82705" w:rsidRDefault="004C38EA" w:rsidP="00D64902">
      <w:pPr>
        <w:rPr>
          <w:rFonts w:ascii="Calibri" w:hAnsi="Calibri"/>
          <w:u w:val="single"/>
        </w:rPr>
      </w:pPr>
      <w:r w:rsidRPr="00B82705">
        <w:rPr>
          <w:rFonts w:ascii="Calibri" w:hAnsi="Calibri"/>
          <w:u w:val="single"/>
        </w:rPr>
        <w:t xml:space="preserve">Governance </w:t>
      </w:r>
    </w:p>
    <w:p w:rsidR="004C38EA" w:rsidRDefault="004C38EA" w:rsidP="00D64902">
      <w:pPr>
        <w:rPr>
          <w:rFonts w:ascii="Calibri" w:hAnsi="Calibri"/>
        </w:rPr>
      </w:pPr>
      <w:r>
        <w:rPr>
          <w:rFonts w:ascii="Calibri" w:hAnsi="Calibri"/>
        </w:rPr>
        <w:t>To enhance the focus on GME in the Commonwealth, t</w:t>
      </w:r>
      <w:r w:rsidRPr="008C61EF">
        <w:rPr>
          <w:rFonts w:ascii="Calibri" w:hAnsi="Calibri"/>
        </w:rPr>
        <w:t xml:space="preserve">he Commission recommends that </w:t>
      </w:r>
      <w:r>
        <w:rPr>
          <w:rFonts w:ascii="Calibri" w:hAnsi="Calibri"/>
        </w:rPr>
        <w:t xml:space="preserve">a specific entity be given clear responsibilities related to Graduate Medical Education. The Commission recommends that these responsibilities be assigned to the </w:t>
      </w:r>
      <w:r w:rsidRPr="008C61EF">
        <w:rPr>
          <w:rFonts w:ascii="Calibri" w:hAnsi="Calibri"/>
        </w:rPr>
        <w:t>Health Care Workforce Center.</w:t>
      </w:r>
      <w:r>
        <w:rPr>
          <w:rFonts w:ascii="Calibri" w:hAnsi="Calibri"/>
        </w:rPr>
        <w:t xml:space="preserve"> The Commission further recommends that the Health Care Workforce Center convene an advisory committee on Graduate Medical Education that includes representatives of the organizations included in the Special Commission on Graduate Medical Education. </w:t>
      </w:r>
    </w:p>
    <w:p w:rsidR="004C38EA" w:rsidRPr="008C61EF" w:rsidRDefault="004C38EA" w:rsidP="00D64902">
      <w:pPr>
        <w:rPr>
          <w:rFonts w:ascii="Calibri" w:hAnsi="Calibri"/>
        </w:rPr>
      </w:pPr>
    </w:p>
    <w:p w:rsidR="004C38EA" w:rsidRDefault="004C38EA" w:rsidP="00D64902">
      <w:pPr>
        <w:rPr>
          <w:rFonts w:ascii="Calibri" w:hAnsi="Calibri"/>
        </w:rPr>
      </w:pPr>
      <w:r>
        <w:rPr>
          <w:rFonts w:ascii="Calibri" w:hAnsi="Calibri"/>
        </w:rPr>
        <w:t>R</w:t>
      </w:r>
      <w:r w:rsidRPr="008C61EF">
        <w:rPr>
          <w:rFonts w:ascii="Calibri" w:hAnsi="Calibri"/>
        </w:rPr>
        <w:t xml:space="preserve">esponsibilities </w:t>
      </w:r>
      <w:r>
        <w:rPr>
          <w:rFonts w:ascii="Calibri" w:hAnsi="Calibri"/>
        </w:rPr>
        <w:t xml:space="preserve">of the Health Care Workforce Center should include: data collection (as discussed in the next recommendation), communication about the importance of GME; coordination of efforts with the Health Planning Council, the Department of Public Health, EOHHS/MassHealth, the Health Care Workforce Trust Fund Advisory Board, and the Health Policy Commission, among others; coordination with and support to loan forgiveness and other workforce retention initiatives; and oversight over the distribution of additional funding, as described above. </w:t>
      </w:r>
    </w:p>
    <w:p w:rsidR="004C38EA" w:rsidRDefault="004C38EA" w:rsidP="00D64902">
      <w:pPr>
        <w:rPr>
          <w:rFonts w:ascii="Calibri" w:hAnsi="Calibri"/>
        </w:rPr>
      </w:pPr>
    </w:p>
    <w:p w:rsidR="004C38EA" w:rsidRPr="00B82705" w:rsidRDefault="004C38EA" w:rsidP="00D64902">
      <w:pPr>
        <w:rPr>
          <w:rFonts w:ascii="Calibri" w:hAnsi="Calibri"/>
          <w:u w:val="single"/>
        </w:rPr>
      </w:pPr>
      <w:r w:rsidRPr="00B82705">
        <w:rPr>
          <w:rFonts w:ascii="Calibri" w:hAnsi="Calibri"/>
          <w:u w:val="single"/>
        </w:rPr>
        <w:t>Data Collection:</w:t>
      </w:r>
    </w:p>
    <w:p w:rsidR="004C38EA" w:rsidRDefault="004C38EA" w:rsidP="00D64902">
      <w:pPr>
        <w:rPr>
          <w:rFonts w:ascii="Calibri" w:hAnsi="Calibri"/>
        </w:rPr>
      </w:pPr>
      <w:r>
        <w:rPr>
          <w:rFonts w:ascii="Calibri" w:hAnsi="Calibri"/>
        </w:rPr>
        <w:t xml:space="preserve">The Commission identified a number of areas where additional data related to GME </w:t>
      </w:r>
      <w:r w:rsidRPr="008C61EF">
        <w:rPr>
          <w:rFonts w:ascii="Calibri" w:hAnsi="Calibri"/>
        </w:rPr>
        <w:t>in the Commonwealth</w:t>
      </w:r>
      <w:r>
        <w:rPr>
          <w:rFonts w:ascii="Calibri" w:hAnsi="Calibri"/>
        </w:rPr>
        <w:t xml:space="preserve"> could be useful. Data collection should be undertaken by the Health Care Workforce </w:t>
      </w:r>
      <w:r>
        <w:rPr>
          <w:rFonts w:ascii="Calibri" w:hAnsi="Calibri"/>
        </w:rPr>
        <w:lastRenderedPageBreak/>
        <w:t xml:space="preserve">Center and should be coordinated with existing data collection efforts. Data to be collected should include: </w:t>
      </w:r>
      <w:r w:rsidRPr="008C61EF">
        <w:rPr>
          <w:rFonts w:ascii="Calibri" w:hAnsi="Calibri"/>
        </w:rPr>
        <w:t>tracking the number and geographic and specialty distribution of programs in the Commonwealth</w:t>
      </w:r>
      <w:r>
        <w:rPr>
          <w:rFonts w:ascii="Calibri" w:hAnsi="Calibri"/>
        </w:rPr>
        <w:t xml:space="preserve">; tracking physician workforce, including actual practicing full-time equivalent physicians; tracking program distribution by the demographic mix of the populations served; monitoring the funding received by programs in the Commonwealth for GME as well as related workforce programs; monitoring the retention of trainees, by </w:t>
      </w:r>
      <w:r w:rsidRPr="008C61EF">
        <w:rPr>
          <w:rFonts w:ascii="Calibri" w:hAnsi="Calibri"/>
        </w:rPr>
        <w:t>specialty</w:t>
      </w:r>
      <w:r>
        <w:rPr>
          <w:rFonts w:ascii="Calibri" w:hAnsi="Calibri"/>
        </w:rPr>
        <w:t xml:space="preserve">, </w:t>
      </w:r>
      <w:r w:rsidRPr="008C61EF">
        <w:rPr>
          <w:rFonts w:ascii="Calibri" w:hAnsi="Calibri"/>
        </w:rPr>
        <w:t>geographic region</w:t>
      </w:r>
      <w:r>
        <w:rPr>
          <w:rFonts w:ascii="Calibri" w:hAnsi="Calibri"/>
        </w:rPr>
        <w:t>, practice setting, and population demographics; monitoring the quality of GME programs; and monitoring the impact of Massachusetts GME programs on the Commonwealth and the nation.</w:t>
      </w:r>
    </w:p>
    <w:p w:rsidR="004C38EA" w:rsidRPr="006B7889" w:rsidRDefault="004C38EA" w:rsidP="00CC79CD">
      <w:pPr>
        <w:rPr>
          <w:rStyle w:val="Strong"/>
          <w:rFonts w:ascii="Book Antiqua" w:hAnsi="Book Antiqua"/>
        </w:rPr>
      </w:pPr>
      <w:r>
        <w:rPr>
          <w:rFonts w:ascii="Calibri" w:hAnsi="Calibri"/>
        </w:rPr>
        <w:br w:type="page"/>
      </w:r>
    </w:p>
    <w:p w:rsidR="004C38EA" w:rsidRPr="006B7889" w:rsidRDefault="004C38EA" w:rsidP="006B7889">
      <w:pPr>
        <w:pStyle w:val="Heading1Left0"/>
        <w:rPr>
          <w:rStyle w:val="Strong"/>
          <w:b/>
        </w:rPr>
      </w:pPr>
      <w:bookmarkStart w:id="10" w:name="_Toc363134029"/>
      <w:r>
        <w:rPr>
          <w:rStyle w:val="Strong"/>
          <w:b/>
        </w:rPr>
        <w:t>Appendix :</w:t>
      </w:r>
      <w:r w:rsidRPr="006B7889">
        <w:rPr>
          <w:rStyle w:val="Strong"/>
          <w:b/>
        </w:rPr>
        <w:t xml:space="preserve"> Briefing Book</w:t>
      </w:r>
      <w:bookmarkEnd w:id="10"/>
      <w:r w:rsidRPr="006B7889">
        <w:rPr>
          <w:rStyle w:val="Strong"/>
          <w:b/>
        </w:rPr>
        <w:t xml:space="preserve"> </w:t>
      </w:r>
    </w:p>
    <w:p w:rsidR="004C38EA" w:rsidRPr="006B7889" w:rsidRDefault="004C38EA" w:rsidP="00CC79CD">
      <w:pPr>
        <w:rPr>
          <w:rFonts w:ascii="Calibri" w:hAnsi="Calibri"/>
        </w:rPr>
      </w:pPr>
    </w:p>
    <w:p w:rsidR="004C38EA" w:rsidRPr="006B7889" w:rsidRDefault="004C38EA" w:rsidP="00CC79CD">
      <w:pPr>
        <w:rPr>
          <w:rFonts w:ascii="Calibri" w:hAnsi="Calibri"/>
          <w:b/>
          <w:u w:val="single"/>
        </w:rPr>
      </w:pPr>
      <w:r w:rsidRPr="006B7889">
        <w:rPr>
          <w:rFonts w:ascii="Calibri" w:hAnsi="Calibri"/>
          <w:b/>
          <w:u w:val="single"/>
        </w:rPr>
        <w:t>Materials and Documents</w:t>
      </w:r>
    </w:p>
    <w:p w:rsidR="004C38EA" w:rsidRPr="006B7889" w:rsidRDefault="004C38EA" w:rsidP="00CC79CD">
      <w:pPr>
        <w:rPr>
          <w:rFonts w:ascii="Calibri" w:hAnsi="Calibri"/>
        </w:rPr>
      </w:pPr>
    </w:p>
    <w:p w:rsidR="004C38EA" w:rsidRPr="006B7889" w:rsidRDefault="004C38EA" w:rsidP="00CC79CD">
      <w:pPr>
        <w:numPr>
          <w:ilvl w:val="0"/>
          <w:numId w:val="43"/>
        </w:numPr>
        <w:rPr>
          <w:rFonts w:ascii="Calibri" w:hAnsi="Calibri"/>
        </w:rPr>
      </w:pPr>
      <w:r w:rsidRPr="006B7889">
        <w:rPr>
          <w:rFonts w:ascii="Calibri" w:hAnsi="Calibri"/>
          <w:b/>
        </w:rPr>
        <w:t>2012 MMS Physician Workforce Study</w:t>
      </w:r>
      <w:r w:rsidRPr="006B7889">
        <w:rPr>
          <w:rFonts w:ascii="Calibri" w:hAnsi="Calibri"/>
        </w:rPr>
        <w:t xml:space="preserve"> </w:t>
      </w:r>
      <w:r w:rsidRPr="00150F8D">
        <w:rPr>
          <w:rFonts w:ascii="Calibri" w:hAnsi="Calibri"/>
        </w:rPr>
        <w:br/>
      </w:r>
      <w:hyperlink r:id="rId17" w:history="1">
        <w:r w:rsidRPr="006B7889">
          <w:rPr>
            <w:rStyle w:val="Hyperlink"/>
            <w:rFonts w:ascii="Calibri" w:hAnsi="Calibri"/>
          </w:rPr>
          <w:t>http://www.massmed.org/AM/Template.cfm?Section=Research_Reports_and_Studies2&amp;TEMPLATE=/CM/ContentDisplay.cfm&amp;CONTENTID=77980</w:t>
        </w:r>
      </w:hyperlink>
      <w:r w:rsidRPr="00150F8D">
        <w:rPr>
          <w:rFonts w:ascii="Calibri" w:hAnsi="Calibri"/>
        </w:rPr>
        <w:br/>
      </w:r>
    </w:p>
    <w:p w:rsidR="004C38EA" w:rsidRPr="001E1D57" w:rsidRDefault="004C38EA" w:rsidP="001E1D57">
      <w:pPr>
        <w:numPr>
          <w:ilvl w:val="0"/>
          <w:numId w:val="43"/>
        </w:numPr>
        <w:rPr>
          <w:rFonts w:ascii="Calibri" w:hAnsi="Calibri"/>
          <w:b/>
        </w:rPr>
      </w:pPr>
      <w:r w:rsidRPr="006B7889">
        <w:rPr>
          <w:rFonts w:ascii="Calibri" w:hAnsi="Calibri"/>
          <w:b/>
        </w:rPr>
        <w:t xml:space="preserve">AAMC Medicaid Graduate Medical Education Payments: A 50-State Survey </w:t>
      </w:r>
      <w:r w:rsidRPr="001E1D57">
        <w:rPr>
          <w:rFonts w:ascii="Calibri" w:hAnsi="Calibri"/>
          <w:i/>
        </w:rPr>
        <w:br/>
      </w:r>
    </w:p>
    <w:p w:rsidR="004C38EA" w:rsidRPr="006B7889" w:rsidRDefault="004C38EA" w:rsidP="00CC79CD">
      <w:pPr>
        <w:numPr>
          <w:ilvl w:val="0"/>
          <w:numId w:val="43"/>
        </w:numPr>
        <w:rPr>
          <w:rFonts w:ascii="Calibri" w:hAnsi="Calibri"/>
          <w:b/>
        </w:rPr>
      </w:pPr>
      <w:r w:rsidRPr="006B7889">
        <w:rPr>
          <w:rFonts w:ascii="Calibri" w:hAnsi="Calibri"/>
          <w:b/>
        </w:rPr>
        <w:t>AAMC 2011 State Physician Workforce Data Book</w:t>
      </w:r>
    </w:p>
    <w:p w:rsidR="004C38EA" w:rsidRPr="006B7889" w:rsidRDefault="00211E86" w:rsidP="00CC79CD">
      <w:pPr>
        <w:ind w:left="720"/>
        <w:rPr>
          <w:rFonts w:ascii="Calibri" w:hAnsi="Calibri"/>
        </w:rPr>
      </w:pPr>
      <w:hyperlink r:id="rId18" w:history="1">
        <w:r w:rsidR="004C38EA" w:rsidRPr="006B7889">
          <w:rPr>
            <w:rStyle w:val="Hyperlink"/>
            <w:rFonts w:ascii="Calibri" w:hAnsi="Calibri"/>
          </w:rPr>
          <w:t>https://www.aamc.org/download/263512/data/statedata2011.pdf</w:t>
        </w:r>
      </w:hyperlink>
      <w:r w:rsidR="004C38EA" w:rsidRPr="006B7889">
        <w:rPr>
          <w:rFonts w:ascii="Calibri" w:hAnsi="Calibri"/>
        </w:rPr>
        <w:t xml:space="preserve"> </w:t>
      </w:r>
    </w:p>
    <w:p w:rsidR="004C38EA" w:rsidRPr="006B7889" w:rsidRDefault="004C38EA" w:rsidP="00CC79CD">
      <w:pPr>
        <w:rPr>
          <w:rFonts w:ascii="Calibri" w:hAnsi="Calibri"/>
        </w:rPr>
      </w:pPr>
    </w:p>
    <w:p w:rsidR="004C38EA" w:rsidRPr="006B7889" w:rsidRDefault="004C38EA" w:rsidP="00CC79CD">
      <w:pPr>
        <w:numPr>
          <w:ilvl w:val="0"/>
          <w:numId w:val="43"/>
        </w:numPr>
        <w:rPr>
          <w:rFonts w:ascii="Calibri" w:hAnsi="Calibri"/>
        </w:rPr>
      </w:pPr>
      <w:r w:rsidRPr="006B7889">
        <w:rPr>
          <w:rFonts w:ascii="Calibri" w:hAnsi="Calibri"/>
          <w:b/>
        </w:rPr>
        <w:t>2011-2012 ACGME Data Resource Book</w:t>
      </w:r>
      <w:r w:rsidRPr="00150F8D">
        <w:rPr>
          <w:rFonts w:ascii="Calibri" w:hAnsi="Calibri"/>
        </w:rPr>
        <w:br/>
      </w:r>
      <w:hyperlink r:id="rId19" w:history="1">
        <w:r w:rsidRPr="006B7889">
          <w:rPr>
            <w:rStyle w:val="Hyperlink"/>
            <w:rFonts w:ascii="Calibri" w:hAnsi="Calibri"/>
          </w:rPr>
          <w:t>http://www.acgme.org/acgmeweb/Portals/0/PFAssets/PublicationsBooks/2011-2012_ACGME_DATABOOK_DOCUMENT.pdf</w:t>
        </w:r>
      </w:hyperlink>
      <w:r w:rsidRPr="006B7889">
        <w:rPr>
          <w:rFonts w:ascii="Calibri" w:hAnsi="Calibri"/>
        </w:rPr>
        <w:t xml:space="preserve"> </w:t>
      </w:r>
      <w:r w:rsidRPr="00150F8D">
        <w:rPr>
          <w:rFonts w:ascii="Calibri" w:hAnsi="Calibri"/>
        </w:rPr>
        <w:br/>
      </w:r>
    </w:p>
    <w:p w:rsidR="004C38EA" w:rsidRPr="006B7889" w:rsidRDefault="004C38EA" w:rsidP="00CC79CD">
      <w:pPr>
        <w:numPr>
          <w:ilvl w:val="0"/>
          <w:numId w:val="43"/>
        </w:numPr>
        <w:rPr>
          <w:rFonts w:ascii="Calibri" w:hAnsi="Calibri"/>
        </w:rPr>
      </w:pPr>
      <w:r w:rsidRPr="006B7889">
        <w:rPr>
          <w:rFonts w:ascii="Calibri" w:hAnsi="Calibri"/>
          <w:b/>
        </w:rPr>
        <w:t>Hospital Caps</w:t>
      </w:r>
    </w:p>
    <w:p w:rsidR="004C38EA" w:rsidRPr="006B7889" w:rsidRDefault="004C38EA" w:rsidP="00CC79CD">
      <w:pPr>
        <w:ind w:left="360"/>
        <w:rPr>
          <w:rFonts w:ascii="Calibri" w:hAnsi="Calibri"/>
        </w:rPr>
      </w:pPr>
    </w:p>
    <w:p w:rsidR="004C38EA" w:rsidRPr="006B7889" w:rsidRDefault="004C38EA" w:rsidP="00CC79CD">
      <w:pPr>
        <w:ind w:left="720"/>
        <w:rPr>
          <w:rFonts w:ascii="Calibri" w:hAnsi="Calibri"/>
          <w:b/>
          <w:bCs/>
          <w:u w:val="single"/>
        </w:rPr>
      </w:pPr>
      <w:r w:rsidRPr="006B7889">
        <w:rPr>
          <w:rFonts w:ascii="Calibri" w:hAnsi="Calibri"/>
          <w:b/>
          <w:bCs/>
          <w:u w:val="single"/>
        </w:rPr>
        <w:t>Massachusetts FY 2010</w:t>
      </w:r>
    </w:p>
    <w:p w:rsidR="004C38EA" w:rsidRPr="006B7889" w:rsidRDefault="004C38EA" w:rsidP="00CC79CD">
      <w:pPr>
        <w:ind w:left="720"/>
        <w:rPr>
          <w:rFonts w:ascii="Calibri" w:hAnsi="Calibri"/>
        </w:rPr>
      </w:pPr>
    </w:p>
    <w:p w:rsidR="004C38EA" w:rsidRPr="006B7889" w:rsidRDefault="004C38EA" w:rsidP="00CC79CD">
      <w:pPr>
        <w:ind w:left="720"/>
        <w:rPr>
          <w:rFonts w:ascii="Calibri" w:hAnsi="Calibri"/>
          <w:b/>
          <w:bCs/>
          <w:u w:val="single"/>
        </w:rPr>
      </w:pPr>
      <w:r w:rsidRPr="006B7889">
        <w:rPr>
          <w:rFonts w:ascii="Calibri" w:hAnsi="Calibri"/>
          <w:b/>
          <w:bCs/>
          <w:u w:val="single"/>
        </w:rPr>
        <w:t>Get IME: 31 Teaching Hospitals</w:t>
      </w:r>
    </w:p>
    <w:p w:rsidR="004C38EA" w:rsidRPr="006B7889" w:rsidRDefault="004C38EA" w:rsidP="00CC79CD">
      <w:pPr>
        <w:ind w:left="720"/>
        <w:rPr>
          <w:rFonts w:ascii="Calibri" w:hAnsi="Calibri"/>
        </w:rPr>
      </w:pPr>
      <w:r w:rsidRPr="006B7889">
        <w:rPr>
          <w:rFonts w:ascii="Calibri" w:hAnsi="Calibri"/>
        </w:rPr>
        <w:t>Cap: 3715 FTEs</w:t>
      </w:r>
    </w:p>
    <w:p w:rsidR="004C38EA" w:rsidRPr="006B7889" w:rsidRDefault="004C38EA" w:rsidP="00CC79CD">
      <w:pPr>
        <w:ind w:left="720"/>
        <w:rPr>
          <w:rFonts w:ascii="Calibri" w:hAnsi="Calibri"/>
        </w:rPr>
      </w:pPr>
      <w:r w:rsidRPr="006B7889">
        <w:rPr>
          <w:rFonts w:ascii="Calibri" w:hAnsi="Calibri"/>
        </w:rPr>
        <w:t>Count: 4019 FTEs</w:t>
      </w:r>
    </w:p>
    <w:p w:rsidR="004C38EA" w:rsidRPr="006B7889" w:rsidRDefault="004C38EA" w:rsidP="00CC79CD">
      <w:pPr>
        <w:ind w:left="720"/>
        <w:rPr>
          <w:rFonts w:ascii="Calibri" w:hAnsi="Calibri"/>
        </w:rPr>
      </w:pPr>
      <w:r w:rsidRPr="006B7889">
        <w:rPr>
          <w:rFonts w:ascii="Calibri" w:hAnsi="Calibri"/>
        </w:rPr>
        <w:t xml:space="preserve">Cap </w:t>
      </w:r>
      <w:r w:rsidRPr="006B7889">
        <w:rPr>
          <w:rFonts w:ascii="Calibri" w:hAnsi="Calibri"/>
          <w:iCs/>
        </w:rPr>
        <w:t>vs</w:t>
      </w:r>
      <w:r w:rsidRPr="006B7889">
        <w:rPr>
          <w:rFonts w:ascii="Calibri" w:hAnsi="Calibri"/>
        </w:rPr>
        <w:t>. Count: 304 FTEs Over the Cap</w:t>
      </w:r>
    </w:p>
    <w:p w:rsidR="004C38EA" w:rsidRPr="006B7889" w:rsidRDefault="004C38EA" w:rsidP="00CC79CD">
      <w:pPr>
        <w:ind w:left="720"/>
        <w:rPr>
          <w:rFonts w:ascii="Calibri" w:hAnsi="Calibri"/>
        </w:rPr>
      </w:pPr>
    </w:p>
    <w:p w:rsidR="004C38EA" w:rsidRPr="006B7889" w:rsidRDefault="004C38EA" w:rsidP="00CC79CD">
      <w:pPr>
        <w:ind w:left="720"/>
        <w:rPr>
          <w:rFonts w:ascii="Calibri" w:hAnsi="Calibri"/>
          <w:b/>
          <w:bCs/>
          <w:u w:val="single"/>
        </w:rPr>
      </w:pPr>
      <w:r>
        <w:rPr>
          <w:rFonts w:ascii="Calibri" w:hAnsi="Calibri"/>
          <w:b/>
          <w:bCs/>
          <w:u w:val="single"/>
        </w:rPr>
        <w:t>Get D</w:t>
      </w:r>
      <w:r w:rsidRPr="006B7889">
        <w:rPr>
          <w:rFonts w:ascii="Calibri" w:hAnsi="Calibri"/>
          <w:b/>
          <w:bCs/>
          <w:u w:val="single"/>
        </w:rPr>
        <w:t>ME: 30 Teaching Hospitals</w:t>
      </w:r>
    </w:p>
    <w:p w:rsidR="004C38EA" w:rsidRPr="006B7889" w:rsidRDefault="004C38EA" w:rsidP="00CC79CD">
      <w:pPr>
        <w:ind w:left="720"/>
        <w:rPr>
          <w:rFonts w:ascii="Calibri" w:hAnsi="Calibri"/>
        </w:rPr>
      </w:pPr>
      <w:r w:rsidRPr="006B7889">
        <w:rPr>
          <w:rFonts w:ascii="Calibri" w:hAnsi="Calibri"/>
        </w:rPr>
        <w:t>Cap: 3903 FTEs</w:t>
      </w:r>
    </w:p>
    <w:p w:rsidR="004C38EA" w:rsidRPr="006B7889" w:rsidRDefault="004C38EA" w:rsidP="00CC79CD">
      <w:pPr>
        <w:ind w:left="720"/>
        <w:rPr>
          <w:rFonts w:ascii="Calibri" w:hAnsi="Calibri"/>
        </w:rPr>
      </w:pPr>
      <w:r w:rsidRPr="006B7889">
        <w:rPr>
          <w:rFonts w:ascii="Calibri" w:hAnsi="Calibri"/>
        </w:rPr>
        <w:t>Count 4184 FTEs</w:t>
      </w:r>
    </w:p>
    <w:p w:rsidR="004C38EA" w:rsidRPr="006B7889" w:rsidRDefault="004C38EA" w:rsidP="00CC79CD">
      <w:pPr>
        <w:ind w:left="720"/>
        <w:rPr>
          <w:rFonts w:ascii="Calibri" w:hAnsi="Calibri"/>
        </w:rPr>
      </w:pPr>
      <w:r w:rsidRPr="006B7889">
        <w:rPr>
          <w:rFonts w:ascii="Calibri" w:hAnsi="Calibri"/>
        </w:rPr>
        <w:t>Cap vs. Count: 281 FTEs Over the Cap</w:t>
      </w:r>
    </w:p>
    <w:p w:rsidR="004C38EA" w:rsidRPr="006B7889" w:rsidRDefault="004C38EA" w:rsidP="00CC79CD">
      <w:pPr>
        <w:ind w:left="720"/>
        <w:rPr>
          <w:rFonts w:ascii="Calibri" w:hAnsi="Calibri"/>
        </w:rPr>
      </w:pPr>
      <w:r w:rsidRPr="00150F8D">
        <w:rPr>
          <w:rFonts w:ascii="Calibri" w:hAnsi="Calibri"/>
        </w:rPr>
        <w:br/>
      </w:r>
    </w:p>
    <w:p w:rsidR="004C38EA" w:rsidRPr="006B7889" w:rsidRDefault="004C38EA" w:rsidP="00CC79CD">
      <w:pPr>
        <w:numPr>
          <w:ilvl w:val="0"/>
          <w:numId w:val="43"/>
        </w:numPr>
        <w:rPr>
          <w:rFonts w:ascii="Calibri" w:hAnsi="Calibri"/>
        </w:rPr>
      </w:pPr>
      <w:r w:rsidRPr="006B7889">
        <w:rPr>
          <w:rFonts w:ascii="Calibri" w:hAnsi="Calibri"/>
          <w:b/>
        </w:rPr>
        <w:t>Institute of Medicine Committee on Governance and Financing of Graduate Medical Education September 2012 Meeting Presentations</w:t>
      </w:r>
      <w:r w:rsidRPr="00150F8D">
        <w:rPr>
          <w:rFonts w:ascii="Calibri" w:hAnsi="Calibri"/>
          <w:b/>
        </w:rPr>
        <w:br/>
      </w:r>
      <w:hyperlink r:id="rId20" w:history="1">
        <w:r w:rsidRPr="006B7889">
          <w:rPr>
            <w:rStyle w:val="Hyperlink"/>
            <w:rFonts w:ascii="Calibri" w:hAnsi="Calibri"/>
          </w:rPr>
          <w:t>http://www.iom.edu/Activities/Workforce/GMEGovFinance/2012-SEP-04.aspx</w:t>
        </w:r>
      </w:hyperlink>
    </w:p>
    <w:p w:rsidR="004C38EA" w:rsidRPr="006B7889" w:rsidRDefault="004C38EA" w:rsidP="00CC79CD">
      <w:pPr>
        <w:ind w:left="720"/>
        <w:rPr>
          <w:rFonts w:ascii="Calibri" w:hAnsi="Calibri"/>
          <w:b/>
        </w:rPr>
      </w:pPr>
    </w:p>
    <w:p w:rsidR="004C38EA" w:rsidRPr="006B7889" w:rsidRDefault="004C38EA" w:rsidP="00CC79CD">
      <w:pPr>
        <w:ind w:left="720"/>
        <w:rPr>
          <w:rFonts w:ascii="Calibri" w:hAnsi="Calibri"/>
        </w:rPr>
      </w:pPr>
      <w:r w:rsidRPr="006B7889">
        <w:rPr>
          <w:rFonts w:ascii="Calibri" w:hAnsi="Calibri"/>
          <w:b/>
        </w:rPr>
        <w:t>Individual presentation links:</w:t>
      </w:r>
      <w:r w:rsidRPr="00150F8D">
        <w:rPr>
          <w:rFonts w:ascii="Calibri" w:hAnsi="Calibri"/>
        </w:rPr>
        <w:br/>
      </w:r>
    </w:p>
    <w:p w:rsidR="004C38EA" w:rsidRPr="006B7889" w:rsidRDefault="004C38EA" w:rsidP="00CC79CD">
      <w:pPr>
        <w:numPr>
          <w:ilvl w:val="1"/>
          <w:numId w:val="43"/>
        </w:numPr>
        <w:rPr>
          <w:rFonts w:ascii="Calibri" w:hAnsi="Calibri"/>
          <w:b/>
        </w:rPr>
      </w:pPr>
      <w:r w:rsidRPr="006B7889">
        <w:rPr>
          <w:rFonts w:ascii="Calibri" w:hAnsi="Calibri"/>
          <w:b/>
        </w:rPr>
        <w:t xml:space="preserve">Fern Goodhart, </w:t>
      </w:r>
      <w:r w:rsidRPr="006B7889">
        <w:rPr>
          <w:rFonts w:ascii="Calibri" w:hAnsi="Calibri"/>
          <w:i/>
        </w:rPr>
        <w:t>Office of Senator Tom Udall, NM</w:t>
      </w:r>
    </w:p>
    <w:p w:rsidR="004C38EA" w:rsidRPr="006B7889" w:rsidRDefault="004C38EA" w:rsidP="00CC79CD">
      <w:pPr>
        <w:ind w:left="1440"/>
        <w:rPr>
          <w:rFonts w:ascii="Calibri" w:hAnsi="Calibri"/>
        </w:rPr>
      </w:pPr>
      <w:r w:rsidRPr="006B7889">
        <w:rPr>
          <w:rFonts w:ascii="Calibri" w:hAnsi="Calibri"/>
        </w:rPr>
        <w:t>Raises questions regarding the best model for GME Funding.</w:t>
      </w:r>
    </w:p>
    <w:p w:rsidR="004C38EA" w:rsidRPr="006B7889" w:rsidRDefault="00211E86" w:rsidP="00CC79CD">
      <w:pPr>
        <w:ind w:left="1440"/>
        <w:rPr>
          <w:rFonts w:ascii="Calibri" w:hAnsi="Calibri"/>
        </w:rPr>
      </w:pPr>
      <w:hyperlink r:id="rId21" w:history="1">
        <w:r w:rsidR="004C38EA" w:rsidRPr="006B7889">
          <w:rPr>
            <w:rStyle w:val="Hyperlink"/>
            <w:rFonts w:ascii="Calibri" w:hAnsi="Calibri"/>
          </w:rPr>
          <w:t>http://www.iom.edu/~/media/Files/Activity%20Files/Workforce/GMEGovFinance/GoodhartPresentation.pdf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1"/>
          <w:numId w:val="43"/>
        </w:numPr>
        <w:rPr>
          <w:rFonts w:ascii="Calibri" w:hAnsi="Calibri"/>
        </w:rPr>
      </w:pPr>
      <w:r w:rsidRPr="006B7889">
        <w:rPr>
          <w:rFonts w:ascii="Calibri" w:hAnsi="Calibri"/>
          <w:b/>
        </w:rPr>
        <w:t xml:space="preserve">Marc Hartstein, </w:t>
      </w:r>
      <w:r w:rsidRPr="006B7889">
        <w:rPr>
          <w:rFonts w:ascii="Calibri" w:hAnsi="Calibri"/>
          <w:i/>
        </w:rPr>
        <w:t xml:space="preserve">Director </w:t>
      </w:r>
      <w:r w:rsidRPr="00150F8D">
        <w:rPr>
          <w:rFonts w:ascii="Calibri" w:hAnsi="Calibri"/>
          <w:i/>
        </w:rPr>
        <w:t>–</w:t>
      </w:r>
      <w:r w:rsidRPr="006B7889">
        <w:rPr>
          <w:rFonts w:ascii="Calibri" w:hAnsi="Calibri"/>
          <w:i/>
        </w:rPr>
        <w:t xml:space="preserve"> CMS Hospital and Ambulatory Policy Group</w:t>
      </w:r>
      <w:r w:rsidRPr="00150F8D">
        <w:rPr>
          <w:rFonts w:ascii="Calibri" w:hAnsi="Calibri"/>
        </w:rPr>
        <w:br/>
      </w:r>
      <w:r w:rsidRPr="006B7889">
        <w:rPr>
          <w:rFonts w:ascii="Calibri" w:hAnsi="Calibri"/>
        </w:rPr>
        <w:t>Explains Medicare payment for GME including history, calculation of DGME, IME, Disproportionate Share and recent reallocation of slots.</w:t>
      </w:r>
    </w:p>
    <w:p w:rsidR="004C38EA" w:rsidRPr="006B7889" w:rsidRDefault="00211E86" w:rsidP="00CC79CD">
      <w:pPr>
        <w:ind w:left="1440"/>
        <w:rPr>
          <w:rFonts w:ascii="Calibri" w:hAnsi="Calibri"/>
        </w:rPr>
      </w:pPr>
      <w:hyperlink r:id="rId22" w:history="1">
        <w:r w:rsidR="004C38EA" w:rsidRPr="006B7889">
          <w:rPr>
            <w:rStyle w:val="Hyperlink"/>
            <w:rFonts w:ascii="Calibri" w:hAnsi="Calibri"/>
          </w:rPr>
          <w:t>http://www.iom.edu/~/media/Files/Activity%20Files/Workforce/GMEGovFinance/HartsteinPresentation.pdf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1"/>
          <w:numId w:val="43"/>
        </w:numPr>
        <w:rPr>
          <w:rFonts w:ascii="Calibri" w:hAnsi="Calibri"/>
        </w:rPr>
      </w:pPr>
      <w:r w:rsidRPr="006B7889">
        <w:rPr>
          <w:rFonts w:ascii="Calibri" w:hAnsi="Calibri"/>
          <w:b/>
        </w:rPr>
        <w:t>Dianne Heffron</w:t>
      </w:r>
      <w:r w:rsidRPr="006B7889">
        <w:rPr>
          <w:rFonts w:ascii="Calibri" w:hAnsi="Calibri"/>
        </w:rPr>
        <w:t xml:space="preserve">, </w:t>
      </w:r>
      <w:r w:rsidRPr="006B7889">
        <w:rPr>
          <w:rFonts w:ascii="Calibri" w:hAnsi="Calibri"/>
          <w:i/>
        </w:rPr>
        <w:t xml:space="preserve">Director </w:t>
      </w:r>
      <w:r w:rsidRPr="00150F8D">
        <w:rPr>
          <w:rFonts w:ascii="Calibri" w:hAnsi="Calibri"/>
          <w:i/>
        </w:rPr>
        <w:t>–</w:t>
      </w:r>
      <w:r w:rsidRPr="006B7889">
        <w:rPr>
          <w:rFonts w:ascii="Calibri" w:hAnsi="Calibri"/>
          <w:i/>
        </w:rPr>
        <w:t xml:space="preserve"> CMS Financial Management Group</w:t>
      </w:r>
      <w:r w:rsidRPr="00150F8D">
        <w:rPr>
          <w:rFonts w:ascii="Calibri" w:hAnsi="Calibri"/>
        </w:rPr>
        <w:br/>
      </w:r>
      <w:r w:rsidRPr="006B7889">
        <w:rPr>
          <w:rFonts w:ascii="Calibri" w:hAnsi="Calibri"/>
        </w:rPr>
        <w:t>Explains GME Payments in Medicaid.</w:t>
      </w:r>
    </w:p>
    <w:p w:rsidR="004C38EA" w:rsidRPr="006B7889" w:rsidRDefault="00211E86" w:rsidP="00CC79CD">
      <w:pPr>
        <w:ind w:left="1440"/>
        <w:rPr>
          <w:rFonts w:ascii="Calibri" w:hAnsi="Calibri"/>
        </w:rPr>
      </w:pPr>
      <w:hyperlink r:id="rId23" w:history="1">
        <w:r w:rsidR="004C38EA" w:rsidRPr="006B7889">
          <w:rPr>
            <w:rStyle w:val="Hyperlink"/>
            <w:rFonts w:ascii="Calibri" w:hAnsi="Calibri"/>
          </w:rPr>
          <w:t>http://www.iom.edu/~/media/Files/Activity%20Files/Workforce/GMEGovFinance/HeffronPresentation.pdf</w:t>
        </w:r>
      </w:hyperlink>
      <w:r w:rsidR="004C38EA" w:rsidRPr="006B7889">
        <w:rPr>
          <w:rFonts w:ascii="Calibri" w:hAnsi="Calibri"/>
        </w:rPr>
        <w:t xml:space="preserve"> </w:t>
      </w:r>
    </w:p>
    <w:p w:rsidR="004C38EA" w:rsidRPr="006B7889" w:rsidRDefault="004C38EA" w:rsidP="00CC79CD">
      <w:pPr>
        <w:rPr>
          <w:rFonts w:ascii="Calibri" w:hAnsi="Calibri"/>
        </w:rPr>
      </w:pPr>
    </w:p>
    <w:p w:rsidR="004C38EA" w:rsidRPr="006B7889" w:rsidRDefault="004C38EA" w:rsidP="00CC79CD">
      <w:pPr>
        <w:numPr>
          <w:ilvl w:val="1"/>
          <w:numId w:val="43"/>
        </w:numPr>
        <w:rPr>
          <w:rFonts w:ascii="Calibri" w:hAnsi="Calibri"/>
        </w:rPr>
      </w:pPr>
      <w:r w:rsidRPr="006B7889">
        <w:rPr>
          <w:rFonts w:ascii="Calibri" w:hAnsi="Calibri"/>
          <w:b/>
        </w:rPr>
        <w:t xml:space="preserve">Robert Petzel, </w:t>
      </w:r>
      <w:r w:rsidRPr="006B7889">
        <w:rPr>
          <w:rFonts w:ascii="Calibri" w:hAnsi="Calibri"/>
          <w:i/>
        </w:rPr>
        <w:t>M.D. Under Secretary of Health U.S. Department of Veterans</w:t>
      </w:r>
      <w:r w:rsidRPr="00150F8D">
        <w:rPr>
          <w:rFonts w:ascii="Calibri" w:hAnsi="Calibri"/>
          <w:i/>
        </w:rPr>
        <w:t>’</w:t>
      </w:r>
      <w:r w:rsidRPr="006B7889">
        <w:rPr>
          <w:rFonts w:ascii="Calibri" w:hAnsi="Calibri"/>
          <w:i/>
        </w:rPr>
        <w:t xml:space="preserve"> Affairs</w:t>
      </w:r>
      <w:r w:rsidRPr="00150F8D">
        <w:rPr>
          <w:rFonts w:ascii="Calibri" w:hAnsi="Calibri"/>
          <w:i/>
        </w:rPr>
        <w:br/>
      </w:r>
      <w:r w:rsidRPr="006B7889">
        <w:rPr>
          <w:rFonts w:ascii="Calibri" w:hAnsi="Calibri"/>
          <w:b/>
        </w:rPr>
        <w:t xml:space="preserve">Malcolm Cox, </w:t>
      </w:r>
      <w:r w:rsidRPr="006B7889">
        <w:rPr>
          <w:rFonts w:ascii="Calibri" w:hAnsi="Calibri"/>
          <w:i/>
        </w:rPr>
        <w:t>M.D. Chief Academic Affiliations Officer</w:t>
      </w:r>
      <w:r w:rsidRPr="006B7889">
        <w:rPr>
          <w:rFonts w:ascii="Calibri" w:hAnsi="Calibri"/>
        </w:rPr>
        <w:t xml:space="preserve"> </w:t>
      </w:r>
      <w:r w:rsidRPr="006B7889">
        <w:rPr>
          <w:rFonts w:ascii="Calibri" w:hAnsi="Calibri"/>
          <w:i/>
        </w:rPr>
        <w:t>U.S. Department of Veterans</w:t>
      </w:r>
      <w:r w:rsidRPr="00150F8D">
        <w:rPr>
          <w:rFonts w:ascii="Calibri" w:hAnsi="Calibri"/>
          <w:i/>
        </w:rPr>
        <w:t>’</w:t>
      </w:r>
      <w:r w:rsidRPr="006B7889">
        <w:rPr>
          <w:rFonts w:ascii="Calibri" w:hAnsi="Calibri"/>
          <w:i/>
        </w:rPr>
        <w:t xml:space="preserve"> Affairs</w:t>
      </w:r>
      <w:r w:rsidRPr="00150F8D">
        <w:rPr>
          <w:rFonts w:ascii="Calibri" w:hAnsi="Calibri"/>
        </w:rPr>
        <w:br/>
      </w:r>
      <w:r w:rsidRPr="006B7889">
        <w:rPr>
          <w:rFonts w:ascii="Calibri" w:hAnsi="Calibri"/>
        </w:rPr>
        <w:t>Explains the VA</w:t>
      </w:r>
      <w:r w:rsidRPr="00150F8D">
        <w:rPr>
          <w:rFonts w:ascii="Calibri" w:hAnsi="Calibri"/>
        </w:rPr>
        <w:t>’</w:t>
      </w:r>
      <w:r w:rsidRPr="006B7889">
        <w:rPr>
          <w:rFonts w:ascii="Calibri" w:hAnsi="Calibri"/>
        </w:rPr>
        <w:t>s role in GME.</w:t>
      </w:r>
    </w:p>
    <w:p w:rsidR="004C38EA" w:rsidRPr="006B7889" w:rsidRDefault="00211E86" w:rsidP="00CC79CD">
      <w:pPr>
        <w:ind w:left="1440"/>
        <w:rPr>
          <w:rFonts w:ascii="Calibri" w:hAnsi="Calibri"/>
        </w:rPr>
      </w:pPr>
      <w:hyperlink r:id="rId24" w:history="1">
        <w:r w:rsidR="004C38EA" w:rsidRPr="006B7889">
          <w:rPr>
            <w:rStyle w:val="Hyperlink"/>
            <w:rFonts w:ascii="Calibri" w:hAnsi="Calibri"/>
          </w:rPr>
          <w:t>http://www.iom.edu/~/media/Files/Activity%20Files/Workforce/GMEGovFinance/PetzelCoxPresentation.pdf</w:t>
        </w:r>
      </w:hyperlink>
      <w:r w:rsidR="004C38EA" w:rsidRPr="006B7889">
        <w:rPr>
          <w:rFonts w:ascii="Calibri" w:hAnsi="Calibri"/>
        </w:rPr>
        <w:t xml:space="preserve"> </w:t>
      </w:r>
    </w:p>
    <w:p w:rsidR="004C38EA" w:rsidRPr="006B7889" w:rsidRDefault="004C38EA" w:rsidP="00CC79CD">
      <w:pPr>
        <w:rPr>
          <w:rFonts w:ascii="Calibri" w:hAnsi="Calibri"/>
        </w:rPr>
      </w:pPr>
    </w:p>
    <w:p w:rsidR="004C38EA" w:rsidRPr="006B7889" w:rsidRDefault="004C38EA" w:rsidP="00CC79CD">
      <w:pPr>
        <w:numPr>
          <w:ilvl w:val="0"/>
          <w:numId w:val="43"/>
        </w:numPr>
        <w:rPr>
          <w:rFonts w:ascii="Calibri" w:hAnsi="Calibri"/>
        </w:rPr>
      </w:pPr>
      <w:r w:rsidRPr="006B7889">
        <w:rPr>
          <w:rFonts w:ascii="Calibri" w:hAnsi="Calibri"/>
          <w:b/>
        </w:rPr>
        <w:t>Institute of Medicine</w:t>
      </w:r>
      <w:r w:rsidRPr="00150F8D">
        <w:rPr>
          <w:rFonts w:ascii="Calibri" w:hAnsi="Calibri"/>
          <w:b/>
        </w:rPr>
        <w:t>’</w:t>
      </w:r>
      <w:r w:rsidRPr="006B7889">
        <w:rPr>
          <w:rFonts w:ascii="Calibri" w:hAnsi="Calibri"/>
          <w:b/>
        </w:rPr>
        <w:t>s Committee on Governance and Financing of Graduate Medical Education December 2012 Meeting Presentations</w:t>
      </w:r>
    </w:p>
    <w:p w:rsidR="004C38EA" w:rsidRPr="006B7889" w:rsidRDefault="00211E86" w:rsidP="00CC79CD">
      <w:pPr>
        <w:ind w:left="720"/>
        <w:rPr>
          <w:rFonts w:ascii="Calibri" w:hAnsi="Calibri"/>
        </w:rPr>
      </w:pPr>
      <w:hyperlink r:id="rId25" w:history="1">
        <w:r w:rsidR="004C38EA" w:rsidRPr="006B7889">
          <w:rPr>
            <w:rStyle w:val="Hyperlink"/>
            <w:rFonts w:ascii="Calibri" w:hAnsi="Calibri"/>
          </w:rPr>
          <w:t>http://www.iom.edu/Activities/Workforce/GMEGovFinance/2012-DEC-19.aspx</w:t>
        </w:r>
      </w:hyperlink>
    </w:p>
    <w:p w:rsidR="004C38EA" w:rsidRPr="006B7889" w:rsidRDefault="004C38EA" w:rsidP="00CC79CD">
      <w:pPr>
        <w:rPr>
          <w:rFonts w:ascii="Calibri" w:hAnsi="Calibri"/>
        </w:rPr>
      </w:pPr>
    </w:p>
    <w:p w:rsidR="004C38EA" w:rsidRPr="006B7889" w:rsidRDefault="004C38EA" w:rsidP="00CC79CD">
      <w:pPr>
        <w:ind w:left="720"/>
        <w:rPr>
          <w:rFonts w:ascii="Calibri" w:hAnsi="Calibri"/>
          <w:b/>
        </w:rPr>
      </w:pPr>
      <w:r w:rsidRPr="006B7889">
        <w:rPr>
          <w:rFonts w:ascii="Calibri" w:hAnsi="Calibri"/>
          <w:b/>
        </w:rPr>
        <w:t>Individual presentation links:</w:t>
      </w:r>
      <w:r w:rsidRPr="00150F8D">
        <w:rPr>
          <w:rFonts w:ascii="Calibri" w:hAnsi="Calibri"/>
          <w:b/>
        </w:rPr>
        <w:br/>
      </w:r>
    </w:p>
    <w:p w:rsidR="004C38EA" w:rsidRPr="006B7889" w:rsidRDefault="004C38EA" w:rsidP="00CC79CD">
      <w:pPr>
        <w:numPr>
          <w:ilvl w:val="0"/>
          <w:numId w:val="44"/>
        </w:numPr>
        <w:rPr>
          <w:rFonts w:ascii="Calibri" w:hAnsi="Calibri"/>
        </w:rPr>
      </w:pPr>
      <w:r w:rsidRPr="006B7889">
        <w:rPr>
          <w:rFonts w:ascii="Calibri" w:hAnsi="Calibri"/>
          <w:b/>
        </w:rPr>
        <w:t>Karl Auerbach</w:t>
      </w:r>
      <w:r w:rsidRPr="006B7889">
        <w:rPr>
          <w:rFonts w:ascii="Calibri" w:hAnsi="Calibri"/>
        </w:rPr>
        <w:t xml:space="preserve">, </w:t>
      </w:r>
      <w:r w:rsidRPr="006B7889">
        <w:rPr>
          <w:rFonts w:ascii="Calibri" w:hAnsi="Calibri"/>
          <w:i/>
        </w:rPr>
        <w:t>M.D., MS, MBA, FACOEM, President of American College of Occupational and Environmental Medicine (ACOEM)</w:t>
      </w:r>
    </w:p>
    <w:p w:rsidR="004C38EA" w:rsidRPr="006B7889" w:rsidRDefault="004C38EA" w:rsidP="00CC79CD">
      <w:pPr>
        <w:ind w:left="1440"/>
        <w:rPr>
          <w:rFonts w:ascii="Calibri" w:hAnsi="Calibri"/>
        </w:rPr>
      </w:pPr>
      <w:r w:rsidRPr="006B7889">
        <w:rPr>
          <w:rFonts w:ascii="Calibri" w:hAnsi="Calibri"/>
        </w:rPr>
        <w:t>Role and need of Occupational Medicine physicians in the future of healthcare delivery.</w:t>
      </w:r>
    </w:p>
    <w:p w:rsidR="004C38EA" w:rsidRPr="006B7889" w:rsidRDefault="00211E86" w:rsidP="00CC79CD">
      <w:pPr>
        <w:ind w:left="1440"/>
        <w:rPr>
          <w:rFonts w:ascii="Calibri" w:hAnsi="Calibri"/>
        </w:rPr>
      </w:pPr>
      <w:hyperlink r:id="rId26" w:history="1">
        <w:r w:rsidR="004C38EA" w:rsidRPr="006B7889">
          <w:rPr>
            <w:rStyle w:val="Hyperlink"/>
            <w:rFonts w:ascii="Calibri" w:hAnsi="Calibri"/>
          </w:rPr>
          <w:t>http://www.iom.edu/~/media/Files/Activity%20Files/Workforce/GMEGovFinance/2012-DEC-19/Auerbach.pdf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rPr>
      </w:pPr>
      <w:r w:rsidRPr="006B7889">
        <w:rPr>
          <w:rFonts w:ascii="Calibri" w:hAnsi="Calibri"/>
          <w:b/>
        </w:rPr>
        <w:t>Paul Batalden</w:t>
      </w:r>
      <w:r w:rsidRPr="006B7889">
        <w:rPr>
          <w:rFonts w:ascii="Calibri" w:hAnsi="Calibri"/>
          <w:i/>
        </w:rPr>
        <w:t>, M.D., Professor at the Dartmouth School of Medicine</w:t>
      </w:r>
    </w:p>
    <w:p w:rsidR="004C38EA" w:rsidRPr="006B7889" w:rsidRDefault="004C38EA" w:rsidP="00CC79CD">
      <w:pPr>
        <w:ind w:left="1440"/>
        <w:rPr>
          <w:rFonts w:ascii="Calibri" w:hAnsi="Calibri"/>
        </w:rPr>
      </w:pPr>
      <w:r w:rsidRPr="006B7889">
        <w:rPr>
          <w:rFonts w:ascii="Calibri" w:hAnsi="Calibri"/>
        </w:rPr>
        <w:t>Performance Development</w:t>
      </w:r>
    </w:p>
    <w:p w:rsidR="004C38EA" w:rsidRPr="006B7889" w:rsidRDefault="00211E86" w:rsidP="00CC79CD">
      <w:pPr>
        <w:ind w:left="1440"/>
        <w:rPr>
          <w:rFonts w:ascii="Calibri" w:hAnsi="Calibri"/>
        </w:rPr>
      </w:pPr>
      <w:hyperlink r:id="rId27" w:history="1">
        <w:r w:rsidR="004C38EA" w:rsidRPr="006B7889">
          <w:rPr>
            <w:rStyle w:val="Hyperlink"/>
            <w:rFonts w:ascii="Calibri" w:hAnsi="Calibri"/>
          </w:rPr>
          <w:t>http://www.iom.edu/~/media/Files/Activity%20Files/Workforce/GMEGovFinance/2012-DEC-19/Batalden.pdf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Marc Boom, </w:t>
      </w:r>
      <w:r w:rsidRPr="006B7889">
        <w:rPr>
          <w:rFonts w:ascii="Calibri" w:hAnsi="Calibri"/>
          <w:i/>
        </w:rPr>
        <w:t>M.D. President and CEO of the Methodist Hospital System</w:t>
      </w:r>
    </w:p>
    <w:p w:rsidR="004C38EA" w:rsidRPr="006B7889" w:rsidRDefault="004C38EA" w:rsidP="00CC79CD">
      <w:pPr>
        <w:ind w:left="1440"/>
        <w:rPr>
          <w:rFonts w:ascii="Calibri" w:hAnsi="Calibri"/>
        </w:rPr>
      </w:pPr>
      <w:r w:rsidRPr="006B7889">
        <w:rPr>
          <w:rFonts w:ascii="Calibri" w:hAnsi="Calibri"/>
        </w:rPr>
        <w:t xml:space="preserve">Breaks down the DGME and IME funding to Methodist Hospital System and how it does not cover the cost of academic infrastructure for their hospital. </w:t>
      </w:r>
    </w:p>
    <w:p w:rsidR="004C38EA" w:rsidRPr="006B7889" w:rsidRDefault="00211E86" w:rsidP="00CC79CD">
      <w:pPr>
        <w:ind w:left="1440"/>
        <w:rPr>
          <w:rFonts w:ascii="Calibri" w:hAnsi="Calibri"/>
        </w:rPr>
      </w:pPr>
      <w:hyperlink r:id="rId28" w:history="1">
        <w:r w:rsidR="004C38EA" w:rsidRPr="006B7889">
          <w:rPr>
            <w:rStyle w:val="Hyperlink"/>
            <w:rFonts w:ascii="Calibri" w:hAnsi="Calibri"/>
          </w:rPr>
          <w:t>http://www.iom.edu/~/media/Files/Activity%20Files/Workforce/GMEGovFinance/2012-DEC-19/Boom.pdf</w:t>
        </w:r>
      </w:hyperlink>
      <w:r w:rsidR="004C38EA" w:rsidRPr="006B7889">
        <w:rPr>
          <w:rFonts w:ascii="Calibri" w:hAnsi="Calibri"/>
        </w:rPr>
        <w:t xml:space="preserve">  </w:t>
      </w:r>
    </w:p>
    <w:p w:rsidR="004C38EA" w:rsidRPr="006B7889" w:rsidRDefault="004C38EA" w:rsidP="00CC79CD">
      <w:pPr>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Boyd Buser, </w:t>
      </w:r>
      <w:r w:rsidRPr="006B7889">
        <w:rPr>
          <w:rFonts w:ascii="Calibri" w:hAnsi="Calibri"/>
          <w:i/>
        </w:rPr>
        <w:t>D.O. Dean of the Kentucky College of Osteopathic Medicine and Vice President for Health Services</w:t>
      </w:r>
    </w:p>
    <w:p w:rsidR="004C38EA" w:rsidRPr="006B7889" w:rsidRDefault="004C38EA" w:rsidP="00CC79CD">
      <w:pPr>
        <w:ind w:left="1080" w:firstLine="360"/>
        <w:rPr>
          <w:rFonts w:ascii="Calibri" w:hAnsi="Calibri"/>
        </w:rPr>
      </w:pPr>
      <w:r w:rsidRPr="006B7889">
        <w:rPr>
          <w:rFonts w:ascii="Calibri" w:hAnsi="Calibri"/>
        </w:rPr>
        <w:t>Accountability Presentation: GME support for osteopathic medicine</w:t>
      </w:r>
    </w:p>
    <w:p w:rsidR="004C38EA" w:rsidRPr="006B7889" w:rsidRDefault="00211E86" w:rsidP="00CC79CD">
      <w:pPr>
        <w:ind w:left="1440"/>
        <w:rPr>
          <w:rFonts w:ascii="Calibri" w:hAnsi="Calibri"/>
        </w:rPr>
      </w:pPr>
      <w:hyperlink r:id="rId29" w:history="1">
        <w:r w:rsidR="004C38EA" w:rsidRPr="006B7889">
          <w:rPr>
            <w:rStyle w:val="Hyperlink"/>
            <w:rFonts w:ascii="Calibri" w:hAnsi="Calibri"/>
          </w:rPr>
          <w:t>http://www.iom.edu/~/media/Files/Activity%20Files/Workforce/GMEGovFinance/2012-DEC-19/Buser-Accountability.pdf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Boyd Buser, </w:t>
      </w:r>
      <w:r w:rsidRPr="006B7889">
        <w:rPr>
          <w:rFonts w:ascii="Calibri" w:hAnsi="Calibri"/>
          <w:i/>
        </w:rPr>
        <w:t>D.O. Dean of the Kentucky College of Osteopathic Medicine and Vice President for Health Services</w:t>
      </w:r>
    </w:p>
    <w:p w:rsidR="004C38EA" w:rsidRPr="006B7889" w:rsidRDefault="004C38EA" w:rsidP="006B7889">
      <w:pPr>
        <w:ind w:left="1440"/>
        <w:rPr>
          <w:rFonts w:ascii="Calibri" w:hAnsi="Calibri"/>
        </w:rPr>
      </w:pPr>
      <w:r w:rsidRPr="006B7889">
        <w:rPr>
          <w:rFonts w:ascii="Calibri" w:hAnsi="Calibri"/>
        </w:rPr>
        <w:t>Costs and Financing Presentation: Limitations of current GME financial support from Medicare</w:t>
      </w:r>
    </w:p>
    <w:p w:rsidR="004C38EA" w:rsidRPr="006B7889" w:rsidRDefault="00211E86" w:rsidP="00CC79CD">
      <w:pPr>
        <w:ind w:left="1440"/>
        <w:rPr>
          <w:rFonts w:ascii="Calibri" w:hAnsi="Calibri"/>
        </w:rPr>
      </w:pPr>
      <w:hyperlink r:id="rId30" w:history="1">
        <w:r w:rsidR="004C38EA" w:rsidRPr="006B7889">
          <w:rPr>
            <w:rStyle w:val="Hyperlink"/>
            <w:rFonts w:ascii="Calibri" w:hAnsi="Calibri"/>
          </w:rPr>
          <w:t>http://www.iom.edu/~/media/Files/Activity%20Files/Workforce/GMEGovFinance/2012-DEC-19/Buser-Costs%20and%20Financing.pdf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rPr>
      </w:pPr>
      <w:r w:rsidRPr="006B7889">
        <w:rPr>
          <w:rFonts w:ascii="Calibri" w:hAnsi="Calibri"/>
          <w:b/>
        </w:rPr>
        <w:t>Nick Busing</w:t>
      </w:r>
      <w:r w:rsidRPr="006B7889">
        <w:rPr>
          <w:rFonts w:ascii="Calibri" w:hAnsi="Calibri"/>
        </w:rPr>
        <w:t xml:space="preserve">, </w:t>
      </w:r>
      <w:r w:rsidRPr="006B7889">
        <w:rPr>
          <w:rFonts w:ascii="Calibri" w:hAnsi="Calibri"/>
          <w:i/>
        </w:rPr>
        <w:t>MD, CCFP, FCFP, President and CEO of the Association of Faculties of Medicine of Canada</w:t>
      </w:r>
      <w:r w:rsidRPr="00150F8D">
        <w:rPr>
          <w:rFonts w:ascii="Calibri" w:hAnsi="Calibri"/>
        </w:rPr>
        <w:br/>
      </w:r>
      <w:r w:rsidRPr="006B7889">
        <w:rPr>
          <w:rFonts w:ascii="Calibri" w:hAnsi="Calibri"/>
        </w:rPr>
        <w:t>Canadian post-graduate medical education</w:t>
      </w:r>
    </w:p>
    <w:p w:rsidR="004C38EA" w:rsidRPr="006B7889" w:rsidRDefault="00211E86" w:rsidP="00CC79CD">
      <w:pPr>
        <w:ind w:left="1440"/>
        <w:rPr>
          <w:rFonts w:ascii="Calibri" w:hAnsi="Calibri"/>
        </w:rPr>
      </w:pPr>
      <w:hyperlink r:id="rId31" w:history="1">
        <w:r w:rsidR="004C38EA" w:rsidRPr="006B7889">
          <w:rPr>
            <w:rStyle w:val="Hyperlink"/>
            <w:rFonts w:ascii="Calibri" w:hAnsi="Calibri"/>
          </w:rPr>
          <w:t>http://www.iom.edu/~/media/Files/Activity%20Files/Workforce/GMEGovFinance/2012-DEC-19/Busing.pdf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Ralph G. Dacey Jr., </w:t>
      </w:r>
      <w:r w:rsidRPr="006B7889">
        <w:rPr>
          <w:rFonts w:ascii="Calibri" w:hAnsi="Calibri"/>
          <w:i/>
        </w:rPr>
        <w:t xml:space="preserve">MD, Professor and Chairman </w:t>
      </w:r>
      <w:r w:rsidRPr="00150F8D">
        <w:rPr>
          <w:rFonts w:ascii="Calibri" w:hAnsi="Calibri"/>
          <w:i/>
        </w:rPr>
        <w:t>–</w:t>
      </w:r>
      <w:r w:rsidRPr="006B7889">
        <w:rPr>
          <w:rFonts w:ascii="Calibri" w:hAnsi="Calibri"/>
          <w:i/>
        </w:rPr>
        <w:t xml:space="preserve"> Department of Neurosurgery Washington Universitery, President of the Society of Neurological Surgeons</w:t>
      </w:r>
      <w:r w:rsidRPr="006B7889">
        <w:rPr>
          <w:rFonts w:ascii="Calibri" w:hAnsi="Calibri"/>
          <w:b/>
        </w:rPr>
        <w:t xml:space="preserve"> </w:t>
      </w:r>
    </w:p>
    <w:p w:rsidR="004C38EA" w:rsidRPr="006B7889" w:rsidRDefault="004C38EA" w:rsidP="00CC79CD">
      <w:pPr>
        <w:ind w:left="1080" w:firstLine="360"/>
        <w:rPr>
          <w:rFonts w:ascii="Calibri" w:hAnsi="Calibri"/>
        </w:rPr>
      </w:pPr>
      <w:r w:rsidRPr="006B7889">
        <w:rPr>
          <w:rFonts w:ascii="Calibri" w:hAnsi="Calibri"/>
        </w:rPr>
        <w:t>A perspective of GME from view of a neurosurgeon</w:t>
      </w:r>
    </w:p>
    <w:p w:rsidR="004C38EA" w:rsidRPr="006B7889" w:rsidRDefault="00211E86" w:rsidP="00CC79CD">
      <w:pPr>
        <w:ind w:left="1440"/>
        <w:rPr>
          <w:rFonts w:ascii="Calibri" w:hAnsi="Calibri"/>
        </w:rPr>
      </w:pPr>
      <w:hyperlink r:id="rId32" w:history="1">
        <w:r w:rsidR="004C38EA" w:rsidRPr="006B7889">
          <w:rPr>
            <w:rStyle w:val="Hyperlink"/>
            <w:rFonts w:ascii="Calibri" w:hAnsi="Calibri"/>
          </w:rPr>
          <w:t>http://www.iom.edu/~/media/Files/Activity%20Files/Workforce/GMEGovFinance/2012-DEC-19/Dacey.pdf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Arnold Eiser, </w:t>
      </w:r>
      <w:r w:rsidRPr="006B7889">
        <w:rPr>
          <w:rFonts w:ascii="Calibri" w:hAnsi="Calibri"/>
          <w:i/>
        </w:rPr>
        <w:t>MD, FACP, Vice President of Medical Education, Mercy Health System SEPA, Associate Dean, Mercy Programs and Professor of Medicine, Drexel University College of Medicine</w:t>
      </w:r>
    </w:p>
    <w:p w:rsidR="004C38EA" w:rsidRPr="006B7889" w:rsidRDefault="004C38EA" w:rsidP="00CC79CD">
      <w:pPr>
        <w:ind w:left="1440"/>
        <w:rPr>
          <w:rFonts w:ascii="Calibri" w:hAnsi="Calibri"/>
        </w:rPr>
      </w:pPr>
      <w:r w:rsidRPr="006B7889">
        <w:rPr>
          <w:rFonts w:ascii="Calibri" w:hAnsi="Calibri"/>
        </w:rPr>
        <w:t xml:space="preserve">Discusses effect of recent or proposed GME regulations or policies on safety net hospitals. Discusses adverse effect on the society when safety net hospitals close.  </w:t>
      </w:r>
    </w:p>
    <w:p w:rsidR="004C38EA" w:rsidRPr="006B7889" w:rsidRDefault="00211E86" w:rsidP="00CC79CD">
      <w:pPr>
        <w:ind w:left="1440"/>
        <w:rPr>
          <w:rFonts w:ascii="Calibri" w:hAnsi="Calibri"/>
        </w:rPr>
      </w:pPr>
      <w:hyperlink r:id="rId33" w:history="1">
        <w:r w:rsidR="004C38EA" w:rsidRPr="006B7889">
          <w:rPr>
            <w:rStyle w:val="Hyperlink"/>
            <w:rFonts w:ascii="Calibri" w:hAnsi="Calibri"/>
          </w:rPr>
          <w:t>http://www.iom.edu/~/media/Files/Activity%20Files/Workforce/GMEGovFinance/2012-DEC-19/Eiser.pdf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Arthur Garson Jr., </w:t>
      </w:r>
      <w:r w:rsidRPr="006B7889">
        <w:rPr>
          <w:rFonts w:ascii="Calibri" w:hAnsi="Calibri"/>
          <w:i/>
        </w:rPr>
        <w:t>MD, MPH Director for the Center for Health Policy University of Virginia</w:t>
      </w:r>
      <w:r w:rsidRPr="006B7889">
        <w:rPr>
          <w:rFonts w:ascii="Calibri" w:hAnsi="Calibri"/>
          <w:b/>
        </w:rPr>
        <w:t xml:space="preserve">  </w:t>
      </w:r>
    </w:p>
    <w:p w:rsidR="004C38EA" w:rsidRPr="006B7889" w:rsidRDefault="004C38EA" w:rsidP="00CC79CD">
      <w:pPr>
        <w:ind w:left="1440"/>
        <w:rPr>
          <w:rFonts w:ascii="Calibri" w:hAnsi="Calibri"/>
        </w:rPr>
      </w:pPr>
      <w:r w:rsidRPr="006B7889">
        <w:rPr>
          <w:rFonts w:ascii="Calibri" w:hAnsi="Calibri"/>
        </w:rPr>
        <w:t>Presents a new model of health care delivery that is integrated system based</w:t>
      </w:r>
    </w:p>
    <w:p w:rsidR="004C38EA" w:rsidRPr="006B7889" w:rsidRDefault="00211E86" w:rsidP="00CC79CD">
      <w:pPr>
        <w:ind w:left="1440"/>
        <w:rPr>
          <w:rFonts w:ascii="Calibri" w:hAnsi="Calibri"/>
        </w:rPr>
      </w:pPr>
      <w:hyperlink r:id="rId34" w:history="1">
        <w:r w:rsidR="004C38EA" w:rsidRPr="006B7889">
          <w:rPr>
            <w:rStyle w:val="Hyperlink"/>
            <w:rFonts w:ascii="Calibri" w:hAnsi="Calibri"/>
          </w:rPr>
          <w:t>http://www.iom.edu/~/media/Files/Activity%20Files/Workforce/GMEGovFinance/2012-DEC-19/Garson.pdf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lastRenderedPageBreak/>
        <w:t xml:space="preserve">Christopher Gonzalez, </w:t>
      </w:r>
      <w:r w:rsidRPr="006B7889">
        <w:rPr>
          <w:rFonts w:ascii="Calibri" w:hAnsi="Calibri"/>
          <w:i/>
        </w:rPr>
        <w:t>MD, MBA, FACS. Testimony on behalf of the American Urological Association</w:t>
      </w:r>
    </w:p>
    <w:p w:rsidR="004C38EA" w:rsidRPr="006B7889" w:rsidRDefault="004C38EA" w:rsidP="00CC79CD">
      <w:pPr>
        <w:ind w:left="1440"/>
        <w:rPr>
          <w:rFonts w:ascii="Calibri" w:hAnsi="Calibri"/>
        </w:rPr>
      </w:pPr>
      <w:r w:rsidRPr="006B7889">
        <w:rPr>
          <w:rFonts w:ascii="Calibri" w:hAnsi="Calibri"/>
        </w:rPr>
        <w:t>Discusses the adverse effect of current GME funding caps on certain subspecialist</w:t>
      </w:r>
      <w:r w:rsidRPr="00150F8D">
        <w:rPr>
          <w:rFonts w:ascii="Calibri" w:hAnsi="Calibri"/>
        </w:rPr>
        <w:t>’</w:t>
      </w:r>
      <w:r w:rsidRPr="006B7889">
        <w:rPr>
          <w:rFonts w:ascii="Calibri" w:hAnsi="Calibri"/>
        </w:rPr>
        <w:t>s ability to provide care to the US population.</w:t>
      </w:r>
    </w:p>
    <w:p w:rsidR="004C38EA" w:rsidRPr="006B7889" w:rsidRDefault="00211E86" w:rsidP="00CC79CD">
      <w:pPr>
        <w:ind w:left="1440"/>
        <w:rPr>
          <w:rFonts w:ascii="Calibri" w:hAnsi="Calibri"/>
        </w:rPr>
      </w:pPr>
      <w:hyperlink r:id="rId35" w:history="1">
        <w:r w:rsidR="004C38EA" w:rsidRPr="006B7889">
          <w:rPr>
            <w:rStyle w:val="Hyperlink"/>
            <w:rFonts w:ascii="Calibri" w:hAnsi="Calibri"/>
          </w:rPr>
          <w:t>http://www.iom.edu/~/media/Files/Activity%20Files/Workforce/GMEGovFinance/2012-DEC-19/Gonzalez.pdf</w:t>
        </w:r>
      </w:hyperlink>
      <w:r w:rsidR="004C38EA" w:rsidRPr="006B7889">
        <w:rPr>
          <w:rFonts w:ascii="Calibri" w:hAnsi="Calibri"/>
        </w:rPr>
        <w:t xml:space="preserve"> </w:t>
      </w:r>
    </w:p>
    <w:p w:rsidR="004C38EA" w:rsidRPr="006B7889" w:rsidRDefault="004C38EA" w:rsidP="00CC79CD">
      <w:pPr>
        <w:ind w:left="108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David Goodman</w:t>
      </w:r>
      <w:r w:rsidRPr="006B7889">
        <w:rPr>
          <w:rFonts w:ascii="Calibri" w:hAnsi="Calibri"/>
        </w:rPr>
        <w:t xml:space="preserve">, </w:t>
      </w:r>
      <w:r w:rsidRPr="006B7889">
        <w:rPr>
          <w:rFonts w:ascii="Calibri" w:hAnsi="Calibri"/>
          <w:i/>
        </w:rPr>
        <w:t>MD, MS, Professor of Pediatrics and of Health Policy, Director of the Center for Health Policy Research</w:t>
      </w:r>
    </w:p>
    <w:p w:rsidR="004C38EA" w:rsidRPr="006B7889" w:rsidRDefault="004C38EA" w:rsidP="00CC79CD">
      <w:pPr>
        <w:ind w:left="1440"/>
        <w:rPr>
          <w:rFonts w:ascii="Calibri" w:hAnsi="Calibri"/>
        </w:rPr>
      </w:pPr>
      <w:r w:rsidRPr="006B7889">
        <w:rPr>
          <w:rFonts w:ascii="Calibri" w:hAnsi="Calibri"/>
        </w:rPr>
        <w:t xml:space="preserve">Align GME expenses and workforce needs. </w:t>
      </w:r>
      <w:hyperlink r:id="rId36" w:history="1">
        <w:r w:rsidRPr="006B7889">
          <w:rPr>
            <w:rStyle w:val="Hyperlink"/>
            <w:rFonts w:ascii="Calibri" w:hAnsi="Calibri"/>
          </w:rPr>
          <w:t>http://www.iom.edu/~/media/Files/Activity%20Files/Workforce/GMEGovFinance/2012-DEC-19/Goodman.pdf</w:t>
        </w:r>
      </w:hyperlink>
      <w:r w:rsidRPr="006B7889">
        <w:rPr>
          <w:rFonts w:ascii="Calibri" w:hAnsi="Calibri"/>
        </w:rPr>
        <w:t xml:space="preserve">  </w:t>
      </w:r>
      <w:r w:rsidRPr="00150F8D">
        <w:rPr>
          <w:rFonts w:ascii="Calibri" w:hAnsi="Calibri"/>
        </w:rPr>
        <w:br/>
      </w:r>
    </w:p>
    <w:p w:rsidR="004C38EA" w:rsidRPr="006B7889" w:rsidRDefault="004C38EA" w:rsidP="00CC79CD">
      <w:pPr>
        <w:numPr>
          <w:ilvl w:val="0"/>
          <w:numId w:val="44"/>
        </w:numPr>
        <w:rPr>
          <w:rFonts w:ascii="Calibri" w:hAnsi="Calibri"/>
          <w:b/>
        </w:rPr>
      </w:pPr>
      <w:r w:rsidRPr="006B7889">
        <w:rPr>
          <w:rFonts w:ascii="Calibri" w:hAnsi="Calibri"/>
          <w:b/>
        </w:rPr>
        <w:t xml:space="preserve">Atul Grover, </w:t>
      </w:r>
      <w:r w:rsidRPr="006B7889">
        <w:rPr>
          <w:rFonts w:ascii="Calibri" w:hAnsi="Calibri"/>
          <w:i/>
        </w:rPr>
        <w:t>MD, PhD, Chief Public Policy Officer - AAMC</w:t>
      </w:r>
    </w:p>
    <w:p w:rsidR="004C38EA" w:rsidRPr="006B7889" w:rsidRDefault="004C38EA" w:rsidP="00CC79CD">
      <w:pPr>
        <w:ind w:left="1080" w:firstLine="360"/>
        <w:rPr>
          <w:rFonts w:ascii="Calibri" w:hAnsi="Calibri"/>
        </w:rPr>
      </w:pPr>
      <w:r w:rsidRPr="006B7889">
        <w:rPr>
          <w:rFonts w:ascii="Calibri" w:hAnsi="Calibri"/>
        </w:rPr>
        <w:t>Describes the future needs and supply of physician workforce.</w:t>
      </w:r>
    </w:p>
    <w:p w:rsidR="004C38EA" w:rsidRPr="006B7889" w:rsidRDefault="00211E86" w:rsidP="00CC79CD">
      <w:pPr>
        <w:ind w:left="1440"/>
        <w:rPr>
          <w:rFonts w:ascii="Calibri" w:hAnsi="Calibri"/>
        </w:rPr>
      </w:pPr>
      <w:hyperlink r:id="rId37" w:history="1">
        <w:r w:rsidR="004C38EA" w:rsidRPr="006B7889">
          <w:rPr>
            <w:rStyle w:val="Hyperlink"/>
            <w:rFonts w:ascii="Calibri" w:hAnsi="Calibri"/>
          </w:rPr>
          <w:t>http://www.iom.edu/~/media/Files/Activity%20Files/Workforce/GMEGovFinance/2012-DEC-19/Grover.pdf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rPr>
      </w:pPr>
      <w:r w:rsidRPr="006B7889">
        <w:rPr>
          <w:rFonts w:ascii="Calibri" w:hAnsi="Calibri"/>
          <w:b/>
        </w:rPr>
        <w:t>David Hoyt</w:t>
      </w:r>
      <w:r w:rsidRPr="006B7889">
        <w:rPr>
          <w:rFonts w:ascii="Calibri" w:hAnsi="Calibri"/>
        </w:rPr>
        <w:t xml:space="preserve">, </w:t>
      </w:r>
      <w:r w:rsidRPr="006B7889">
        <w:rPr>
          <w:rFonts w:ascii="Calibri" w:hAnsi="Calibri"/>
          <w:i/>
        </w:rPr>
        <w:t>MD FACS, Executive Director American College of Surgeons</w:t>
      </w:r>
      <w:r w:rsidRPr="00150F8D">
        <w:rPr>
          <w:rFonts w:ascii="Calibri" w:hAnsi="Calibri"/>
        </w:rPr>
        <w:br/>
      </w:r>
      <w:r w:rsidRPr="006B7889">
        <w:rPr>
          <w:rFonts w:ascii="Calibri" w:hAnsi="Calibri"/>
        </w:rPr>
        <w:t>A surgeon</w:t>
      </w:r>
      <w:r w:rsidRPr="00150F8D">
        <w:rPr>
          <w:rFonts w:ascii="Calibri" w:hAnsi="Calibri"/>
        </w:rPr>
        <w:t>’</w:t>
      </w:r>
      <w:r w:rsidRPr="006B7889">
        <w:rPr>
          <w:rFonts w:ascii="Calibri" w:hAnsi="Calibri"/>
        </w:rPr>
        <w:t>s perspective on GME funding and proposals.</w:t>
      </w:r>
    </w:p>
    <w:p w:rsidR="004C38EA" w:rsidRPr="006B7889" w:rsidRDefault="00211E86" w:rsidP="00CC79CD">
      <w:pPr>
        <w:ind w:left="1440"/>
        <w:rPr>
          <w:rFonts w:ascii="Calibri" w:hAnsi="Calibri"/>
        </w:rPr>
      </w:pPr>
      <w:hyperlink r:id="rId38" w:history="1">
        <w:r w:rsidR="004C38EA" w:rsidRPr="006B7889">
          <w:rPr>
            <w:rStyle w:val="Hyperlink"/>
            <w:rFonts w:ascii="Calibri" w:hAnsi="Calibri"/>
          </w:rPr>
          <w:t>http://www.iom.edu/~/media/Files/Activity%20Files/Workforce/GMEGovFinance/2012-DEC-19/Hoyt.pdf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rPr>
      </w:pPr>
      <w:r w:rsidRPr="006B7889">
        <w:rPr>
          <w:rFonts w:ascii="Calibri" w:hAnsi="Calibri"/>
          <w:b/>
        </w:rPr>
        <w:t>Tim Johnson</w:t>
      </w:r>
      <w:r w:rsidRPr="006B7889">
        <w:rPr>
          <w:rFonts w:ascii="Calibri" w:hAnsi="Calibri"/>
        </w:rPr>
        <w:t xml:space="preserve">, </w:t>
      </w:r>
      <w:r w:rsidRPr="006B7889">
        <w:rPr>
          <w:rFonts w:ascii="Calibri" w:hAnsi="Calibri"/>
          <w:i/>
        </w:rPr>
        <w:t>Senior VP and Executive Director for the Center for GME Policy and Services, Greater New York Hospital Association</w:t>
      </w:r>
      <w:r w:rsidRPr="00150F8D">
        <w:rPr>
          <w:rFonts w:ascii="Calibri" w:hAnsi="Calibri"/>
        </w:rPr>
        <w:br/>
      </w:r>
      <w:r w:rsidRPr="006B7889">
        <w:rPr>
          <w:rFonts w:ascii="Calibri" w:hAnsi="Calibri"/>
        </w:rPr>
        <w:t>New York teaching hospitals</w:t>
      </w:r>
      <w:r w:rsidRPr="00150F8D">
        <w:rPr>
          <w:rFonts w:ascii="Calibri" w:hAnsi="Calibri"/>
        </w:rPr>
        <w:t>’</w:t>
      </w:r>
      <w:r w:rsidRPr="006B7889">
        <w:rPr>
          <w:rFonts w:ascii="Calibri" w:hAnsi="Calibri"/>
        </w:rPr>
        <w:t xml:space="preserve"> perspective on GME.</w:t>
      </w:r>
    </w:p>
    <w:p w:rsidR="004C38EA" w:rsidRPr="006B7889" w:rsidRDefault="00211E86" w:rsidP="00CC79CD">
      <w:pPr>
        <w:ind w:left="1440"/>
        <w:rPr>
          <w:rFonts w:ascii="Calibri" w:hAnsi="Calibri"/>
        </w:rPr>
      </w:pPr>
      <w:hyperlink r:id="rId39" w:history="1">
        <w:r w:rsidR="004C38EA" w:rsidRPr="006B7889">
          <w:rPr>
            <w:rStyle w:val="Hyperlink"/>
            <w:rFonts w:ascii="Calibri" w:hAnsi="Calibri"/>
          </w:rPr>
          <w:t>http://www.iom.edu/~/media/Files/Activity%20Files/Workforce/GMEGovFinance/2012-DEC-19/Johnson.pdf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rPr>
      </w:pPr>
      <w:r w:rsidRPr="006B7889">
        <w:rPr>
          <w:rFonts w:ascii="Calibri" w:hAnsi="Calibri"/>
          <w:b/>
        </w:rPr>
        <w:t>Jim Kaufman</w:t>
      </w:r>
      <w:r w:rsidRPr="006B7889">
        <w:rPr>
          <w:rFonts w:ascii="Calibri" w:hAnsi="Calibri"/>
        </w:rPr>
        <w:t xml:space="preserve">, </w:t>
      </w:r>
      <w:r w:rsidRPr="006B7889">
        <w:rPr>
          <w:rFonts w:ascii="Calibri" w:hAnsi="Calibri"/>
          <w:i/>
        </w:rPr>
        <w:t>Children</w:t>
      </w:r>
      <w:r w:rsidRPr="00150F8D">
        <w:rPr>
          <w:rFonts w:ascii="Calibri" w:hAnsi="Calibri"/>
          <w:i/>
        </w:rPr>
        <w:t>’</w:t>
      </w:r>
      <w:r w:rsidRPr="006B7889">
        <w:rPr>
          <w:rFonts w:ascii="Calibri" w:hAnsi="Calibri"/>
          <w:i/>
        </w:rPr>
        <w:t>s Hospital Association</w:t>
      </w:r>
      <w:r w:rsidRPr="006B7889">
        <w:rPr>
          <w:rFonts w:ascii="Calibri" w:hAnsi="Calibri"/>
        </w:rPr>
        <w:t xml:space="preserve"> </w:t>
      </w:r>
      <w:r w:rsidRPr="00150F8D">
        <w:rPr>
          <w:rFonts w:ascii="Calibri" w:hAnsi="Calibri"/>
        </w:rPr>
        <w:br/>
      </w:r>
      <w:r w:rsidRPr="006B7889">
        <w:rPr>
          <w:rFonts w:ascii="Calibri" w:hAnsi="Calibri"/>
        </w:rPr>
        <w:t>GME and CHGME funding of pediatric hospital graduate medical education</w:t>
      </w:r>
    </w:p>
    <w:p w:rsidR="004C38EA" w:rsidRPr="006B7889" w:rsidRDefault="00211E86" w:rsidP="00CC79CD">
      <w:pPr>
        <w:ind w:left="1440"/>
        <w:rPr>
          <w:rFonts w:ascii="Calibri" w:hAnsi="Calibri"/>
        </w:rPr>
      </w:pPr>
      <w:hyperlink r:id="rId40" w:history="1">
        <w:r w:rsidR="004C38EA" w:rsidRPr="006B7889">
          <w:rPr>
            <w:rStyle w:val="Hyperlink"/>
            <w:rFonts w:ascii="Calibri" w:hAnsi="Calibri"/>
          </w:rPr>
          <w:t>http://www.iom.edu/~/media/Files/Activity%20Files/Workforce/GMEGovFinance/2012-DEC-19/Kaufman.pdf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rPr>
      </w:pPr>
      <w:r w:rsidRPr="006B7889">
        <w:rPr>
          <w:rFonts w:ascii="Calibri" w:hAnsi="Calibri"/>
          <w:b/>
        </w:rPr>
        <w:t xml:space="preserve">Tom Nasca, </w:t>
      </w:r>
      <w:r w:rsidRPr="006B7889">
        <w:rPr>
          <w:rFonts w:ascii="Calibri" w:hAnsi="Calibri"/>
          <w:i/>
        </w:rPr>
        <w:t>MD MACP, CEO - ACGME</w:t>
      </w:r>
      <w:r w:rsidRPr="00150F8D">
        <w:rPr>
          <w:rFonts w:ascii="Calibri" w:hAnsi="Calibri"/>
        </w:rPr>
        <w:br/>
      </w:r>
      <w:r w:rsidRPr="006B7889">
        <w:rPr>
          <w:rFonts w:ascii="Calibri" w:hAnsi="Calibri"/>
        </w:rPr>
        <w:t>ACGME and CLER.</w:t>
      </w:r>
    </w:p>
    <w:p w:rsidR="004C38EA" w:rsidRPr="006B7889" w:rsidRDefault="00211E86" w:rsidP="00CC79CD">
      <w:pPr>
        <w:ind w:left="1440"/>
        <w:rPr>
          <w:rFonts w:ascii="Calibri" w:hAnsi="Calibri"/>
        </w:rPr>
      </w:pPr>
      <w:hyperlink r:id="rId41" w:history="1">
        <w:r w:rsidR="004C38EA" w:rsidRPr="006B7889">
          <w:rPr>
            <w:rStyle w:val="Hyperlink"/>
            <w:rFonts w:ascii="Calibri" w:hAnsi="Calibri"/>
          </w:rPr>
          <w:t>http://www.iom.edu/~/media/Files/Activity%20Files/Workforce/GMEGovFinance/2012-DEC-19/Nasca.pdf</w:t>
        </w:r>
      </w:hyperlink>
      <w:r w:rsidR="004C38EA" w:rsidRPr="006B7889">
        <w:rPr>
          <w:rFonts w:ascii="Calibri" w:hAnsi="Calibri"/>
        </w:rPr>
        <w:t xml:space="preserve"> </w:t>
      </w:r>
    </w:p>
    <w:p w:rsidR="004C38EA" w:rsidRPr="006B7889" w:rsidRDefault="004C38EA" w:rsidP="00CC79CD">
      <w:pPr>
        <w:ind w:left="1440"/>
        <w:rPr>
          <w:rFonts w:ascii="Calibri" w:hAnsi="Calibri"/>
        </w:rPr>
      </w:pPr>
    </w:p>
    <w:p w:rsidR="004C38EA" w:rsidRPr="006B7889" w:rsidRDefault="004C38EA" w:rsidP="00CC79CD">
      <w:pPr>
        <w:numPr>
          <w:ilvl w:val="0"/>
          <w:numId w:val="44"/>
        </w:numPr>
        <w:rPr>
          <w:rFonts w:ascii="Calibri" w:hAnsi="Calibri"/>
        </w:rPr>
      </w:pPr>
      <w:r w:rsidRPr="006B7889">
        <w:rPr>
          <w:rFonts w:ascii="Calibri" w:hAnsi="Calibri"/>
          <w:b/>
        </w:rPr>
        <w:t>Judy Pauwels</w:t>
      </w:r>
      <w:r w:rsidRPr="006B7889">
        <w:rPr>
          <w:rFonts w:ascii="Calibri" w:hAnsi="Calibri"/>
        </w:rPr>
        <w:t xml:space="preserve">, </w:t>
      </w:r>
      <w:r w:rsidRPr="006B7889">
        <w:rPr>
          <w:rFonts w:ascii="Calibri" w:hAnsi="Calibri"/>
          <w:i/>
        </w:rPr>
        <w:t>MD University of Washington Department of Family Medicine</w:t>
      </w:r>
      <w:r w:rsidRPr="00150F8D">
        <w:rPr>
          <w:rFonts w:ascii="Calibri" w:hAnsi="Calibri"/>
        </w:rPr>
        <w:br/>
      </w:r>
      <w:r w:rsidRPr="006B7889">
        <w:rPr>
          <w:rFonts w:ascii="Calibri" w:hAnsi="Calibri"/>
        </w:rPr>
        <w:t>Finances and start-up challenges for community-based programs.</w:t>
      </w:r>
    </w:p>
    <w:p w:rsidR="004C38EA" w:rsidRPr="006B7889" w:rsidRDefault="00211E86" w:rsidP="00CC79CD">
      <w:pPr>
        <w:ind w:left="1440"/>
        <w:rPr>
          <w:rFonts w:ascii="Calibri" w:hAnsi="Calibri"/>
        </w:rPr>
      </w:pPr>
      <w:hyperlink r:id="rId42" w:history="1">
        <w:r w:rsidR="004C38EA" w:rsidRPr="006B7889">
          <w:rPr>
            <w:rStyle w:val="Hyperlink"/>
            <w:rFonts w:ascii="Calibri" w:hAnsi="Calibri"/>
          </w:rPr>
          <w:t>http://www.iom.edu/~/media/Files/Activity%20Files/Workforce/GMEGovFinance/2012-DEC-19/Pauwels.pdf</w:t>
        </w:r>
      </w:hyperlink>
    </w:p>
    <w:p w:rsidR="004C38EA" w:rsidRPr="006B7889" w:rsidRDefault="004C38EA" w:rsidP="00CC79CD">
      <w:pPr>
        <w:ind w:left="1440"/>
        <w:rPr>
          <w:rFonts w:ascii="Calibri" w:hAnsi="Calibri"/>
        </w:rPr>
      </w:pPr>
    </w:p>
    <w:p w:rsidR="004C38EA" w:rsidRPr="006B7889" w:rsidRDefault="004C38EA" w:rsidP="00CC79CD">
      <w:pPr>
        <w:numPr>
          <w:ilvl w:val="0"/>
          <w:numId w:val="44"/>
        </w:numPr>
        <w:rPr>
          <w:rFonts w:ascii="Calibri" w:hAnsi="Calibri"/>
        </w:rPr>
      </w:pPr>
      <w:r w:rsidRPr="006B7889">
        <w:rPr>
          <w:rFonts w:ascii="Calibri" w:hAnsi="Calibri"/>
          <w:b/>
        </w:rPr>
        <w:t>David Reines</w:t>
      </w:r>
      <w:r w:rsidRPr="006B7889">
        <w:rPr>
          <w:rFonts w:ascii="Calibri" w:hAnsi="Calibri"/>
        </w:rPr>
        <w:t xml:space="preserve">, </w:t>
      </w:r>
      <w:r w:rsidRPr="006B7889">
        <w:rPr>
          <w:rFonts w:ascii="Calibri" w:hAnsi="Calibri"/>
          <w:i/>
        </w:rPr>
        <w:t>MD, FACS, Vice Chair of COGME</w:t>
      </w:r>
      <w:r w:rsidRPr="00150F8D">
        <w:rPr>
          <w:rFonts w:ascii="Calibri" w:hAnsi="Calibri"/>
        </w:rPr>
        <w:br/>
      </w:r>
      <w:r w:rsidRPr="006B7889">
        <w:rPr>
          <w:rFonts w:ascii="Calibri" w:hAnsi="Calibri"/>
        </w:rPr>
        <w:t>Council on Graduate Medical Education report.</w:t>
      </w:r>
    </w:p>
    <w:p w:rsidR="004C38EA" w:rsidRPr="006B7889" w:rsidRDefault="00211E86" w:rsidP="00CC79CD">
      <w:pPr>
        <w:ind w:left="1440"/>
        <w:rPr>
          <w:rFonts w:ascii="Calibri" w:hAnsi="Calibri"/>
        </w:rPr>
      </w:pPr>
      <w:hyperlink r:id="rId43" w:history="1">
        <w:r w:rsidR="004C38EA" w:rsidRPr="006B7889">
          <w:rPr>
            <w:rStyle w:val="Hyperlink"/>
            <w:rFonts w:ascii="Calibri" w:hAnsi="Calibri"/>
          </w:rPr>
          <w:t>http://www.iom.edu/~/media/Files/Activity%20Files/Workforce/GMEGovFinance/2012-DEC-19/Reines.pdf</w:t>
        </w:r>
      </w:hyperlink>
      <w:r w:rsidR="004C38EA" w:rsidRPr="006B7889">
        <w:rPr>
          <w:rFonts w:ascii="Calibri" w:hAnsi="Calibri"/>
        </w:rPr>
        <w:t xml:space="preserve"> </w:t>
      </w:r>
    </w:p>
    <w:p w:rsidR="004C38EA" w:rsidRPr="006B7889" w:rsidRDefault="004C38EA" w:rsidP="00CC79CD">
      <w:pPr>
        <w:ind w:left="1440"/>
        <w:rPr>
          <w:rFonts w:ascii="Calibri" w:hAnsi="Calibri"/>
        </w:rPr>
      </w:pPr>
      <w:r w:rsidRPr="006B7889">
        <w:rPr>
          <w:rFonts w:ascii="Calibri" w:hAnsi="Calibri"/>
        </w:rPr>
        <w:t xml:space="preserve"> </w:t>
      </w:r>
    </w:p>
    <w:p w:rsidR="004C38EA" w:rsidRPr="006B7889" w:rsidRDefault="004C38EA" w:rsidP="00CC79CD">
      <w:pPr>
        <w:numPr>
          <w:ilvl w:val="0"/>
          <w:numId w:val="44"/>
        </w:numPr>
        <w:rPr>
          <w:rFonts w:ascii="Calibri" w:hAnsi="Calibri"/>
        </w:rPr>
      </w:pPr>
      <w:r w:rsidRPr="006B7889">
        <w:rPr>
          <w:rFonts w:ascii="Calibri" w:hAnsi="Calibri"/>
          <w:b/>
        </w:rPr>
        <w:t>Tom Ricketts</w:t>
      </w:r>
      <w:r w:rsidRPr="006B7889">
        <w:rPr>
          <w:rFonts w:ascii="Calibri" w:hAnsi="Calibri"/>
        </w:rPr>
        <w:t xml:space="preserve">, </w:t>
      </w:r>
      <w:r w:rsidRPr="006B7889">
        <w:rPr>
          <w:rFonts w:ascii="Calibri" w:hAnsi="Calibri"/>
          <w:i/>
        </w:rPr>
        <w:t>PhD, MPH, The University of North Carolina at Chapel Hill</w:t>
      </w:r>
      <w:r w:rsidRPr="006B7889">
        <w:rPr>
          <w:rFonts w:ascii="Calibri" w:hAnsi="Calibri"/>
        </w:rPr>
        <w:t xml:space="preserve">  </w:t>
      </w:r>
      <w:r w:rsidRPr="00150F8D">
        <w:rPr>
          <w:rFonts w:ascii="Calibri" w:hAnsi="Calibri"/>
        </w:rPr>
        <w:br/>
      </w:r>
      <w:r w:rsidRPr="006B7889">
        <w:rPr>
          <w:rFonts w:ascii="Calibri" w:hAnsi="Calibri"/>
        </w:rPr>
        <w:t>Describes the future needs and supply of physician workforce.</w:t>
      </w:r>
    </w:p>
    <w:p w:rsidR="004C38EA" w:rsidRPr="006B7889" w:rsidRDefault="00211E86" w:rsidP="00CC79CD">
      <w:pPr>
        <w:ind w:left="1440"/>
        <w:rPr>
          <w:rFonts w:ascii="Calibri" w:hAnsi="Calibri"/>
        </w:rPr>
      </w:pPr>
      <w:hyperlink r:id="rId44" w:history="1">
        <w:r w:rsidR="004C38EA" w:rsidRPr="006B7889">
          <w:rPr>
            <w:rStyle w:val="Hyperlink"/>
            <w:rFonts w:ascii="Calibri" w:hAnsi="Calibri"/>
          </w:rPr>
          <w:t>http://www.iom.edu/~/media/Files/Activity%20Files/Workforce/GMEGovFinance/2012-DEC-19/Ricketts.pdf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rPr>
      </w:pPr>
      <w:r w:rsidRPr="006B7889">
        <w:rPr>
          <w:rFonts w:ascii="Calibri" w:hAnsi="Calibri"/>
          <w:b/>
        </w:rPr>
        <w:t xml:space="preserve">Lewis Sandy, </w:t>
      </w:r>
      <w:r w:rsidRPr="006B7889">
        <w:rPr>
          <w:rFonts w:ascii="Calibri" w:hAnsi="Calibri"/>
          <w:i/>
        </w:rPr>
        <w:t>United Health Group</w:t>
      </w:r>
      <w:r w:rsidRPr="00150F8D">
        <w:rPr>
          <w:rFonts w:ascii="Calibri" w:hAnsi="Calibri"/>
        </w:rPr>
        <w:br/>
      </w:r>
      <w:r w:rsidRPr="006B7889">
        <w:rPr>
          <w:rFonts w:ascii="Calibri" w:hAnsi="Calibri"/>
        </w:rPr>
        <w:t>Costs and financing of GME.</w:t>
      </w:r>
    </w:p>
    <w:p w:rsidR="004C38EA" w:rsidRPr="006B7889" w:rsidRDefault="00211E86" w:rsidP="00CC79CD">
      <w:pPr>
        <w:ind w:left="1440"/>
        <w:rPr>
          <w:rFonts w:ascii="Calibri" w:hAnsi="Calibri"/>
        </w:rPr>
      </w:pPr>
      <w:hyperlink r:id="rId45" w:history="1">
        <w:r w:rsidR="004C38EA" w:rsidRPr="006B7889">
          <w:rPr>
            <w:rStyle w:val="Hyperlink"/>
            <w:rFonts w:ascii="Calibri" w:hAnsi="Calibri"/>
          </w:rPr>
          <w:t>http://www.iom.edu/~/media/Files/Activity%20Files/Workforce/GMEGovFinance/2012-DEC-19/Sandy.pdf</w:t>
        </w:r>
      </w:hyperlink>
      <w:r w:rsidR="004C38EA" w:rsidRPr="006B7889">
        <w:rPr>
          <w:rFonts w:ascii="Calibri" w:hAnsi="Calibri"/>
        </w:rPr>
        <w:t xml:space="preserve">  </w:t>
      </w:r>
      <w:r w:rsidR="004C38EA" w:rsidRPr="00150F8D">
        <w:rPr>
          <w:rFonts w:ascii="Calibri" w:hAnsi="Calibri"/>
        </w:rPr>
        <w:br/>
      </w:r>
    </w:p>
    <w:p w:rsidR="004C38EA" w:rsidRPr="006B7889" w:rsidRDefault="004C38EA" w:rsidP="00CC79CD">
      <w:pPr>
        <w:numPr>
          <w:ilvl w:val="0"/>
          <w:numId w:val="44"/>
        </w:numPr>
        <w:rPr>
          <w:rFonts w:ascii="Calibri" w:hAnsi="Calibri"/>
          <w:b/>
        </w:rPr>
      </w:pPr>
      <w:r w:rsidRPr="006B7889">
        <w:rPr>
          <w:rFonts w:ascii="Calibri" w:hAnsi="Calibri"/>
          <w:b/>
        </w:rPr>
        <w:t xml:space="preserve">David Squire, </w:t>
      </w:r>
      <w:r w:rsidRPr="006B7889">
        <w:rPr>
          <w:rFonts w:ascii="Calibri" w:hAnsi="Calibri"/>
          <w:i/>
        </w:rPr>
        <w:t xml:space="preserve">Assistant Dean of Finance </w:t>
      </w:r>
      <w:r w:rsidRPr="00150F8D">
        <w:rPr>
          <w:rFonts w:ascii="Calibri" w:hAnsi="Calibri"/>
          <w:i/>
        </w:rPr>
        <w:t>–</w:t>
      </w:r>
      <w:r w:rsidRPr="006B7889">
        <w:rPr>
          <w:rFonts w:ascii="Calibri" w:hAnsi="Calibri"/>
          <w:i/>
        </w:rPr>
        <w:t xml:space="preserve"> University of Utah School of Dentistry</w:t>
      </w:r>
    </w:p>
    <w:p w:rsidR="004C38EA" w:rsidRPr="006B7889" w:rsidRDefault="004C38EA" w:rsidP="00CC79CD">
      <w:pPr>
        <w:ind w:left="1080" w:firstLine="360"/>
        <w:rPr>
          <w:rFonts w:ascii="Calibri" w:hAnsi="Calibri"/>
        </w:rPr>
      </w:pPr>
      <w:r w:rsidRPr="006B7889">
        <w:rPr>
          <w:rFonts w:ascii="Calibri" w:hAnsi="Calibri"/>
        </w:rPr>
        <w:t>Lessons learned from the Utah Medical Education Council.</w:t>
      </w:r>
    </w:p>
    <w:p w:rsidR="004C38EA" w:rsidRPr="006B7889" w:rsidRDefault="00211E86" w:rsidP="00CC79CD">
      <w:pPr>
        <w:ind w:left="1440"/>
        <w:rPr>
          <w:rFonts w:ascii="Calibri" w:hAnsi="Calibri"/>
        </w:rPr>
      </w:pPr>
      <w:hyperlink r:id="rId46" w:history="1">
        <w:r w:rsidR="004C38EA" w:rsidRPr="006B7889">
          <w:rPr>
            <w:rStyle w:val="Hyperlink"/>
            <w:rFonts w:ascii="Calibri" w:hAnsi="Calibri"/>
          </w:rPr>
          <w:t>http://www.iom.edu/~/media/Files/Activity%20Files/Workforce/GMEGovFinance/2012-DEC-19/Squire.pdf</w:t>
        </w:r>
      </w:hyperlink>
      <w:r w:rsidR="004C38EA" w:rsidRPr="006B7889">
        <w:rPr>
          <w:rFonts w:ascii="Calibri" w:hAnsi="Calibri"/>
        </w:rPr>
        <w:t xml:space="preserve"> </w:t>
      </w:r>
    </w:p>
    <w:p w:rsidR="004C38EA" w:rsidRPr="006B7889" w:rsidRDefault="004C38EA" w:rsidP="00CC79CD">
      <w:pPr>
        <w:ind w:left="1440"/>
        <w:rPr>
          <w:rFonts w:ascii="Calibri" w:hAnsi="Calibri"/>
        </w:rPr>
      </w:pPr>
    </w:p>
    <w:p w:rsidR="004C38EA" w:rsidRPr="006B7889" w:rsidRDefault="004C38EA" w:rsidP="00CC79CD">
      <w:pPr>
        <w:numPr>
          <w:ilvl w:val="0"/>
          <w:numId w:val="44"/>
        </w:numPr>
        <w:rPr>
          <w:rFonts w:ascii="Calibri" w:hAnsi="Calibri"/>
          <w:b/>
        </w:rPr>
      </w:pPr>
      <w:r w:rsidRPr="006B7889">
        <w:rPr>
          <w:rFonts w:ascii="Calibri" w:hAnsi="Calibri"/>
          <w:b/>
        </w:rPr>
        <w:t xml:space="preserve">George Thibault, </w:t>
      </w:r>
      <w:r w:rsidRPr="006B7889">
        <w:rPr>
          <w:rFonts w:ascii="Calibri" w:hAnsi="Calibri"/>
          <w:i/>
        </w:rPr>
        <w:t>MD, President of Josiah Macy Jr. Foundation</w:t>
      </w:r>
    </w:p>
    <w:p w:rsidR="004C38EA" w:rsidRPr="006B7889" w:rsidRDefault="004C38EA" w:rsidP="00CC79CD">
      <w:pPr>
        <w:ind w:left="1080" w:firstLine="360"/>
        <w:rPr>
          <w:rFonts w:ascii="Calibri" w:hAnsi="Calibri"/>
        </w:rPr>
      </w:pPr>
      <w:r w:rsidRPr="006B7889">
        <w:rPr>
          <w:rFonts w:ascii="Calibri" w:hAnsi="Calibri"/>
        </w:rPr>
        <w:t>Ensuring innovation in medical education.</w:t>
      </w:r>
    </w:p>
    <w:p w:rsidR="004C38EA" w:rsidRPr="006B7889" w:rsidRDefault="00211E86" w:rsidP="00CC79CD">
      <w:pPr>
        <w:ind w:left="1440"/>
        <w:rPr>
          <w:rFonts w:ascii="Calibri" w:hAnsi="Calibri"/>
        </w:rPr>
      </w:pPr>
      <w:hyperlink r:id="rId47" w:history="1">
        <w:r w:rsidR="004C38EA" w:rsidRPr="006B7889">
          <w:rPr>
            <w:rStyle w:val="Hyperlink"/>
            <w:rFonts w:ascii="Calibri" w:hAnsi="Calibri"/>
          </w:rPr>
          <w:t>http://www.iom.edu/~/media/Files/Activity%20Files/Workforce/GMEGovFinance/2012-DEC-19/Thibault.pdf</w:t>
        </w:r>
      </w:hyperlink>
      <w:r w:rsidR="004C38EA" w:rsidRPr="006B7889">
        <w:rPr>
          <w:rFonts w:ascii="Calibri" w:hAnsi="Calibri"/>
        </w:rPr>
        <w:t xml:space="preserve">  </w:t>
      </w:r>
    </w:p>
    <w:p w:rsidR="004C38EA" w:rsidRPr="006B7889" w:rsidRDefault="004C38EA" w:rsidP="00CC79CD">
      <w:pPr>
        <w:ind w:left="1440"/>
        <w:rPr>
          <w:rFonts w:ascii="Calibri" w:hAnsi="Calibri"/>
        </w:rPr>
      </w:pPr>
      <w:r w:rsidRPr="006B7889">
        <w:rPr>
          <w:rFonts w:ascii="Calibri" w:hAnsi="Calibri"/>
        </w:rPr>
        <w:t xml:space="preserve"> </w:t>
      </w:r>
    </w:p>
    <w:p w:rsidR="004C38EA" w:rsidRPr="006B7889" w:rsidRDefault="004C38EA" w:rsidP="00CC79CD">
      <w:pPr>
        <w:numPr>
          <w:ilvl w:val="0"/>
          <w:numId w:val="44"/>
        </w:numPr>
        <w:rPr>
          <w:rFonts w:ascii="Calibri" w:hAnsi="Calibri"/>
          <w:b/>
        </w:rPr>
      </w:pPr>
      <w:r w:rsidRPr="006B7889">
        <w:rPr>
          <w:rFonts w:ascii="Calibri" w:hAnsi="Calibri"/>
          <w:b/>
        </w:rPr>
        <w:t xml:space="preserve">Linda Thomas-Hemak, </w:t>
      </w:r>
      <w:r w:rsidRPr="006B7889">
        <w:rPr>
          <w:rFonts w:ascii="Calibri" w:hAnsi="Calibri"/>
          <w:i/>
        </w:rPr>
        <w:t>MD, President and CEO Wright Center for Graduate Medical Education</w:t>
      </w:r>
    </w:p>
    <w:p w:rsidR="004C38EA" w:rsidRPr="006B7889" w:rsidRDefault="004C38EA" w:rsidP="00CC79CD">
      <w:pPr>
        <w:ind w:left="1440"/>
        <w:rPr>
          <w:rFonts w:ascii="Calibri" w:hAnsi="Calibri"/>
        </w:rPr>
      </w:pPr>
      <w:r w:rsidRPr="006B7889">
        <w:rPr>
          <w:rFonts w:ascii="Calibri" w:hAnsi="Calibri"/>
        </w:rPr>
        <w:t>Nonprofit GME Consortium promoting healthcare delivery and workforce education in the community.</w:t>
      </w:r>
    </w:p>
    <w:p w:rsidR="004C38EA" w:rsidRPr="006B7889" w:rsidRDefault="00211E86" w:rsidP="00CC79CD">
      <w:pPr>
        <w:ind w:left="1440"/>
        <w:rPr>
          <w:rFonts w:ascii="Calibri" w:hAnsi="Calibri"/>
        </w:rPr>
      </w:pPr>
      <w:hyperlink r:id="rId48" w:history="1">
        <w:r w:rsidR="004C38EA" w:rsidRPr="006B7889">
          <w:rPr>
            <w:rStyle w:val="Hyperlink"/>
            <w:rFonts w:ascii="Calibri" w:hAnsi="Calibri"/>
          </w:rPr>
          <w:t>http://www.iom.edu/~/media/Files/Activity%20Files/Workforce/GMEGovFinance/2012-DEC-19/Thomas-Hemak.pdf</w:t>
        </w:r>
      </w:hyperlink>
      <w:r w:rsidR="004C38EA" w:rsidRPr="006B7889">
        <w:rPr>
          <w:rFonts w:ascii="Calibri" w:hAnsi="Calibri"/>
        </w:rPr>
        <w:t xml:space="preserve"> </w:t>
      </w:r>
    </w:p>
    <w:p w:rsidR="004C38EA" w:rsidRPr="006B7889" w:rsidRDefault="004C38EA" w:rsidP="00CC79CD">
      <w:pPr>
        <w:ind w:left="720"/>
        <w:rPr>
          <w:rFonts w:ascii="Calibri" w:hAnsi="Calibri"/>
        </w:rPr>
      </w:pPr>
    </w:p>
    <w:p w:rsidR="004C38EA" w:rsidRDefault="004C38EA" w:rsidP="00CC79CD">
      <w:pPr>
        <w:rPr>
          <w:rFonts w:ascii="Calibri" w:hAnsi="Calibri"/>
        </w:rPr>
      </w:pPr>
    </w:p>
    <w:p w:rsidR="004C38EA" w:rsidRDefault="004C38EA" w:rsidP="00CC79CD">
      <w:pPr>
        <w:rPr>
          <w:rFonts w:ascii="Calibri" w:hAnsi="Calibri"/>
        </w:rPr>
      </w:pPr>
    </w:p>
    <w:p w:rsidR="004C38EA" w:rsidRDefault="004C38EA" w:rsidP="00CC79CD">
      <w:pPr>
        <w:rPr>
          <w:rFonts w:ascii="Calibri" w:hAnsi="Calibri"/>
        </w:rPr>
      </w:pPr>
    </w:p>
    <w:p w:rsidR="004C38EA" w:rsidRDefault="004C38EA" w:rsidP="00CC79CD">
      <w:pPr>
        <w:rPr>
          <w:rFonts w:ascii="Calibri" w:hAnsi="Calibri"/>
        </w:rPr>
      </w:pPr>
    </w:p>
    <w:p w:rsidR="004C38EA" w:rsidRDefault="004C38EA" w:rsidP="00CC79CD">
      <w:pPr>
        <w:rPr>
          <w:rFonts w:ascii="Calibri" w:hAnsi="Calibri"/>
        </w:rPr>
      </w:pPr>
    </w:p>
    <w:p w:rsidR="004C38EA" w:rsidRDefault="004C38EA" w:rsidP="00CC79CD">
      <w:pPr>
        <w:rPr>
          <w:rFonts w:ascii="Calibri" w:hAnsi="Calibri"/>
        </w:rPr>
      </w:pPr>
    </w:p>
    <w:p w:rsidR="004C38EA" w:rsidRPr="00AC1DDF" w:rsidRDefault="004C38EA" w:rsidP="00CC79CD">
      <w:pPr>
        <w:rPr>
          <w:rFonts w:ascii="Calibri" w:hAnsi="Calibri"/>
        </w:rPr>
      </w:pPr>
    </w:p>
    <w:sectPr w:rsidR="004C38EA" w:rsidRPr="00AC1DDF" w:rsidSect="001E52AF">
      <w:headerReference w:type="even" r:id="rId49"/>
      <w:headerReference w:type="default" r:id="rId50"/>
      <w:headerReference w:type="first" r:id="rId51"/>
      <w:pgSz w:w="12240" w:h="15840" w:code="1"/>
      <w:pgMar w:top="1800" w:right="1080" w:bottom="1440" w:left="1080" w:header="648" w:footer="6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83" w:rsidRDefault="001E2683">
      <w:r>
        <w:separator/>
      </w:r>
    </w:p>
  </w:endnote>
  <w:endnote w:type="continuationSeparator" w:id="0">
    <w:p w:rsidR="001E2683" w:rsidRDefault="001E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StoneSerif">
    <w:altName w:val="Stone Serif"/>
    <w:panose1 w:val="00000000000000000000"/>
    <w:charset w:val="4D"/>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TE1FEA438t00">
    <w:panose1 w:val="00000000000000000000"/>
    <w:charset w:val="00"/>
    <w:family w:val="auto"/>
    <w:notTrueType/>
    <w:pitch w:val="default"/>
    <w:sig w:usb0="00000003" w:usb1="00000000" w:usb2="00000000" w:usb3="00000000" w:csb0="00000001" w:csb1="00000000"/>
  </w:font>
  <w:font w:name="TTE25EFAA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pPr>
      <w:pStyle w:val="Footer"/>
      <w:jc w:val="center"/>
    </w:pPr>
    <w:r>
      <w:rPr>
        <w:rStyle w:val="PageNumber"/>
      </w:rPr>
      <w:fldChar w:fldCharType="begin"/>
    </w:r>
    <w:r>
      <w:rPr>
        <w:rStyle w:val="PageNumber"/>
      </w:rPr>
      <w:instrText xml:space="preserve"> PAGE </w:instrText>
    </w:r>
    <w:r>
      <w:rPr>
        <w:rStyle w:val="PageNumber"/>
      </w:rPr>
      <w:fldChar w:fldCharType="separate"/>
    </w:r>
    <w:r w:rsidR="00211E86">
      <w:rPr>
        <w:rStyle w:val="PageNumber"/>
        <w:noProof/>
      </w:rPr>
      <w:t>44</w:t>
    </w:r>
    <w:r>
      <w:rPr>
        <w:rStyle w:val="PageNumber"/>
      </w:rPr>
      <w:fldChar w:fldCharType="end"/>
    </w:r>
  </w:p>
  <w:p w:rsidR="001E2683" w:rsidRDefault="001E26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rsidP="001857BD">
    <w:pPr>
      <w:pStyle w:val="Footer"/>
      <w:jc w:val="right"/>
    </w:pPr>
    <w:r>
      <w:rPr>
        <w:rStyle w:val="PageNumber"/>
      </w:rPr>
      <w:fldChar w:fldCharType="begin"/>
    </w:r>
    <w:r>
      <w:rPr>
        <w:rStyle w:val="PageNumber"/>
      </w:rPr>
      <w:instrText xml:space="preserve"> PAGE </w:instrText>
    </w:r>
    <w:r>
      <w:rPr>
        <w:rStyle w:val="PageNumber"/>
      </w:rPr>
      <w:fldChar w:fldCharType="separate"/>
    </w:r>
    <w:r w:rsidR="00211E8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83" w:rsidRDefault="001E2683">
      <w:r>
        <w:separator/>
      </w:r>
    </w:p>
  </w:footnote>
  <w:footnote w:type="continuationSeparator" w:id="0">
    <w:p w:rsidR="001E2683" w:rsidRDefault="001E2683">
      <w:r>
        <w:continuationSeparator/>
      </w:r>
    </w:p>
  </w:footnote>
  <w:footnote w:id="1">
    <w:p w:rsidR="001E2683" w:rsidRDefault="001E2683" w:rsidP="00527F11">
      <w:pPr>
        <w:pStyle w:val="FootnoteText"/>
      </w:pPr>
      <w:r>
        <w:rPr>
          <w:rStyle w:val="FootnoteReference"/>
          <w:rFonts w:ascii="Calibri" w:hAnsi="Calibri"/>
          <w:szCs w:val="20"/>
        </w:rPr>
        <w:footnoteRef/>
      </w:r>
      <w:r w:rsidRPr="00FC7B08">
        <w:rPr>
          <w:rFonts w:ascii="Calibri" w:hAnsi="Calibri"/>
          <w:szCs w:val="20"/>
        </w:rPr>
        <w:t xml:space="preserve"> American College of Physicians. Aligning GME Policy with the Nation</w:t>
      </w:r>
      <w:r w:rsidRPr="00150F8D">
        <w:rPr>
          <w:rFonts w:ascii="Calibri" w:hAnsi="Calibri"/>
          <w:szCs w:val="20"/>
        </w:rPr>
        <w:t>’</w:t>
      </w:r>
      <w:r w:rsidRPr="00FC7B08">
        <w:rPr>
          <w:rFonts w:ascii="Calibri" w:hAnsi="Calibri"/>
          <w:szCs w:val="20"/>
        </w:rPr>
        <w:t xml:space="preserve">s Health Care Workforce Needs. 2011. </w:t>
      </w:r>
      <w:hyperlink r:id="rId1" w:history="1">
        <w:r w:rsidRPr="00FC7B08">
          <w:rPr>
            <w:rStyle w:val="Hyperlink"/>
            <w:rFonts w:ascii="Calibri" w:hAnsi="Calibri"/>
            <w:szCs w:val="20"/>
          </w:rPr>
          <w:t>http://www.acponline.org/advocacy/where_we_stand/policy/gme_policy.pdf</w:t>
        </w:r>
      </w:hyperlink>
      <w:r>
        <w:rPr>
          <w:rFonts w:ascii="Calibri" w:hAnsi="Calibri"/>
          <w:szCs w:val="20"/>
        </w:rPr>
        <w:t xml:space="preserve"> </w:t>
      </w:r>
    </w:p>
  </w:footnote>
  <w:footnote w:id="2">
    <w:p w:rsidR="001E2683" w:rsidRDefault="001E2683">
      <w:pPr>
        <w:pStyle w:val="FootnoteText"/>
      </w:pPr>
      <w:r>
        <w:rPr>
          <w:rStyle w:val="FootnoteReference"/>
          <w:rFonts w:ascii="Calibri" w:hAnsi="Calibri"/>
          <w:szCs w:val="20"/>
        </w:rPr>
        <w:footnoteRef/>
      </w:r>
      <w:r w:rsidRPr="00FC7B08">
        <w:rPr>
          <w:rFonts w:ascii="Calibri" w:hAnsi="Calibri"/>
          <w:szCs w:val="20"/>
        </w:rPr>
        <w:t xml:space="preserve"> Main Residency Match</w:t>
      </w:r>
      <w:r w:rsidRPr="00FC7B08">
        <w:rPr>
          <w:rFonts w:ascii="Calibri" w:hAnsi="Calibri"/>
          <w:i/>
          <w:szCs w:val="20"/>
        </w:rPr>
        <w:t>.</w:t>
      </w:r>
      <w:r w:rsidRPr="00FC7B08">
        <w:rPr>
          <w:rFonts w:ascii="Calibri" w:hAnsi="Calibri"/>
          <w:szCs w:val="20"/>
        </w:rPr>
        <w:t xml:space="preserve"> National Resident Matching Program. Available at: </w:t>
      </w:r>
      <w:hyperlink r:id="rId2" w:history="1">
        <w:r w:rsidRPr="00FC7B08">
          <w:rPr>
            <w:rStyle w:val="Hyperlink"/>
            <w:rFonts w:ascii="Calibri" w:hAnsi="Calibri"/>
            <w:szCs w:val="20"/>
          </w:rPr>
          <w:t>http://www.nrmp.org/res_match/</w:t>
        </w:r>
      </w:hyperlink>
    </w:p>
  </w:footnote>
  <w:footnote w:id="3">
    <w:p w:rsidR="001E2683" w:rsidRPr="00FC7B08" w:rsidRDefault="001E2683" w:rsidP="008D02E9">
      <w:pPr>
        <w:pStyle w:val="FootnoteText"/>
        <w:rPr>
          <w:rFonts w:ascii="Calibri" w:hAnsi="Calibri"/>
          <w:szCs w:val="20"/>
        </w:rPr>
      </w:pPr>
      <w:r>
        <w:rPr>
          <w:rStyle w:val="FootnoteReference"/>
          <w:rFonts w:ascii="Calibri" w:hAnsi="Calibri"/>
          <w:szCs w:val="20"/>
        </w:rPr>
        <w:footnoteRef/>
      </w:r>
      <w:r w:rsidRPr="00FC7B08">
        <w:rPr>
          <w:rFonts w:ascii="Calibri" w:hAnsi="Calibri"/>
          <w:szCs w:val="20"/>
        </w:rPr>
        <w:t xml:space="preserve"> Results and Data: 2012 Main Residency Match. National Resident Matching Program</w:t>
      </w:r>
    </w:p>
    <w:p w:rsidR="001E2683" w:rsidRDefault="001E2683" w:rsidP="008D02E9">
      <w:pPr>
        <w:pStyle w:val="FootnoteText"/>
      </w:pPr>
      <w:r w:rsidRPr="00FC7B08">
        <w:rPr>
          <w:rFonts w:ascii="Calibri" w:hAnsi="Calibri"/>
          <w:szCs w:val="20"/>
        </w:rPr>
        <w:t xml:space="preserve">(April 2012). Available at: </w:t>
      </w:r>
      <w:hyperlink r:id="rId3" w:history="1">
        <w:r w:rsidRPr="00FC7B08">
          <w:rPr>
            <w:rStyle w:val="Hyperlink"/>
            <w:rFonts w:ascii="Calibri" w:hAnsi="Calibri"/>
            <w:szCs w:val="20"/>
          </w:rPr>
          <w:t>http://www.nrmp.org/data/resultsanddata2012.pdf</w:t>
        </w:r>
      </w:hyperlink>
      <w:r w:rsidRPr="00FC7B08">
        <w:rPr>
          <w:rFonts w:ascii="Calibri" w:hAnsi="Calibri"/>
          <w:szCs w:val="20"/>
        </w:rPr>
        <w:t>. Accessed on: January 15, 2013.</w:t>
      </w:r>
    </w:p>
  </w:footnote>
  <w:footnote w:id="4">
    <w:p w:rsidR="001E2683" w:rsidRDefault="001E2683" w:rsidP="008D02E9">
      <w:pPr>
        <w:pStyle w:val="FootnoteText"/>
      </w:pPr>
      <w:r>
        <w:rPr>
          <w:rStyle w:val="FootnoteReference"/>
          <w:rFonts w:ascii="Calibri" w:hAnsi="Calibri"/>
          <w:szCs w:val="20"/>
        </w:rPr>
        <w:footnoteRef/>
      </w:r>
      <w:r w:rsidRPr="00FC7B08">
        <w:rPr>
          <w:rFonts w:ascii="Calibri" w:hAnsi="Calibri"/>
          <w:szCs w:val="20"/>
        </w:rPr>
        <w:t xml:space="preserve"> 2012 NRMP Main Residency Match: Match Rates by</w:t>
      </w:r>
      <w:r>
        <w:rPr>
          <w:rFonts w:ascii="Calibri" w:hAnsi="Calibri"/>
          <w:szCs w:val="20"/>
        </w:rPr>
        <w:t xml:space="preserve"> </w:t>
      </w:r>
      <w:r w:rsidRPr="00E63763">
        <w:rPr>
          <w:rFonts w:ascii="Calibri" w:hAnsi="Calibri"/>
          <w:szCs w:val="20"/>
        </w:rPr>
        <w:t xml:space="preserve">Specialty and State. National Resident Matching Program. (April 2012). Available at: </w:t>
      </w:r>
      <w:hyperlink r:id="rId4" w:history="1">
        <w:r w:rsidRPr="00E63763">
          <w:rPr>
            <w:rStyle w:val="Hyperlink"/>
            <w:rFonts w:ascii="Calibri" w:hAnsi="Calibri"/>
            <w:szCs w:val="20"/>
          </w:rPr>
          <w:t>http://www.nrmp.org/data/resultsbystate2012.pdf</w:t>
        </w:r>
      </w:hyperlink>
      <w:r w:rsidRPr="00E63763">
        <w:rPr>
          <w:rFonts w:ascii="Calibri" w:hAnsi="Calibri"/>
          <w:szCs w:val="20"/>
        </w:rPr>
        <w:t xml:space="preserve">.  Accessed on: January 15, 2013. </w:t>
      </w:r>
    </w:p>
  </w:footnote>
  <w:footnote w:id="5">
    <w:p w:rsidR="001E2683" w:rsidRDefault="001E2683" w:rsidP="0075589B">
      <w:pPr>
        <w:pStyle w:val="FootnoteText"/>
      </w:pPr>
      <w:r w:rsidRPr="00E63763">
        <w:rPr>
          <w:rStyle w:val="FootnoteReference"/>
          <w:rFonts w:ascii="Calibri" w:hAnsi="Calibri"/>
          <w:szCs w:val="20"/>
        </w:rPr>
        <w:footnoteRef/>
      </w:r>
      <w:r w:rsidRPr="00E63763">
        <w:rPr>
          <w:rFonts w:ascii="Calibri" w:hAnsi="Calibri"/>
          <w:szCs w:val="20"/>
        </w:rPr>
        <w:t xml:space="preserve"> ACGME Data Resource Book, Academic Year 2011-2012. Accreditation Council for Graduate Medical Education Department of Applications and Data Analysis. 2012. </w:t>
      </w:r>
    </w:p>
  </w:footnote>
  <w:footnote w:id="6">
    <w:p w:rsidR="001E2683" w:rsidRDefault="001E2683">
      <w:pPr>
        <w:pStyle w:val="FootnoteText"/>
      </w:pPr>
      <w:r w:rsidRPr="00E63763">
        <w:rPr>
          <w:rStyle w:val="FootnoteReference"/>
          <w:rFonts w:ascii="Calibri" w:hAnsi="Calibri"/>
          <w:szCs w:val="20"/>
        </w:rPr>
        <w:footnoteRef/>
      </w:r>
      <w:r w:rsidRPr="00E63763">
        <w:rPr>
          <w:rFonts w:ascii="Calibri" w:hAnsi="Calibri"/>
          <w:szCs w:val="20"/>
        </w:rPr>
        <w:t xml:space="preserve"> “Medicare Direct Graduate Medical Education (DGME) Payments” Association of American Medical Colleges. Available at: </w:t>
      </w:r>
      <w:hyperlink r:id="rId5" w:history="1">
        <w:r w:rsidRPr="00E63763">
          <w:rPr>
            <w:rStyle w:val="Hyperlink"/>
            <w:rFonts w:ascii="Calibri" w:hAnsi="Calibri"/>
            <w:szCs w:val="20"/>
          </w:rPr>
          <w:t>https://www.aamc.org/advocacy/gme/71152/gme_gme0001.html</w:t>
        </w:r>
      </w:hyperlink>
      <w:r w:rsidRPr="00E63763">
        <w:rPr>
          <w:rFonts w:ascii="Calibri" w:hAnsi="Calibri"/>
          <w:szCs w:val="20"/>
        </w:rPr>
        <w:t>.</w:t>
      </w:r>
    </w:p>
  </w:footnote>
  <w:footnote w:id="7">
    <w:p w:rsidR="001E2683" w:rsidRDefault="001E2683" w:rsidP="00B32346">
      <w:pPr>
        <w:pStyle w:val="FootnoteText"/>
      </w:pPr>
      <w:r w:rsidRPr="00E63763">
        <w:rPr>
          <w:rStyle w:val="FootnoteReference"/>
          <w:rFonts w:ascii="Calibri" w:hAnsi="Calibri"/>
          <w:szCs w:val="20"/>
        </w:rPr>
        <w:footnoteRef/>
      </w:r>
      <w:r w:rsidRPr="00E63763">
        <w:rPr>
          <w:rFonts w:ascii="Calibri" w:hAnsi="Calibri"/>
          <w:szCs w:val="20"/>
        </w:rPr>
        <w:t xml:space="preserve"> 42 C.F.R. §412.105 (2012)</w:t>
      </w:r>
    </w:p>
  </w:footnote>
  <w:footnote w:id="8">
    <w:p w:rsidR="001E2683" w:rsidRDefault="001E2683">
      <w:pPr>
        <w:pStyle w:val="FootnoteText"/>
      </w:pPr>
      <w:r w:rsidRPr="00E63763">
        <w:rPr>
          <w:rStyle w:val="FootnoteReference"/>
          <w:rFonts w:ascii="Calibri" w:hAnsi="Calibri"/>
          <w:szCs w:val="20"/>
        </w:rPr>
        <w:footnoteRef/>
      </w:r>
      <w:r w:rsidRPr="00E63763">
        <w:rPr>
          <w:rFonts w:ascii="Calibri" w:hAnsi="Calibri"/>
          <w:szCs w:val="20"/>
        </w:rPr>
        <w:t xml:space="preserve"> “</w:t>
      </w:r>
      <w:r w:rsidRPr="00E63763">
        <w:rPr>
          <w:rFonts w:ascii="Calibri" w:hAnsi="Calibri"/>
          <w:szCs w:val="20"/>
          <w:lang w:eastAsia="en-US"/>
        </w:rPr>
        <w:t xml:space="preserve">Graduate Medical Education for Teaching Hospitals in Fiscal Years 2000-2010”. Robert Graham Center. November 2012. Available at: </w:t>
      </w:r>
      <w:hyperlink r:id="rId6" w:history="1">
        <w:r w:rsidRPr="00E63763">
          <w:rPr>
            <w:rStyle w:val="Hyperlink"/>
            <w:rFonts w:ascii="Calibri" w:hAnsi="Calibri"/>
            <w:szCs w:val="20"/>
            <w:lang w:eastAsia="en-US"/>
          </w:rPr>
          <w:t>http://www.graham-center.org/online/graham/home/tools-resources/data-tables/dt001-gme-2007.html</w:t>
        </w:r>
      </w:hyperlink>
      <w:r w:rsidRPr="00E63763">
        <w:rPr>
          <w:rFonts w:ascii="Calibri" w:hAnsi="Calibri"/>
          <w:szCs w:val="20"/>
          <w:lang w:eastAsia="en-US"/>
        </w:rPr>
        <w:t>. Accessed on: June 1, 2013. “</w:t>
      </w:r>
      <w:r w:rsidRPr="00E63763">
        <w:rPr>
          <w:rFonts w:ascii="Calibri" w:hAnsi="Calibri"/>
          <w:szCs w:val="20"/>
        </w:rPr>
        <w:t xml:space="preserve">Hospital 2522-10 Cost Report Data Files”. Center for Medicare &amp; Medicaid Services. Available at: </w:t>
      </w:r>
      <w:hyperlink r:id="rId7" w:history="1">
        <w:r w:rsidRPr="00E63763">
          <w:rPr>
            <w:rStyle w:val="Hyperlink"/>
            <w:rFonts w:ascii="Calibri" w:hAnsi="Calibri"/>
            <w:szCs w:val="20"/>
          </w:rPr>
          <w:t>http://www.cms.gov/Research-Statistics-Data-and-Systems/Files-for-Order/CostReports/Hospital-2010-form.html</w:t>
        </w:r>
      </w:hyperlink>
      <w:r w:rsidRPr="00E63763">
        <w:rPr>
          <w:rFonts w:ascii="Calibri" w:hAnsi="Calibri"/>
          <w:szCs w:val="20"/>
        </w:rPr>
        <w:t xml:space="preserve">. Accessed on June 1, 2013. </w:t>
      </w:r>
      <w:r w:rsidRPr="00E63763">
        <w:rPr>
          <w:rFonts w:ascii="Calibri" w:hAnsi="Calibri"/>
          <w:szCs w:val="20"/>
          <w:lang w:eastAsia="en-US"/>
        </w:rPr>
        <w:t xml:space="preserve">The chart shows the annual payments received statewide utilizing data compiled by the Robert Graham Center and the CMS Annual Cost Reports. </w:t>
      </w:r>
      <w:r w:rsidRPr="009A0136">
        <w:rPr>
          <w:rFonts w:ascii="Calibri" w:hAnsi="Calibri"/>
          <w:szCs w:val="20"/>
          <w:lang w:eastAsia="en-US"/>
        </w:rPr>
        <w:t xml:space="preserve"> </w:t>
      </w:r>
    </w:p>
  </w:footnote>
  <w:footnote w:id="9">
    <w:p w:rsidR="001E2683" w:rsidRDefault="001E2683">
      <w:pPr>
        <w:pStyle w:val="FootnoteText"/>
      </w:pPr>
      <w:r>
        <w:rPr>
          <w:rStyle w:val="FootnoteReference"/>
          <w:rFonts w:ascii="Calibri" w:hAnsi="Calibri"/>
          <w:szCs w:val="20"/>
        </w:rPr>
        <w:footnoteRef/>
      </w:r>
      <w:r w:rsidRPr="009A0136">
        <w:rPr>
          <w:rFonts w:ascii="Calibri" w:hAnsi="Calibri"/>
          <w:szCs w:val="20"/>
        </w:rPr>
        <w:t xml:space="preserve"> </w:t>
      </w:r>
      <w:r w:rsidRPr="009A0136">
        <w:rPr>
          <w:rFonts w:ascii="Calibri" w:hAnsi="Calibri"/>
          <w:szCs w:val="20"/>
          <w:lang w:eastAsia="en-US"/>
        </w:rPr>
        <w:t>Total GME payments equal the sum of DME and IME payments.</w:t>
      </w:r>
    </w:p>
  </w:footnote>
  <w:footnote w:id="10">
    <w:p w:rsidR="001E2683" w:rsidRDefault="001E2683">
      <w:pPr>
        <w:pStyle w:val="FootnoteText"/>
      </w:pPr>
      <w:r>
        <w:rPr>
          <w:rStyle w:val="FootnoteReference"/>
          <w:rFonts w:ascii="Calibri" w:hAnsi="Calibri"/>
          <w:szCs w:val="20"/>
        </w:rPr>
        <w:footnoteRef/>
      </w:r>
      <w:r w:rsidRPr="009A0136">
        <w:rPr>
          <w:rFonts w:ascii="Calibri" w:hAnsi="Calibri"/>
          <w:szCs w:val="20"/>
        </w:rPr>
        <w:t xml:space="preserve"> “Hospital 2522-10 Cost Report Data Files.” Center for Medicare &amp; Medicaid Services. Available at: </w:t>
      </w:r>
      <w:hyperlink r:id="rId8" w:history="1">
        <w:r w:rsidRPr="009A0136">
          <w:rPr>
            <w:rStyle w:val="Hyperlink"/>
            <w:rFonts w:ascii="Calibri" w:hAnsi="Calibri"/>
            <w:szCs w:val="20"/>
          </w:rPr>
          <w:t>http://www.cms.gov/Research-Statistics-Data-and-Systems/Files-for-Order/CostReports/Hospital-2010-form.html</w:t>
        </w:r>
      </w:hyperlink>
      <w:r w:rsidRPr="009A0136">
        <w:rPr>
          <w:rFonts w:ascii="Calibri" w:hAnsi="Calibri"/>
          <w:szCs w:val="20"/>
        </w:rPr>
        <w:t xml:space="preserve">. Accessed on June 1, 2013. </w:t>
      </w:r>
    </w:p>
  </w:footnote>
  <w:footnote w:id="11">
    <w:p w:rsidR="001E2683" w:rsidRDefault="001E2683">
      <w:pPr>
        <w:pStyle w:val="FootnoteText"/>
      </w:pPr>
      <w:r>
        <w:rPr>
          <w:rStyle w:val="FootnoteReference"/>
          <w:rFonts w:ascii="Calibri" w:hAnsi="Calibri"/>
          <w:szCs w:val="20"/>
        </w:rPr>
        <w:footnoteRef/>
      </w:r>
      <w:r w:rsidRPr="009A0136">
        <w:rPr>
          <w:rFonts w:ascii="Calibri" w:hAnsi="Calibri"/>
          <w:szCs w:val="20"/>
        </w:rPr>
        <w:t xml:space="preserve"> “Children's Hospitals Graduate Medical Education Payment Program.” Health Resources and Services Administration, United States Department of Health and Human Services. Available at: </w:t>
      </w:r>
      <w:hyperlink r:id="rId9" w:history="1">
        <w:r w:rsidRPr="009A0136">
          <w:rPr>
            <w:rStyle w:val="Hyperlink"/>
            <w:rFonts w:ascii="Calibri" w:hAnsi="Calibri"/>
            <w:szCs w:val="20"/>
          </w:rPr>
          <w:t>http://bhpr.hrsa.gov/childrenshospitalgme/index.html</w:t>
        </w:r>
      </w:hyperlink>
      <w:r w:rsidRPr="009A0136">
        <w:rPr>
          <w:rFonts w:ascii="Calibri" w:hAnsi="Calibri"/>
          <w:szCs w:val="20"/>
        </w:rPr>
        <w:t xml:space="preserve">. </w:t>
      </w:r>
    </w:p>
  </w:footnote>
  <w:footnote w:id="12">
    <w:p w:rsidR="001E2683" w:rsidRDefault="001E2683">
      <w:pPr>
        <w:pStyle w:val="FootnoteText"/>
      </w:pPr>
      <w:r>
        <w:rPr>
          <w:rStyle w:val="FootnoteReference"/>
        </w:rPr>
        <w:footnoteRef/>
      </w:r>
      <w:r>
        <w:t xml:space="preserve"> “</w:t>
      </w:r>
      <w:r>
        <w:rPr>
          <w:rFonts w:ascii="Calibri" w:hAnsi="Calibri"/>
        </w:rPr>
        <w:t xml:space="preserve">CHGME Distributed Payments FY2011.” </w:t>
      </w:r>
      <w:r w:rsidRPr="009A0136">
        <w:rPr>
          <w:rFonts w:ascii="Calibri" w:hAnsi="Calibri"/>
          <w:szCs w:val="20"/>
        </w:rPr>
        <w:t>Health Resources and Services Administration, United States Department of Health and Human Services. Available at:</w:t>
      </w:r>
      <w:r>
        <w:rPr>
          <w:rFonts w:ascii="Calibri" w:hAnsi="Calibri"/>
          <w:szCs w:val="20"/>
        </w:rPr>
        <w:t xml:space="preserve"> </w:t>
      </w:r>
      <w:hyperlink r:id="rId10" w:history="1">
        <w:r w:rsidRPr="00BF6457">
          <w:rPr>
            <w:rStyle w:val="Hyperlink"/>
            <w:rFonts w:ascii="Calibri" w:hAnsi="Calibri"/>
            <w:szCs w:val="20"/>
          </w:rPr>
          <w:t>http://bhpr.hrsa.gov/childrenshospitalgme/pdf/paymentdata2011.pdf</w:t>
        </w:r>
      </w:hyperlink>
      <w:r w:rsidRPr="00A93FFA">
        <w:rPr>
          <w:rFonts w:ascii="Calibri" w:hAnsi="Calibri"/>
          <w:szCs w:val="20"/>
        </w:rPr>
        <w:t>.</w:t>
      </w:r>
      <w:r>
        <w:rPr>
          <w:rFonts w:ascii="Calibri" w:hAnsi="Calibri"/>
          <w:szCs w:val="20"/>
        </w:rPr>
        <w:t xml:space="preserve"> </w:t>
      </w:r>
      <w:r w:rsidRPr="00A93FFA">
        <w:rPr>
          <w:rFonts w:ascii="Calibri" w:hAnsi="Calibri"/>
          <w:szCs w:val="20"/>
        </w:rPr>
        <w:t>Accessed on June 1</w:t>
      </w:r>
      <w:r>
        <w:rPr>
          <w:rFonts w:ascii="Calibri" w:hAnsi="Calibri"/>
          <w:szCs w:val="20"/>
        </w:rPr>
        <w:t xml:space="preserve"> 2013.</w:t>
      </w:r>
    </w:p>
  </w:footnote>
  <w:footnote w:id="13">
    <w:p w:rsidR="001E2683" w:rsidRDefault="001E2683">
      <w:pPr>
        <w:pStyle w:val="FootnoteText"/>
      </w:pPr>
      <w:r>
        <w:rPr>
          <w:rStyle w:val="FootnoteReference"/>
          <w:rFonts w:ascii="Calibri" w:hAnsi="Calibri"/>
          <w:szCs w:val="20"/>
        </w:rPr>
        <w:footnoteRef/>
      </w:r>
      <w:r w:rsidRPr="009A0136">
        <w:rPr>
          <w:rFonts w:ascii="Calibri" w:hAnsi="Calibri"/>
          <w:szCs w:val="20"/>
        </w:rPr>
        <w:t xml:space="preserve"> Authorized by section 340H of the Public Health Service Act (PHS), as added by Section 5508 of the Affordable Care Act of 2010 (P. L. 111-148).</w:t>
      </w:r>
    </w:p>
  </w:footnote>
  <w:footnote w:id="14">
    <w:p w:rsidR="001E2683" w:rsidRDefault="001E2683">
      <w:pPr>
        <w:pStyle w:val="FootnoteText"/>
      </w:pPr>
      <w:r>
        <w:rPr>
          <w:rStyle w:val="FootnoteReference"/>
          <w:rFonts w:ascii="Calibri" w:hAnsi="Calibri"/>
          <w:szCs w:val="20"/>
        </w:rPr>
        <w:footnoteRef/>
      </w:r>
      <w:r w:rsidRPr="009A0136">
        <w:rPr>
          <w:rFonts w:ascii="Calibri" w:hAnsi="Calibri"/>
          <w:szCs w:val="20"/>
        </w:rPr>
        <w:t xml:space="preserve"> “Teaching Health Center Graduate Medical Education Program” Health Resources and Services Administration, U.S. Department of Health and Human Services. Available at: </w:t>
      </w:r>
      <w:hyperlink r:id="rId11" w:history="1">
        <w:r w:rsidRPr="009A0136">
          <w:rPr>
            <w:rStyle w:val="Hyperlink"/>
            <w:rFonts w:ascii="Calibri" w:hAnsi="Calibri"/>
            <w:szCs w:val="20"/>
          </w:rPr>
          <w:t>http://bhpr.hrsa.gov/grants/teachinghealthcenters/thcgme2011.pdf</w:t>
        </w:r>
      </w:hyperlink>
      <w:r w:rsidRPr="009A0136">
        <w:rPr>
          <w:rFonts w:ascii="Calibri" w:hAnsi="Calibri"/>
          <w:szCs w:val="20"/>
        </w:rPr>
        <w:t xml:space="preserve"> </w:t>
      </w:r>
    </w:p>
  </w:footnote>
  <w:footnote w:id="15">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w:t>
      </w:r>
      <w:r w:rsidRPr="003D380E">
        <w:rPr>
          <w:rFonts w:ascii="Calibri" w:hAnsi="Calibri"/>
          <w:szCs w:val="20"/>
        </w:rPr>
        <w:t xml:space="preserve">Aligning Incentives in Medicare” Medicare Payment Advisory Committee. June 2010. Available at: </w:t>
      </w:r>
      <w:hyperlink r:id="rId12" w:history="1">
        <w:r w:rsidRPr="00BF6457">
          <w:rPr>
            <w:rStyle w:val="Hyperlink"/>
            <w:rFonts w:ascii="Calibri" w:hAnsi="Calibri"/>
            <w:szCs w:val="20"/>
          </w:rPr>
          <w:t>http://www.medpac.gov/documents/Jun10_EntireReport.pdf</w:t>
        </w:r>
      </w:hyperlink>
      <w:r w:rsidRPr="00A93FFA">
        <w:rPr>
          <w:rFonts w:ascii="Calibri" w:hAnsi="Calibri"/>
          <w:szCs w:val="20"/>
        </w:rPr>
        <w:t>.</w:t>
      </w:r>
      <w:r>
        <w:rPr>
          <w:rFonts w:ascii="Calibri" w:hAnsi="Calibri"/>
          <w:szCs w:val="20"/>
        </w:rPr>
        <w:t xml:space="preserve"> </w:t>
      </w:r>
      <w:r w:rsidRPr="00A93FFA">
        <w:rPr>
          <w:rFonts w:ascii="Calibri" w:hAnsi="Calibri"/>
          <w:szCs w:val="20"/>
        </w:rPr>
        <w:t>Accessed on June 27</w:t>
      </w:r>
      <w:r w:rsidRPr="003D380E">
        <w:rPr>
          <w:rFonts w:ascii="Calibri" w:hAnsi="Calibri"/>
          <w:szCs w:val="20"/>
        </w:rPr>
        <w:t>, 2013.</w:t>
      </w:r>
    </w:p>
  </w:footnote>
  <w:footnote w:id="16">
    <w:p w:rsidR="001E2683" w:rsidRDefault="001E2683">
      <w:pPr>
        <w:pStyle w:val="FootnoteText"/>
      </w:pPr>
      <w:r>
        <w:rPr>
          <w:rStyle w:val="FootnoteReference"/>
          <w:rFonts w:ascii="Calibri" w:hAnsi="Calibri"/>
          <w:szCs w:val="20"/>
        </w:rPr>
        <w:footnoteRef/>
      </w:r>
      <w:r w:rsidRPr="003D380E">
        <w:rPr>
          <w:rFonts w:ascii="Calibri" w:hAnsi="Calibri"/>
          <w:szCs w:val="20"/>
        </w:rPr>
        <w:t xml:space="preserve"> The National Commission on Fiscal Responsibility and Reform. The Moment of Truth. Washington DC: The White House, 2010. Available at: </w:t>
      </w:r>
      <w:hyperlink r:id="rId13" w:history="1">
        <w:r w:rsidRPr="003D380E">
          <w:rPr>
            <w:rStyle w:val="Hyperlink"/>
            <w:rFonts w:ascii="Calibri" w:hAnsi="Calibri"/>
            <w:szCs w:val="20"/>
          </w:rPr>
          <w:t>http://www.fiscalcommission.gov/sites/fiscalcommission.gov/files/documents/TheMomentofTruth12_1_2010.pdf</w:t>
        </w:r>
      </w:hyperlink>
      <w:r w:rsidRPr="003D380E">
        <w:rPr>
          <w:rFonts w:ascii="Calibri" w:hAnsi="Calibri"/>
          <w:szCs w:val="20"/>
        </w:rPr>
        <w:t>. Accessed on: June 27, 2013.</w:t>
      </w:r>
    </w:p>
  </w:footnote>
  <w:footnote w:id="17">
    <w:p w:rsidR="001E2683" w:rsidRDefault="001E2683">
      <w:pPr>
        <w:pStyle w:val="FootnoteText"/>
      </w:pPr>
      <w:r>
        <w:rPr>
          <w:rStyle w:val="FootnoteReference"/>
          <w:rFonts w:ascii="Calibri" w:hAnsi="Calibri"/>
          <w:szCs w:val="20"/>
        </w:rPr>
        <w:footnoteRef/>
      </w:r>
      <w:r w:rsidRPr="003D380E">
        <w:rPr>
          <w:rFonts w:ascii="Calibri" w:hAnsi="Calibri"/>
          <w:szCs w:val="20"/>
        </w:rPr>
        <w:t xml:space="preserve"> </w:t>
      </w:r>
      <w:r>
        <w:rPr>
          <w:rFonts w:ascii="Calibri" w:hAnsi="Calibri"/>
          <w:szCs w:val="20"/>
        </w:rPr>
        <w:t xml:space="preserve">Committee on </w:t>
      </w:r>
      <w:r w:rsidRPr="00114716">
        <w:rPr>
          <w:rFonts w:ascii="Calibri" w:hAnsi="Calibri"/>
          <w:szCs w:val="20"/>
        </w:rPr>
        <w:t>Governance and Financing of Graduate Medical Education</w:t>
      </w:r>
      <w:r>
        <w:rPr>
          <w:rFonts w:ascii="Calibri" w:hAnsi="Calibri"/>
          <w:szCs w:val="20"/>
        </w:rPr>
        <w:t xml:space="preserve">. Institute of Medicine. </w:t>
      </w:r>
      <w:hyperlink r:id="rId14" w:history="1">
        <w:r w:rsidRPr="003D380E">
          <w:rPr>
            <w:rStyle w:val="Hyperlink"/>
            <w:rFonts w:ascii="Calibri" w:hAnsi="Calibri"/>
            <w:szCs w:val="20"/>
          </w:rPr>
          <w:t>http://www.iom.edu/Activities/Workforce/GMEGovFinance.aspx</w:t>
        </w:r>
      </w:hyperlink>
    </w:p>
  </w:footnote>
  <w:footnote w:id="18">
    <w:p w:rsidR="001E2683" w:rsidRDefault="001E2683">
      <w:pPr>
        <w:pStyle w:val="FootnoteText"/>
      </w:pPr>
      <w:r>
        <w:rPr>
          <w:rStyle w:val="FootnoteReference"/>
        </w:rPr>
        <w:footnoteRef/>
      </w:r>
      <w:r>
        <w:t xml:space="preserve"> </w:t>
      </w:r>
      <w:r>
        <w:rPr>
          <w:rFonts w:ascii="Calibri" w:hAnsi="Calibri"/>
        </w:rPr>
        <w:t xml:space="preserve">The number of licensed physicians does not reflect the number of full-time equivalent physicians in practice, as licensed physicians may include physicians who participate in research, administration or other non-clinical activities for part or all of their time. </w:t>
      </w:r>
    </w:p>
  </w:footnote>
  <w:footnote w:id="19">
    <w:p w:rsidR="001E2683" w:rsidRDefault="001E2683">
      <w:pPr>
        <w:pStyle w:val="FootnoteText"/>
      </w:pPr>
      <w:r>
        <w:rPr>
          <w:rStyle w:val="FootnoteReference"/>
          <w:rFonts w:ascii="Calibri" w:hAnsi="Calibri"/>
          <w:szCs w:val="20"/>
        </w:rPr>
        <w:footnoteRef/>
      </w:r>
      <w:r w:rsidRPr="003D380E">
        <w:rPr>
          <w:rFonts w:ascii="Calibri" w:hAnsi="Calibri"/>
          <w:szCs w:val="20"/>
        </w:rPr>
        <w:t xml:space="preserve"> Kirch, DG, Henderson MK, Dill MJ. Physician Workforce Projections in an Era of Reform. Ann Rev Med. 2012;63:435-445</w:t>
      </w:r>
      <w:r>
        <w:rPr>
          <w:rFonts w:ascii="Calibri" w:hAnsi="Calibri"/>
          <w:szCs w:val="20"/>
        </w:rPr>
        <w:t xml:space="preserve">; The Physician Workforce: Projections and Research into Current Issues Affecting Supply and Demand. U.S. Department of Health and Human Services, Health Resources and Services Administration, Bureau of Health Professions. December 2008. Available at: </w:t>
      </w:r>
      <w:hyperlink r:id="rId15" w:history="1">
        <w:r w:rsidRPr="00FB30AE">
          <w:rPr>
            <w:rStyle w:val="Hyperlink"/>
            <w:rFonts w:ascii="Calibri" w:hAnsi="Calibri"/>
            <w:szCs w:val="20"/>
          </w:rPr>
          <w:t>http://bhpr.hrsa.gov/healthworkforce/reports/physwfissues.pdf</w:t>
        </w:r>
      </w:hyperlink>
      <w:r>
        <w:rPr>
          <w:rFonts w:ascii="Calibri" w:hAnsi="Calibri"/>
          <w:szCs w:val="20"/>
        </w:rPr>
        <w:t>. Accessed on July 3, 2013</w:t>
      </w:r>
      <w:r w:rsidRPr="003D380E">
        <w:rPr>
          <w:rFonts w:ascii="Calibri" w:hAnsi="Calibri"/>
          <w:szCs w:val="20"/>
        </w:rPr>
        <w:t xml:space="preserve">. </w:t>
      </w:r>
    </w:p>
  </w:footnote>
  <w:footnote w:id="20">
    <w:p w:rsidR="001E2683" w:rsidRDefault="001E2683">
      <w:pPr>
        <w:pStyle w:val="FootnoteText"/>
      </w:pPr>
      <w:r w:rsidRPr="00E4793D">
        <w:rPr>
          <w:rStyle w:val="FootnoteReference"/>
          <w:rFonts w:ascii="Calibri" w:hAnsi="Calibri"/>
        </w:rPr>
        <w:footnoteRef/>
      </w:r>
      <w:r w:rsidRPr="00E4793D">
        <w:rPr>
          <w:rFonts w:ascii="Calibri" w:hAnsi="Calibri"/>
        </w:rPr>
        <w:t xml:space="preserve"> </w:t>
      </w:r>
      <w:r w:rsidRPr="00976ECC">
        <w:rPr>
          <w:rFonts w:ascii="Calibri" w:hAnsi="Calibri"/>
        </w:rPr>
        <w:t>ACGME Data Resource Book for the 2011-2012 Academic Year and National Resident Matching Program, 2012 NRMP Main Residency Match: Match Rates by Specialty and State (April 2012). Available at: http://www.nrmp.org/data/resultsbystate2012.pdf</w:t>
      </w:r>
    </w:p>
  </w:footnote>
  <w:footnote w:id="21">
    <w:p w:rsidR="001E2683" w:rsidRPr="00976ECC" w:rsidRDefault="001E2683" w:rsidP="00976ECC">
      <w:pPr>
        <w:pStyle w:val="FootnoteText"/>
        <w:rPr>
          <w:rFonts w:ascii="Calibri" w:hAnsi="Calibri"/>
        </w:rPr>
      </w:pPr>
      <w:r w:rsidRPr="00E4793D">
        <w:rPr>
          <w:rStyle w:val="FootnoteReference"/>
          <w:rFonts w:ascii="Calibri" w:hAnsi="Calibri"/>
        </w:rPr>
        <w:footnoteRef/>
      </w:r>
      <w:r w:rsidRPr="00E4793D">
        <w:rPr>
          <w:rFonts w:ascii="Calibri" w:hAnsi="Calibri"/>
        </w:rPr>
        <w:t xml:space="preserve"> </w:t>
      </w:r>
      <w:r w:rsidRPr="00976ECC">
        <w:rPr>
          <w:rFonts w:ascii="Calibri" w:hAnsi="Calibri"/>
        </w:rPr>
        <w:t>Source of salary information: 2012 Medical Office Practice Compensation Survey by Gallagher Surveys</w:t>
      </w:r>
    </w:p>
    <w:p w:rsidR="001E2683" w:rsidRDefault="001E2683" w:rsidP="00976ECC">
      <w:pPr>
        <w:pStyle w:val="FootnoteText"/>
      </w:pPr>
    </w:p>
  </w:footnote>
  <w:footnote w:id="22">
    <w:p w:rsidR="001E2683" w:rsidRDefault="001E2683">
      <w:pPr>
        <w:pStyle w:val="FootnoteText"/>
      </w:pPr>
      <w:r w:rsidRPr="00E4793D">
        <w:rPr>
          <w:rStyle w:val="FootnoteReference"/>
          <w:rFonts w:ascii="Calibri" w:hAnsi="Calibri"/>
        </w:rPr>
        <w:footnoteRef/>
      </w:r>
      <w:r w:rsidRPr="00E4793D">
        <w:rPr>
          <w:rFonts w:ascii="Calibri" w:hAnsi="Calibri"/>
        </w:rPr>
        <w:t xml:space="preserve"> </w:t>
      </w:r>
      <w:r>
        <w:rPr>
          <w:rFonts w:ascii="Calibri" w:hAnsi="Calibri"/>
        </w:rPr>
        <w:t>“</w:t>
      </w:r>
      <w:r w:rsidRPr="00036BE6">
        <w:rPr>
          <w:rFonts w:ascii="Calibri" w:hAnsi="Calibri"/>
        </w:rPr>
        <w:t>AAMC Survey of Annual Resident/Fellow Stipends</w:t>
      </w:r>
      <w:r>
        <w:rPr>
          <w:rFonts w:ascii="Calibri" w:hAnsi="Calibri"/>
        </w:rPr>
        <w:t xml:space="preserve"> and Benefits”. Association of American Medical Colleges. 2012. Available at: </w:t>
      </w:r>
      <w:hyperlink r:id="rId16" w:history="1">
        <w:r w:rsidRPr="00CE08A9">
          <w:rPr>
            <w:rStyle w:val="Hyperlink"/>
            <w:rFonts w:ascii="Calibri" w:hAnsi="Calibri"/>
          </w:rPr>
          <w:t>https://www.aamc.org/download/312786/data/2012stipendsurveyreportfinal.pdf</w:t>
        </w:r>
      </w:hyperlink>
      <w:r>
        <w:rPr>
          <w:rFonts w:ascii="Calibri" w:hAnsi="Calibri"/>
        </w:rPr>
        <w:t xml:space="preserve"> </w:t>
      </w:r>
    </w:p>
  </w:footnote>
  <w:footnote w:id="23">
    <w:p w:rsidR="001E2683" w:rsidRDefault="001E2683">
      <w:pPr>
        <w:pStyle w:val="FootnoteText"/>
      </w:pPr>
      <w:r w:rsidRPr="00E4793D">
        <w:rPr>
          <w:rStyle w:val="FootnoteReference"/>
          <w:rFonts w:ascii="Calibri" w:hAnsi="Calibri"/>
        </w:rPr>
        <w:footnoteRef/>
      </w:r>
      <w:r w:rsidRPr="00E4793D">
        <w:rPr>
          <w:rFonts w:ascii="Calibri" w:hAnsi="Calibri"/>
        </w:rPr>
        <w:t xml:space="preserve"> </w:t>
      </w:r>
      <w:r>
        <w:rPr>
          <w:rFonts w:ascii="Calibri" w:hAnsi="Calibri"/>
        </w:rPr>
        <w:t>Specialty data provided by AAMC’s GME Track®</w:t>
      </w:r>
    </w:p>
  </w:footnote>
  <w:footnote w:id="24">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Report on Medical School Faculty Salaries 2010-2011. Association of American Medical Colleges. 2012.</w:t>
      </w:r>
    </w:p>
  </w:footnote>
  <w:footnote w:id="25">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Pauwels J, Oliveira A. Three-year trends in the costs of residency training in family medicine. Fam Med. 2006;38(6)408-415.</w:t>
      </w:r>
    </w:p>
  </w:footnote>
  <w:footnote w:id="26">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w:t>
      </w:r>
      <w:hyperlink r:id="rId17" w:history="1">
        <w:r w:rsidRPr="001E794E">
          <w:rPr>
            <w:rStyle w:val="Hyperlink"/>
            <w:rFonts w:ascii="Calibri" w:hAnsi="Calibri"/>
            <w:szCs w:val="20"/>
          </w:rPr>
          <w:t>https://www.aamc.org/download/335878/data/gmeone-pager.pdf</w:t>
        </w:r>
      </w:hyperlink>
    </w:p>
  </w:footnote>
  <w:footnote w:id="27">
    <w:p w:rsidR="001E2683" w:rsidRDefault="001E2683" w:rsidP="00A65C9F">
      <w:pPr>
        <w:pStyle w:val="FootnoteText"/>
      </w:pPr>
      <w:r>
        <w:rPr>
          <w:rStyle w:val="FootnoteReference"/>
          <w:rFonts w:ascii="Calibri" w:hAnsi="Calibri"/>
          <w:szCs w:val="20"/>
        </w:rPr>
        <w:footnoteRef/>
      </w:r>
      <w:r w:rsidRPr="001E794E">
        <w:rPr>
          <w:rFonts w:ascii="Calibri" w:hAnsi="Calibri"/>
          <w:szCs w:val="20"/>
        </w:rPr>
        <w:t xml:space="preserve"> Steinmann AF. Threats to graduate medical education funding and the need for a rational approach: a statement from the Alliance for Academic Internal Medicine. Ann Intern Med. 2011;155: 461</w:t>
      </w:r>
      <w:r w:rsidRPr="00150F8D">
        <w:rPr>
          <w:szCs w:val="20"/>
        </w:rPr>
        <w:t>‐</w:t>
      </w:r>
      <w:r w:rsidRPr="001E794E">
        <w:rPr>
          <w:rFonts w:ascii="Calibri" w:hAnsi="Calibri"/>
          <w:szCs w:val="20"/>
        </w:rPr>
        <w:t>464</w:t>
      </w:r>
    </w:p>
  </w:footnote>
  <w:footnote w:id="28">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Franzini L, Berry JM. A cost-construction model to assess the total cost of an anesthesiology residency program. Anesthesiology. 1999;90(1):</w:t>
      </w:r>
      <w:r>
        <w:rPr>
          <w:rFonts w:ascii="Calibri" w:hAnsi="Calibri"/>
          <w:szCs w:val="20"/>
        </w:rPr>
        <w:t xml:space="preserve"> </w:t>
      </w:r>
      <w:r w:rsidRPr="001E794E">
        <w:rPr>
          <w:rFonts w:ascii="Calibri" w:hAnsi="Calibri"/>
          <w:szCs w:val="20"/>
        </w:rPr>
        <w:t>257-268.</w:t>
      </w:r>
    </w:p>
  </w:footnote>
  <w:footnote w:id="29">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Blewett LA, Smith MA, Caldis TF. Measuring the direct costs of graduate medical education training in Minnesota.” Academic Medicine. 2001;76(5):446-452.</w:t>
      </w:r>
    </w:p>
  </w:footnote>
  <w:footnote w:id="30">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Kelly SP, Tibbles C, Barnett SR, Schwartzstein RM. The “Hidden Costs” of Graduate Medical Education in the United States. J Grad Med Educ. 2012;4(2):267-268.</w:t>
      </w:r>
    </w:p>
  </w:footnote>
  <w:footnote w:id="31">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Medicaid Graduate Medical Education Payments: A 50-State Survey. Association of American Medical Colleges. March 2013. Available at: </w:t>
      </w:r>
      <w:hyperlink r:id="rId18" w:history="1">
        <w:r w:rsidRPr="001E794E">
          <w:rPr>
            <w:rStyle w:val="Hyperlink"/>
            <w:rFonts w:ascii="Calibri" w:hAnsi="Calibri"/>
            <w:szCs w:val="20"/>
          </w:rPr>
          <w:t>https://members.aamc.org/eweb/upload/Medicaid%20Graduate%20Medical%20Education%20Payments%20A%2050-State%20Survey.pdf</w:t>
        </w:r>
      </w:hyperlink>
    </w:p>
  </w:footnote>
  <w:footnote w:id="32">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Emily Cleveland. “Medical Education and Research Costs (MERC): Funding Mechanisms” House Research, Short Subjects. December 2011. Available at: http://www.house.leg.state.mn.us/hrd/pubs/ss/ssmerc.pdf. Accessed on: June 1, 2013.</w:t>
      </w:r>
    </w:p>
  </w:footnote>
  <w:footnote w:id="33">
    <w:p w:rsidR="001E2683" w:rsidRDefault="001E2683">
      <w:pPr>
        <w:pStyle w:val="FootnoteText"/>
      </w:pPr>
      <w:r>
        <w:rPr>
          <w:rStyle w:val="FootnoteReference"/>
          <w:rFonts w:ascii="Calibri" w:hAnsi="Calibri"/>
          <w:szCs w:val="20"/>
        </w:rPr>
        <w:footnoteRef/>
      </w:r>
      <w:r w:rsidRPr="001E794E">
        <w:rPr>
          <w:rFonts w:ascii="Calibri" w:hAnsi="Calibri"/>
          <w:szCs w:val="20"/>
        </w:rPr>
        <w:t xml:space="preserve"> 8</w:t>
      </w:r>
      <w:r w:rsidRPr="001E794E">
        <w:rPr>
          <w:rFonts w:ascii="Calibri" w:hAnsi="Calibri"/>
          <w:szCs w:val="20"/>
          <w:vertAlign w:val="superscript"/>
        </w:rPr>
        <w:t>th</w:t>
      </w:r>
      <w:r w:rsidRPr="001E794E">
        <w:rPr>
          <w:rFonts w:ascii="Calibri" w:hAnsi="Calibri"/>
          <w:szCs w:val="20"/>
        </w:rPr>
        <w:t xml:space="preserve"> Report &amp; Policy Recommendations. New York State Council on Graduate Medical Education. September 2011. Available at: </w:t>
      </w:r>
      <w:hyperlink r:id="rId19" w:history="1">
        <w:r w:rsidRPr="001E794E">
          <w:rPr>
            <w:rStyle w:val="Hyperlink"/>
            <w:rFonts w:ascii="Calibri" w:hAnsi="Calibri"/>
            <w:szCs w:val="20"/>
          </w:rPr>
          <w:t>http://www.health.ny.gov/professionals/doctors/graduate_medical_education/reports/docs/09-2011_eighth_report_and_policy_recommendations.pdf</w:t>
        </w:r>
      </w:hyperlink>
      <w:r w:rsidRPr="001E794E">
        <w:rPr>
          <w:rFonts w:ascii="Calibri" w:hAnsi="Calibri"/>
          <w:szCs w:val="20"/>
        </w:rPr>
        <w:t>. Accessed on: June 1,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Pr="009838C4" w:rsidRDefault="00211E86" w:rsidP="005244AD">
    <w:pPr>
      <w:jc w:val="right"/>
      <w:rPr>
        <w:rFonts w:ascii="Calibri" w:hAnsi="Calibri"/>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left:0;text-align:left;margin-left:-7.65pt;margin-top:-26.95pt;width:68.1pt;height:70.65pt;z-index:251660288;visibility:visible">
          <v:imagedata r:id="rId1" o:title=""/>
        </v:shape>
      </w:pict>
    </w:r>
    <w:r w:rsidR="001E2683" w:rsidRPr="009838C4">
      <w:rPr>
        <w:rFonts w:ascii="Calibri" w:hAnsi="Calibri"/>
        <w:noProof/>
        <w:sz w:val="18"/>
        <w:szCs w:val="18"/>
      </w:rPr>
      <w:t>Report of the Special Commission on Graduate Medical Education</w:t>
    </w:r>
  </w:p>
  <w:p w:rsidR="001E2683" w:rsidRDefault="001E2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pPr>
      <w:pStyle w:val="Header"/>
    </w:pPr>
    <w:r>
      <w:t>[Type text]</w:t>
    </w:r>
  </w:p>
  <w:p w:rsidR="001E2683" w:rsidRDefault="00211E86">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Default="001E26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Pr="00074F9C" w:rsidRDefault="00211E86" w:rsidP="009838C4">
    <w:pPr>
      <w:jc w:val="right"/>
      <w:rPr>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5" type="#_x0000_t75" style="position:absolute;left:0;text-align:left;margin-left:0;margin-top:-18.9pt;width:60.05pt;height:62.3pt;z-index:251670528;visibility:visible">
          <v:imagedata r:id="rId1" o:title=""/>
        </v:shape>
      </w:pict>
    </w:r>
    <w:r w:rsidR="001E2683">
      <w:rPr>
        <w:sz w:val="18"/>
        <w:szCs w:val="18"/>
      </w:rPr>
      <w:t>Report of the Special Commission on Graduate Medical Education</w:t>
    </w:r>
  </w:p>
  <w:p w:rsidR="001E2683" w:rsidRPr="00A51816" w:rsidRDefault="001E2683" w:rsidP="00CA2C07">
    <w:pPr>
      <w:pStyle w:val="Header"/>
      <w:ind w:left="7200"/>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83" w:rsidRPr="00074F9C" w:rsidRDefault="00211E86" w:rsidP="00F537CB">
    <w:pPr>
      <w:jc w:val="right"/>
      <w:rPr>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6" type="#_x0000_t75" style="position:absolute;left:0;text-align:left;margin-left:0;margin-top:-18.9pt;width:60.05pt;height:62.3pt;z-index:251672576;visibility:visible">
          <v:imagedata r:id="rId1" o:title=""/>
        </v:shape>
      </w:pict>
    </w:r>
    <w:r w:rsidR="001E2683">
      <w:rPr>
        <w:sz w:val="18"/>
        <w:szCs w:val="18"/>
      </w:rPr>
      <w:t>Report of the Special Commission on Graduate Medical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0BAF8"/>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20934F9"/>
    <w:multiLevelType w:val="hybridMultilevel"/>
    <w:tmpl w:val="D5A0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5AC6"/>
    <w:multiLevelType w:val="hybridMultilevel"/>
    <w:tmpl w:val="5FAC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D3BE1"/>
    <w:multiLevelType w:val="hybridMultilevel"/>
    <w:tmpl w:val="BCE64DEC"/>
    <w:lvl w:ilvl="0" w:tplc="C8A2698C">
      <w:start w:val="1"/>
      <w:numFmt w:val="decimal"/>
      <w:lvlText w:val="%1."/>
      <w:lvlJc w:val="left"/>
      <w:pPr>
        <w:tabs>
          <w:tab w:val="num" w:pos="720"/>
        </w:tabs>
        <w:ind w:left="720" w:hanging="360"/>
      </w:pPr>
      <w:rPr>
        <w:rFonts w:cs="Times New Roman"/>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2B34D0"/>
    <w:multiLevelType w:val="hybridMultilevel"/>
    <w:tmpl w:val="B77CA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D05249"/>
    <w:multiLevelType w:val="hybridMultilevel"/>
    <w:tmpl w:val="27B6F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44883"/>
    <w:multiLevelType w:val="hybridMultilevel"/>
    <w:tmpl w:val="16F87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291A77"/>
    <w:multiLevelType w:val="hybridMultilevel"/>
    <w:tmpl w:val="E51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25244"/>
    <w:multiLevelType w:val="hybridMultilevel"/>
    <w:tmpl w:val="CA9446EE"/>
    <w:lvl w:ilvl="0" w:tplc="A90E01A2">
      <w:start w:val="1"/>
      <w:numFmt w:val="decimal"/>
      <w:pStyle w:val="Heading1"/>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62342F"/>
    <w:multiLevelType w:val="hybridMultilevel"/>
    <w:tmpl w:val="5FC45B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424113"/>
    <w:multiLevelType w:val="hybridMultilevel"/>
    <w:tmpl w:val="4DFC3486"/>
    <w:lvl w:ilvl="0" w:tplc="46FA35DA">
      <w:start w:val="1"/>
      <w:numFmt w:val="bullet"/>
      <w:lvlText w:val="•"/>
      <w:lvlJc w:val="left"/>
      <w:pPr>
        <w:tabs>
          <w:tab w:val="num" w:pos="720"/>
        </w:tabs>
        <w:ind w:left="720" w:hanging="360"/>
      </w:pPr>
      <w:rPr>
        <w:rFonts w:ascii="Times New Roman" w:hAnsi="Times New Roman" w:hint="default"/>
      </w:rPr>
    </w:lvl>
    <w:lvl w:ilvl="1" w:tplc="504A927A" w:tentative="1">
      <w:start w:val="1"/>
      <w:numFmt w:val="bullet"/>
      <w:lvlText w:val="•"/>
      <w:lvlJc w:val="left"/>
      <w:pPr>
        <w:tabs>
          <w:tab w:val="num" w:pos="1440"/>
        </w:tabs>
        <w:ind w:left="1440" w:hanging="360"/>
      </w:pPr>
      <w:rPr>
        <w:rFonts w:ascii="Times New Roman" w:hAnsi="Times New Roman" w:hint="default"/>
      </w:rPr>
    </w:lvl>
    <w:lvl w:ilvl="2" w:tplc="E66658A2" w:tentative="1">
      <w:start w:val="1"/>
      <w:numFmt w:val="bullet"/>
      <w:lvlText w:val="•"/>
      <w:lvlJc w:val="left"/>
      <w:pPr>
        <w:tabs>
          <w:tab w:val="num" w:pos="2160"/>
        </w:tabs>
        <w:ind w:left="2160" w:hanging="360"/>
      </w:pPr>
      <w:rPr>
        <w:rFonts w:ascii="Times New Roman" w:hAnsi="Times New Roman" w:hint="default"/>
      </w:rPr>
    </w:lvl>
    <w:lvl w:ilvl="3" w:tplc="94F631C4" w:tentative="1">
      <w:start w:val="1"/>
      <w:numFmt w:val="bullet"/>
      <w:lvlText w:val="•"/>
      <w:lvlJc w:val="left"/>
      <w:pPr>
        <w:tabs>
          <w:tab w:val="num" w:pos="2880"/>
        </w:tabs>
        <w:ind w:left="2880" w:hanging="360"/>
      </w:pPr>
      <w:rPr>
        <w:rFonts w:ascii="Times New Roman" w:hAnsi="Times New Roman" w:hint="default"/>
      </w:rPr>
    </w:lvl>
    <w:lvl w:ilvl="4" w:tplc="83328082" w:tentative="1">
      <w:start w:val="1"/>
      <w:numFmt w:val="bullet"/>
      <w:lvlText w:val="•"/>
      <w:lvlJc w:val="left"/>
      <w:pPr>
        <w:tabs>
          <w:tab w:val="num" w:pos="3600"/>
        </w:tabs>
        <w:ind w:left="3600" w:hanging="360"/>
      </w:pPr>
      <w:rPr>
        <w:rFonts w:ascii="Times New Roman" w:hAnsi="Times New Roman" w:hint="default"/>
      </w:rPr>
    </w:lvl>
    <w:lvl w:ilvl="5" w:tplc="7C1CB91E" w:tentative="1">
      <w:start w:val="1"/>
      <w:numFmt w:val="bullet"/>
      <w:lvlText w:val="•"/>
      <w:lvlJc w:val="left"/>
      <w:pPr>
        <w:tabs>
          <w:tab w:val="num" w:pos="4320"/>
        </w:tabs>
        <w:ind w:left="4320" w:hanging="360"/>
      </w:pPr>
      <w:rPr>
        <w:rFonts w:ascii="Times New Roman" w:hAnsi="Times New Roman" w:hint="default"/>
      </w:rPr>
    </w:lvl>
    <w:lvl w:ilvl="6" w:tplc="63BEE1D6" w:tentative="1">
      <w:start w:val="1"/>
      <w:numFmt w:val="bullet"/>
      <w:lvlText w:val="•"/>
      <w:lvlJc w:val="left"/>
      <w:pPr>
        <w:tabs>
          <w:tab w:val="num" w:pos="5040"/>
        </w:tabs>
        <w:ind w:left="5040" w:hanging="360"/>
      </w:pPr>
      <w:rPr>
        <w:rFonts w:ascii="Times New Roman" w:hAnsi="Times New Roman" w:hint="default"/>
      </w:rPr>
    </w:lvl>
    <w:lvl w:ilvl="7" w:tplc="7E66A2D6" w:tentative="1">
      <w:start w:val="1"/>
      <w:numFmt w:val="bullet"/>
      <w:lvlText w:val="•"/>
      <w:lvlJc w:val="left"/>
      <w:pPr>
        <w:tabs>
          <w:tab w:val="num" w:pos="5760"/>
        </w:tabs>
        <w:ind w:left="5760" w:hanging="360"/>
      </w:pPr>
      <w:rPr>
        <w:rFonts w:ascii="Times New Roman" w:hAnsi="Times New Roman" w:hint="default"/>
      </w:rPr>
    </w:lvl>
    <w:lvl w:ilvl="8" w:tplc="6E24F00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DC507D"/>
    <w:multiLevelType w:val="hybridMultilevel"/>
    <w:tmpl w:val="2AC08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90512E"/>
    <w:multiLevelType w:val="hybridMultilevel"/>
    <w:tmpl w:val="262E01CE"/>
    <w:lvl w:ilvl="0" w:tplc="9530F0EE">
      <w:start w:val="1"/>
      <w:numFmt w:val="bullet"/>
      <w:lvlText w:val="•"/>
      <w:lvlJc w:val="left"/>
      <w:pPr>
        <w:tabs>
          <w:tab w:val="num" w:pos="720"/>
        </w:tabs>
        <w:ind w:left="720" w:hanging="360"/>
      </w:pPr>
      <w:rPr>
        <w:rFonts w:ascii="Times New Roman" w:hAnsi="Times New Roman" w:hint="default"/>
      </w:rPr>
    </w:lvl>
    <w:lvl w:ilvl="1" w:tplc="6C84674A" w:tentative="1">
      <w:start w:val="1"/>
      <w:numFmt w:val="bullet"/>
      <w:lvlText w:val="•"/>
      <w:lvlJc w:val="left"/>
      <w:pPr>
        <w:tabs>
          <w:tab w:val="num" w:pos="1440"/>
        </w:tabs>
        <w:ind w:left="1440" w:hanging="360"/>
      </w:pPr>
      <w:rPr>
        <w:rFonts w:ascii="Times New Roman" w:hAnsi="Times New Roman" w:hint="default"/>
      </w:rPr>
    </w:lvl>
    <w:lvl w:ilvl="2" w:tplc="FB8A7948" w:tentative="1">
      <w:start w:val="1"/>
      <w:numFmt w:val="bullet"/>
      <w:lvlText w:val="•"/>
      <w:lvlJc w:val="left"/>
      <w:pPr>
        <w:tabs>
          <w:tab w:val="num" w:pos="2160"/>
        </w:tabs>
        <w:ind w:left="2160" w:hanging="360"/>
      </w:pPr>
      <w:rPr>
        <w:rFonts w:ascii="Times New Roman" w:hAnsi="Times New Roman" w:hint="default"/>
      </w:rPr>
    </w:lvl>
    <w:lvl w:ilvl="3" w:tplc="42CCE246" w:tentative="1">
      <w:start w:val="1"/>
      <w:numFmt w:val="bullet"/>
      <w:lvlText w:val="•"/>
      <w:lvlJc w:val="left"/>
      <w:pPr>
        <w:tabs>
          <w:tab w:val="num" w:pos="2880"/>
        </w:tabs>
        <w:ind w:left="2880" w:hanging="360"/>
      </w:pPr>
      <w:rPr>
        <w:rFonts w:ascii="Times New Roman" w:hAnsi="Times New Roman" w:hint="default"/>
      </w:rPr>
    </w:lvl>
    <w:lvl w:ilvl="4" w:tplc="380442FE" w:tentative="1">
      <w:start w:val="1"/>
      <w:numFmt w:val="bullet"/>
      <w:lvlText w:val="•"/>
      <w:lvlJc w:val="left"/>
      <w:pPr>
        <w:tabs>
          <w:tab w:val="num" w:pos="3600"/>
        </w:tabs>
        <w:ind w:left="3600" w:hanging="360"/>
      </w:pPr>
      <w:rPr>
        <w:rFonts w:ascii="Times New Roman" w:hAnsi="Times New Roman" w:hint="default"/>
      </w:rPr>
    </w:lvl>
    <w:lvl w:ilvl="5" w:tplc="6158C3B8" w:tentative="1">
      <w:start w:val="1"/>
      <w:numFmt w:val="bullet"/>
      <w:lvlText w:val="•"/>
      <w:lvlJc w:val="left"/>
      <w:pPr>
        <w:tabs>
          <w:tab w:val="num" w:pos="4320"/>
        </w:tabs>
        <w:ind w:left="4320" w:hanging="360"/>
      </w:pPr>
      <w:rPr>
        <w:rFonts w:ascii="Times New Roman" w:hAnsi="Times New Roman" w:hint="default"/>
      </w:rPr>
    </w:lvl>
    <w:lvl w:ilvl="6" w:tplc="F0BAD472" w:tentative="1">
      <w:start w:val="1"/>
      <w:numFmt w:val="bullet"/>
      <w:lvlText w:val="•"/>
      <w:lvlJc w:val="left"/>
      <w:pPr>
        <w:tabs>
          <w:tab w:val="num" w:pos="5040"/>
        </w:tabs>
        <w:ind w:left="5040" w:hanging="360"/>
      </w:pPr>
      <w:rPr>
        <w:rFonts w:ascii="Times New Roman" w:hAnsi="Times New Roman" w:hint="default"/>
      </w:rPr>
    </w:lvl>
    <w:lvl w:ilvl="7" w:tplc="AE3603B8" w:tentative="1">
      <w:start w:val="1"/>
      <w:numFmt w:val="bullet"/>
      <w:lvlText w:val="•"/>
      <w:lvlJc w:val="left"/>
      <w:pPr>
        <w:tabs>
          <w:tab w:val="num" w:pos="5760"/>
        </w:tabs>
        <w:ind w:left="5760" w:hanging="360"/>
      </w:pPr>
      <w:rPr>
        <w:rFonts w:ascii="Times New Roman" w:hAnsi="Times New Roman" w:hint="default"/>
      </w:rPr>
    </w:lvl>
    <w:lvl w:ilvl="8" w:tplc="EED62CB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EA1364"/>
    <w:multiLevelType w:val="hybridMultilevel"/>
    <w:tmpl w:val="30C66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D720C3"/>
    <w:multiLevelType w:val="multilevel"/>
    <w:tmpl w:val="11506C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BB457E5"/>
    <w:multiLevelType w:val="hybridMultilevel"/>
    <w:tmpl w:val="5BC28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3454AC"/>
    <w:multiLevelType w:val="hybridMultilevel"/>
    <w:tmpl w:val="55AAE8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5E24ED7"/>
    <w:multiLevelType w:val="hybridMultilevel"/>
    <w:tmpl w:val="94A03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6E79C5"/>
    <w:multiLevelType w:val="hybridMultilevel"/>
    <w:tmpl w:val="B0CE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4D1890"/>
    <w:multiLevelType w:val="hybridMultilevel"/>
    <w:tmpl w:val="017AE6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4244D14"/>
    <w:multiLevelType w:val="hybridMultilevel"/>
    <w:tmpl w:val="9F785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BD769B"/>
    <w:multiLevelType w:val="hybridMultilevel"/>
    <w:tmpl w:val="A7AE5B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4E3781"/>
    <w:multiLevelType w:val="hybridMultilevel"/>
    <w:tmpl w:val="15EA0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DF3EBF"/>
    <w:multiLevelType w:val="hybridMultilevel"/>
    <w:tmpl w:val="B646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8"/>
  </w:num>
  <w:num w:numId="28">
    <w:abstractNumId w:val="17"/>
  </w:num>
  <w:num w:numId="29">
    <w:abstractNumId w:val="20"/>
  </w:num>
  <w:num w:numId="30">
    <w:abstractNumId w:val="18"/>
  </w:num>
  <w:num w:numId="31">
    <w:abstractNumId w:val="5"/>
  </w:num>
  <w:num w:numId="32">
    <w:abstractNumId w:val="21"/>
  </w:num>
  <w:num w:numId="33">
    <w:abstractNumId w:val="9"/>
  </w:num>
  <w:num w:numId="34">
    <w:abstractNumId w:val="14"/>
  </w:num>
  <w:num w:numId="35">
    <w:abstractNumId w:val="7"/>
  </w:num>
  <w:num w:numId="36">
    <w:abstractNumId w:val="6"/>
  </w:num>
  <w:num w:numId="37">
    <w:abstractNumId w:val="15"/>
  </w:num>
  <w:num w:numId="38">
    <w:abstractNumId w:val="11"/>
  </w:num>
  <w:num w:numId="39">
    <w:abstractNumId w:val="1"/>
  </w:num>
  <w:num w:numId="40">
    <w:abstractNumId w:val="4"/>
  </w:num>
  <w:num w:numId="41">
    <w:abstractNumId w:val="22"/>
  </w:num>
  <w:num w:numId="42">
    <w:abstractNumId w:val="13"/>
  </w:num>
  <w:num w:numId="43">
    <w:abstractNumId w:val="3"/>
  </w:num>
  <w:num w:numId="44">
    <w:abstractNumId w:val="19"/>
  </w:num>
  <w:num w:numId="45">
    <w:abstractNumId w:val="12"/>
  </w:num>
  <w:num w:numId="46">
    <w:abstractNumId w:val="10"/>
  </w:num>
  <w:num w:numId="47">
    <w:abstractNumId w:val="23"/>
  </w:num>
  <w:num w:numId="48">
    <w:abstractNumId w:val="16"/>
  </w:num>
  <w:num w:numId="4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drawingGridHorizontalSpacing w:val="12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81E"/>
    <w:rsid w:val="000027BD"/>
    <w:rsid w:val="00002B63"/>
    <w:rsid w:val="0000388D"/>
    <w:rsid w:val="00004389"/>
    <w:rsid w:val="00004C97"/>
    <w:rsid w:val="00006313"/>
    <w:rsid w:val="000077B3"/>
    <w:rsid w:val="0001069F"/>
    <w:rsid w:val="00012015"/>
    <w:rsid w:val="0001229D"/>
    <w:rsid w:val="00012402"/>
    <w:rsid w:val="000129E4"/>
    <w:rsid w:val="00013CBB"/>
    <w:rsid w:val="00014233"/>
    <w:rsid w:val="0001448D"/>
    <w:rsid w:val="00015001"/>
    <w:rsid w:val="000156D4"/>
    <w:rsid w:val="00015AC7"/>
    <w:rsid w:val="00017406"/>
    <w:rsid w:val="000202C4"/>
    <w:rsid w:val="00020396"/>
    <w:rsid w:val="0002110F"/>
    <w:rsid w:val="0002177B"/>
    <w:rsid w:val="00021B73"/>
    <w:rsid w:val="00022FD1"/>
    <w:rsid w:val="00023604"/>
    <w:rsid w:val="00023966"/>
    <w:rsid w:val="000242E7"/>
    <w:rsid w:val="0002493B"/>
    <w:rsid w:val="00026171"/>
    <w:rsid w:val="0002617F"/>
    <w:rsid w:val="0003048B"/>
    <w:rsid w:val="000309A9"/>
    <w:rsid w:val="00030E81"/>
    <w:rsid w:val="00030F70"/>
    <w:rsid w:val="00031833"/>
    <w:rsid w:val="00032E36"/>
    <w:rsid w:val="00034C92"/>
    <w:rsid w:val="00035F3F"/>
    <w:rsid w:val="00036731"/>
    <w:rsid w:val="00036BE6"/>
    <w:rsid w:val="00036CED"/>
    <w:rsid w:val="00036F4E"/>
    <w:rsid w:val="000373B9"/>
    <w:rsid w:val="00037AF7"/>
    <w:rsid w:val="00037AFF"/>
    <w:rsid w:val="00040F6A"/>
    <w:rsid w:val="000437E9"/>
    <w:rsid w:val="0004528D"/>
    <w:rsid w:val="00046616"/>
    <w:rsid w:val="00047E8C"/>
    <w:rsid w:val="00050A3D"/>
    <w:rsid w:val="0005106C"/>
    <w:rsid w:val="00051FDB"/>
    <w:rsid w:val="00052564"/>
    <w:rsid w:val="00052624"/>
    <w:rsid w:val="000526D1"/>
    <w:rsid w:val="000527D9"/>
    <w:rsid w:val="00052BF4"/>
    <w:rsid w:val="00052F57"/>
    <w:rsid w:val="000531FF"/>
    <w:rsid w:val="00053A03"/>
    <w:rsid w:val="00053E8C"/>
    <w:rsid w:val="00053EC3"/>
    <w:rsid w:val="00054A15"/>
    <w:rsid w:val="0005560F"/>
    <w:rsid w:val="00055AEA"/>
    <w:rsid w:val="00056F0A"/>
    <w:rsid w:val="000572AA"/>
    <w:rsid w:val="000575E4"/>
    <w:rsid w:val="000609E4"/>
    <w:rsid w:val="00060A0B"/>
    <w:rsid w:val="00061664"/>
    <w:rsid w:val="00063641"/>
    <w:rsid w:val="0006618F"/>
    <w:rsid w:val="00071C6D"/>
    <w:rsid w:val="0007263B"/>
    <w:rsid w:val="00073A96"/>
    <w:rsid w:val="00073EE9"/>
    <w:rsid w:val="000742C5"/>
    <w:rsid w:val="00074E68"/>
    <w:rsid w:val="00074F9C"/>
    <w:rsid w:val="0007524A"/>
    <w:rsid w:val="000756B1"/>
    <w:rsid w:val="0007591E"/>
    <w:rsid w:val="00075D60"/>
    <w:rsid w:val="0007601C"/>
    <w:rsid w:val="00080F18"/>
    <w:rsid w:val="0008272C"/>
    <w:rsid w:val="00082CD1"/>
    <w:rsid w:val="00083015"/>
    <w:rsid w:val="00085617"/>
    <w:rsid w:val="000857A4"/>
    <w:rsid w:val="00087EDD"/>
    <w:rsid w:val="00090025"/>
    <w:rsid w:val="00090626"/>
    <w:rsid w:val="00090E05"/>
    <w:rsid w:val="00090E6E"/>
    <w:rsid w:val="0009139D"/>
    <w:rsid w:val="00091AD1"/>
    <w:rsid w:val="00092968"/>
    <w:rsid w:val="000955CB"/>
    <w:rsid w:val="000958FE"/>
    <w:rsid w:val="00095C47"/>
    <w:rsid w:val="00095D4E"/>
    <w:rsid w:val="00096683"/>
    <w:rsid w:val="00096D33"/>
    <w:rsid w:val="000970D4"/>
    <w:rsid w:val="000975F3"/>
    <w:rsid w:val="000976C5"/>
    <w:rsid w:val="00097753"/>
    <w:rsid w:val="00097F88"/>
    <w:rsid w:val="000A1B22"/>
    <w:rsid w:val="000A1CB4"/>
    <w:rsid w:val="000A238D"/>
    <w:rsid w:val="000A27CF"/>
    <w:rsid w:val="000A3E98"/>
    <w:rsid w:val="000A6676"/>
    <w:rsid w:val="000A7411"/>
    <w:rsid w:val="000B127F"/>
    <w:rsid w:val="000B207C"/>
    <w:rsid w:val="000B2693"/>
    <w:rsid w:val="000B3B1B"/>
    <w:rsid w:val="000B3C60"/>
    <w:rsid w:val="000B5731"/>
    <w:rsid w:val="000B57AE"/>
    <w:rsid w:val="000B7B82"/>
    <w:rsid w:val="000B7B9E"/>
    <w:rsid w:val="000B7E1E"/>
    <w:rsid w:val="000B7F02"/>
    <w:rsid w:val="000C0966"/>
    <w:rsid w:val="000C2A76"/>
    <w:rsid w:val="000C364C"/>
    <w:rsid w:val="000C395B"/>
    <w:rsid w:val="000C4B1D"/>
    <w:rsid w:val="000C5616"/>
    <w:rsid w:val="000C5BB9"/>
    <w:rsid w:val="000C5BD1"/>
    <w:rsid w:val="000C6E7B"/>
    <w:rsid w:val="000C73AE"/>
    <w:rsid w:val="000C7478"/>
    <w:rsid w:val="000C79C8"/>
    <w:rsid w:val="000D008D"/>
    <w:rsid w:val="000D02AB"/>
    <w:rsid w:val="000D2982"/>
    <w:rsid w:val="000D39DA"/>
    <w:rsid w:val="000D4BB9"/>
    <w:rsid w:val="000D523D"/>
    <w:rsid w:val="000D56D2"/>
    <w:rsid w:val="000D6203"/>
    <w:rsid w:val="000E05F4"/>
    <w:rsid w:val="000E0622"/>
    <w:rsid w:val="000E08CF"/>
    <w:rsid w:val="000E0EAF"/>
    <w:rsid w:val="000E1DA6"/>
    <w:rsid w:val="000E1F20"/>
    <w:rsid w:val="000E2D06"/>
    <w:rsid w:val="000E3295"/>
    <w:rsid w:val="000E373F"/>
    <w:rsid w:val="000E3AEB"/>
    <w:rsid w:val="000E3BD8"/>
    <w:rsid w:val="000E3E5A"/>
    <w:rsid w:val="000E40F8"/>
    <w:rsid w:val="000E4A66"/>
    <w:rsid w:val="000E4B9A"/>
    <w:rsid w:val="000E4EC1"/>
    <w:rsid w:val="000E4F13"/>
    <w:rsid w:val="000E5180"/>
    <w:rsid w:val="000E6941"/>
    <w:rsid w:val="000F0488"/>
    <w:rsid w:val="000F0765"/>
    <w:rsid w:val="000F0CA2"/>
    <w:rsid w:val="000F0DD6"/>
    <w:rsid w:val="000F1524"/>
    <w:rsid w:val="000F1F27"/>
    <w:rsid w:val="000F41F1"/>
    <w:rsid w:val="000F449A"/>
    <w:rsid w:val="000F4DB8"/>
    <w:rsid w:val="000F50BE"/>
    <w:rsid w:val="000F6091"/>
    <w:rsid w:val="000F7878"/>
    <w:rsid w:val="000F7AC2"/>
    <w:rsid w:val="000F7D07"/>
    <w:rsid w:val="00100C70"/>
    <w:rsid w:val="00100DC3"/>
    <w:rsid w:val="00100DEF"/>
    <w:rsid w:val="00102A37"/>
    <w:rsid w:val="001032CE"/>
    <w:rsid w:val="00103EF7"/>
    <w:rsid w:val="00104523"/>
    <w:rsid w:val="001050D2"/>
    <w:rsid w:val="00106060"/>
    <w:rsid w:val="00106DA1"/>
    <w:rsid w:val="00106E10"/>
    <w:rsid w:val="0011441F"/>
    <w:rsid w:val="00114716"/>
    <w:rsid w:val="001149A9"/>
    <w:rsid w:val="00114C9A"/>
    <w:rsid w:val="00120A6C"/>
    <w:rsid w:val="00121449"/>
    <w:rsid w:val="00123BA5"/>
    <w:rsid w:val="001247E2"/>
    <w:rsid w:val="00125A24"/>
    <w:rsid w:val="00125AA0"/>
    <w:rsid w:val="00126507"/>
    <w:rsid w:val="001265E2"/>
    <w:rsid w:val="00127FA2"/>
    <w:rsid w:val="00130692"/>
    <w:rsid w:val="001327B6"/>
    <w:rsid w:val="0013334A"/>
    <w:rsid w:val="001349EA"/>
    <w:rsid w:val="001357E5"/>
    <w:rsid w:val="001367C0"/>
    <w:rsid w:val="00136E11"/>
    <w:rsid w:val="00136EC7"/>
    <w:rsid w:val="00137D47"/>
    <w:rsid w:val="00140230"/>
    <w:rsid w:val="001407CC"/>
    <w:rsid w:val="00140AAB"/>
    <w:rsid w:val="00140C17"/>
    <w:rsid w:val="0014222F"/>
    <w:rsid w:val="00142AB5"/>
    <w:rsid w:val="00144261"/>
    <w:rsid w:val="00144CE9"/>
    <w:rsid w:val="0014500D"/>
    <w:rsid w:val="001464A7"/>
    <w:rsid w:val="00146AEB"/>
    <w:rsid w:val="00147FEF"/>
    <w:rsid w:val="00150250"/>
    <w:rsid w:val="0015058F"/>
    <w:rsid w:val="00150780"/>
    <w:rsid w:val="00150A12"/>
    <w:rsid w:val="00150E71"/>
    <w:rsid w:val="00150F8D"/>
    <w:rsid w:val="001519C9"/>
    <w:rsid w:val="001519CA"/>
    <w:rsid w:val="001519FA"/>
    <w:rsid w:val="00154D53"/>
    <w:rsid w:val="0015594B"/>
    <w:rsid w:val="0015602C"/>
    <w:rsid w:val="00157CA3"/>
    <w:rsid w:val="00157DC1"/>
    <w:rsid w:val="00160646"/>
    <w:rsid w:val="00160AA9"/>
    <w:rsid w:val="0016227C"/>
    <w:rsid w:val="00162562"/>
    <w:rsid w:val="001632DB"/>
    <w:rsid w:val="00163D3B"/>
    <w:rsid w:val="001642B1"/>
    <w:rsid w:val="001642EF"/>
    <w:rsid w:val="001644B0"/>
    <w:rsid w:val="0016456B"/>
    <w:rsid w:val="00165137"/>
    <w:rsid w:val="00165169"/>
    <w:rsid w:val="0016577F"/>
    <w:rsid w:val="00166666"/>
    <w:rsid w:val="001675CB"/>
    <w:rsid w:val="00167A0C"/>
    <w:rsid w:val="00167A4C"/>
    <w:rsid w:val="00170321"/>
    <w:rsid w:val="00170408"/>
    <w:rsid w:val="00170F7C"/>
    <w:rsid w:val="00171221"/>
    <w:rsid w:val="00171658"/>
    <w:rsid w:val="001716EB"/>
    <w:rsid w:val="0017248E"/>
    <w:rsid w:val="00172EC7"/>
    <w:rsid w:val="00172F2C"/>
    <w:rsid w:val="001734E7"/>
    <w:rsid w:val="00173AA5"/>
    <w:rsid w:val="00173FCC"/>
    <w:rsid w:val="00174034"/>
    <w:rsid w:val="0017451D"/>
    <w:rsid w:val="00174C22"/>
    <w:rsid w:val="00174E61"/>
    <w:rsid w:val="0017672D"/>
    <w:rsid w:val="001803A0"/>
    <w:rsid w:val="00180D44"/>
    <w:rsid w:val="001816A6"/>
    <w:rsid w:val="00182105"/>
    <w:rsid w:val="00182271"/>
    <w:rsid w:val="0018252A"/>
    <w:rsid w:val="0018260B"/>
    <w:rsid w:val="00182EBA"/>
    <w:rsid w:val="0018317E"/>
    <w:rsid w:val="00184A79"/>
    <w:rsid w:val="001857BD"/>
    <w:rsid w:val="0018639E"/>
    <w:rsid w:val="00186CAA"/>
    <w:rsid w:val="00186D0C"/>
    <w:rsid w:val="00186F2B"/>
    <w:rsid w:val="001874FA"/>
    <w:rsid w:val="001924ED"/>
    <w:rsid w:val="001925A1"/>
    <w:rsid w:val="00192B74"/>
    <w:rsid w:val="001935B4"/>
    <w:rsid w:val="00193EE0"/>
    <w:rsid w:val="00195043"/>
    <w:rsid w:val="00196609"/>
    <w:rsid w:val="001966E6"/>
    <w:rsid w:val="001967E6"/>
    <w:rsid w:val="0019712A"/>
    <w:rsid w:val="001A0350"/>
    <w:rsid w:val="001A0C8F"/>
    <w:rsid w:val="001A1AD5"/>
    <w:rsid w:val="001A2BD9"/>
    <w:rsid w:val="001A3BA2"/>
    <w:rsid w:val="001A6D1C"/>
    <w:rsid w:val="001A7357"/>
    <w:rsid w:val="001A763C"/>
    <w:rsid w:val="001A7811"/>
    <w:rsid w:val="001B0B4E"/>
    <w:rsid w:val="001B0B56"/>
    <w:rsid w:val="001B0E09"/>
    <w:rsid w:val="001B1930"/>
    <w:rsid w:val="001B2459"/>
    <w:rsid w:val="001B3BB7"/>
    <w:rsid w:val="001B4915"/>
    <w:rsid w:val="001B5888"/>
    <w:rsid w:val="001B5A63"/>
    <w:rsid w:val="001B62EC"/>
    <w:rsid w:val="001B6A1C"/>
    <w:rsid w:val="001B6CE7"/>
    <w:rsid w:val="001B71BB"/>
    <w:rsid w:val="001B78EB"/>
    <w:rsid w:val="001B7BE8"/>
    <w:rsid w:val="001C02F7"/>
    <w:rsid w:val="001C0ADC"/>
    <w:rsid w:val="001C0B51"/>
    <w:rsid w:val="001C10C8"/>
    <w:rsid w:val="001C19A4"/>
    <w:rsid w:val="001C20A0"/>
    <w:rsid w:val="001C336F"/>
    <w:rsid w:val="001C33C5"/>
    <w:rsid w:val="001C34BC"/>
    <w:rsid w:val="001C467B"/>
    <w:rsid w:val="001C4C4E"/>
    <w:rsid w:val="001C5C31"/>
    <w:rsid w:val="001C6004"/>
    <w:rsid w:val="001C61B5"/>
    <w:rsid w:val="001C63BF"/>
    <w:rsid w:val="001C6514"/>
    <w:rsid w:val="001C79FB"/>
    <w:rsid w:val="001C7A5D"/>
    <w:rsid w:val="001D0D7E"/>
    <w:rsid w:val="001D1127"/>
    <w:rsid w:val="001D30A9"/>
    <w:rsid w:val="001D3326"/>
    <w:rsid w:val="001D36DB"/>
    <w:rsid w:val="001D43E2"/>
    <w:rsid w:val="001D50B6"/>
    <w:rsid w:val="001D5AAC"/>
    <w:rsid w:val="001D636E"/>
    <w:rsid w:val="001D68FB"/>
    <w:rsid w:val="001D6B90"/>
    <w:rsid w:val="001E1769"/>
    <w:rsid w:val="001E1D57"/>
    <w:rsid w:val="001E238B"/>
    <w:rsid w:val="001E2683"/>
    <w:rsid w:val="001E36CB"/>
    <w:rsid w:val="001E387C"/>
    <w:rsid w:val="001E3B3B"/>
    <w:rsid w:val="001E4073"/>
    <w:rsid w:val="001E52AF"/>
    <w:rsid w:val="001E566A"/>
    <w:rsid w:val="001E59E9"/>
    <w:rsid w:val="001E6777"/>
    <w:rsid w:val="001E7333"/>
    <w:rsid w:val="001E794E"/>
    <w:rsid w:val="001F227D"/>
    <w:rsid w:val="001F2430"/>
    <w:rsid w:val="001F2E3A"/>
    <w:rsid w:val="001F3090"/>
    <w:rsid w:val="001F379E"/>
    <w:rsid w:val="001F3ADF"/>
    <w:rsid w:val="001F3DAB"/>
    <w:rsid w:val="001F489F"/>
    <w:rsid w:val="001F4B6E"/>
    <w:rsid w:val="001F58C7"/>
    <w:rsid w:val="001F5E1C"/>
    <w:rsid w:val="001F6F9A"/>
    <w:rsid w:val="001F73BF"/>
    <w:rsid w:val="002010E6"/>
    <w:rsid w:val="002013AB"/>
    <w:rsid w:val="002023FD"/>
    <w:rsid w:val="002024AC"/>
    <w:rsid w:val="002037FC"/>
    <w:rsid w:val="002049E5"/>
    <w:rsid w:val="00204F3C"/>
    <w:rsid w:val="00204F56"/>
    <w:rsid w:val="00205383"/>
    <w:rsid w:val="00205BCB"/>
    <w:rsid w:val="00205E12"/>
    <w:rsid w:val="0020606A"/>
    <w:rsid w:val="00206ADD"/>
    <w:rsid w:val="00207D42"/>
    <w:rsid w:val="0021117F"/>
    <w:rsid w:val="00211837"/>
    <w:rsid w:val="00211E86"/>
    <w:rsid w:val="002126B0"/>
    <w:rsid w:val="002139F9"/>
    <w:rsid w:val="0021498C"/>
    <w:rsid w:val="00215C48"/>
    <w:rsid w:val="00215EFF"/>
    <w:rsid w:val="002165E0"/>
    <w:rsid w:val="00217300"/>
    <w:rsid w:val="002173CF"/>
    <w:rsid w:val="00220C2B"/>
    <w:rsid w:val="00221AC5"/>
    <w:rsid w:val="00222CAF"/>
    <w:rsid w:val="00223199"/>
    <w:rsid w:val="00224C56"/>
    <w:rsid w:val="00225B40"/>
    <w:rsid w:val="002304B6"/>
    <w:rsid w:val="00230B06"/>
    <w:rsid w:val="00230D1B"/>
    <w:rsid w:val="002326EF"/>
    <w:rsid w:val="00232AA1"/>
    <w:rsid w:val="00233A15"/>
    <w:rsid w:val="00233D40"/>
    <w:rsid w:val="00233E96"/>
    <w:rsid w:val="00233EFE"/>
    <w:rsid w:val="002340CA"/>
    <w:rsid w:val="00234DD1"/>
    <w:rsid w:val="00236F5D"/>
    <w:rsid w:val="00236FC4"/>
    <w:rsid w:val="00237815"/>
    <w:rsid w:val="00240683"/>
    <w:rsid w:val="002422B6"/>
    <w:rsid w:val="0024276D"/>
    <w:rsid w:val="00242995"/>
    <w:rsid w:val="00242A65"/>
    <w:rsid w:val="00243C92"/>
    <w:rsid w:val="00244981"/>
    <w:rsid w:val="00244AE0"/>
    <w:rsid w:val="0024513A"/>
    <w:rsid w:val="00246B5B"/>
    <w:rsid w:val="0024726B"/>
    <w:rsid w:val="0024734C"/>
    <w:rsid w:val="002476B6"/>
    <w:rsid w:val="00247F90"/>
    <w:rsid w:val="00250BFA"/>
    <w:rsid w:val="00250DF3"/>
    <w:rsid w:val="00251264"/>
    <w:rsid w:val="00251702"/>
    <w:rsid w:val="00251AC0"/>
    <w:rsid w:val="002523CE"/>
    <w:rsid w:val="0025310A"/>
    <w:rsid w:val="00253541"/>
    <w:rsid w:val="00253FD6"/>
    <w:rsid w:val="00254A42"/>
    <w:rsid w:val="00254E6D"/>
    <w:rsid w:val="00256215"/>
    <w:rsid w:val="00256923"/>
    <w:rsid w:val="0025718F"/>
    <w:rsid w:val="0025789F"/>
    <w:rsid w:val="00260A37"/>
    <w:rsid w:val="00260B1A"/>
    <w:rsid w:val="00261CD9"/>
    <w:rsid w:val="002628A0"/>
    <w:rsid w:val="00262B40"/>
    <w:rsid w:val="00263177"/>
    <w:rsid w:val="00263CC1"/>
    <w:rsid w:val="00263F9A"/>
    <w:rsid w:val="0026542E"/>
    <w:rsid w:val="00265BF8"/>
    <w:rsid w:val="00266935"/>
    <w:rsid w:val="00270041"/>
    <w:rsid w:val="002701BE"/>
    <w:rsid w:val="00270253"/>
    <w:rsid w:val="00270EFA"/>
    <w:rsid w:val="0027273B"/>
    <w:rsid w:val="002729F7"/>
    <w:rsid w:val="0027327B"/>
    <w:rsid w:val="00273492"/>
    <w:rsid w:val="00274174"/>
    <w:rsid w:val="00274919"/>
    <w:rsid w:val="00274A67"/>
    <w:rsid w:val="00276AD6"/>
    <w:rsid w:val="002772CD"/>
    <w:rsid w:val="00277596"/>
    <w:rsid w:val="0027768A"/>
    <w:rsid w:val="00277C1A"/>
    <w:rsid w:val="00277EB0"/>
    <w:rsid w:val="00280641"/>
    <w:rsid w:val="00281CAF"/>
    <w:rsid w:val="00282291"/>
    <w:rsid w:val="0028370B"/>
    <w:rsid w:val="00283815"/>
    <w:rsid w:val="00284296"/>
    <w:rsid w:val="00284A57"/>
    <w:rsid w:val="00285F62"/>
    <w:rsid w:val="002879BF"/>
    <w:rsid w:val="002879F6"/>
    <w:rsid w:val="0029189F"/>
    <w:rsid w:val="00291E5F"/>
    <w:rsid w:val="002921A2"/>
    <w:rsid w:val="00292D31"/>
    <w:rsid w:val="00293876"/>
    <w:rsid w:val="00293B02"/>
    <w:rsid w:val="00293EB2"/>
    <w:rsid w:val="00294AFA"/>
    <w:rsid w:val="00294F33"/>
    <w:rsid w:val="002A2149"/>
    <w:rsid w:val="002A21FF"/>
    <w:rsid w:val="002A26AB"/>
    <w:rsid w:val="002A3167"/>
    <w:rsid w:val="002A3C74"/>
    <w:rsid w:val="002A3C78"/>
    <w:rsid w:val="002A6BFE"/>
    <w:rsid w:val="002B1C59"/>
    <w:rsid w:val="002B2D24"/>
    <w:rsid w:val="002B3F3D"/>
    <w:rsid w:val="002B479C"/>
    <w:rsid w:val="002B50AC"/>
    <w:rsid w:val="002B5B11"/>
    <w:rsid w:val="002B5CAC"/>
    <w:rsid w:val="002B70FB"/>
    <w:rsid w:val="002B770D"/>
    <w:rsid w:val="002B77D7"/>
    <w:rsid w:val="002B78A8"/>
    <w:rsid w:val="002C0157"/>
    <w:rsid w:val="002C1718"/>
    <w:rsid w:val="002C1A48"/>
    <w:rsid w:val="002C2821"/>
    <w:rsid w:val="002C301A"/>
    <w:rsid w:val="002C324B"/>
    <w:rsid w:val="002C339D"/>
    <w:rsid w:val="002C4584"/>
    <w:rsid w:val="002C6977"/>
    <w:rsid w:val="002C6C62"/>
    <w:rsid w:val="002D00EB"/>
    <w:rsid w:val="002D031E"/>
    <w:rsid w:val="002D1CF8"/>
    <w:rsid w:val="002D204B"/>
    <w:rsid w:val="002D282E"/>
    <w:rsid w:val="002D338C"/>
    <w:rsid w:val="002D3CB5"/>
    <w:rsid w:val="002D4452"/>
    <w:rsid w:val="002D470E"/>
    <w:rsid w:val="002D4C97"/>
    <w:rsid w:val="002D50E9"/>
    <w:rsid w:val="002D51EA"/>
    <w:rsid w:val="002D5988"/>
    <w:rsid w:val="002D6659"/>
    <w:rsid w:val="002D6CEA"/>
    <w:rsid w:val="002D6E0F"/>
    <w:rsid w:val="002D7001"/>
    <w:rsid w:val="002E113D"/>
    <w:rsid w:val="002E11A9"/>
    <w:rsid w:val="002E2609"/>
    <w:rsid w:val="002E2705"/>
    <w:rsid w:val="002E27CE"/>
    <w:rsid w:val="002E2D85"/>
    <w:rsid w:val="002E2D87"/>
    <w:rsid w:val="002E2F09"/>
    <w:rsid w:val="002E3471"/>
    <w:rsid w:val="002E3D9D"/>
    <w:rsid w:val="002E5FE4"/>
    <w:rsid w:val="002F0F40"/>
    <w:rsid w:val="002F1928"/>
    <w:rsid w:val="002F35D2"/>
    <w:rsid w:val="002F6846"/>
    <w:rsid w:val="002F6AB6"/>
    <w:rsid w:val="003006A9"/>
    <w:rsid w:val="00301677"/>
    <w:rsid w:val="00303A34"/>
    <w:rsid w:val="00303DD4"/>
    <w:rsid w:val="003042B7"/>
    <w:rsid w:val="00304B1F"/>
    <w:rsid w:val="00305DC0"/>
    <w:rsid w:val="003061B8"/>
    <w:rsid w:val="00307FF9"/>
    <w:rsid w:val="0031014E"/>
    <w:rsid w:val="003133F5"/>
    <w:rsid w:val="00313C0C"/>
    <w:rsid w:val="00313ED6"/>
    <w:rsid w:val="00314886"/>
    <w:rsid w:val="00314FCA"/>
    <w:rsid w:val="00315179"/>
    <w:rsid w:val="00315A51"/>
    <w:rsid w:val="003168FB"/>
    <w:rsid w:val="00316CF4"/>
    <w:rsid w:val="0032094B"/>
    <w:rsid w:val="00321608"/>
    <w:rsid w:val="0032334C"/>
    <w:rsid w:val="00323D55"/>
    <w:rsid w:val="0032445F"/>
    <w:rsid w:val="00325151"/>
    <w:rsid w:val="00325306"/>
    <w:rsid w:val="00325CA1"/>
    <w:rsid w:val="00325E16"/>
    <w:rsid w:val="0032613D"/>
    <w:rsid w:val="003265A1"/>
    <w:rsid w:val="00327737"/>
    <w:rsid w:val="0032788F"/>
    <w:rsid w:val="00332950"/>
    <w:rsid w:val="00332D00"/>
    <w:rsid w:val="00332D49"/>
    <w:rsid w:val="00333E05"/>
    <w:rsid w:val="00333E49"/>
    <w:rsid w:val="00336EF3"/>
    <w:rsid w:val="0033736B"/>
    <w:rsid w:val="00337B21"/>
    <w:rsid w:val="00337F24"/>
    <w:rsid w:val="00340AA5"/>
    <w:rsid w:val="00341095"/>
    <w:rsid w:val="003416CD"/>
    <w:rsid w:val="003416DA"/>
    <w:rsid w:val="003418E6"/>
    <w:rsid w:val="00343550"/>
    <w:rsid w:val="00343CE4"/>
    <w:rsid w:val="00345031"/>
    <w:rsid w:val="003463A2"/>
    <w:rsid w:val="00346BE3"/>
    <w:rsid w:val="00346F9C"/>
    <w:rsid w:val="003503A8"/>
    <w:rsid w:val="00350D61"/>
    <w:rsid w:val="00350D68"/>
    <w:rsid w:val="003513FD"/>
    <w:rsid w:val="0035304B"/>
    <w:rsid w:val="0035549B"/>
    <w:rsid w:val="003557C8"/>
    <w:rsid w:val="003557F0"/>
    <w:rsid w:val="00356E97"/>
    <w:rsid w:val="00356F92"/>
    <w:rsid w:val="003573C7"/>
    <w:rsid w:val="0035774D"/>
    <w:rsid w:val="00360793"/>
    <w:rsid w:val="00362978"/>
    <w:rsid w:val="00362D94"/>
    <w:rsid w:val="00364FE2"/>
    <w:rsid w:val="00365523"/>
    <w:rsid w:val="003666C8"/>
    <w:rsid w:val="0036748B"/>
    <w:rsid w:val="003702F1"/>
    <w:rsid w:val="003706BB"/>
    <w:rsid w:val="00372362"/>
    <w:rsid w:val="003723DA"/>
    <w:rsid w:val="003728B0"/>
    <w:rsid w:val="00372D64"/>
    <w:rsid w:val="003734DF"/>
    <w:rsid w:val="00373688"/>
    <w:rsid w:val="0037487A"/>
    <w:rsid w:val="00374ACE"/>
    <w:rsid w:val="00374D75"/>
    <w:rsid w:val="00376053"/>
    <w:rsid w:val="003764FF"/>
    <w:rsid w:val="0037687B"/>
    <w:rsid w:val="00376C00"/>
    <w:rsid w:val="003777E8"/>
    <w:rsid w:val="003778A9"/>
    <w:rsid w:val="0038017A"/>
    <w:rsid w:val="00381B79"/>
    <w:rsid w:val="00382BBC"/>
    <w:rsid w:val="00383179"/>
    <w:rsid w:val="003838A5"/>
    <w:rsid w:val="003841DA"/>
    <w:rsid w:val="003848C6"/>
    <w:rsid w:val="003864F3"/>
    <w:rsid w:val="00387A57"/>
    <w:rsid w:val="00391448"/>
    <w:rsid w:val="00391FA6"/>
    <w:rsid w:val="00392000"/>
    <w:rsid w:val="00392632"/>
    <w:rsid w:val="00393FB2"/>
    <w:rsid w:val="003942F0"/>
    <w:rsid w:val="003945FB"/>
    <w:rsid w:val="003946AB"/>
    <w:rsid w:val="0039483B"/>
    <w:rsid w:val="00395964"/>
    <w:rsid w:val="00395AFF"/>
    <w:rsid w:val="00395FA2"/>
    <w:rsid w:val="003979EB"/>
    <w:rsid w:val="00397BCE"/>
    <w:rsid w:val="003A0D4D"/>
    <w:rsid w:val="003A23C8"/>
    <w:rsid w:val="003A2DB4"/>
    <w:rsid w:val="003A39B5"/>
    <w:rsid w:val="003A41A7"/>
    <w:rsid w:val="003A4909"/>
    <w:rsid w:val="003A4938"/>
    <w:rsid w:val="003A4A52"/>
    <w:rsid w:val="003A4C8E"/>
    <w:rsid w:val="003A4E08"/>
    <w:rsid w:val="003A5223"/>
    <w:rsid w:val="003A52E5"/>
    <w:rsid w:val="003A5560"/>
    <w:rsid w:val="003A5630"/>
    <w:rsid w:val="003A6039"/>
    <w:rsid w:val="003A6212"/>
    <w:rsid w:val="003A734D"/>
    <w:rsid w:val="003B29E6"/>
    <w:rsid w:val="003B2EF6"/>
    <w:rsid w:val="003B3A4E"/>
    <w:rsid w:val="003B67A6"/>
    <w:rsid w:val="003B6DBC"/>
    <w:rsid w:val="003B79AB"/>
    <w:rsid w:val="003C08BF"/>
    <w:rsid w:val="003C15FB"/>
    <w:rsid w:val="003C3322"/>
    <w:rsid w:val="003C3555"/>
    <w:rsid w:val="003C4012"/>
    <w:rsid w:val="003C43FD"/>
    <w:rsid w:val="003C4B99"/>
    <w:rsid w:val="003C4C2C"/>
    <w:rsid w:val="003C505C"/>
    <w:rsid w:val="003C626E"/>
    <w:rsid w:val="003C7B30"/>
    <w:rsid w:val="003D1907"/>
    <w:rsid w:val="003D1923"/>
    <w:rsid w:val="003D1C5D"/>
    <w:rsid w:val="003D26E0"/>
    <w:rsid w:val="003D29DC"/>
    <w:rsid w:val="003D3091"/>
    <w:rsid w:val="003D358F"/>
    <w:rsid w:val="003D380E"/>
    <w:rsid w:val="003D3A67"/>
    <w:rsid w:val="003D3E59"/>
    <w:rsid w:val="003D3E5C"/>
    <w:rsid w:val="003D4EA1"/>
    <w:rsid w:val="003D5FF9"/>
    <w:rsid w:val="003D636C"/>
    <w:rsid w:val="003D6520"/>
    <w:rsid w:val="003D665C"/>
    <w:rsid w:val="003D6828"/>
    <w:rsid w:val="003D730C"/>
    <w:rsid w:val="003E0003"/>
    <w:rsid w:val="003E00C5"/>
    <w:rsid w:val="003E0FAA"/>
    <w:rsid w:val="003E0FC6"/>
    <w:rsid w:val="003E1779"/>
    <w:rsid w:val="003E1949"/>
    <w:rsid w:val="003E1ED6"/>
    <w:rsid w:val="003E2188"/>
    <w:rsid w:val="003E2E1C"/>
    <w:rsid w:val="003E36BE"/>
    <w:rsid w:val="003E421C"/>
    <w:rsid w:val="003E570A"/>
    <w:rsid w:val="003E5E4D"/>
    <w:rsid w:val="003E60BA"/>
    <w:rsid w:val="003E78A6"/>
    <w:rsid w:val="003F0B0B"/>
    <w:rsid w:val="003F0CA0"/>
    <w:rsid w:val="003F190C"/>
    <w:rsid w:val="003F1CE9"/>
    <w:rsid w:val="003F232C"/>
    <w:rsid w:val="003F4DB6"/>
    <w:rsid w:val="003F62FE"/>
    <w:rsid w:val="003F6B3E"/>
    <w:rsid w:val="003F6F17"/>
    <w:rsid w:val="003F719B"/>
    <w:rsid w:val="0040080D"/>
    <w:rsid w:val="004024A4"/>
    <w:rsid w:val="0040330C"/>
    <w:rsid w:val="004042BC"/>
    <w:rsid w:val="004053C1"/>
    <w:rsid w:val="004054E9"/>
    <w:rsid w:val="004058F2"/>
    <w:rsid w:val="00405D53"/>
    <w:rsid w:val="00406070"/>
    <w:rsid w:val="00406263"/>
    <w:rsid w:val="0040626D"/>
    <w:rsid w:val="00406BB9"/>
    <w:rsid w:val="00407142"/>
    <w:rsid w:val="0040733C"/>
    <w:rsid w:val="0040753A"/>
    <w:rsid w:val="00410436"/>
    <w:rsid w:val="00410EE0"/>
    <w:rsid w:val="00411057"/>
    <w:rsid w:val="004119EB"/>
    <w:rsid w:val="0041202C"/>
    <w:rsid w:val="00413224"/>
    <w:rsid w:val="00413661"/>
    <w:rsid w:val="00414841"/>
    <w:rsid w:val="0041494A"/>
    <w:rsid w:val="00414B88"/>
    <w:rsid w:val="00414BA4"/>
    <w:rsid w:val="00415448"/>
    <w:rsid w:val="004155B1"/>
    <w:rsid w:val="00416563"/>
    <w:rsid w:val="004174E6"/>
    <w:rsid w:val="00420031"/>
    <w:rsid w:val="0042026F"/>
    <w:rsid w:val="00420D03"/>
    <w:rsid w:val="00421B7F"/>
    <w:rsid w:val="00421D85"/>
    <w:rsid w:val="00422533"/>
    <w:rsid w:val="00422737"/>
    <w:rsid w:val="0042277C"/>
    <w:rsid w:val="00422C98"/>
    <w:rsid w:val="00422D53"/>
    <w:rsid w:val="00422EC5"/>
    <w:rsid w:val="0042327F"/>
    <w:rsid w:val="00423409"/>
    <w:rsid w:val="004235AC"/>
    <w:rsid w:val="004237D6"/>
    <w:rsid w:val="0042398B"/>
    <w:rsid w:val="004249A7"/>
    <w:rsid w:val="00424B86"/>
    <w:rsid w:val="00424E18"/>
    <w:rsid w:val="00425C57"/>
    <w:rsid w:val="004265DA"/>
    <w:rsid w:val="00426A33"/>
    <w:rsid w:val="00426BE0"/>
    <w:rsid w:val="00427605"/>
    <w:rsid w:val="004276E2"/>
    <w:rsid w:val="0042770E"/>
    <w:rsid w:val="00430540"/>
    <w:rsid w:val="004308A9"/>
    <w:rsid w:val="0043176F"/>
    <w:rsid w:val="00431A95"/>
    <w:rsid w:val="0043212E"/>
    <w:rsid w:val="004323DA"/>
    <w:rsid w:val="004325A7"/>
    <w:rsid w:val="004327B1"/>
    <w:rsid w:val="00432C37"/>
    <w:rsid w:val="00432F52"/>
    <w:rsid w:val="0043347B"/>
    <w:rsid w:val="00433888"/>
    <w:rsid w:val="00433E84"/>
    <w:rsid w:val="00434C87"/>
    <w:rsid w:val="004354AF"/>
    <w:rsid w:val="00435553"/>
    <w:rsid w:val="00437170"/>
    <w:rsid w:val="0043748B"/>
    <w:rsid w:val="0044083F"/>
    <w:rsid w:val="00440B2E"/>
    <w:rsid w:val="004415A3"/>
    <w:rsid w:val="00441F35"/>
    <w:rsid w:val="004430F1"/>
    <w:rsid w:val="0044377D"/>
    <w:rsid w:val="00445874"/>
    <w:rsid w:val="0044729A"/>
    <w:rsid w:val="00447396"/>
    <w:rsid w:val="00450480"/>
    <w:rsid w:val="004507BA"/>
    <w:rsid w:val="00451B6B"/>
    <w:rsid w:val="00451E2C"/>
    <w:rsid w:val="00452633"/>
    <w:rsid w:val="00452A7A"/>
    <w:rsid w:val="00453292"/>
    <w:rsid w:val="00453BD2"/>
    <w:rsid w:val="00453D0F"/>
    <w:rsid w:val="00453DEF"/>
    <w:rsid w:val="004542AF"/>
    <w:rsid w:val="00455504"/>
    <w:rsid w:val="00455D02"/>
    <w:rsid w:val="00455F56"/>
    <w:rsid w:val="0045628A"/>
    <w:rsid w:val="0045706E"/>
    <w:rsid w:val="004571DD"/>
    <w:rsid w:val="004578F2"/>
    <w:rsid w:val="00457C49"/>
    <w:rsid w:val="0046023C"/>
    <w:rsid w:val="00460F0A"/>
    <w:rsid w:val="0046115E"/>
    <w:rsid w:val="00461645"/>
    <w:rsid w:val="0046269D"/>
    <w:rsid w:val="004639FA"/>
    <w:rsid w:val="00463D1A"/>
    <w:rsid w:val="00464A24"/>
    <w:rsid w:val="0046599E"/>
    <w:rsid w:val="004661E9"/>
    <w:rsid w:val="0046624C"/>
    <w:rsid w:val="00466382"/>
    <w:rsid w:val="004671D8"/>
    <w:rsid w:val="004700BE"/>
    <w:rsid w:val="0047072E"/>
    <w:rsid w:val="004708AD"/>
    <w:rsid w:val="00470F3A"/>
    <w:rsid w:val="0047110A"/>
    <w:rsid w:val="0047125E"/>
    <w:rsid w:val="00471E2E"/>
    <w:rsid w:val="00472035"/>
    <w:rsid w:val="00472397"/>
    <w:rsid w:val="004728C3"/>
    <w:rsid w:val="00472978"/>
    <w:rsid w:val="0047437D"/>
    <w:rsid w:val="00474B34"/>
    <w:rsid w:val="00475364"/>
    <w:rsid w:val="004756EF"/>
    <w:rsid w:val="0047627C"/>
    <w:rsid w:val="00476AE5"/>
    <w:rsid w:val="00476F60"/>
    <w:rsid w:val="00477224"/>
    <w:rsid w:val="00481903"/>
    <w:rsid w:val="00481915"/>
    <w:rsid w:val="0048191C"/>
    <w:rsid w:val="0048311B"/>
    <w:rsid w:val="004844D7"/>
    <w:rsid w:val="00484DE3"/>
    <w:rsid w:val="00485EAC"/>
    <w:rsid w:val="004873E4"/>
    <w:rsid w:val="00491081"/>
    <w:rsid w:val="00492256"/>
    <w:rsid w:val="0049241C"/>
    <w:rsid w:val="00493428"/>
    <w:rsid w:val="0049379B"/>
    <w:rsid w:val="00493D83"/>
    <w:rsid w:val="00493FB7"/>
    <w:rsid w:val="00494010"/>
    <w:rsid w:val="00494115"/>
    <w:rsid w:val="004950F5"/>
    <w:rsid w:val="00495A4E"/>
    <w:rsid w:val="00495FEE"/>
    <w:rsid w:val="00496DD3"/>
    <w:rsid w:val="00496EFC"/>
    <w:rsid w:val="004976ED"/>
    <w:rsid w:val="0049786B"/>
    <w:rsid w:val="004A0776"/>
    <w:rsid w:val="004A165F"/>
    <w:rsid w:val="004A26D9"/>
    <w:rsid w:val="004A30AB"/>
    <w:rsid w:val="004A456A"/>
    <w:rsid w:val="004A456E"/>
    <w:rsid w:val="004A546A"/>
    <w:rsid w:val="004A57C3"/>
    <w:rsid w:val="004A5CCA"/>
    <w:rsid w:val="004A6CED"/>
    <w:rsid w:val="004A7664"/>
    <w:rsid w:val="004A77F5"/>
    <w:rsid w:val="004A7924"/>
    <w:rsid w:val="004B0313"/>
    <w:rsid w:val="004B0AFF"/>
    <w:rsid w:val="004B24DC"/>
    <w:rsid w:val="004B4E44"/>
    <w:rsid w:val="004B4E4A"/>
    <w:rsid w:val="004B5201"/>
    <w:rsid w:val="004B5683"/>
    <w:rsid w:val="004B67EB"/>
    <w:rsid w:val="004B6C93"/>
    <w:rsid w:val="004B7864"/>
    <w:rsid w:val="004B79D7"/>
    <w:rsid w:val="004C03AB"/>
    <w:rsid w:val="004C059E"/>
    <w:rsid w:val="004C0DBE"/>
    <w:rsid w:val="004C15F9"/>
    <w:rsid w:val="004C206F"/>
    <w:rsid w:val="004C2311"/>
    <w:rsid w:val="004C26F5"/>
    <w:rsid w:val="004C2B79"/>
    <w:rsid w:val="004C2FEA"/>
    <w:rsid w:val="004C3517"/>
    <w:rsid w:val="004C38EA"/>
    <w:rsid w:val="004C3ED9"/>
    <w:rsid w:val="004C3EE8"/>
    <w:rsid w:val="004C3FC6"/>
    <w:rsid w:val="004C4D8D"/>
    <w:rsid w:val="004C53C6"/>
    <w:rsid w:val="004C54F6"/>
    <w:rsid w:val="004C5A3F"/>
    <w:rsid w:val="004C6102"/>
    <w:rsid w:val="004C61CB"/>
    <w:rsid w:val="004C63F9"/>
    <w:rsid w:val="004C6509"/>
    <w:rsid w:val="004C6AA0"/>
    <w:rsid w:val="004C73AD"/>
    <w:rsid w:val="004C7751"/>
    <w:rsid w:val="004D07E7"/>
    <w:rsid w:val="004D38E1"/>
    <w:rsid w:val="004D4964"/>
    <w:rsid w:val="004D57CC"/>
    <w:rsid w:val="004D5F30"/>
    <w:rsid w:val="004D6B4B"/>
    <w:rsid w:val="004D7FC9"/>
    <w:rsid w:val="004E05CF"/>
    <w:rsid w:val="004E0A10"/>
    <w:rsid w:val="004E3B58"/>
    <w:rsid w:val="004E3D77"/>
    <w:rsid w:val="004E64ED"/>
    <w:rsid w:val="004E6FE5"/>
    <w:rsid w:val="004F1DD2"/>
    <w:rsid w:val="004F222F"/>
    <w:rsid w:val="004F3013"/>
    <w:rsid w:val="004F38A3"/>
    <w:rsid w:val="004F4006"/>
    <w:rsid w:val="004F453D"/>
    <w:rsid w:val="004F4A83"/>
    <w:rsid w:val="004F4BDF"/>
    <w:rsid w:val="004F512D"/>
    <w:rsid w:val="004F5BC0"/>
    <w:rsid w:val="004F62EB"/>
    <w:rsid w:val="004F682F"/>
    <w:rsid w:val="004F6A7C"/>
    <w:rsid w:val="004F6FB1"/>
    <w:rsid w:val="0050027D"/>
    <w:rsid w:val="005003CC"/>
    <w:rsid w:val="00500D0A"/>
    <w:rsid w:val="00501361"/>
    <w:rsid w:val="00501B55"/>
    <w:rsid w:val="00502272"/>
    <w:rsid w:val="00502506"/>
    <w:rsid w:val="00504A6E"/>
    <w:rsid w:val="00504ECC"/>
    <w:rsid w:val="00505630"/>
    <w:rsid w:val="00505E56"/>
    <w:rsid w:val="00506455"/>
    <w:rsid w:val="00507162"/>
    <w:rsid w:val="0051027D"/>
    <w:rsid w:val="005103B6"/>
    <w:rsid w:val="00510F57"/>
    <w:rsid w:val="00511472"/>
    <w:rsid w:val="005117FD"/>
    <w:rsid w:val="0051356D"/>
    <w:rsid w:val="005135C2"/>
    <w:rsid w:val="005138FB"/>
    <w:rsid w:val="005140FA"/>
    <w:rsid w:val="00514935"/>
    <w:rsid w:val="00514A8B"/>
    <w:rsid w:val="005153B3"/>
    <w:rsid w:val="00515C07"/>
    <w:rsid w:val="00516626"/>
    <w:rsid w:val="00517808"/>
    <w:rsid w:val="00520204"/>
    <w:rsid w:val="00522C20"/>
    <w:rsid w:val="00523257"/>
    <w:rsid w:val="00524156"/>
    <w:rsid w:val="005244AD"/>
    <w:rsid w:val="00524D39"/>
    <w:rsid w:val="005267E4"/>
    <w:rsid w:val="00526D7F"/>
    <w:rsid w:val="00527315"/>
    <w:rsid w:val="00527AEC"/>
    <w:rsid w:val="00527F11"/>
    <w:rsid w:val="0053082A"/>
    <w:rsid w:val="005333BE"/>
    <w:rsid w:val="0053372A"/>
    <w:rsid w:val="00533ABE"/>
    <w:rsid w:val="00533D59"/>
    <w:rsid w:val="00533FC0"/>
    <w:rsid w:val="00534C94"/>
    <w:rsid w:val="0053502C"/>
    <w:rsid w:val="005361BB"/>
    <w:rsid w:val="00536415"/>
    <w:rsid w:val="00537546"/>
    <w:rsid w:val="00537731"/>
    <w:rsid w:val="00537E12"/>
    <w:rsid w:val="005408BE"/>
    <w:rsid w:val="00540BFF"/>
    <w:rsid w:val="005413B3"/>
    <w:rsid w:val="005414B0"/>
    <w:rsid w:val="00541886"/>
    <w:rsid w:val="005447FC"/>
    <w:rsid w:val="00544CE1"/>
    <w:rsid w:val="0054557C"/>
    <w:rsid w:val="00545B57"/>
    <w:rsid w:val="00546489"/>
    <w:rsid w:val="00546FAF"/>
    <w:rsid w:val="00547835"/>
    <w:rsid w:val="0055002D"/>
    <w:rsid w:val="0055166D"/>
    <w:rsid w:val="005539A6"/>
    <w:rsid w:val="00554969"/>
    <w:rsid w:val="00555A41"/>
    <w:rsid w:val="00555C39"/>
    <w:rsid w:val="005568E7"/>
    <w:rsid w:val="00557FA6"/>
    <w:rsid w:val="00561062"/>
    <w:rsid w:val="0056121E"/>
    <w:rsid w:val="0056144C"/>
    <w:rsid w:val="00562058"/>
    <w:rsid w:val="00563909"/>
    <w:rsid w:val="0056553A"/>
    <w:rsid w:val="00565AB8"/>
    <w:rsid w:val="00565AD8"/>
    <w:rsid w:val="005666F8"/>
    <w:rsid w:val="00567188"/>
    <w:rsid w:val="0056726C"/>
    <w:rsid w:val="0057098F"/>
    <w:rsid w:val="00570DE4"/>
    <w:rsid w:val="00572D38"/>
    <w:rsid w:val="00573147"/>
    <w:rsid w:val="005738D3"/>
    <w:rsid w:val="00574552"/>
    <w:rsid w:val="00575501"/>
    <w:rsid w:val="00575A3A"/>
    <w:rsid w:val="00575AA7"/>
    <w:rsid w:val="00575EE0"/>
    <w:rsid w:val="00576123"/>
    <w:rsid w:val="00577C39"/>
    <w:rsid w:val="00580A11"/>
    <w:rsid w:val="0058126B"/>
    <w:rsid w:val="0058257C"/>
    <w:rsid w:val="00582C7D"/>
    <w:rsid w:val="00582F43"/>
    <w:rsid w:val="005839A5"/>
    <w:rsid w:val="00583E0A"/>
    <w:rsid w:val="00583E9F"/>
    <w:rsid w:val="005845F9"/>
    <w:rsid w:val="005851F4"/>
    <w:rsid w:val="00585BF5"/>
    <w:rsid w:val="005868AA"/>
    <w:rsid w:val="00586A2E"/>
    <w:rsid w:val="00587332"/>
    <w:rsid w:val="0059044B"/>
    <w:rsid w:val="0059044D"/>
    <w:rsid w:val="00590DE8"/>
    <w:rsid w:val="005918A3"/>
    <w:rsid w:val="00591BAA"/>
    <w:rsid w:val="00592366"/>
    <w:rsid w:val="005934F1"/>
    <w:rsid w:val="005936EE"/>
    <w:rsid w:val="005936EF"/>
    <w:rsid w:val="00593B38"/>
    <w:rsid w:val="00594350"/>
    <w:rsid w:val="00594AF5"/>
    <w:rsid w:val="00594BCA"/>
    <w:rsid w:val="00594E2B"/>
    <w:rsid w:val="00594E98"/>
    <w:rsid w:val="005952AF"/>
    <w:rsid w:val="005972AC"/>
    <w:rsid w:val="00597E4E"/>
    <w:rsid w:val="005A037F"/>
    <w:rsid w:val="005A05EF"/>
    <w:rsid w:val="005A0699"/>
    <w:rsid w:val="005A06AC"/>
    <w:rsid w:val="005A0B7B"/>
    <w:rsid w:val="005A1C00"/>
    <w:rsid w:val="005A30A5"/>
    <w:rsid w:val="005A389C"/>
    <w:rsid w:val="005A4285"/>
    <w:rsid w:val="005A4591"/>
    <w:rsid w:val="005A48EC"/>
    <w:rsid w:val="005A5266"/>
    <w:rsid w:val="005A5E6E"/>
    <w:rsid w:val="005A66FC"/>
    <w:rsid w:val="005A68CF"/>
    <w:rsid w:val="005A72D2"/>
    <w:rsid w:val="005A76A9"/>
    <w:rsid w:val="005B05CD"/>
    <w:rsid w:val="005B2C6B"/>
    <w:rsid w:val="005B4051"/>
    <w:rsid w:val="005B43A5"/>
    <w:rsid w:val="005B440F"/>
    <w:rsid w:val="005B46DB"/>
    <w:rsid w:val="005B47EC"/>
    <w:rsid w:val="005B5241"/>
    <w:rsid w:val="005B56C6"/>
    <w:rsid w:val="005B5C64"/>
    <w:rsid w:val="005B5C9A"/>
    <w:rsid w:val="005B6EBB"/>
    <w:rsid w:val="005B7E8D"/>
    <w:rsid w:val="005C0EB4"/>
    <w:rsid w:val="005C0F8B"/>
    <w:rsid w:val="005C2175"/>
    <w:rsid w:val="005C26A2"/>
    <w:rsid w:val="005C2ECA"/>
    <w:rsid w:val="005C3819"/>
    <w:rsid w:val="005C3F1F"/>
    <w:rsid w:val="005C4F3B"/>
    <w:rsid w:val="005C5BA8"/>
    <w:rsid w:val="005C739B"/>
    <w:rsid w:val="005D0137"/>
    <w:rsid w:val="005D018E"/>
    <w:rsid w:val="005D0BFC"/>
    <w:rsid w:val="005D0D44"/>
    <w:rsid w:val="005D23B6"/>
    <w:rsid w:val="005D3B31"/>
    <w:rsid w:val="005D3E1D"/>
    <w:rsid w:val="005D4641"/>
    <w:rsid w:val="005D48A8"/>
    <w:rsid w:val="005D5138"/>
    <w:rsid w:val="005D57B4"/>
    <w:rsid w:val="005D6712"/>
    <w:rsid w:val="005D69E3"/>
    <w:rsid w:val="005D7364"/>
    <w:rsid w:val="005D73A2"/>
    <w:rsid w:val="005E007D"/>
    <w:rsid w:val="005E0118"/>
    <w:rsid w:val="005E02A4"/>
    <w:rsid w:val="005E03B0"/>
    <w:rsid w:val="005E21C6"/>
    <w:rsid w:val="005E36A1"/>
    <w:rsid w:val="005E412C"/>
    <w:rsid w:val="005E5983"/>
    <w:rsid w:val="005E6E67"/>
    <w:rsid w:val="005E7E1D"/>
    <w:rsid w:val="005F0606"/>
    <w:rsid w:val="005F0C29"/>
    <w:rsid w:val="005F1492"/>
    <w:rsid w:val="005F557F"/>
    <w:rsid w:val="005F5E75"/>
    <w:rsid w:val="005F5FB7"/>
    <w:rsid w:val="005F6268"/>
    <w:rsid w:val="005F6289"/>
    <w:rsid w:val="005F6620"/>
    <w:rsid w:val="005F73C4"/>
    <w:rsid w:val="005F7ECF"/>
    <w:rsid w:val="00600A21"/>
    <w:rsid w:val="006012BA"/>
    <w:rsid w:val="00602E89"/>
    <w:rsid w:val="00603344"/>
    <w:rsid w:val="00603E3F"/>
    <w:rsid w:val="0060493A"/>
    <w:rsid w:val="00604E41"/>
    <w:rsid w:val="00605A46"/>
    <w:rsid w:val="00605AAC"/>
    <w:rsid w:val="00606655"/>
    <w:rsid w:val="006070B0"/>
    <w:rsid w:val="0060795A"/>
    <w:rsid w:val="00611738"/>
    <w:rsid w:val="006119F8"/>
    <w:rsid w:val="00612DE8"/>
    <w:rsid w:val="00614B6B"/>
    <w:rsid w:val="00614D60"/>
    <w:rsid w:val="00614DE7"/>
    <w:rsid w:val="0061526A"/>
    <w:rsid w:val="00616DEA"/>
    <w:rsid w:val="0061780B"/>
    <w:rsid w:val="00617E85"/>
    <w:rsid w:val="00617FAE"/>
    <w:rsid w:val="006203AD"/>
    <w:rsid w:val="00620708"/>
    <w:rsid w:val="006209C5"/>
    <w:rsid w:val="00620D45"/>
    <w:rsid w:val="00621EE1"/>
    <w:rsid w:val="0062282E"/>
    <w:rsid w:val="0062295C"/>
    <w:rsid w:val="00625845"/>
    <w:rsid w:val="00625881"/>
    <w:rsid w:val="00625C04"/>
    <w:rsid w:val="00626E54"/>
    <w:rsid w:val="006279F6"/>
    <w:rsid w:val="00627C85"/>
    <w:rsid w:val="00627F5A"/>
    <w:rsid w:val="00627FF4"/>
    <w:rsid w:val="006310BC"/>
    <w:rsid w:val="00631127"/>
    <w:rsid w:val="00632DCD"/>
    <w:rsid w:val="00635ED1"/>
    <w:rsid w:val="00636826"/>
    <w:rsid w:val="00636B5D"/>
    <w:rsid w:val="0063761F"/>
    <w:rsid w:val="00637A14"/>
    <w:rsid w:val="006413B9"/>
    <w:rsid w:val="00642488"/>
    <w:rsid w:val="006429C6"/>
    <w:rsid w:val="0064388C"/>
    <w:rsid w:val="00644F77"/>
    <w:rsid w:val="00645A77"/>
    <w:rsid w:val="0064672A"/>
    <w:rsid w:val="00646FDB"/>
    <w:rsid w:val="00647DFE"/>
    <w:rsid w:val="006502D0"/>
    <w:rsid w:val="006507A7"/>
    <w:rsid w:val="006508AE"/>
    <w:rsid w:val="00650BF4"/>
    <w:rsid w:val="00652443"/>
    <w:rsid w:val="006524BE"/>
    <w:rsid w:val="00652D22"/>
    <w:rsid w:val="00652FF8"/>
    <w:rsid w:val="00654344"/>
    <w:rsid w:val="00654613"/>
    <w:rsid w:val="00655611"/>
    <w:rsid w:val="006562A1"/>
    <w:rsid w:val="00656B04"/>
    <w:rsid w:val="006576A2"/>
    <w:rsid w:val="006577D6"/>
    <w:rsid w:val="00660229"/>
    <w:rsid w:val="00660572"/>
    <w:rsid w:val="006608A1"/>
    <w:rsid w:val="0066094D"/>
    <w:rsid w:val="00660F32"/>
    <w:rsid w:val="00661CA6"/>
    <w:rsid w:val="0066355B"/>
    <w:rsid w:val="00664C02"/>
    <w:rsid w:val="00664EFF"/>
    <w:rsid w:val="006655D0"/>
    <w:rsid w:val="00666611"/>
    <w:rsid w:val="006704B8"/>
    <w:rsid w:val="0067148A"/>
    <w:rsid w:val="00673A87"/>
    <w:rsid w:val="00674AEC"/>
    <w:rsid w:val="00674F72"/>
    <w:rsid w:val="006750AE"/>
    <w:rsid w:val="00677892"/>
    <w:rsid w:val="00680C6A"/>
    <w:rsid w:val="00681484"/>
    <w:rsid w:val="00681538"/>
    <w:rsid w:val="00683305"/>
    <w:rsid w:val="00683361"/>
    <w:rsid w:val="0068341D"/>
    <w:rsid w:val="00684642"/>
    <w:rsid w:val="00684795"/>
    <w:rsid w:val="006852BD"/>
    <w:rsid w:val="0068599C"/>
    <w:rsid w:val="00685D2E"/>
    <w:rsid w:val="00686246"/>
    <w:rsid w:val="006867A2"/>
    <w:rsid w:val="00686A44"/>
    <w:rsid w:val="0068796D"/>
    <w:rsid w:val="006879B5"/>
    <w:rsid w:val="006907D2"/>
    <w:rsid w:val="00690C0B"/>
    <w:rsid w:val="00690CC6"/>
    <w:rsid w:val="0069158F"/>
    <w:rsid w:val="006916E8"/>
    <w:rsid w:val="00691949"/>
    <w:rsid w:val="006919A9"/>
    <w:rsid w:val="006926F6"/>
    <w:rsid w:val="006936E4"/>
    <w:rsid w:val="00693F22"/>
    <w:rsid w:val="0069464F"/>
    <w:rsid w:val="00694F3E"/>
    <w:rsid w:val="006950ED"/>
    <w:rsid w:val="006954A4"/>
    <w:rsid w:val="006A17B2"/>
    <w:rsid w:val="006A1B8D"/>
    <w:rsid w:val="006A2168"/>
    <w:rsid w:val="006A2226"/>
    <w:rsid w:val="006A437A"/>
    <w:rsid w:val="006A4C92"/>
    <w:rsid w:val="006A4FE7"/>
    <w:rsid w:val="006A566D"/>
    <w:rsid w:val="006A6CB5"/>
    <w:rsid w:val="006A75EF"/>
    <w:rsid w:val="006B1AC3"/>
    <w:rsid w:val="006B2571"/>
    <w:rsid w:val="006B28DC"/>
    <w:rsid w:val="006B33CA"/>
    <w:rsid w:val="006B3DBA"/>
    <w:rsid w:val="006B4E26"/>
    <w:rsid w:val="006B5801"/>
    <w:rsid w:val="006B7889"/>
    <w:rsid w:val="006B7AFB"/>
    <w:rsid w:val="006C07CC"/>
    <w:rsid w:val="006C0AAF"/>
    <w:rsid w:val="006C1A80"/>
    <w:rsid w:val="006C1E18"/>
    <w:rsid w:val="006C1EF0"/>
    <w:rsid w:val="006C2339"/>
    <w:rsid w:val="006C2C8B"/>
    <w:rsid w:val="006C48D2"/>
    <w:rsid w:val="006C4A8C"/>
    <w:rsid w:val="006C4C65"/>
    <w:rsid w:val="006C54E7"/>
    <w:rsid w:val="006C651F"/>
    <w:rsid w:val="006C68CD"/>
    <w:rsid w:val="006C6A43"/>
    <w:rsid w:val="006C78BD"/>
    <w:rsid w:val="006C7940"/>
    <w:rsid w:val="006C7E32"/>
    <w:rsid w:val="006C7F2C"/>
    <w:rsid w:val="006D026C"/>
    <w:rsid w:val="006D0427"/>
    <w:rsid w:val="006D0BDB"/>
    <w:rsid w:val="006D0BF0"/>
    <w:rsid w:val="006D17BA"/>
    <w:rsid w:val="006D237B"/>
    <w:rsid w:val="006D264E"/>
    <w:rsid w:val="006D3CF1"/>
    <w:rsid w:val="006D42EE"/>
    <w:rsid w:val="006D4340"/>
    <w:rsid w:val="006D47B3"/>
    <w:rsid w:val="006D53D4"/>
    <w:rsid w:val="006D5B6F"/>
    <w:rsid w:val="006D5E8F"/>
    <w:rsid w:val="006D6CB9"/>
    <w:rsid w:val="006D70AC"/>
    <w:rsid w:val="006E080D"/>
    <w:rsid w:val="006E0AD1"/>
    <w:rsid w:val="006E1195"/>
    <w:rsid w:val="006E179B"/>
    <w:rsid w:val="006E1E42"/>
    <w:rsid w:val="006E3913"/>
    <w:rsid w:val="006E3AEF"/>
    <w:rsid w:val="006E427B"/>
    <w:rsid w:val="006E55FF"/>
    <w:rsid w:val="006E6A46"/>
    <w:rsid w:val="006E6F25"/>
    <w:rsid w:val="006E70FD"/>
    <w:rsid w:val="006F04E4"/>
    <w:rsid w:val="006F1037"/>
    <w:rsid w:val="006F1A85"/>
    <w:rsid w:val="006F2614"/>
    <w:rsid w:val="006F2BC2"/>
    <w:rsid w:val="006F2C69"/>
    <w:rsid w:val="006F32E0"/>
    <w:rsid w:val="006F3530"/>
    <w:rsid w:val="006F4165"/>
    <w:rsid w:val="006F425E"/>
    <w:rsid w:val="006F4481"/>
    <w:rsid w:val="006F486E"/>
    <w:rsid w:val="006F4CB2"/>
    <w:rsid w:val="006F6A9D"/>
    <w:rsid w:val="006F7B96"/>
    <w:rsid w:val="00700EE1"/>
    <w:rsid w:val="00701511"/>
    <w:rsid w:val="00701E61"/>
    <w:rsid w:val="00701F07"/>
    <w:rsid w:val="00701FA2"/>
    <w:rsid w:val="007021CD"/>
    <w:rsid w:val="007025DE"/>
    <w:rsid w:val="007035A5"/>
    <w:rsid w:val="007040A8"/>
    <w:rsid w:val="007053C3"/>
    <w:rsid w:val="00705489"/>
    <w:rsid w:val="00705BCF"/>
    <w:rsid w:val="007064DE"/>
    <w:rsid w:val="007068CB"/>
    <w:rsid w:val="00707057"/>
    <w:rsid w:val="007072A1"/>
    <w:rsid w:val="007079D7"/>
    <w:rsid w:val="00707A38"/>
    <w:rsid w:val="00707FBB"/>
    <w:rsid w:val="0071009C"/>
    <w:rsid w:val="00710601"/>
    <w:rsid w:val="0071096C"/>
    <w:rsid w:val="0071173F"/>
    <w:rsid w:val="0071296D"/>
    <w:rsid w:val="00712CC8"/>
    <w:rsid w:val="0071454C"/>
    <w:rsid w:val="007148C1"/>
    <w:rsid w:val="00715E19"/>
    <w:rsid w:val="00715F50"/>
    <w:rsid w:val="0071639A"/>
    <w:rsid w:val="00716BAE"/>
    <w:rsid w:val="00717557"/>
    <w:rsid w:val="00717951"/>
    <w:rsid w:val="00722565"/>
    <w:rsid w:val="00722BE1"/>
    <w:rsid w:val="00722E09"/>
    <w:rsid w:val="00722FAB"/>
    <w:rsid w:val="00723792"/>
    <w:rsid w:val="00723C75"/>
    <w:rsid w:val="00724A4A"/>
    <w:rsid w:val="00726B21"/>
    <w:rsid w:val="00727986"/>
    <w:rsid w:val="00732512"/>
    <w:rsid w:val="00732AAA"/>
    <w:rsid w:val="00733224"/>
    <w:rsid w:val="00734607"/>
    <w:rsid w:val="00734F88"/>
    <w:rsid w:val="00735D70"/>
    <w:rsid w:val="007405BE"/>
    <w:rsid w:val="0074083E"/>
    <w:rsid w:val="00740D79"/>
    <w:rsid w:val="00742090"/>
    <w:rsid w:val="007427C4"/>
    <w:rsid w:val="007429DA"/>
    <w:rsid w:val="0074323D"/>
    <w:rsid w:val="007437B9"/>
    <w:rsid w:val="007463F2"/>
    <w:rsid w:val="00747139"/>
    <w:rsid w:val="00750794"/>
    <w:rsid w:val="00750F4A"/>
    <w:rsid w:val="007515F2"/>
    <w:rsid w:val="00752594"/>
    <w:rsid w:val="0075295F"/>
    <w:rsid w:val="007532B7"/>
    <w:rsid w:val="0075399C"/>
    <w:rsid w:val="00754615"/>
    <w:rsid w:val="00754902"/>
    <w:rsid w:val="007551F9"/>
    <w:rsid w:val="0075589B"/>
    <w:rsid w:val="0075647E"/>
    <w:rsid w:val="0075666A"/>
    <w:rsid w:val="0075683A"/>
    <w:rsid w:val="00756A43"/>
    <w:rsid w:val="00757339"/>
    <w:rsid w:val="007573B2"/>
    <w:rsid w:val="007608D3"/>
    <w:rsid w:val="0076193E"/>
    <w:rsid w:val="00761A0C"/>
    <w:rsid w:val="00761B22"/>
    <w:rsid w:val="0076282B"/>
    <w:rsid w:val="00762B97"/>
    <w:rsid w:val="00762BF7"/>
    <w:rsid w:val="007630FC"/>
    <w:rsid w:val="00763420"/>
    <w:rsid w:val="007645F5"/>
    <w:rsid w:val="00764CDE"/>
    <w:rsid w:val="00764D54"/>
    <w:rsid w:val="00767BAF"/>
    <w:rsid w:val="00770B05"/>
    <w:rsid w:val="0077160F"/>
    <w:rsid w:val="00772B22"/>
    <w:rsid w:val="00772F2E"/>
    <w:rsid w:val="00773521"/>
    <w:rsid w:val="00773AAC"/>
    <w:rsid w:val="00773AB9"/>
    <w:rsid w:val="007741C9"/>
    <w:rsid w:val="007742B3"/>
    <w:rsid w:val="007744F7"/>
    <w:rsid w:val="00775448"/>
    <w:rsid w:val="007765B2"/>
    <w:rsid w:val="00776A80"/>
    <w:rsid w:val="00776F06"/>
    <w:rsid w:val="00781202"/>
    <w:rsid w:val="00781838"/>
    <w:rsid w:val="00781976"/>
    <w:rsid w:val="00781A2C"/>
    <w:rsid w:val="007829F3"/>
    <w:rsid w:val="00782F1F"/>
    <w:rsid w:val="0078396F"/>
    <w:rsid w:val="00784741"/>
    <w:rsid w:val="00784A6E"/>
    <w:rsid w:val="00785CCA"/>
    <w:rsid w:val="00785EF3"/>
    <w:rsid w:val="00786157"/>
    <w:rsid w:val="0078750E"/>
    <w:rsid w:val="00793762"/>
    <w:rsid w:val="007939A6"/>
    <w:rsid w:val="00793AE2"/>
    <w:rsid w:val="007950F8"/>
    <w:rsid w:val="00795405"/>
    <w:rsid w:val="0079561B"/>
    <w:rsid w:val="00796C32"/>
    <w:rsid w:val="00796EFE"/>
    <w:rsid w:val="00797C50"/>
    <w:rsid w:val="007A034D"/>
    <w:rsid w:val="007A15AA"/>
    <w:rsid w:val="007A20E4"/>
    <w:rsid w:val="007A23BF"/>
    <w:rsid w:val="007A2828"/>
    <w:rsid w:val="007A3807"/>
    <w:rsid w:val="007A398F"/>
    <w:rsid w:val="007A5068"/>
    <w:rsid w:val="007A5839"/>
    <w:rsid w:val="007A5BCE"/>
    <w:rsid w:val="007A5E29"/>
    <w:rsid w:val="007A6D35"/>
    <w:rsid w:val="007A6E77"/>
    <w:rsid w:val="007A7070"/>
    <w:rsid w:val="007A7168"/>
    <w:rsid w:val="007A79B1"/>
    <w:rsid w:val="007B0778"/>
    <w:rsid w:val="007B07C5"/>
    <w:rsid w:val="007B1CFB"/>
    <w:rsid w:val="007B3985"/>
    <w:rsid w:val="007B44F9"/>
    <w:rsid w:val="007B45E0"/>
    <w:rsid w:val="007B46AC"/>
    <w:rsid w:val="007B5F4D"/>
    <w:rsid w:val="007B6DBA"/>
    <w:rsid w:val="007B6E51"/>
    <w:rsid w:val="007B6F13"/>
    <w:rsid w:val="007B7303"/>
    <w:rsid w:val="007B774D"/>
    <w:rsid w:val="007C0DEC"/>
    <w:rsid w:val="007C545B"/>
    <w:rsid w:val="007C5F49"/>
    <w:rsid w:val="007C63CF"/>
    <w:rsid w:val="007C6A25"/>
    <w:rsid w:val="007C7557"/>
    <w:rsid w:val="007C7EF8"/>
    <w:rsid w:val="007D1061"/>
    <w:rsid w:val="007D14AE"/>
    <w:rsid w:val="007D2165"/>
    <w:rsid w:val="007D3738"/>
    <w:rsid w:val="007D3AB6"/>
    <w:rsid w:val="007D43C3"/>
    <w:rsid w:val="007D5416"/>
    <w:rsid w:val="007D6E76"/>
    <w:rsid w:val="007E09FF"/>
    <w:rsid w:val="007E0FEF"/>
    <w:rsid w:val="007E126E"/>
    <w:rsid w:val="007E1E27"/>
    <w:rsid w:val="007E34CE"/>
    <w:rsid w:val="007E3942"/>
    <w:rsid w:val="007E3D46"/>
    <w:rsid w:val="007E507A"/>
    <w:rsid w:val="007E5090"/>
    <w:rsid w:val="007E6481"/>
    <w:rsid w:val="007E67C8"/>
    <w:rsid w:val="007F0EBF"/>
    <w:rsid w:val="007F0FDC"/>
    <w:rsid w:val="007F10ED"/>
    <w:rsid w:val="007F1637"/>
    <w:rsid w:val="007F19AB"/>
    <w:rsid w:val="007F2438"/>
    <w:rsid w:val="007F31E1"/>
    <w:rsid w:val="007F35C6"/>
    <w:rsid w:val="007F44A1"/>
    <w:rsid w:val="007F57D4"/>
    <w:rsid w:val="007F593E"/>
    <w:rsid w:val="007F5A05"/>
    <w:rsid w:val="007F60F4"/>
    <w:rsid w:val="007F6392"/>
    <w:rsid w:val="007F6BAA"/>
    <w:rsid w:val="007F6F83"/>
    <w:rsid w:val="007F7501"/>
    <w:rsid w:val="007F78F2"/>
    <w:rsid w:val="0080036B"/>
    <w:rsid w:val="008009C5"/>
    <w:rsid w:val="00800BF0"/>
    <w:rsid w:val="00801D66"/>
    <w:rsid w:val="0080333C"/>
    <w:rsid w:val="00803597"/>
    <w:rsid w:val="00803A7B"/>
    <w:rsid w:val="008043AD"/>
    <w:rsid w:val="0080610A"/>
    <w:rsid w:val="008063B5"/>
    <w:rsid w:val="00806F06"/>
    <w:rsid w:val="008070B3"/>
    <w:rsid w:val="0080740F"/>
    <w:rsid w:val="00807473"/>
    <w:rsid w:val="0080797C"/>
    <w:rsid w:val="00807FA1"/>
    <w:rsid w:val="00811A45"/>
    <w:rsid w:val="00812971"/>
    <w:rsid w:val="00813AF9"/>
    <w:rsid w:val="008145CE"/>
    <w:rsid w:val="00815EC7"/>
    <w:rsid w:val="008169BB"/>
    <w:rsid w:val="00817144"/>
    <w:rsid w:val="00817CEF"/>
    <w:rsid w:val="00817D8E"/>
    <w:rsid w:val="00820A6F"/>
    <w:rsid w:val="00820FAA"/>
    <w:rsid w:val="008218BA"/>
    <w:rsid w:val="00821934"/>
    <w:rsid w:val="00823F13"/>
    <w:rsid w:val="008240FD"/>
    <w:rsid w:val="008249C3"/>
    <w:rsid w:val="00824F78"/>
    <w:rsid w:val="00825F23"/>
    <w:rsid w:val="00826A96"/>
    <w:rsid w:val="00826AA9"/>
    <w:rsid w:val="00827592"/>
    <w:rsid w:val="0082792D"/>
    <w:rsid w:val="00827EEA"/>
    <w:rsid w:val="008306F3"/>
    <w:rsid w:val="00830DB8"/>
    <w:rsid w:val="00830E8E"/>
    <w:rsid w:val="00831174"/>
    <w:rsid w:val="008326BA"/>
    <w:rsid w:val="00832837"/>
    <w:rsid w:val="00832885"/>
    <w:rsid w:val="00832B88"/>
    <w:rsid w:val="00833A72"/>
    <w:rsid w:val="00835560"/>
    <w:rsid w:val="00835EFE"/>
    <w:rsid w:val="008370C2"/>
    <w:rsid w:val="00837A70"/>
    <w:rsid w:val="008412DC"/>
    <w:rsid w:val="00841702"/>
    <w:rsid w:val="00841933"/>
    <w:rsid w:val="00842FB9"/>
    <w:rsid w:val="00843248"/>
    <w:rsid w:val="00844429"/>
    <w:rsid w:val="008444C1"/>
    <w:rsid w:val="00846099"/>
    <w:rsid w:val="00846984"/>
    <w:rsid w:val="008470C1"/>
    <w:rsid w:val="00847211"/>
    <w:rsid w:val="00847219"/>
    <w:rsid w:val="00847342"/>
    <w:rsid w:val="00847BAD"/>
    <w:rsid w:val="008504E3"/>
    <w:rsid w:val="00850A24"/>
    <w:rsid w:val="00852DF2"/>
    <w:rsid w:val="00853901"/>
    <w:rsid w:val="00854229"/>
    <w:rsid w:val="00855166"/>
    <w:rsid w:val="008555F3"/>
    <w:rsid w:val="00855BE1"/>
    <w:rsid w:val="00855EEF"/>
    <w:rsid w:val="0085699B"/>
    <w:rsid w:val="00860536"/>
    <w:rsid w:val="0086054F"/>
    <w:rsid w:val="00860FB5"/>
    <w:rsid w:val="00862395"/>
    <w:rsid w:val="00863A6C"/>
    <w:rsid w:val="008649BF"/>
    <w:rsid w:val="00865005"/>
    <w:rsid w:val="0086501A"/>
    <w:rsid w:val="00866855"/>
    <w:rsid w:val="00866BEB"/>
    <w:rsid w:val="00866BF7"/>
    <w:rsid w:val="00866EDA"/>
    <w:rsid w:val="008679F9"/>
    <w:rsid w:val="00867B6E"/>
    <w:rsid w:val="0087018B"/>
    <w:rsid w:val="008701F4"/>
    <w:rsid w:val="00870366"/>
    <w:rsid w:val="008703D0"/>
    <w:rsid w:val="00871818"/>
    <w:rsid w:val="00871FB3"/>
    <w:rsid w:val="0087210C"/>
    <w:rsid w:val="00872588"/>
    <w:rsid w:val="0087450D"/>
    <w:rsid w:val="00874E20"/>
    <w:rsid w:val="0087563B"/>
    <w:rsid w:val="008763F3"/>
    <w:rsid w:val="00876993"/>
    <w:rsid w:val="00876C2B"/>
    <w:rsid w:val="00877A81"/>
    <w:rsid w:val="00877F26"/>
    <w:rsid w:val="00880467"/>
    <w:rsid w:val="0088084E"/>
    <w:rsid w:val="00882325"/>
    <w:rsid w:val="0088258A"/>
    <w:rsid w:val="00882894"/>
    <w:rsid w:val="008841B2"/>
    <w:rsid w:val="00884EF6"/>
    <w:rsid w:val="00885EF4"/>
    <w:rsid w:val="008861FA"/>
    <w:rsid w:val="00886F11"/>
    <w:rsid w:val="00887A2C"/>
    <w:rsid w:val="00891092"/>
    <w:rsid w:val="0089281F"/>
    <w:rsid w:val="00892868"/>
    <w:rsid w:val="008929FD"/>
    <w:rsid w:val="00894DFB"/>
    <w:rsid w:val="008957EF"/>
    <w:rsid w:val="008967A9"/>
    <w:rsid w:val="00896C0A"/>
    <w:rsid w:val="00896FDC"/>
    <w:rsid w:val="00897156"/>
    <w:rsid w:val="008A0577"/>
    <w:rsid w:val="008A0B8B"/>
    <w:rsid w:val="008A1E4E"/>
    <w:rsid w:val="008A1F0C"/>
    <w:rsid w:val="008A3D8A"/>
    <w:rsid w:val="008A4A2C"/>
    <w:rsid w:val="008A4F21"/>
    <w:rsid w:val="008A6233"/>
    <w:rsid w:val="008A63CE"/>
    <w:rsid w:val="008A79D0"/>
    <w:rsid w:val="008B29DC"/>
    <w:rsid w:val="008B2CF2"/>
    <w:rsid w:val="008B49CD"/>
    <w:rsid w:val="008B53FC"/>
    <w:rsid w:val="008B6886"/>
    <w:rsid w:val="008B74FE"/>
    <w:rsid w:val="008B7967"/>
    <w:rsid w:val="008B7A03"/>
    <w:rsid w:val="008B7F52"/>
    <w:rsid w:val="008C1258"/>
    <w:rsid w:val="008C34DB"/>
    <w:rsid w:val="008C3662"/>
    <w:rsid w:val="008C473E"/>
    <w:rsid w:val="008C49D1"/>
    <w:rsid w:val="008C4F2C"/>
    <w:rsid w:val="008C61EF"/>
    <w:rsid w:val="008C637F"/>
    <w:rsid w:val="008C6E29"/>
    <w:rsid w:val="008C72BA"/>
    <w:rsid w:val="008C7482"/>
    <w:rsid w:val="008D02E9"/>
    <w:rsid w:val="008D0EDF"/>
    <w:rsid w:val="008D48BE"/>
    <w:rsid w:val="008D5226"/>
    <w:rsid w:val="008D5673"/>
    <w:rsid w:val="008D5683"/>
    <w:rsid w:val="008D60E2"/>
    <w:rsid w:val="008E0BE5"/>
    <w:rsid w:val="008E12E7"/>
    <w:rsid w:val="008E2272"/>
    <w:rsid w:val="008E5F54"/>
    <w:rsid w:val="008E69C2"/>
    <w:rsid w:val="008E78C9"/>
    <w:rsid w:val="008E7931"/>
    <w:rsid w:val="008F08DB"/>
    <w:rsid w:val="008F0A84"/>
    <w:rsid w:val="008F0C74"/>
    <w:rsid w:val="008F1685"/>
    <w:rsid w:val="008F1EBC"/>
    <w:rsid w:val="008F2176"/>
    <w:rsid w:val="008F234B"/>
    <w:rsid w:val="008F3D7B"/>
    <w:rsid w:val="008F41A7"/>
    <w:rsid w:val="008F4AE7"/>
    <w:rsid w:val="008F5DEB"/>
    <w:rsid w:val="008F6568"/>
    <w:rsid w:val="008F72CD"/>
    <w:rsid w:val="008F741B"/>
    <w:rsid w:val="008F769F"/>
    <w:rsid w:val="009003D8"/>
    <w:rsid w:val="00901CA6"/>
    <w:rsid w:val="00902287"/>
    <w:rsid w:val="00902327"/>
    <w:rsid w:val="0090273F"/>
    <w:rsid w:val="00902FA9"/>
    <w:rsid w:val="00904484"/>
    <w:rsid w:val="00904CCA"/>
    <w:rsid w:val="0090512D"/>
    <w:rsid w:val="009077AF"/>
    <w:rsid w:val="00907A56"/>
    <w:rsid w:val="00907BFA"/>
    <w:rsid w:val="00907FC4"/>
    <w:rsid w:val="00911859"/>
    <w:rsid w:val="009122A3"/>
    <w:rsid w:val="00912906"/>
    <w:rsid w:val="00913253"/>
    <w:rsid w:val="00914899"/>
    <w:rsid w:val="00915981"/>
    <w:rsid w:val="00915E72"/>
    <w:rsid w:val="00916441"/>
    <w:rsid w:val="009167BA"/>
    <w:rsid w:val="00920337"/>
    <w:rsid w:val="00920E6F"/>
    <w:rsid w:val="00921F23"/>
    <w:rsid w:val="00922837"/>
    <w:rsid w:val="0092312A"/>
    <w:rsid w:val="0092318C"/>
    <w:rsid w:val="00924041"/>
    <w:rsid w:val="00925609"/>
    <w:rsid w:val="00925894"/>
    <w:rsid w:val="00925FE3"/>
    <w:rsid w:val="00926219"/>
    <w:rsid w:val="00926916"/>
    <w:rsid w:val="00926DB6"/>
    <w:rsid w:val="0093057D"/>
    <w:rsid w:val="0093096A"/>
    <w:rsid w:val="00931CCA"/>
    <w:rsid w:val="0093390D"/>
    <w:rsid w:val="00933A33"/>
    <w:rsid w:val="00933E09"/>
    <w:rsid w:val="0093469D"/>
    <w:rsid w:val="00935C62"/>
    <w:rsid w:val="00936544"/>
    <w:rsid w:val="0093698E"/>
    <w:rsid w:val="00937EC5"/>
    <w:rsid w:val="009421AC"/>
    <w:rsid w:val="009421F9"/>
    <w:rsid w:val="00942EF3"/>
    <w:rsid w:val="009431D7"/>
    <w:rsid w:val="009437F4"/>
    <w:rsid w:val="00943DD3"/>
    <w:rsid w:val="009444D9"/>
    <w:rsid w:val="009448C6"/>
    <w:rsid w:val="00947B85"/>
    <w:rsid w:val="00947FB6"/>
    <w:rsid w:val="00952417"/>
    <w:rsid w:val="009533CB"/>
    <w:rsid w:val="00953820"/>
    <w:rsid w:val="00954D7E"/>
    <w:rsid w:val="0095629E"/>
    <w:rsid w:val="00956565"/>
    <w:rsid w:val="00957641"/>
    <w:rsid w:val="00957985"/>
    <w:rsid w:val="00957CDF"/>
    <w:rsid w:val="00960C1B"/>
    <w:rsid w:val="0096109B"/>
    <w:rsid w:val="00961817"/>
    <w:rsid w:val="009620B0"/>
    <w:rsid w:val="00962DC3"/>
    <w:rsid w:val="0096316C"/>
    <w:rsid w:val="009631F6"/>
    <w:rsid w:val="00963766"/>
    <w:rsid w:val="00964F60"/>
    <w:rsid w:val="00965296"/>
    <w:rsid w:val="0096583F"/>
    <w:rsid w:val="0096623C"/>
    <w:rsid w:val="00966596"/>
    <w:rsid w:val="00966BEC"/>
    <w:rsid w:val="00966F2D"/>
    <w:rsid w:val="00966FB8"/>
    <w:rsid w:val="00967B22"/>
    <w:rsid w:val="00967E1F"/>
    <w:rsid w:val="00970697"/>
    <w:rsid w:val="009718DE"/>
    <w:rsid w:val="00972186"/>
    <w:rsid w:val="0097253E"/>
    <w:rsid w:val="009726DA"/>
    <w:rsid w:val="00972D57"/>
    <w:rsid w:val="00972EDD"/>
    <w:rsid w:val="00972F65"/>
    <w:rsid w:val="009733FC"/>
    <w:rsid w:val="0097411B"/>
    <w:rsid w:val="00975B6C"/>
    <w:rsid w:val="009763A5"/>
    <w:rsid w:val="00976ECC"/>
    <w:rsid w:val="009770C9"/>
    <w:rsid w:val="00977AE3"/>
    <w:rsid w:val="00981264"/>
    <w:rsid w:val="009812EB"/>
    <w:rsid w:val="00981BEB"/>
    <w:rsid w:val="00982216"/>
    <w:rsid w:val="0098259B"/>
    <w:rsid w:val="0098287A"/>
    <w:rsid w:val="009831C4"/>
    <w:rsid w:val="009837C3"/>
    <w:rsid w:val="009838C4"/>
    <w:rsid w:val="009845CA"/>
    <w:rsid w:val="00984677"/>
    <w:rsid w:val="009847A2"/>
    <w:rsid w:val="009849D3"/>
    <w:rsid w:val="00985A77"/>
    <w:rsid w:val="00986177"/>
    <w:rsid w:val="00986517"/>
    <w:rsid w:val="0098697A"/>
    <w:rsid w:val="00986DF2"/>
    <w:rsid w:val="0098729A"/>
    <w:rsid w:val="00987575"/>
    <w:rsid w:val="009904A8"/>
    <w:rsid w:val="009906B2"/>
    <w:rsid w:val="009908DD"/>
    <w:rsid w:val="00990C5C"/>
    <w:rsid w:val="00990D88"/>
    <w:rsid w:val="00992052"/>
    <w:rsid w:val="009921E5"/>
    <w:rsid w:val="00992CEB"/>
    <w:rsid w:val="009932F5"/>
    <w:rsid w:val="0099330C"/>
    <w:rsid w:val="009935B7"/>
    <w:rsid w:val="00993A49"/>
    <w:rsid w:val="00994899"/>
    <w:rsid w:val="00994A95"/>
    <w:rsid w:val="00995253"/>
    <w:rsid w:val="009956F5"/>
    <w:rsid w:val="00997913"/>
    <w:rsid w:val="00997E09"/>
    <w:rsid w:val="009A0136"/>
    <w:rsid w:val="009A0143"/>
    <w:rsid w:val="009A0B9D"/>
    <w:rsid w:val="009A1139"/>
    <w:rsid w:val="009A1570"/>
    <w:rsid w:val="009A18FA"/>
    <w:rsid w:val="009A1A64"/>
    <w:rsid w:val="009A1E5F"/>
    <w:rsid w:val="009A21DE"/>
    <w:rsid w:val="009A2804"/>
    <w:rsid w:val="009A2F29"/>
    <w:rsid w:val="009A43B7"/>
    <w:rsid w:val="009A4411"/>
    <w:rsid w:val="009A441A"/>
    <w:rsid w:val="009A4D04"/>
    <w:rsid w:val="009A5685"/>
    <w:rsid w:val="009A6486"/>
    <w:rsid w:val="009A64E2"/>
    <w:rsid w:val="009A723D"/>
    <w:rsid w:val="009A72CF"/>
    <w:rsid w:val="009A7ADA"/>
    <w:rsid w:val="009B290E"/>
    <w:rsid w:val="009B448A"/>
    <w:rsid w:val="009B4D1C"/>
    <w:rsid w:val="009B547B"/>
    <w:rsid w:val="009B5557"/>
    <w:rsid w:val="009B5604"/>
    <w:rsid w:val="009B66DF"/>
    <w:rsid w:val="009C00F5"/>
    <w:rsid w:val="009C0811"/>
    <w:rsid w:val="009C2E07"/>
    <w:rsid w:val="009C30B1"/>
    <w:rsid w:val="009C347F"/>
    <w:rsid w:val="009C403C"/>
    <w:rsid w:val="009C405F"/>
    <w:rsid w:val="009C418D"/>
    <w:rsid w:val="009C4442"/>
    <w:rsid w:val="009C4E6D"/>
    <w:rsid w:val="009C7DAA"/>
    <w:rsid w:val="009D0DC1"/>
    <w:rsid w:val="009D0F99"/>
    <w:rsid w:val="009D1AEF"/>
    <w:rsid w:val="009D1E75"/>
    <w:rsid w:val="009D2B7F"/>
    <w:rsid w:val="009D32CF"/>
    <w:rsid w:val="009D42A4"/>
    <w:rsid w:val="009D4BC1"/>
    <w:rsid w:val="009D4D2C"/>
    <w:rsid w:val="009D52DC"/>
    <w:rsid w:val="009D6335"/>
    <w:rsid w:val="009D64E2"/>
    <w:rsid w:val="009D6CFB"/>
    <w:rsid w:val="009D71E5"/>
    <w:rsid w:val="009D7E73"/>
    <w:rsid w:val="009E0F56"/>
    <w:rsid w:val="009E1FED"/>
    <w:rsid w:val="009E257E"/>
    <w:rsid w:val="009E3314"/>
    <w:rsid w:val="009E3BF4"/>
    <w:rsid w:val="009E4184"/>
    <w:rsid w:val="009E4392"/>
    <w:rsid w:val="009E501D"/>
    <w:rsid w:val="009E55AF"/>
    <w:rsid w:val="009E57E7"/>
    <w:rsid w:val="009E5A83"/>
    <w:rsid w:val="009E5FC8"/>
    <w:rsid w:val="009E7437"/>
    <w:rsid w:val="009F0A16"/>
    <w:rsid w:val="009F222B"/>
    <w:rsid w:val="009F36DB"/>
    <w:rsid w:val="009F4D23"/>
    <w:rsid w:val="009F4D2F"/>
    <w:rsid w:val="009F50FA"/>
    <w:rsid w:val="009F5245"/>
    <w:rsid w:val="009F6069"/>
    <w:rsid w:val="009F672F"/>
    <w:rsid w:val="009F677E"/>
    <w:rsid w:val="009F7DEC"/>
    <w:rsid w:val="00A00EF7"/>
    <w:rsid w:val="00A00F95"/>
    <w:rsid w:val="00A0151B"/>
    <w:rsid w:val="00A02B73"/>
    <w:rsid w:val="00A044D3"/>
    <w:rsid w:val="00A04BB4"/>
    <w:rsid w:val="00A05135"/>
    <w:rsid w:val="00A055FC"/>
    <w:rsid w:val="00A05845"/>
    <w:rsid w:val="00A05E01"/>
    <w:rsid w:val="00A06608"/>
    <w:rsid w:val="00A07F9B"/>
    <w:rsid w:val="00A1029E"/>
    <w:rsid w:val="00A12447"/>
    <w:rsid w:val="00A12641"/>
    <w:rsid w:val="00A1460F"/>
    <w:rsid w:val="00A14F65"/>
    <w:rsid w:val="00A14FB8"/>
    <w:rsid w:val="00A15D46"/>
    <w:rsid w:val="00A16168"/>
    <w:rsid w:val="00A16778"/>
    <w:rsid w:val="00A167DB"/>
    <w:rsid w:val="00A16CF2"/>
    <w:rsid w:val="00A17D66"/>
    <w:rsid w:val="00A20684"/>
    <w:rsid w:val="00A21E69"/>
    <w:rsid w:val="00A22413"/>
    <w:rsid w:val="00A22D27"/>
    <w:rsid w:val="00A2318D"/>
    <w:rsid w:val="00A25127"/>
    <w:rsid w:val="00A27365"/>
    <w:rsid w:val="00A27A41"/>
    <w:rsid w:val="00A27FA0"/>
    <w:rsid w:val="00A30016"/>
    <w:rsid w:val="00A30AD4"/>
    <w:rsid w:val="00A3280B"/>
    <w:rsid w:val="00A32F00"/>
    <w:rsid w:val="00A3334D"/>
    <w:rsid w:val="00A3481E"/>
    <w:rsid w:val="00A34831"/>
    <w:rsid w:val="00A3595C"/>
    <w:rsid w:val="00A3596C"/>
    <w:rsid w:val="00A361D5"/>
    <w:rsid w:val="00A366C5"/>
    <w:rsid w:val="00A36756"/>
    <w:rsid w:val="00A36CC7"/>
    <w:rsid w:val="00A37654"/>
    <w:rsid w:val="00A40353"/>
    <w:rsid w:val="00A40D2D"/>
    <w:rsid w:val="00A4154F"/>
    <w:rsid w:val="00A42F43"/>
    <w:rsid w:val="00A42FF5"/>
    <w:rsid w:val="00A43841"/>
    <w:rsid w:val="00A44571"/>
    <w:rsid w:val="00A44D1F"/>
    <w:rsid w:val="00A44FF6"/>
    <w:rsid w:val="00A458A2"/>
    <w:rsid w:val="00A464A4"/>
    <w:rsid w:val="00A50865"/>
    <w:rsid w:val="00A50A25"/>
    <w:rsid w:val="00A50AB7"/>
    <w:rsid w:val="00A50C9E"/>
    <w:rsid w:val="00A51816"/>
    <w:rsid w:val="00A51D9E"/>
    <w:rsid w:val="00A51F9C"/>
    <w:rsid w:val="00A52898"/>
    <w:rsid w:val="00A5348F"/>
    <w:rsid w:val="00A542FD"/>
    <w:rsid w:val="00A54F8F"/>
    <w:rsid w:val="00A55737"/>
    <w:rsid w:val="00A559A7"/>
    <w:rsid w:val="00A55ABE"/>
    <w:rsid w:val="00A55FA7"/>
    <w:rsid w:val="00A57240"/>
    <w:rsid w:val="00A610CF"/>
    <w:rsid w:val="00A616C3"/>
    <w:rsid w:val="00A62762"/>
    <w:rsid w:val="00A62D51"/>
    <w:rsid w:val="00A6317F"/>
    <w:rsid w:val="00A634CB"/>
    <w:rsid w:val="00A64822"/>
    <w:rsid w:val="00A64B43"/>
    <w:rsid w:val="00A65C9F"/>
    <w:rsid w:val="00A66B3D"/>
    <w:rsid w:val="00A70EC9"/>
    <w:rsid w:val="00A70F4B"/>
    <w:rsid w:val="00A72676"/>
    <w:rsid w:val="00A735CE"/>
    <w:rsid w:val="00A74DDA"/>
    <w:rsid w:val="00A750C8"/>
    <w:rsid w:val="00A758F8"/>
    <w:rsid w:val="00A777BF"/>
    <w:rsid w:val="00A779C9"/>
    <w:rsid w:val="00A80E97"/>
    <w:rsid w:val="00A8201F"/>
    <w:rsid w:val="00A83334"/>
    <w:rsid w:val="00A834B1"/>
    <w:rsid w:val="00A83621"/>
    <w:rsid w:val="00A837C3"/>
    <w:rsid w:val="00A83F50"/>
    <w:rsid w:val="00A842D7"/>
    <w:rsid w:val="00A84ECF"/>
    <w:rsid w:val="00A85F73"/>
    <w:rsid w:val="00A8681A"/>
    <w:rsid w:val="00A86D2A"/>
    <w:rsid w:val="00A86F4B"/>
    <w:rsid w:val="00A871E4"/>
    <w:rsid w:val="00A8764D"/>
    <w:rsid w:val="00A90006"/>
    <w:rsid w:val="00A91048"/>
    <w:rsid w:val="00A91BD5"/>
    <w:rsid w:val="00A921D5"/>
    <w:rsid w:val="00A9232D"/>
    <w:rsid w:val="00A937E4"/>
    <w:rsid w:val="00A93FFA"/>
    <w:rsid w:val="00A94DE1"/>
    <w:rsid w:val="00A952D7"/>
    <w:rsid w:val="00A96587"/>
    <w:rsid w:val="00A978A8"/>
    <w:rsid w:val="00A97961"/>
    <w:rsid w:val="00A979A2"/>
    <w:rsid w:val="00AA00F7"/>
    <w:rsid w:val="00AA258F"/>
    <w:rsid w:val="00AA2769"/>
    <w:rsid w:val="00AA3001"/>
    <w:rsid w:val="00AA3B55"/>
    <w:rsid w:val="00AA66FF"/>
    <w:rsid w:val="00AB0A42"/>
    <w:rsid w:val="00AB0B3B"/>
    <w:rsid w:val="00AB0F5E"/>
    <w:rsid w:val="00AB2410"/>
    <w:rsid w:val="00AB2EEF"/>
    <w:rsid w:val="00AB3493"/>
    <w:rsid w:val="00AB39BA"/>
    <w:rsid w:val="00AB4509"/>
    <w:rsid w:val="00AB4BDB"/>
    <w:rsid w:val="00AB5746"/>
    <w:rsid w:val="00AB5BB6"/>
    <w:rsid w:val="00AB6469"/>
    <w:rsid w:val="00AB64AE"/>
    <w:rsid w:val="00AB6544"/>
    <w:rsid w:val="00AB67FF"/>
    <w:rsid w:val="00AC0DEE"/>
    <w:rsid w:val="00AC1DDF"/>
    <w:rsid w:val="00AC2796"/>
    <w:rsid w:val="00AC35C8"/>
    <w:rsid w:val="00AC3BC4"/>
    <w:rsid w:val="00AC4D8E"/>
    <w:rsid w:val="00AC4F27"/>
    <w:rsid w:val="00AC5011"/>
    <w:rsid w:val="00AC6258"/>
    <w:rsid w:val="00AC6B43"/>
    <w:rsid w:val="00AC6BDA"/>
    <w:rsid w:val="00AC6C72"/>
    <w:rsid w:val="00AC7B6A"/>
    <w:rsid w:val="00AC7EC9"/>
    <w:rsid w:val="00AD04CC"/>
    <w:rsid w:val="00AD2A2A"/>
    <w:rsid w:val="00AD3276"/>
    <w:rsid w:val="00AD3D4D"/>
    <w:rsid w:val="00AD43A1"/>
    <w:rsid w:val="00AD6AF9"/>
    <w:rsid w:val="00AD6C8F"/>
    <w:rsid w:val="00AE088F"/>
    <w:rsid w:val="00AE1CC1"/>
    <w:rsid w:val="00AE1EE4"/>
    <w:rsid w:val="00AE1F40"/>
    <w:rsid w:val="00AE2C42"/>
    <w:rsid w:val="00AE7A47"/>
    <w:rsid w:val="00AF0871"/>
    <w:rsid w:val="00AF15F1"/>
    <w:rsid w:val="00AF1DFC"/>
    <w:rsid w:val="00AF1E52"/>
    <w:rsid w:val="00AF2866"/>
    <w:rsid w:val="00AF2B2E"/>
    <w:rsid w:val="00AF2C22"/>
    <w:rsid w:val="00AF44B9"/>
    <w:rsid w:val="00AF45E9"/>
    <w:rsid w:val="00AF5311"/>
    <w:rsid w:val="00AF59C0"/>
    <w:rsid w:val="00AF5EBA"/>
    <w:rsid w:val="00AF6405"/>
    <w:rsid w:val="00AF65A3"/>
    <w:rsid w:val="00AF67B5"/>
    <w:rsid w:val="00AF6FE5"/>
    <w:rsid w:val="00AF722E"/>
    <w:rsid w:val="00AF74D8"/>
    <w:rsid w:val="00AF7A5D"/>
    <w:rsid w:val="00B01305"/>
    <w:rsid w:val="00B01427"/>
    <w:rsid w:val="00B01AA3"/>
    <w:rsid w:val="00B01B02"/>
    <w:rsid w:val="00B01BF8"/>
    <w:rsid w:val="00B01F39"/>
    <w:rsid w:val="00B023AA"/>
    <w:rsid w:val="00B0388D"/>
    <w:rsid w:val="00B03C96"/>
    <w:rsid w:val="00B04115"/>
    <w:rsid w:val="00B04B0A"/>
    <w:rsid w:val="00B04F04"/>
    <w:rsid w:val="00B07112"/>
    <w:rsid w:val="00B10625"/>
    <w:rsid w:val="00B10934"/>
    <w:rsid w:val="00B10997"/>
    <w:rsid w:val="00B12436"/>
    <w:rsid w:val="00B126E4"/>
    <w:rsid w:val="00B12AD9"/>
    <w:rsid w:val="00B12D9A"/>
    <w:rsid w:val="00B137F7"/>
    <w:rsid w:val="00B14874"/>
    <w:rsid w:val="00B15578"/>
    <w:rsid w:val="00B16D47"/>
    <w:rsid w:val="00B16E41"/>
    <w:rsid w:val="00B17EBD"/>
    <w:rsid w:val="00B20694"/>
    <w:rsid w:val="00B20A01"/>
    <w:rsid w:val="00B20AE0"/>
    <w:rsid w:val="00B214EB"/>
    <w:rsid w:val="00B229E5"/>
    <w:rsid w:val="00B23346"/>
    <w:rsid w:val="00B23DC4"/>
    <w:rsid w:val="00B24605"/>
    <w:rsid w:val="00B25323"/>
    <w:rsid w:val="00B259A9"/>
    <w:rsid w:val="00B25F9C"/>
    <w:rsid w:val="00B2628B"/>
    <w:rsid w:val="00B2661D"/>
    <w:rsid w:val="00B2685D"/>
    <w:rsid w:val="00B26E22"/>
    <w:rsid w:val="00B27ABF"/>
    <w:rsid w:val="00B27C8D"/>
    <w:rsid w:val="00B307B7"/>
    <w:rsid w:val="00B30A41"/>
    <w:rsid w:val="00B30CAE"/>
    <w:rsid w:val="00B311CC"/>
    <w:rsid w:val="00B31C14"/>
    <w:rsid w:val="00B32346"/>
    <w:rsid w:val="00B32696"/>
    <w:rsid w:val="00B3363C"/>
    <w:rsid w:val="00B34322"/>
    <w:rsid w:val="00B348D9"/>
    <w:rsid w:val="00B34B8B"/>
    <w:rsid w:val="00B3537C"/>
    <w:rsid w:val="00B357D7"/>
    <w:rsid w:val="00B36E95"/>
    <w:rsid w:val="00B3714D"/>
    <w:rsid w:val="00B3775F"/>
    <w:rsid w:val="00B37940"/>
    <w:rsid w:val="00B37BB0"/>
    <w:rsid w:val="00B413A1"/>
    <w:rsid w:val="00B43151"/>
    <w:rsid w:val="00B431E5"/>
    <w:rsid w:val="00B4366C"/>
    <w:rsid w:val="00B438DE"/>
    <w:rsid w:val="00B43C7F"/>
    <w:rsid w:val="00B44884"/>
    <w:rsid w:val="00B45352"/>
    <w:rsid w:val="00B46AF3"/>
    <w:rsid w:val="00B479DD"/>
    <w:rsid w:val="00B500B6"/>
    <w:rsid w:val="00B500C2"/>
    <w:rsid w:val="00B500FD"/>
    <w:rsid w:val="00B52DFE"/>
    <w:rsid w:val="00B53891"/>
    <w:rsid w:val="00B53A2B"/>
    <w:rsid w:val="00B544F6"/>
    <w:rsid w:val="00B54FC5"/>
    <w:rsid w:val="00B55108"/>
    <w:rsid w:val="00B5531B"/>
    <w:rsid w:val="00B5551D"/>
    <w:rsid w:val="00B56275"/>
    <w:rsid w:val="00B57014"/>
    <w:rsid w:val="00B57631"/>
    <w:rsid w:val="00B623E5"/>
    <w:rsid w:val="00B63BAC"/>
    <w:rsid w:val="00B640C4"/>
    <w:rsid w:val="00B64C97"/>
    <w:rsid w:val="00B656D8"/>
    <w:rsid w:val="00B65AE8"/>
    <w:rsid w:val="00B67579"/>
    <w:rsid w:val="00B67702"/>
    <w:rsid w:val="00B70878"/>
    <w:rsid w:val="00B71D50"/>
    <w:rsid w:val="00B7203C"/>
    <w:rsid w:val="00B7232E"/>
    <w:rsid w:val="00B7340A"/>
    <w:rsid w:val="00B73AA3"/>
    <w:rsid w:val="00B76851"/>
    <w:rsid w:val="00B76D54"/>
    <w:rsid w:val="00B77066"/>
    <w:rsid w:val="00B7776B"/>
    <w:rsid w:val="00B77BF0"/>
    <w:rsid w:val="00B80192"/>
    <w:rsid w:val="00B80780"/>
    <w:rsid w:val="00B80ACB"/>
    <w:rsid w:val="00B816E0"/>
    <w:rsid w:val="00B81C82"/>
    <w:rsid w:val="00B82705"/>
    <w:rsid w:val="00B82A9F"/>
    <w:rsid w:val="00B833FE"/>
    <w:rsid w:val="00B8388C"/>
    <w:rsid w:val="00B83947"/>
    <w:rsid w:val="00B83B47"/>
    <w:rsid w:val="00B83DEB"/>
    <w:rsid w:val="00B84310"/>
    <w:rsid w:val="00B8461C"/>
    <w:rsid w:val="00B84E18"/>
    <w:rsid w:val="00B84F4C"/>
    <w:rsid w:val="00B86727"/>
    <w:rsid w:val="00B8697C"/>
    <w:rsid w:val="00B907A7"/>
    <w:rsid w:val="00B92639"/>
    <w:rsid w:val="00B92F0D"/>
    <w:rsid w:val="00B9320C"/>
    <w:rsid w:val="00B93D8E"/>
    <w:rsid w:val="00B94C57"/>
    <w:rsid w:val="00B956DA"/>
    <w:rsid w:val="00B957D6"/>
    <w:rsid w:val="00B96700"/>
    <w:rsid w:val="00B96A6D"/>
    <w:rsid w:val="00B979A5"/>
    <w:rsid w:val="00B97E41"/>
    <w:rsid w:val="00BA041F"/>
    <w:rsid w:val="00BA0CFF"/>
    <w:rsid w:val="00BA0E45"/>
    <w:rsid w:val="00BA1EB2"/>
    <w:rsid w:val="00BA20A6"/>
    <w:rsid w:val="00BA2A35"/>
    <w:rsid w:val="00BA416B"/>
    <w:rsid w:val="00BA4A6C"/>
    <w:rsid w:val="00BA5956"/>
    <w:rsid w:val="00BA5CFE"/>
    <w:rsid w:val="00BA5FD9"/>
    <w:rsid w:val="00BA67E8"/>
    <w:rsid w:val="00BA71F7"/>
    <w:rsid w:val="00BA743D"/>
    <w:rsid w:val="00BB07B8"/>
    <w:rsid w:val="00BB1010"/>
    <w:rsid w:val="00BB1332"/>
    <w:rsid w:val="00BB1410"/>
    <w:rsid w:val="00BB1B98"/>
    <w:rsid w:val="00BB3269"/>
    <w:rsid w:val="00BB3548"/>
    <w:rsid w:val="00BB38F8"/>
    <w:rsid w:val="00BB3C70"/>
    <w:rsid w:val="00BB443C"/>
    <w:rsid w:val="00BB6558"/>
    <w:rsid w:val="00BB65A5"/>
    <w:rsid w:val="00BB6898"/>
    <w:rsid w:val="00BB782B"/>
    <w:rsid w:val="00BC0B1C"/>
    <w:rsid w:val="00BC3CD9"/>
    <w:rsid w:val="00BC4C40"/>
    <w:rsid w:val="00BC6756"/>
    <w:rsid w:val="00BC7460"/>
    <w:rsid w:val="00BC7610"/>
    <w:rsid w:val="00BD15D0"/>
    <w:rsid w:val="00BD1698"/>
    <w:rsid w:val="00BD16BC"/>
    <w:rsid w:val="00BD1D07"/>
    <w:rsid w:val="00BD1DEB"/>
    <w:rsid w:val="00BD38D6"/>
    <w:rsid w:val="00BD5C82"/>
    <w:rsid w:val="00BD7137"/>
    <w:rsid w:val="00BE0547"/>
    <w:rsid w:val="00BE0B96"/>
    <w:rsid w:val="00BE1BD5"/>
    <w:rsid w:val="00BE21BB"/>
    <w:rsid w:val="00BE21C0"/>
    <w:rsid w:val="00BE23F6"/>
    <w:rsid w:val="00BE298C"/>
    <w:rsid w:val="00BE2E84"/>
    <w:rsid w:val="00BE31E0"/>
    <w:rsid w:val="00BE456A"/>
    <w:rsid w:val="00BE4BB6"/>
    <w:rsid w:val="00BE5A29"/>
    <w:rsid w:val="00BE75A5"/>
    <w:rsid w:val="00BF0683"/>
    <w:rsid w:val="00BF0D50"/>
    <w:rsid w:val="00BF112E"/>
    <w:rsid w:val="00BF1B03"/>
    <w:rsid w:val="00BF1BE1"/>
    <w:rsid w:val="00BF28E8"/>
    <w:rsid w:val="00BF36A0"/>
    <w:rsid w:val="00BF3AC5"/>
    <w:rsid w:val="00BF3EC0"/>
    <w:rsid w:val="00BF4CAE"/>
    <w:rsid w:val="00BF50C4"/>
    <w:rsid w:val="00BF5611"/>
    <w:rsid w:val="00BF56BB"/>
    <w:rsid w:val="00BF584F"/>
    <w:rsid w:val="00BF58EA"/>
    <w:rsid w:val="00BF6457"/>
    <w:rsid w:val="00BF6721"/>
    <w:rsid w:val="00BF69C1"/>
    <w:rsid w:val="00C010B0"/>
    <w:rsid w:val="00C0141F"/>
    <w:rsid w:val="00C0184C"/>
    <w:rsid w:val="00C01A97"/>
    <w:rsid w:val="00C028E0"/>
    <w:rsid w:val="00C037F1"/>
    <w:rsid w:val="00C0439C"/>
    <w:rsid w:val="00C04FF1"/>
    <w:rsid w:val="00C06AB8"/>
    <w:rsid w:val="00C06CEA"/>
    <w:rsid w:val="00C07D19"/>
    <w:rsid w:val="00C1126A"/>
    <w:rsid w:val="00C11530"/>
    <w:rsid w:val="00C1198D"/>
    <w:rsid w:val="00C12C7C"/>
    <w:rsid w:val="00C1301E"/>
    <w:rsid w:val="00C1350C"/>
    <w:rsid w:val="00C13D4D"/>
    <w:rsid w:val="00C14465"/>
    <w:rsid w:val="00C146F8"/>
    <w:rsid w:val="00C14926"/>
    <w:rsid w:val="00C14A91"/>
    <w:rsid w:val="00C15AA5"/>
    <w:rsid w:val="00C16902"/>
    <w:rsid w:val="00C16D31"/>
    <w:rsid w:val="00C174D5"/>
    <w:rsid w:val="00C202A2"/>
    <w:rsid w:val="00C206C4"/>
    <w:rsid w:val="00C20AD7"/>
    <w:rsid w:val="00C214E6"/>
    <w:rsid w:val="00C21F9F"/>
    <w:rsid w:val="00C22931"/>
    <w:rsid w:val="00C24320"/>
    <w:rsid w:val="00C24B81"/>
    <w:rsid w:val="00C255D1"/>
    <w:rsid w:val="00C26CF2"/>
    <w:rsid w:val="00C279F3"/>
    <w:rsid w:val="00C27DE6"/>
    <w:rsid w:val="00C30036"/>
    <w:rsid w:val="00C30183"/>
    <w:rsid w:val="00C33054"/>
    <w:rsid w:val="00C3412C"/>
    <w:rsid w:val="00C34A78"/>
    <w:rsid w:val="00C34BBE"/>
    <w:rsid w:val="00C34E01"/>
    <w:rsid w:val="00C35A50"/>
    <w:rsid w:val="00C35D8A"/>
    <w:rsid w:val="00C36A0E"/>
    <w:rsid w:val="00C36E6F"/>
    <w:rsid w:val="00C377AF"/>
    <w:rsid w:val="00C37E83"/>
    <w:rsid w:val="00C42181"/>
    <w:rsid w:val="00C433F1"/>
    <w:rsid w:val="00C442E0"/>
    <w:rsid w:val="00C45F00"/>
    <w:rsid w:val="00C462F9"/>
    <w:rsid w:val="00C464B2"/>
    <w:rsid w:val="00C4657B"/>
    <w:rsid w:val="00C469BD"/>
    <w:rsid w:val="00C47B0E"/>
    <w:rsid w:val="00C47E0E"/>
    <w:rsid w:val="00C5040E"/>
    <w:rsid w:val="00C507A3"/>
    <w:rsid w:val="00C50C85"/>
    <w:rsid w:val="00C51760"/>
    <w:rsid w:val="00C51AF8"/>
    <w:rsid w:val="00C51C81"/>
    <w:rsid w:val="00C51F6B"/>
    <w:rsid w:val="00C52221"/>
    <w:rsid w:val="00C527E9"/>
    <w:rsid w:val="00C53AA7"/>
    <w:rsid w:val="00C53DFD"/>
    <w:rsid w:val="00C55560"/>
    <w:rsid w:val="00C55C8F"/>
    <w:rsid w:val="00C56105"/>
    <w:rsid w:val="00C56A3C"/>
    <w:rsid w:val="00C56A7D"/>
    <w:rsid w:val="00C56AE9"/>
    <w:rsid w:val="00C57541"/>
    <w:rsid w:val="00C57B36"/>
    <w:rsid w:val="00C6113B"/>
    <w:rsid w:val="00C62891"/>
    <w:rsid w:val="00C6354A"/>
    <w:rsid w:val="00C642C0"/>
    <w:rsid w:val="00C6522F"/>
    <w:rsid w:val="00C65BCA"/>
    <w:rsid w:val="00C6610B"/>
    <w:rsid w:val="00C67E8E"/>
    <w:rsid w:val="00C716FF"/>
    <w:rsid w:val="00C71890"/>
    <w:rsid w:val="00C719FF"/>
    <w:rsid w:val="00C71C62"/>
    <w:rsid w:val="00C72469"/>
    <w:rsid w:val="00C729FD"/>
    <w:rsid w:val="00C72F9A"/>
    <w:rsid w:val="00C7304F"/>
    <w:rsid w:val="00C73DEC"/>
    <w:rsid w:val="00C73FC3"/>
    <w:rsid w:val="00C75B9F"/>
    <w:rsid w:val="00C76C5A"/>
    <w:rsid w:val="00C76DDB"/>
    <w:rsid w:val="00C77268"/>
    <w:rsid w:val="00C80483"/>
    <w:rsid w:val="00C810B9"/>
    <w:rsid w:val="00C835CB"/>
    <w:rsid w:val="00C8391E"/>
    <w:rsid w:val="00C84965"/>
    <w:rsid w:val="00C84F5D"/>
    <w:rsid w:val="00C86FA5"/>
    <w:rsid w:val="00C872C4"/>
    <w:rsid w:val="00C907EF"/>
    <w:rsid w:val="00C90E2F"/>
    <w:rsid w:val="00C92860"/>
    <w:rsid w:val="00C92B50"/>
    <w:rsid w:val="00C943F4"/>
    <w:rsid w:val="00C94569"/>
    <w:rsid w:val="00C94DCC"/>
    <w:rsid w:val="00C953C0"/>
    <w:rsid w:val="00C96029"/>
    <w:rsid w:val="00CA002C"/>
    <w:rsid w:val="00CA0505"/>
    <w:rsid w:val="00CA0822"/>
    <w:rsid w:val="00CA0970"/>
    <w:rsid w:val="00CA0AF5"/>
    <w:rsid w:val="00CA2B0B"/>
    <w:rsid w:val="00CA2C07"/>
    <w:rsid w:val="00CA3EE8"/>
    <w:rsid w:val="00CA406E"/>
    <w:rsid w:val="00CA463A"/>
    <w:rsid w:val="00CA4758"/>
    <w:rsid w:val="00CA559E"/>
    <w:rsid w:val="00CA5AE3"/>
    <w:rsid w:val="00CA6149"/>
    <w:rsid w:val="00CA6C5C"/>
    <w:rsid w:val="00CB03A0"/>
    <w:rsid w:val="00CB0507"/>
    <w:rsid w:val="00CB0532"/>
    <w:rsid w:val="00CB05F8"/>
    <w:rsid w:val="00CB133A"/>
    <w:rsid w:val="00CB2555"/>
    <w:rsid w:val="00CB27C9"/>
    <w:rsid w:val="00CB30F7"/>
    <w:rsid w:val="00CB3721"/>
    <w:rsid w:val="00CB4021"/>
    <w:rsid w:val="00CB4803"/>
    <w:rsid w:val="00CB57AE"/>
    <w:rsid w:val="00CB5C09"/>
    <w:rsid w:val="00CB605B"/>
    <w:rsid w:val="00CB71F9"/>
    <w:rsid w:val="00CB746F"/>
    <w:rsid w:val="00CC065A"/>
    <w:rsid w:val="00CC1C93"/>
    <w:rsid w:val="00CC5095"/>
    <w:rsid w:val="00CC621D"/>
    <w:rsid w:val="00CC633B"/>
    <w:rsid w:val="00CC717B"/>
    <w:rsid w:val="00CC782A"/>
    <w:rsid w:val="00CC79CD"/>
    <w:rsid w:val="00CD0839"/>
    <w:rsid w:val="00CD0AA4"/>
    <w:rsid w:val="00CD144F"/>
    <w:rsid w:val="00CD2410"/>
    <w:rsid w:val="00CD35F8"/>
    <w:rsid w:val="00CD3B15"/>
    <w:rsid w:val="00CD480D"/>
    <w:rsid w:val="00CD5901"/>
    <w:rsid w:val="00CD668C"/>
    <w:rsid w:val="00CD7918"/>
    <w:rsid w:val="00CD7AD4"/>
    <w:rsid w:val="00CD7D6D"/>
    <w:rsid w:val="00CE0183"/>
    <w:rsid w:val="00CE08A9"/>
    <w:rsid w:val="00CE2679"/>
    <w:rsid w:val="00CE450A"/>
    <w:rsid w:val="00CE4BF2"/>
    <w:rsid w:val="00CE5AA4"/>
    <w:rsid w:val="00CE685D"/>
    <w:rsid w:val="00CE7613"/>
    <w:rsid w:val="00CE7AF6"/>
    <w:rsid w:val="00CF181F"/>
    <w:rsid w:val="00CF257E"/>
    <w:rsid w:val="00CF2C01"/>
    <w:rsid w:val="00CF4195"/>
    <w:rsid w:val="00CF4999"/>
    <w:rsid w:val="00CF49B5"/>
    <w:rsid w:val="00CF5151"/>
    <w:rsid w:val="00CF5268"/>
    <w:rsid w:val="00CF5B18"/>
    <w:rsid w:val="00CF6C84"/>
    <w:rsid w:val="00CF7164"/>
    <w:rsid w:val="00CF7B71"/>
    <w:rsid w:val="00CF7FA5"/>
    <w:rsid w:val="00D009A2"/>
    <w:rsid w:val="00D00DDA"/>
    <w:rsid w:val="00D02899"/>
    <w:rsid w:val="00D03723"/>
    <w:rsid w:val="00D043E5"/>
    <w:rsid w:val="00D0472D"/>
    <w:rsid w:val="00D05ACF"/>
    <w:rsid w:val="00D05D48"/>
    <w:rsid w:val="00D06BCD"/>
    <w:rsid w:val="00D07B77"/>
    <w:rsid w:val="00D101BE"/>
    <w:rsid w:val="00D13442"/>
    <w:rsid w:val="00D15B78"/>
    <w:rsid w:val="00D16007"/>
    <w:rsid w:val="00D17067"/>
    <w:rsid w:val="00D17362"/>
    <w:rsid w:val="00D211B0"/>
    <w:rsid w:val="00D22FE8"/>
    <w:rsid w:val="00D23427"/>
    <w:rsid w:val="00D234FE"/>
    <w:rsid w:val="00D24687"/>
    <w:rsid w:val="00D2481D"/>
    <w:rsid w:val="00D2503D"/>
    <w:rsid w:val="00D254CE"/>
    <w:rsid w:val="00D26407"/>
    <w:rsid w:val="00D273F4"/>
    <w:rsid w:val="00D27DC8"/>
    <w:rsid w:val="00D27E4B"/>
    <w:rsid w:val="00D3092D"/>
    <w:rsid w:val="00D32044"/>
    <w:rsid w:val="00D320AC"/>
    <w:rsid w:val="00D34C54"/>
    <w:rsid w:val="00D35529"/>
    <w:rsid w:val="00D35B4A"/>
    <w:rsid w:val="00D35B89"/>
    <w:rsid w:val="00D404D4"/>
    <w:rsid w:val="00D40A14"/>
    <w:rsid w:val="00D40A35"/>
    <w:rsid w:val="00D40CBB"/>
    <w:rsid w:val="00D40F94"/>
    <w:rsid w:val="00D41DB5"/>
    <w:rsid w:val="00D42588"/>
    <w:rsid w:val="00D443EC"/>
    <w:rsid w:val="00D44AC3"/>
    <w:rsid w:val="00D44EC6"/>
    <w:rsid w:val="00D45051"/>
    <w:rsid w:val="00D4647F"/>
    <w:rsid w:val="00D467A8"/>
    <w:rsid w:val="00D4717A"/>
    <w:rsid w:val="00D476AE"/>
    <w:rsid w:val="00D47C72"/>
    <w:rsid w:val="00D5074A"/>
    <w:rsid w:val="00D523B4"/>
    <w:rsid w:val="00D5399F"/>
    <w:rsid w:val="00D548D7"/>
    <w:rsid w:val="00D54BCF"/>
    <w:rsid w:val="00D56872"/>
    <w:rsid w:val="00D56B1B"/>
    <w:rsid w:val="00D612EE"/>
    <w:rsid w:val="00D64102"/>
    <w:rsid w:val="00D64259"/>
    <w:rsid w:val="00D64902"/>
    <w:rsid w:val="00D6501F"/>
    <w:rsid w:val="00D65676"/>
    <w:rsid w:val="00D70C7F"/>
    <w:rsid w:val="00D70F81"/>
    <w:rsid w:val="00D712E9"/>
    <w:rsid w:val="00D71379"/>
    <w:rsid w:val="00D72E81"/>
    <w:rsid w:val="00D73A17"/>
    <w:rsid w:val="00D73F26"/>
    <w:rsid w:val="00D77896"/>
    <w:rsid w:val="00D77B52"/>
    <w:rsid w:val="00D81759"/>
    <w:rsid w:val="00D81B84"/>
    <w:rsid w:val="00D82094"/>
    <w:rsid w:val="00D82527"/>
    <w:rsid w:val="00D829DD"/>
    <w:rsid w:val="00D8323E"/>
    <w:rsid w:val="00D84ECB"/>
    <w:rsid w:val="00D85230"/>
    <w:rsid w:val="00D870CA"/>
    <w:rsid w:val="00D8715F"/>
    <w:rsid w:val="00D90894"/>
    <w:rsid w:val="00D917DD"/>
    <w:rsid w:val="00D91A7E"/>
    <w:rsid w:val="00D91E55"/>
    <w:rsid w:val="00D92E9D"/>
    <w:rsid w:val="00D937F0"/>
    <w:rsid w:val="00D93A12"/>
    <w:rsid w:val="00D946F4"/>
    <w:rsid w:val="00D969B3"/>
    <w:rsid w:val="00D96D79"/>
    <w:rsid w:val="00DA0398"/>
    <w:rsid w:val="00DA066D"/>
    <w:rsid w:val="00DA2961"/>
    <w:rsid w:val="00DA46E8"/>
    <w:rsid w:val="00DA5491"/>
    <w:rsid w:val="00DA5CB6"/>
    <w:rsid w:val="00DA62A2"/>
    <w:rsid w:val="00DA69FA"/>
    <w:rsid w:val="00DA6A20"/>
    <w:rsid w:val="00DA6FE9"/>
    <w:rsid w:val="00DB0203"/>
    <w:rsid w:val="00DB0337"/>
    <w:rsid w:val="00DB0484"/>
    <w:rsid w:val="00DB0D7D"/>
    <w:rsid w:val="00DB1545"/>
    <w:rsid w:val="00DB1D0C"/>
    <w:rsid w:val="00DB1EC0"/>
    <w:rsid w:val="00DB3A5E"/>
    <w:rsid w:val="00DB42DD"/>
    <w:rsid w:val="00DB5043"/>
    <w:rsid w:val="00DB515A"/>
    <w:rsid w:val="00DB559C"/>
    <w:rsid w:val="00DB5ACC"/>
    <w:rsid w:val="00DB67EB"/>
    <w:rsid w:val="00DB77D4"/>
    <w:rsid w:val="00DC0045"/>
    <w:rsid w:val="00DC048E"/>
    <w:rsid w:val="00DC0DCD"/>
    <w:rsid w:val="00DC1A76"/>
    <w:rsid w:val="00DC22B6"/>
    <w:rsid w:val="00DC2D66"/>
    <w:rsid w:val="00DC30CB"/>
    <w:rsid w:val="00DC30D3"/>
    <w:rsid w:val="00DC3AD2"/>
    <w:rsid w:val="00DC4133"/>
    <w:rsid w:val="00DC770C"/>
    <w:rsid w:val="00DC77BA"/>
    <w:rsid w:val="00DC7F2F"/>
    <w:rsid w:val="00DC7FD6"/>
    <w:rsid w:val="00DD07D1"/>
    <w:rsid w:val="00DD0857"/>
    <w:rsid w:val="00DD08FD"/>
    <w:rsid w:val="00DD0BCF"/>
    <w:rsid w:val="00DD104E"/>
    <w:rsid w:val="00DD1242"/>
    <w:rsid w:val="00DD1609"/>
    <w:rsid w:val="00DD17CD"/>
    <w:rsid w:val="00DD2249"/>
    <w:rsid w:val="00DD325A"/>
    <w:rsid w:val="00DD5DA3"/>
    <w:rsid w:val="00DD6B1C"/>
    <w:rsid w:val="00DD6C97"/>
    <w:rsid w:val="00DE2231"/>
    <w:rsid w:val="00DE22DB"/>
    <w:rsid w:val="00DE3104"/>
    <w:rsid w:val="00DE4300"/>
    <w:rsid w:val="00DE5070"/>
    <w:rsid w:val="00DE5520"/>
    <w:rsid w:val="00DE6927"/>
    <w:rsid w:val="00DE6A99"/>
    <w:rsid w:val="00DE6EE1"/>
    <w:rsid w:val="00DF01D8"/>
    <w:rsid w:val="00DF0920"/>
    <w:rsid w:val="00DF0A0C"/>
    <w:rsid w:val="00DF102C"/>
    <w:rsid w:val="00DF17BB"/>
    <w:rsid w:val="00DF2673"/>
    <w:rsid w:val="00DF2E10"/>
    <w:rsid w:val="00DF35F4"/>
    <w:rsid w:val="00DF3804"/>
    <w:rsid w:val="00DF3D64"/>
    <w:rsid w:val="00DF404A"/>
    <w:rsid w:val="00DF4362"/>
    <w:rsid w:val="00DF56B1"/>
    <w:rsid w:val="00DF57C9"/>
    <w:rsid w:val="00DF6162"/>
    <w:rsid w:val="00DF7968"/>
    <w:rsid w:val="00E00AB0"/>
    <w:rsid w:val="00E014CB"/>
    <w:rsid w:val="00E01C75"/>
    <w:rsid w:val="00E02722"/>
    <w:rsid w:val="00E02FE3"/>
    <w:rsid w:val="00E03609"/>
    <w:rsid w:val="00E0388C"/>
    <w:rsid w:val="00E041ED"/>
    <w:rsid w:val="00E04A0F"/>
    <w:rsid w:val="00E0576A"/>
    <w:rsid w:val="00E05F9A"/>
    <w:rsid w:val="00E06023"/>
    <w:rsid w:val="00E063C6"/>
    <w:rsid w:val="00E101C6"/>
    <w:rsid w:val="00E10D37"/>
    <w:rsid w:val="00E11D72"/>
    <w:rsid w:val="00E11F8D"/>
    <w:rsid w:val="00E12196"/>
    <w:rsid w:val="00E134CA"/>
    <w:rsid w:val="00E13F6E"/>
    <w:rsid w:val="00E14215"/>
    <w:rsid w:val="00E1469C"/>
    <w:rsid w:val="00E1531E"/>
    <w:rsid w:val="00E20398"/>
    <w:rsid w:val="00E208BA"/>
    <w:rsid w:val="00E21368"/>
    <w:rsid w:val="00E21429"/>
    <w:rsid w:val="00E225BD"/>
    <w:rsid w:val="00E230CA"/>
    <w:rsid w:val="00E23312"/>
    <w:rsid w:val="00E23500"/>
    <w:rsid w:val="00E235BE"/>
    <w:rsid w:val="00E2366C"/>
    <w:rsid w:val="00E23772"/>
    <w:rsid w:val="00E23BF7"/>
    <w:rsid w:val="00E2407D"/>
    <w:rsid w:val="00E25FA6"/>
    <w:rsid w:val="00E25FB8"/>
    <w:rsid w:val="00E26472"/>
    <w:rsid w:val="00E26EB5"/>
    <w:rsid w:val="00E27AEB"/>
    <w:rsid w:val="00E27F4F"/>
    <w:rsid w:val="00E30AC8"/>
    <w:rsid w:val="00E3157B"/>
    <w:rsid w:val="00E317C8"/>
    <w:rsid w:val="00E32CFC"/>
    <w:rsid w:val="00E34B58"/>
    <w:rsid w:val="00E3624B"/>
    <w:rsid w:val="00E3719A"/>
    <w:rsid w:val="00E37B5C"/>
    <w:rsid w:val="00E37C20"/>
    <w:rsid w:val="00E37E05"/>
    <w:rsid w:val="00E403DE"/>
    <w:rsid w:val="00E40B56"/>
    <w:rsid w:val="00E426BE"/>
    <w:rsid w:val="00E4295A"/>
    <w:rsid w:val="00E43C5A"/>
    <w:rsid w:val="00E44732"/>
    <w:rsid w:val="00E447E3"/>
    <w:rsid w:val="00E44804"/>
    <w:rsid w:val="00E44AF5"/>
    <w:rsid w:val="00E46032"/>
    <w:rsid w:val="00E46156"/>
    <w:rsid w:val="00E46721"/>
    <w:rsid w:val="00E4793D"/>
    <w:rsid w:val="00E500F5"/>
    <w:rsid w:val="00E50184"/>
    <w:rsid w:val="00E51688"/>
    <w:rsid w:val="00E5194D"/>
    <w:rsid w:val="00E51B5F"/>
    <w:rsid w:val="00E52D51"/>
    <w:rsid w:val="00E53EE7"/>
    <w:rsid w:val="00E54540"/>
    <w:rsid w:val="00E547F5"/>
    <w:rsid w:val="00E54918"/>
    <w:rsid w:val="00E56055"/>
    <w:rsid w:val="00E5640B"/>
    <w:rsid w:val="00E570EC"/>
    <w:rsid w:val="00E600CA"/>
    <w:rsid w:val="00E60FAB"/>
    <w:rsid w:val="00E611A3"/>
    <w:rsid w:val="00E6131A"/>
    <w:rsid w:val="00E61DE6"/>
    <w:rsid w:val="00E628EF"/>
    <w:rsid w:val="00E62933"/>
    <w:rsid w:val="00E62F83"/>
    <w:rsid w:val="00E63763"/>
    <w:rsid w:val="00E6393B"/>
    <w:rsid w:val="00E63A86"/>
    <w:rsid w:val="00E63B6C"/>
    <w:rsid w:val="00E64516"/>
    <w:rsid w:val="00E64CFC"/>
    <w:rsid w:val="00E6589A"/>
    <w:rsid w:val="00E65B98"/>
    <w:rsid w:val="00E65E54"/>
    <w:rsid w:val="00E6626C"/>
    <w:rsid w:val="00E67273"/>
    <w:rsid w:val="00E70938"/>
    <w:rsid w:val="00E70A8E"/>
    <w:rsid w:val="00E715B3"/>
    <w:rsid w:val="00E717A9"/>
    <w:rsid w:val="00E71867"/>
    <w:rsid w:val="00E719DD"/>
    <w:rsid w:val="00E71A00"/>
    <w:rsid w:val="00E71DF8"/>
    <w:rsid w:val="00E71E21"/>
    <w:rsid w:val="00E71F77"/>
    <w:rsid w:val="00E72171"/>
    <w:rsid w:val="00E72869"/>
    <w:rsid w:val="00E72B86"/>
    <w:rsid w:val="00E738A7"/>
    <w:rsid w:val="00E74831"/>
    <w:rsid w:val="00E75669"/>
    <w:rsid w:val="00E8073A"/>
    <w:rsid w:val="00E8089C"/>
    <w:rsid w:val="00E80BBA"/>
    <w:rsid w:val="00E83CBC"/>
    <w:rsid w:val="00E841F5"/>
    <w:rsid w:val="00E86CE6"/>
    <w:rsid w:val="00E90039"/>
    <w:rsid w:val="00E918CB"/>
    <w:rsid w:val="00E91A5B"/>
    <w:rsid w:val="00E91C36"/>
    <w:rsid w:val="00E91E02"/>
    <w:rsid w:val="00E9346B"/>
    <w:rsid w:val="00E94BCE"/>
    <w:rsid w:val="00E9551B"/>
    <w:rsid w:val="00E9556A"/>
    <w:rsid w:val="00E961BA"/>
    <w:rsid w:val="00E96378"/>
    <w:rsid w:val="00E97F5C"/>
    <w:rsid w:val="00EA058D"/>
    <w:rsid w:val="00EA0861"/>
    <w:rsid w:val="00EA15F3"/>
    <w:rsid w:val="00EA168E"/>
    <w:rsid w:val="00EA3A1D"/>
    <w:rsid w:val="00EA43D6"/>
    <w:rsid w:val="00EA4467"/>
    <w:rsid w:val="00EA552C"/>
    <w:rsid w:val="00EA5EF9"/>
    <w:rsid w:val="00EA6012"/>
    <w:rsid w:val="00EA6D2E"/>
    <w:rsid w:val="00EA6FDA"/>
    <w:rsid w:val="00EA7010"/>
    <w:rsid w:val="00EA7436"/>
    <w:rsid w:val="00EA7445"/>
    <w:rsid w:val="00EA7FA8"/>
    <w:rsid w:val="00EB0DF7"/>
    <w:rsid w:val="00EB1CAA"/>
    <w:rsid w:val="00EB3572"/>
    <w:rsid w:val="00EB39E8"/>
    <w:rsid w:val="00EB3C7D"/>
    <w:rsid w:val="00EB5A48"/>
    <w:rsid w:val="00EB67CA"/>
    <w:rsid w:val="00EC0C09"/>
    <w:rsid w:val="00EC1520"/>
    <w:rsid w:val="00EC1C8B"/>
    <w:rsid w:val="00EC1FD8"/>
    <w:rsid w:val="00EC274F"/>
    <w:rsid w:val="00EC3657"/>
    <w:rsid w:val="00EC39DD"/>
    <w:rsid w:val="00EC3B24"/>
    <w:rsid w:val="00EC6D4C"/>
    <w:rsid w:val="00EC7A5C"/>
    <w:rsid w:val="00ED088A"/>
    <w:rsid w:val="00ED08FE"/>
    <w:rsid w:val="00ED11A2"/>
    <w:rsid w:val="00ED15A0"/>
    <w:rsid w:val="00ED1924"/>
    <w:rsid w:val="00ED1EB5"/>
    <w:rsid w:val="00ED2273"/>
    <w:rsid w:val="00ED33E8"/>
    <w:rsid w:val="00ED3D2E"/>
    <w:rsid w:val="00ED4A19"/>
    <w:rsid w:val="00ED4FB9"/>
    <w:rsid w:val="00ED5300"/>
    <w:rsid w:val="00ED6B67"/>
    <w:rsid w:val="00ED71B2"/>
    <w:rsid w:val="00EE13DD"/>
    <w:rsid w:val="00EE1BC4"/>
    <w:rsid w:val="00EE278C"/>
    <w:rsid w:val="00EE3B80"/>
    <w:rsid w:val="00EE41D6"/>
    <w:rsid w:val="00EE4D76"/>
    <w:rsid w:val="00EE5597"/>
    <w:rsid w:val="00EE581D"/>
    <w:rsid w:val="00EE5963"/>
    <w:rsid w:val="00EE5D56"/>
    <w:rsid w:val="00EE6DAE"/>
    <w:rsid w:val="00EE7506"/>
    <w:rsid w:val="00EF0AEC"/>
    <w:rsid w:val="00EF1405"/>
    <w:rsid w:val="00EF146E"/>
    <w:rsid w:val="00EF14FA"/>
    <w:rsid w:val="00EF1F13"/>
    <w:rsid w:val="00EF2046"/>
    <w:rsid w:val="00EF347F"/>
    <w:rsid w:val="00EF4427"/>
    <w:rsid w:val="00EF4526"/>
    <w:rsid w:val="00EF598F"/>
    <w:rsid w:val="00EF61A7"/>
    <w:rsid w:val="00EF7066"/>
    <w:rsid w:val="00EF7105"/>
    <w:rsid w:val="00EF73E9"/>
    <w:rsid w:val="00EF7670"/>
    <w:rsid w:val="00EF78A0"/>
    <w:rsid w:val="00EF7DE5"/>
    <w:rsid w:val="00F012B3"/>
    <w:rsid w:val="00F01F82"/>
    <w:rsid w:val="00F021D5"/>
    <w:rsid w:val="00F02581"/>
    <w:rsid w:val="00F02595"/>
    <w:rsid w:val="00F02C63"/>
    <w:rsid w:val="00F02D12"/>
    <w:rsid w:val="00F02FEE"/>
    <w:rsid w:val="00F0334F"/>
    <w:rsid w:val="00F03DE8"/>
    <w:rsid w:val="00F04588"/>
    <w:rsid w:val="00F06321"/>
    <w:rsid w:val="00F06A58"/>
    <w:rsid w:val="00F06AAE"/>
    <w:rsid w:val="00F07017"/>
    <w:rsid w:val="00F07586"/>
    <w:rsid w:val="00F07596"/>
    <w:rsid w:val="00F07AD6"/>
    <w:rsid w:val="00F102EC"/>
    <w:rsid w:val="00F10794"/>
    <w:rsid w:val="00F1100D"/>
    <w:rsid w:val="00F11173"/>
    <w:rsid w:val="00F12AC2"/>
    <w:rsid w:val="00F1329C"/>
    <w:rsid w:val="00F13E82"/>
    <w:rsid w:val="00F153F3"/>
    <w:rsid w:val="00F17290"/>
    <w:rsid w:val="00F174E5"/>
    <w:rsid w:val="00F20B59"/>
    <w:rsid w:val="00F22A2E"/>
    <w:rsid w:val="00F239A9"/>
    <w:rsid w:val="00F239DB"/>
    <w:rsid w:val="00F23D7B"/>
    <w:rsid w:val="00F23FB0"/>
    <w:rsid w:val="00F24296"/>
    <w:rsid w:val="00F25542"/>
    <w:rsid w:val="00F2585E"/>
    <w:rsid w:val="00F25918"/>
    <w:rsid w:val="00F25ED6"/>
    <w:rsid w:val="00F264D0"/>
    <w:rsid w:val="00F26F0A"/>
    <w:rsid w:val="00F3046F"/>
    <w:rsid w:val="00F30D05"/>
    <w:rsid w:val="00F325E9"/>
    <w:rsid w:val="00F3267C"/>
    <w:rsid w:val="00F3280A"/>
    <w:rsid w:val="00F32C2D"/>
    <w:rsid w:val="00F3447D"/>
    <w:rsid w:val="00F35212"/>
    <w:rsid w:val="00F3545F"/>
    <w:rsid w:val="00F36712"/>
    <w:rsid w:val="00F3701F"/>
    <w:rsid w:val="00F4037A"/>
    <w:rsid w:val="00F41F46"/>
    <w:rsid w:val="00F429BE"/>
    <w:rsid w:val="00F4370C"/>
    <w:rsid w:val="00F45BD9"/>
    <w:rsid w:val="00F46CFC"/>
    <w:rsid w:val="00F46D53"/>
    <w:rsid w:val="00F46F53"/>
    <w:rsid w:val="00F47836"/>
    <w:rsid w:val="00F5122A"/>
    <w:rsid w:val="00F517B0"/>
    <w:rsid w:val="00F52533"/>
    <w:rsid w:val="00F52C5F"/>
    <w:rsid w:val="00F531B2"/>
    <w:rsid w:val="00F5376E"/>
    <w:rsid w:val="00F537CB"/>
    <w:rsid w:val="00F54678"/>
    <w:rsid w:val="00F55041"/>
    <w:rsid w:val="00F55A83"/>
    <w:rsid w:val="00F55E3E"/>
    <w:rsid w:val="00F56A6B"/>
    <w:rsid w:val="00F57050"/>
    <w:rsid w:val="00F5772E"/>
    <w:rsid w:val="00F5780D"/>
    <w:rsid w:val="00F6075C"/>
    <w:rsid w:val="00F60CFA"/>
    <w:rsid w:val="00F60FC6"/>
    <w:rsid w:val="00F630E2"/>
    <w:rsid w:val="00F638BE"/>
    <w:rsid w:val="00F63A10"/>
    <w:rsid w:val="00F6465C"/>
    <w:rsid w:val="00F64711"/>
    <w:rsid w:val="00F64D29"/>
    <w:rsid w:val="00F66A30"/>
    <w:rsid w:val="00F67C93"/>
    <w:rsid w:val="00F702D9"/>
    <w:rsid w:val="00F70B52"/>
    <w:rsid w:val="00F7180F"/>
    <w:rsid w:val="00F719B7"/>
    <w:rsid w:val="00F73971"/>
    <w:rsid w:val="00F73D1B"/>
    <w:rsid w:val="00F73EDA"/>
    <w:rsid w:val="00F742DA"/>
    <w:rsid w:val="00F74D29"/>
    <w:rsid w:val="00F753EE"/>
    <w:rsid w:val="00F75AC1"/>
    <w:rsid w:val="00F77632"/>
    <w:rsid w:val="00F80566"/>
    <w:rsid w:val="00F80ECB"/>
    <w:rsid w:val="00F81317"/>
    <w:rsid w:val="00F81680"/>
    <w:rsid w:val="00F83431"/>
    <w:rsid w:val="00F837B3"/>
    <w:rsid w:val="00F8448F"/>
    <w:rsid w:val="00F8542C"/>
    <w:rsid w:val="00F90671"/>
    <w:rsid w:val="00F9309C"/>
    <w:rsid w:val="00F93673"/>
    <w:rsid w:val="00F93BE1"/>
    <w:rsid w:val="00F953B7"/>
    <w:rsid w:val="00F970CD"/>
    <w:rsid w:val="00F976FC"/>
    <w:rsid w:val="00FA0D6E"/>
    <w:rsid w:val="00FA0F61"/>
    <w:rsid w:val="00FA16BF"/>
    <w:rsid w:val="00FA1B8C"/>
    <w:rsid w:val="00FA27A0"/>
    <w:rsid w:val="00FA3007"/>
    <w:rsid w:val="00FA3C79"/>
    <w:rsid w:val="00FA41EF"/>
    <w:rsid w:val="00FA4858"/>
    <w:rsid w:val="00FA48C0"/>
    <w:rsid w:val="00FA4F49"/>
    <w:rsid w:val="00FA79CF"/>
    <w:rsid w:val="00FB0EB4"/>
    <w:rsid w:val="00FB1669"/>
    <w:rsid w:val="00FB1A77"/>
    <w:rsid w:val="00FB30AE"/>
    <w:rsid w:val="00FB376D"/>
    <w:rsid w:val="00FB389F"/>
    <w:rsid w:val="00FB57A7"/>
    <w:rsid w:val="00FB67E1"/>
    <w:rsid w:val="00FB68E2"/>
    <w:rsid w:val="00FB730A"/>
    <w:rsid w:val="00FB74FA"/>
    <w:rsid w:val="00FC101D"/>
    <w:rsid w:val="00FC3163"/>
    <w:rsid w:val="00FC35AE"/>
    <w:rsid w:val="00FC3F5D"/>
    <w:rsid w:val="00FC44ED"/>
    <w:rsid w:val="00FC503E"/>
    <w:rsid w:val="00FC5610"/>
    <w:rsid w:val="00FC5DC3"/>
    <w:rsid w:val="00FC7519"/>
    <w:rsid w:val="00FC7ABC"/>
    <w:rsid w:val="00FC7B08"/>
    <w:rsid w:val="00FD194A"/>
    <w:rsid w:val="00FD1FEA"/>
    <w:rsid w:val="00FD25A5"/>
    <w:rsid w:val="00FD2C2B"/>
    <w:rsid w:val="00FD3547"/>
    <w:rsid w:val="00FD3637"/>
    <w:rsid w:val="00FD4FAE"/>
    <w:rsid w:val="00FD531F"/>
    <w:rsid w:val="00FD5C2C"/>
    <w:rsid w:val="00FD638A"/>
    <w:rsid w:val="00FD7944"/>
    <w:rsid w:val="00FD79F8"/>
    <w:rsid w:val="00FD7C32"/>
    <w:rsid w:val="00FE0578"/>
    <w:rsid w:val="00FE1704"/>
    <w:rsid w:val="00FE1847"/>
    <w:rsid w:val="00FE1B75"/>
    <w:rsid w:val="00FE1C71"/>
    <w:rsid w:val="00FE33F5"/>
    <w:rsid w:val="00FE386E"/>
    <w:rsid w:val="00FE4E42"/>
    <w:rsid w:val="00FE513B"/>
    <w:rsid w:val="00FE54F6"/>
    <w:rsid w:val="00FE5D32"/>
    <w:rsid w:val="00FE6FCF"/>
    <w:rsid w:val="00FE746A"/>
    <w:rsid w:val="00FE7AF1"/>
    <w:rsid w:val="00FF2004"/>
    <w:rsid w:val="00FF49F8"/>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26EF"/>
    <w:rPr>
      <w:rFonts w:eastAsia="MS Mincho"/>
      <w:sz w:val="24"/>
      <w:szCs w:val="24"/>
      <w:lang w:eastAsia="ja-JP"/>
    </w:rPr>
  </w:style>
  <w:style w:type="paragraph" w:styleId="Heading1">
    <w:name w:val="heading 1"/>
    <w:basedOn w:val="Normal"/>
    <w:next w:val="Normal"/>
    <w:link w:val="Heading1Char"/>
    <w:uiPriority w:val="99"/>
    <w:qFormat/>
    <w:rsid w:val="00136E11"/>
    <w:pPr>
      <w:numPr>
        <w:numId w:val="27"/>
      </w:numPr>
      <w:pBdr>
        <w:top w:val="single" w:sz="4" w:space="0" w:color="auto"/>
        <w:left w:val="single" w:sz="4" w:space="0" w:color="auto"/>
        <w:bottom w:val="single" w:sz="4" w:space="1" w:color="auto"/>
        <w:right w:val="single" w:sz="4" w:space="4" w:color="auto"/>
      </w:pBdr>
      <w:shd w:val="clear" w:color="auto" w:fill="003366"/>
      <w:tabs>
        <w:tab w:val="clear" w:pos="720"/>
        <w:tab w:val="num" w:pos="360"/>
      </w:tabs>
      <w:ind w:left="360"/>
      <w:outlineLvl w:val="0"/>
    </w:pPr>
    <w:rPr>
      <w:rFonts w:ascii="Book Antiqua" w:hAnsi="Book Antiqua"/>
      <w:b/>
    </w:rPr>
  </w:style>
  <w:style w:type="paragraph" w:styleId="Heading2">
    <w:name w:val="heading 2"/>
    <w:basedOn w:val="Normal"/>
    <w:next w:val="Normal"/>
    <w:link w:val="Heading2Char"/>
    <w:uiPriority w:val="99"/>
    <w:qFormat/>
    <w:rsid w:val="00426A33"/>
    <w:pPr>
      <w:pBdr>
        <w:top w:val="single" w:sz="4" w:space="1" w:color="auto"/>
        <w:bottom w:val="single" w:sz="4" w:space="1" w:color="auto"/>
      </w:pBdr>
      <w:snapToGrid w:val="0"/>
      <w:outlineLvl w:val="1"/>
    </w:pPr>
    <w:rPr>
      <w:rFonts w:ascii="Book Antiqua" w:eastAsia="Batang" w:hAnsi="Book Antiqua" w:cs="Arial"/>
      <w:b/>
      <w:bCs/>
      <w:sz w:val="22"/>
      <w:szCs w:val="22"/>
      <w:lang w:eastAsia="ko-KR"/>
    </w:rPr>
  </w:style>
  <w:style w:type="paragraph" w:styleId="Heading3">
    <w:name w:val="heading 3"/>
    <w:basedOn w:val="Normal"/>
    <w:next w:val="Normal"/>
    <w:link w:val="Heading3Char"/>
    <w:uiPriority w:val="99"/>
    <w:qFormat/>
    <w:rsid w:val="00BB3269"/>
    <w:pPr>
      <w:keepNext/>
      <w:spacing w:before="240" w:after="60"/>
      <w:outlineLvl w:val="2"/>
    </w:pPr>
    <w:rPr>
      <w:rFonts w:ascii="Book Antiqua" w:hAnsi="Book Antiqua"/>
    </w:rPr>
  </w:style>
  <w:style w:type="paragraph" w:styleId="Heading4">
    <w:name w:val="heading 4"/>
    <w:basedOn w:val="Normal"/>
    <w:next w:val="Normal"/>
    <w:link w:val="Heading4Char"/>
    <w:uiPriority w:val="99"/>
    <w:qFormat/>
    <w:locked/>
    <w:rsid w:val="00B640C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6E11"/>
    <w:rPr>
      <w:rFonts w:ascii="Book Antiqua" w:eastAsia="MS Mincho" w:hAnsi="Book Antiqua"/>
      <w:b/>
      <w:sz w:val="24"/>
      <w:szCs w:val="24"/>
      <w:shd w:val="clear" w:color="auto" w:fill="003366"/>
      <w:lang w:eastAsia="ja-JP"/>
    </w:rPr>
  </w:style>
  <w:style w:type="character" w:customStyle="1" w:styleId="Heading2Char">
    <w:name w:val="Heading 2 Char"/>
    <w:basedOn w:val="DefaultParagraphFont"/>
    <w:link w:val="Heading2"/>
    <w:uiPriority w:val="99"/>
    <w:locked/>
    <w:rsid w:val="00426A33"/>
    <w:rPr>
      <w:rFonts w:ascii="Book Antiqua" w:eastAsia="Batang" w:hAnsi="Book Antiqua" w:cs="Arial"/>
      <w:b/>
      <w:bCs/>
      <w:lang w:eastAsia="ko-KR"/>
    </w:rPr>
  </w:style>
  <w:style w:type="character" w:customStyle="1" w:styleId="Heading3Char">
    <w:name w:val="Heading 3 Char"/>
    <w:basedOn w:val="DefaultParagraphFont"/>
    <w:link w:val="Heading3"/>
    <w:uiPriority w:val="99"/>
    <w:locked/>
    <w:rsid w:val="004C4D8D"/>
    <w:rPr>
      <w:rFonts w:ascii="Book Antiqua" w:eastAsia="MS Mincho" w:hAnsi="Book Antiqua" w:cs="Times New Roman"/>
      <w:sz w:val="24"/>
      <w:lang w:eastAsia="ja-JP"/>
    </w:rPr>
  </w:style>
  <w:style w:type="character" w:customStyle="1" w:styleId="Heading4Char">
    <w:name w:val="Heading 4 Char"/>
    <w:basedOn w:val="DefaultParagraphFont"/>
    <w:link w:val="Heading4"/>
    <w:uiPriority w:val="99"/>
    <w:semiHidden/>
    <w:locked/>
    <w:rsid w:val="009D52DC"/>
    <w:rPr>
      <w:rFonts w:ascii="Calibri" w:eastAsia="MS ??" w:hAnsi="Calibri" w:cs="Times New Roman"/>
      <w:b/>
      <w:bCs/>
      <w:sz w:val="28"/>
      <w:szCs w:val="28"/>
      <w:lang w:eastAsia="ja-JP"/>
    </w:rPr>
  </w:style>
  <w:style w:type="paragraph" w:styleId="BalloonText">
    <w:name w:val="Balloon Text"/>
    <w:basedOn w:val="Normal"/>
    <w:link w:val="BalloonTextChar"/>
    <w:uiPriority w:val="99"/>
    <w:semiHidden/>
    <w:rsid w:val="002C2821"/>
    <w:rPr>
      <w:rFonts w:ascii="Tahoma" w:hAnsi="Tahoma"/>
      <w:sz w:val="16"/>
      <w:szCs w:val="16"/>
    </w:rPr>
  </w:style>
  <w:style w:type="character" w:customStyle="1" w:styleId="BalloonTextChar">
    <w:name w:val="Balloon Text Char"/>
    <w:basedOn w:val="DefaultParagraphFont"/>
    <w:link w:val="BalloonText"/>
    <w:uiPriority w:val="99"/>
    <w:semiHidden/>
    <w:locked/>
    <w:rsid w:val="004C4D8D"/>
    <w:rPr>
      <w:rFonts w:ascii="Tahoma" w:eastAsia="MS Mincho" w:hAnsi="Tahoma" w:cs="Times New Roman"/>
      <w:sz w:val="16"/>
      <w:lang w:eastAsia="ja-JP"/>
    </w:rPr>
  </w:style>
  <w:style w:type="paragraph" w:customStyle="1" w:styleId="ABLOCKPARA">
    <w:name w:val="A BLOCK PARA"/>
    <w:basedOn w:val="Normal"/>
    <w:uiPriority w:val="99"/>
    <w:rsid w:val="00BB3269"/>
    <w:rPr>
      <w:rFonts w:ascii="Book Antiqua" w:hAnsi="Book Antiqua"/>
      <w:sz w:val="22"/>
    </w:rPr>
  </w:style>
  <w:style w:type="paragraph" w:customStyle="1" w:styleId="ABULLET">
    <w:name w:val="A BULLET"/>
    <w:basedOn w:val="ABLOCKPARA"/>
    <w:uiPriority w:val="99"/>
    <w:rsid w:val="00BB3269"/>
    <w:pPr>
      <w:ind w:left="331" w:hanging="331"/>
    </w:pPr>
  </w:style>
  <w:style w:type="paragraph" w:customStyle="1" w:styleId="AINDENTEDBULLET">
    <w:name w:val="A INDENTED BULLET"/>
    <w:basedOn w:val="ABLOCKPARA"/>
    <w:uiPriority w:val="99"/>
    <w:rsid w:val="00BB3269"/>
    <w:pPr>
      <w:tabs>
        <w:tab w:val="left" w:pos="1080"/>
      </w:tabs>
      <w:ind w:left="662" w:hanging="331"/>
    </w:pPr>
  </w:style>
  <w:style w:type="paragraph" w:customStyle="1" w:styleId="AINDENTEDPARA">
    <w:name w:val="A INDENTED PARA"/>
    <w:basedOn w:val="ABLOCKPARA"/>
    <w:uiPriority w:val="99"/>
    <w:rsid w:val="00BB3269"/>
    <w:pPr>
      <w:ind w:left="331"/>
    </w:pPr>
  </w:style>
  <w:style w:type="paragraph" w:styleId="Footer">
    <w:name w:val="footer"/>
    <w:basedOn w:val="Normal"/>
    <w:link w:val="FooterChar"/>
    <w:uiPriority w:val="99"/>
    <w:rsid w:val="00BB3269"/>
    <w:pPr>
      <w:tabs>
        <w:tab w:val="center" w:pos="4320"/>
        <w:tab w:val="right" w:pos="8640"/>
      </w:tabs>
    </w:pPr>
  </w:style>
  <w:style w:type="character" w:customStyle="1" w:styleId="FooterChar">
    <w:name w:val="Footer Char"/>
    <w:basedOn w:val="DefaultParagraphFont"/>
    <w:link w:val="Footer"/>
    <w:uiPriority w:val="99"/>
    <w:locked/>
    <w:rsid w:val="004C4D8D"/>
    <w:rPr>
      <w:rFonts w:eastAsia="MS Mincho" w:cs="Times New Roman"/>
      <w:sz w:val="24"/>
      <w:lang w:eastAsia="ja-JP"/>
    </w:rPr>
  </w:style>
  <w:style w:type="paragraph" w:styleId="Header">
    <w:name w:val="header"/>
    <w:basedOn w:val="Normal"/>
    <w:link w:val="HeaderChar"/>
    <w:uiPriority w:val="99"/>
    <w:rsid w:val="00BB3269"/>
    <w:pPr>
      <w:tabs>
        <w:tab w:val="center" w:pos="4320"/>
        <w:tab w:val="right" w:pos="8640"/>
      </w:tabs>
    </w:pPr>
  </w:style>
  <w:style w:type="character" w:customStyle="1" w:styleId="HeaderChar">
    <w:name w:val="Header Char"/>
    <w:basedOn w:val="DefaultParagraphFont"/>
    <w:link w:val="Header"/>
    <w:uiPriority w:val="99"/>
    <w:locked/>
    <w:rsid w:val="004C4D8D"/>
    <w:rPr>
      <w:rFonts w:eastAsia="MS Mincho" w:cs="Times New Roman"/>
      <w:sz w:val="24"/>
      <w:lang w:eastAsia="ja-JP"/>
    </w:rPr>
  </w:style>
  <w:style w:type="character" w:styleId="PageNumber">
    <w:name w:val="page number"/>
    <w:basedOn w:val="DefaultParagraphFont"/>
    <w:uiPriority w:val="99"/>
    <w:rsid w:val="002C2821"/>
    <w:rPr>
      <w:rFonts w:cs="Times New Roman"/>
    </w:rPr>
  </w:style>
  <w:style w:type="table" w:styleId="TableContemporary">
    <w:name w:val="Table Contemporary"/>
    <w:basedOn w:val="TableNormal"/>
    <w:uiPriority w:val="99"/>
    <w:rsid w:val="002C2821"/>
    <w:rPr>
      <w:rFonts w:ascii="Arial Narrow" w:hAnsi="Arial Narrow"/>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000000"/>
    </w:tc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2C2821"/>
    <w:pPr>
      <w:spacing w:before="100" w:beforeAutospacing="1" w:after="100" w:afterAutospacing="1"/>
    </w:pPr>
  </w:style>
  <w:style w:type="character" w:styleId="CommentReference">
    <w:name w:val="annotation reference"/>
    <w:basedOn w:val="DefaultParagraphFont"/>
    <w:uiPriority w:val="99"/>
    <w:rsid w:val="002C2821"/>
    <w:rPr>
      <w:rFonts w:cs="Times New Roman"/>
      <w:sz w:val="16"/>
    </w:rPr>
  </w:style>
  <w:style w:type="paragraph" w:styleId="CommentText">
    <w:name w:val="annotation text"/>
    <w:basedOn w:val="Normal"/>
    <w:link w:val="CommentTextChar"/>
    <w:uiPriority w:val="99"/>
    <w:semiHidden/>
    <w:rsid w:val="002C2821"/>
    <w:rPr>
      <w:sz w:val="20"/>
    </w:rPr>
  </w:style>
  <w:style w:type="character" w:customStyle="1" w:styleId="CommentTextChar">
    <w:name w:val="Comment Text Char"/>
    <w:basedOn w:val="DefaultParagraphFont"/>
    <w:link w:val="CommentText"/>
    <w:uiPriority w:val="99"/>
    <w:semiHidden/>
    <w:locked/>
    <w:rsid w:val="00A9232D"/>
    <w:rPr>
      <w:rFonts w:eastAsia="MS Mincho" w:cs="Times New Roman"/>
      <w:sz w:val="24"/>
      <w:lang w:val="en-US" w:eastAsia="ja-JP"/>
    </w:rPr>
  </w:style>
  <w:style w:type="paragraph" w:styleId="CommentSubject">
    <w:name w:val="annotation subject"/>
    <w:basedOn w:val="CommentText"/>
    <w:next w:val="CommentText"/>
    <w:link w:val="CommentSubjectChar"/>
    <w:uiPriority w:val="99"/>
    <w:semiHidden/>
    <w:rsid w:val="002C2821"/>
    <w:rPr>
      <w:b/>
      <w:bCs/>
    </w:rPr>
  </w:style>
  <w:style w:type="character" w:customStyle="1" w:styleId="CommentSubjectChar">
    <w:name w:val="Comment Subject Char"/>
    <w:basedOn w:val="CommentTextChar"/>
    <w:link w:val="CommentSubject"/>
    <w:uiPriority w:val="99"/>
    <w:semiHidden/>
    <w:locked/>
    <w:rsid w:val="004C4D8D"/>
    <w:rPr>
      <w:rFonts w:eastAsia="MS Mincho" w:cs="Times New Roman"/>
      <w:b/>
      <w:sz w:val="24"/>
      <w:lang w:val="en-US" w:eastAsia="ja-JP"/>
    </w:rPr>
  </w:style>
  <w:style w:type="table" w:styleId="TableGrid">
    <w:name w:val="Table Grid"/>
    <w:basedOn w:val="TableNormal"/>
    <w:uiPriority w:val="99"/>
    <w:rsid w:val="002C28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0C5BB9"/>
    <w:pPr>
      <w:tabs>
        <w:tab w:val="left" w:pos="480"/>
        <w:tab w:val="right" w:leader="dot" w:pos="10070"/>
      </w:tabs>
      <w:spacing w:before="120"/>
      <w:ind w:left="480" w:hanging="480"/>
    </w:pPr>
    <w:rPr>
      <w:rFonts w:ascii="Calibri" w:hAnsi="Calibri"/>
      <w:b/>
    </w:rPr>
  </w:style>
  <w:style w:type="paragraph" w:styleId="TOC2">
    <w:name w:val="toc 2"/>
    <w:basedOn w:val="Normal"/>
    <w:next w:val="Normal"/>
    <w:autoRedefine/>
    <w:uiPriority w:val="99"/>
    <w:rsid w:val="002C2821"/>
    <w:pPr>
      <w:ind w:left="240"/>
    </w:pPr>
    <w:rPr>
      <w:rFonts w:ascii="Calibri" w:hAnsi="Calibri"/>
      <w:b/>
      <w:sz w:val="22"/>
      <w:szCs w:val="22"/>
    </w:rPr>
  </w:style>
  <w:style w:type="paragraph" w:styleId="TOC3">
    <w:name w:val="toc 3"/>
    <w:basedOn w:val="Normal"/>
    <w:next w:val="Normal"/>
    <w:autoRedefine/>
    <w:uiPriority w:val="99"/>
    <w:rsid w:val="002C2821"/>
    <w:pPr>
      <w:ind w:left="480"/>
    </w:pPr>
    <w:rPr>
      <w:rFonts w:ascii="Calibri" w:hAnsi="Calibri"/>
      <w:sz w:val="22"/>
      <w:szCs w:val="22"/>
    </w:rPr>
  </w:style>
  <w:style w:type="paragraph" w:styleId="TOC4">
    <w:name w:val="toc 4"/>
    <w:basedOn w:val="Normal"/>
    <w:next w:val="Normal"/>
    <w:autoRedefine/>
    <w:uiPriority w:val="99"/>
    <w:semiHidden/>
    <w:rsid w:val="002C2821"/>
    <w:pPr>
      <w:ind w:left="720"/>
    </w:pPr>
    <w:rPr>
      <w:rFonts w:ascii="Calibri" w:hAnsi="Calibri"/>
      <w:sz w:val="20"/>
      <w:szCs w:val="20"/>
    </w:rPr>
  </w:style>
  <w:style w:type="paragraph" w:styleId="TOC5">
    <w:name w:val="toc 5"/>
    <w:basedOn w:val="Normal"/>
    <w:next w:val="Normal"/>
    <w:autoRedefine/>
    <w:uiPriority w:val="99"/>
    <w:semiHidden/>
    <w:rsid w:val="002C2821"/>
    <w:pPr>
      <w:ind w:left="960"/>
    </w:pPr>
    <w:rPr>
      <w:rFonts w:ascii="Calibri" w:hAnsi="Calibri"/>
      <w:sz w:val="20"/>
      <w:szCs w:val="20"/>
    </w:rPr>
  </w:style>
  <w:style w:type="paragraph" w:styleId="TOC6">
    <w:name w:val="toc 6"/>
    <w:basedOn w:val="Normal"/>
    <w:next w:val="Normal"/>
    <w:autoRedefine/>
    <w:uiPriority w:val="99"/>
    <w:semiHidden/>
    <w:rsid w:val="002C2821"/>
    <w:pPr>
      <w:ind w:left="1200"/>
    </w:pPr>
    <w:rPr>
      <w:rFonts w:ascii="Calibri" w:hAnsi="Calibri"/>
      <w:sz w:val="20"/>
      <w:szCs w:val="20"/>
    </w:rPr>
  </w:style>
  <w:style w:type="paragraph" w:styleId="TOC7">
    <w:name w:val="toc 7"/>
    <w:basedOn w:val="Normal"/>
    <w:next w:val="Normal"/>
    <w:autoRedefine/>
    <w:uiPriority w:val="99"/>
    <w:semiHidden/>
    <w:rsid w:val="002C2821"/>
    <w:pPr>
      <w:ind w:left="1440"/>
    </w:pPr>
    <w:rPr>
      <w:rFonts w:ascii="Calibri" w:hAnsi="Calibri"/>
      <w:sz w:val="20"/>
      <w:szCs w:val="20"/>
    </w:rPr>
  </w:style>
  <w:style w:type="paragraph" w:styleId="TOC8">
    <w:name w:val="toc 8"/>
    <w:basedOn w:val="Normal"/>
    <w:next w:val="Normal"/>
    <w:autoRedefine/>
    <w:uiPriority w:val="99"/>
    <w:semiHidden/>
    <w:rsid w:val="002C2821"/>
    <w:pPr>
      <w:ind w:left="1680"/>
    </w:pPr>
    <w:rPr>
      <w:rFonts w:ascii="Calibri" w:hAnsi="Calibri"/>
      <w:sz w:val="20"/>
      <w:szCs w:val="20"/>
    </w:rPr>
  </w:style>
  <w:style w:type="paragraph" w:styleId="TOC9">
    <w:name w:val="toc 9"/>
    <w:basedOn w:val="Normal"/>
    <w:next w:val="Normal"/>
    <w:autoRedefine/>
    <w:uiPriority w:val="99"/>
    <w:semiHidden/>
    <w:rsid w:val="002C2821"/>
    <w:pPr>
      <w:ind w:left="1920"/>
    </w:pPr>
    <w:rPr>
      <w:rFonts w:ascii="Calibri" w:hAnsi="Calibri"/>
      <w:sz w:val="20"/>
      <w:szCs w:val="20"/>
    </w:rPr>
  </w:style>
  <w:style w:type="character" w:styleId="Hyperlink">
    <w:name w:val="Hyperlink"/>
    <w:basedOn w:val="DefaultParagraphFont"/>
    <w:uiPriority w:val="99"/>
    <w:rsid w:val="002C2821"/>
    <w:rPr>
      <w:rFonts w:cs="Times New Roman"/>
      <w:color w:val="0000FF"/>
      <w:u w:val="single"/>
    </w:rPr>
  </w:style>
  <w:style w:type="paragraph" w:styleId="DocumentMap">
    <w:name w:val="Document Map"/>
    <w:basedOn w:val="Normal"/>
    <w:link w:val="DocumentMapChar"/>
    <w:uiPriority w:val="99"/>
    <w:semiHidden/>
    <w:rsid w:val="002C2821"/>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locked/>
    <w:rsid w:val="004C4D8D"/>
    <w:rPr>
      <w:rFonts w:ascii="Tahoma" w:eastAsia="MS Mincho" w:hAnsi="Tahoma" w:cs="Times New Roman"/>
      <w:sz w:val="24"/>
      <w:shd w:val="clear" w:color="auto" w:fill="000080"/>
      <w:lang w:eastAsia="ja-JP"/>
    </w:rPr>
  </w:style>
  <w:style w:type="paragraph" w:styleId="FootnoteText">
    <w:name w:val="footnote text"/>
    <w:basedOn w:val="Normal"/>
    <w:link w:val="FootnoteTextChar"/>
    <w:uiPriority w:val="99"/>
    <w:semiHidden/>
    <w:rsid w:val="002C2821"/>
    <w:rPr>
      <w:sz w:val="20"/>
    </w:rPr>
  </w:style>
  <w:style w:type="character" w:customStyle="1" w:styleId="FootnoteTextChar">
    <w:name w:val="Footnote Text Char"/>
    <w:basedOn w:val="DefaultParagraphFont"/>
    <w:link w:val="FootnoteText"/>
    <w:uiPriority w:val="99"/>
    <w:semiHidden/>
    <w:locked/>
    <w:rsid w:val="004C4D8D"/>
    <w:rPr>
      <w:rFonts w:eastAsia="MS Mincho" w:cs="Times New Roman"/>
      <w:sz w:val="24"/>
      <w:lang w:eastAsia="ja-JP"/>
    </w:rPr>
  </w:style>
  <w:style w:type="character" w:styleId="FootnoteReference">
    <w:name w:val="footnote reference"/>
    <w:basedOn w:val="DefaultParagraphFont"/>
    <w:uiPriority w:val="99"/>
    <w:semiHidden/>
    <w:rsid w:val="002C2821"/>
    <w:rPr>
      <w:rFonts w:cs="Times New Roman"/>
      <w:vertAlign w:val="superscript"/>
    </w:rPr>
  </w:style>
  <w:style w:type="paragraph" w:styleId="ListBullet4">
    <w:name w:val="List Bullet 4"/>
    <w:basedOn w:val="Normal"/>
    <w:uiPriority w:val="99"/>
    <w:rsid w:val="002C2821"/>
    <w:pPr>
      <w:numPr>
        <w:numId w:val="3"/>
      </w:numPr>
      <w:spacing w:before="60" w:after="60"/>
    </w:pPr>
    <w:rPr>
      <w:rFonts w:ascii="Century Gothic" w:hAnsi="Century Gothic"/>
    </w:rPr>
  </w:style>
  <w:style w:type="character" w:customStyle="1" w:styleId="shelbyrprichard">
    <w:name w:val="shelby.r.prichard"/>
    <w:uiPriority w:val="99"/>
    <w:semiHidden/>
    <w:rsid w:val="002C2821"/>
    <w:rPr>
      <w:rFonts w:ascii="Arial" w:hAnsi="Arial"/>
      <w:color w:val="auto"/>
      <w:sz w:val="20"/>
    </w:rPr>
  </w:style>
  <w:style w:type="paragraph" w:customStyle="1" w:styleId="CharCharCharCharCharCharCharCharCharCharChar1CharCharCharCharCharCharChar">
    <w:name w:val="Char Char Char Char Char Char Char Char Char Char Char1 Char Char Char Char Char Char Char"/>
    <w:basedOn w:val="Normal"/>
    <w:uiPriority w:val="99"/>
    <w:rsid w:val="002C2821"/>
    <w:pPr>
      <w:spacing w:after="160" w:line="240" w:lineRule="exact"/>
    </w:pPr>
    <w:rPr>
      <w:rFonts w:ascii="Verdana" w:hAnsi="Verdana"/>
      <w:sz w:val="20"/>
    </w:rPr>
  </w:style>
  <w:style w:type="paragraph" w:customStyle="1" w:styleId="CharCharCharCharCharCharCharCharCharCharChar">
    <w:name w:val="Char Char Char Char Char Char Char Char Char Char Char"/>
    <w:basedOn w:val="Normal"/>
    <w:uiPriority w:val="99"/>
    <w:rsid w:val="002C2821"/>
    <w:pPr>
      <w:spacing w:after="160" w:line="240" w:lineRule="exact"/>
    </w:pPr>
    <w:rPr>
      <w:rFonts w:ascii="Verdana" w:hAnsi="Verdana"/>
      <w:sz w:val="20"/>
    </w:rPr>
  </w:style>
  <w:style w:type="table" w:styleId="TableGrid1">
    <w:name w:val="Table Grid 1"/>
    <w:basedOn w:val="TableNormal"/>
    <w:uiPriority w:val="99"/>
    <w:rsid w:val="002C2821"/>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Elegant">
    <w:name w:val="Table Elegant"/>
    <w:basedOn w:val="TableNormal"/>
    <w:uiPriority w:val="99"/>
    <w:rsid w:val="00E1219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7">
    <w:name w:val="Table Grid 7"/>
    <w:basedOn w:val="TableNormal"/>
    <w:uiPriority w:val="99"/>
    <w:rsid w:val="00280641"/>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591BA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453D0F"/>
    <w:rPr>
      <w:rFonts w:ascii="Courier New" w:hAnsi="Courier New"/>
      <w:sz w:val="20"/>
      <w:szCs w:val="20"/>
    </w:rPr>
  </w:style>
  <w:style w:type="character" w:customStyle="1" w:styleId="PlainTextChar">
    <w:name w:val="Plain Text Char"/>
    <w:basedOn w:val="DefaultParagraphFont"/>
    <w:link w:val="PlainText"/>
    <w:uiPriority w:val="99"/>
    <w:locked/>
    <w:rsid w:val="004C4D8D"/>
    <w:rPr>
      <w:rFonts w:ascii="Courier New" w:eastAsia="MS Mincho" w:hAnsi="Courier New" w:cs="Times New Roman"/>
      <w:lang w:eastAsia="ja-JP"/>
    </w:rPr>
  </w:style>
  <w:style w:type="character" w:styleId="Emphasis">
    <w:name w:val="Emphasis"/>
    <w:basedOn w:val="DefaultParagraphFont"/>
    <w:uiPriority w:val="99"/>
    <w:qFormat/>
    <w:rsid w:val="00B01F39"/>
    <w:rPr>
      <w:rFonts w:cs="Times New Roman"/>
      <w:i/>
    </w:rPr>
  </w:style>
  <w:style w:type="paragraph" w:customStyle="1" w:styleId="EzraCaption">
    <w:name w:val="Ezra Caption"/>
    <w:basedOn w:val="Normal"/>
    <w:link w:val="EzraCaptionChar"/>
    <w:uiPriority w:val="99"/>
    <w:rsid w:val="00544CE1"/>
    <w:pPr>
      <w:jc w:val="center"/>
    </w:pPr>
    <w:rPr>
      <w:rFonts w:ascii="Arial" w:eastAsia="Times New Roman" w:hAnsi="Arial"/>
      <w:b/>
      <w:i/>
      <w:sz w:val="20"/>
      <w:szCs w:val="20"/>
    </w:rPr>
  </w:style>
  <w:style w:type="character" w:customStyle="1" w:styleId="EzraCaptionChar">
    <w:name w:val="Ezra Caption Char"/>
    <w:link w:val="EzraCaption"/>
    <w:uiPriority w:val="99"/>
    <w:locked/>
    <w:rsid w:val="00544CE1"/>
    <w:rPr>
      <w:rFonts w:ascii="Arial" w:hAnsi="Arial"/>
      <w:b/>
      <w:i/>
    </w:rPr>
  </w:style>
  <w:style w:type="paragraph" w:styleId="Caption">
    <w:name w:val="caption"/>
    <w:basedOn w:val="Normal"/>
    <w:next w:val="Normal"/>
    <w:uiPriority w:val="99"/>
    <w:qFormat/>
    <w:rsid w:val="00602E89"/>
    <w:rPr>
      <w:b/>
      <w:bCs/>
      <w:sz w:val="20"/>
      <w:szCs w:val="20"/>
    </w:rPr>
  </w:style>
  <w:style w:type="table" w:customStyle="1" w:styleId="LightList-Accent11">
    <w:name w:val="Light List - Accent 11"/>
    <w:uiPriority w:val="99"/>
    <w:rsid w:val="00A837C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B229E5"/>
    <w:rPr>
      <w:rFonts w:ascii="Calibri" w:hAnsi="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NoSpacing">
    <w:name w:val="No Spacing"/>
    <w:link w:val="NoSpacingChar"/>
    <w:uiPriority w:val="99"/>
    <w:qFormat/>
    <w:rsid w:val="00EB3C7D"/>
    <w:rPr>
      <w:rFonts w:ascii="Book Antiqua" w:hAnsi="Book Antiqua"/>
    </w:rPr>
  </w:style>
  <w:style w:type="character" w:customStyle="1" w:styleId="NoSpacingChar">
    <w:name w:val="No Spacing Char"/>
    <w:link w:val="NoSpacing"/>
    <w:uiPriority w:val="99"/>
    <w:locked/>
    <w:rsid w:val="00EB3C7D"/>
    <w:rPr>
      <w:rFonts w:ascii="Book Antiqua" w:hAnsi="Book Antiqua"/>
      <w:sz w:val="22"/>
    </w:rPr>
  </w:style>
  <w:style w:type="paragraph" w:styleId="Subtitle">
    <w:name w:val="Subtitle"/>
    <w:basedOn w:val="Normal"/>
    <w:link w:val="SubtitleChar"/>
    <w:uiPriority w:val="99"/>
    <w:qFormat/>
    <w:rsid w:val="00EB3C7D"/>
    <w:pPr>
      <w:jc w:val="center"/>
    </w:pPr>
    <w:rPr>
      <w:rFonts w:eastAsia="Times New Roman"/>
      <w:b/>
      <w:szCs w:val="20"/>
      <w:lang w:eastAsia="en-US"/>
    </w:rPr>
  </w:style>
  <w:style w:type="character" w:customStyle="1" w:styleId="SubtitleChar">
    <w:name w:val="Subtitle Char"/>
    <w:basedOn w:val="DefaultParagraphFont"/>
    <w:link w:val="Subtitle"/>
    <w:uiPriority w:val="99"/>
    <w:locked/>
    <w:rsid w:val="00EB3C7D"/>
    <w:rPr>
      <w:rFonts w:cs="Times New Roman"/>
      <w:b/>
      <w:sz w:val="24"/>
    </w:rPr>
  </w:style>
  <w:style w:type="character" w:styleId="Strong">
    <w:name w:val="Strong"/>
    <w:basedOn w:val="DefaultParagraphFont"/>
    <w:uiPriority w:val="99"/>
    <w:qFormat/>
    <w:rsid w:val="00EB3C7D"/>
    <w:rPr>
      <w:rFonts w:cs="Times New Roman"/>
      <w:b/>
    </w:rPr>
  </w:style>
  <w:style w:type="paragraph" w:styleId="BodyText">
    <w:name w:val="Body Text"/>
    <w:basedOn w:val="Normal"/>
    <w:link w:val="BodyTextChar"/>
    <w:uiPriority w:val="99"/>
    <w:rsid w:val="00EB3C7D"/>
    <w:pPr>
      <w:spacing w:before="120" w:after="120"/>
      <w:jc w:val="both"/>
    </w:pPr>
    <w:rPr>
      <w:rFonts w:ascii="Cambria" w:eastAsia="Times New Roman" w:hAnsi="Cambria"/>
      <w:lang w:eastAsia="en-US"/>
    </w:rPr>
  </w:style>
  <w:style w:type="character" w:customStyle="1" w:styleId="BodyTextChar">
    <w:name w:val="Body Text Char"/>
    <w:basedOn w:val="DefaultParagraphFont"/>
    <w:link w:val="BodyText"/>
    <w:uiPriority w:val="99"/>
    <w:locked/>
    <w:rsid w:val="00EB3C7D"/>
    <w:rPr>
      <w:rFonts w:ascii="Cambria" w:hAnsi="Cambria" w:cs="Times New Roman"/>
      <w:sz w:val="24"/>
    </w:rPr>
  </w:style>
  <w:style w:type="paragraph" w:customStyle="1" w:styleId="Default">
    <w:name w:val="Default"/>
    <w:uiPriority w:val="99"/>
    <w:rsid w:val="00EA6D2E"/>
    <w:pPr>
      <w:autoSpaceDE w:val="0"/>
      <w:autoSpaceDN w:val="0"/>
      <w:adjustRightInd w:val="0"/>
    </w:pPr>
    <w:rPr>
      <w:color w:val="000000"/>
      <w:sz w:val="24"/>
      <w:szCs w:val="24"/>
    </w:rPr>
  </w:style>
  <w:style w:type="paragraph" w:customStyle="1" w:styleId="Body">
    <w:name w:val="Body"/>
    <w:basedOn w:val="Normal"/>
    <w:link w:val="BodyChar"/>
    <w:uiPriority w:val="99"/>
    <w:rsid w:val="0002617F"/>
    <w:pPr>
      <w:spacing w:before="120" w:after="120"/>
    </w:pPr>
    <w:rPr>
      <w:rFonts w:ascii="Arial" w:eastAsia="Times New Roman" w:hAnsi="Arial"/>
      <w:szCs w:val="20"/>
    </w:rPr>
  </w:style>
  <w:style w:type="character" w:customStyle="1" w:styleId="BodyChar">
    <w:name w:val="Body Char"/>
    <w:link w:val="Body"/>
    <w:uiPriority w:val="99"/>
    <w:locked/>
    <w:rsid w:val="0002617F"/>
    <w:rPr>
      <w:rFonts w:ascii="Arial" w:hAnsi="Arial"/>
      <w:sz w:val="24"/>
    </w:rPr>
  </w:style>
  <w:style w:type="paragraph" w:styleId="EndnoteText">
    <w:name w:val="endnote text"/>
    <w:basedOn w:val="Normal"/>
    <w:link w:val="EndnoteTextChar"/>
    <w:uiPriority w:val="99"/>
    <w:rsid w:val="00283815"/>
    <w:rPr>
      <w:rFonts w:eastAsia="Times New Roman"/>
      <w:sz w:val="20"/>
      <w:szCs w:val="20"/>
      <w:lang w:eastAsia="en-US"/>
    </w:rPr>
  </w:style>
  <w:style w:type="character" w:customStyle="1" w:styleId="EndnoteTextChar">
    <w:name w:val="Endnote Text Char"/>
    <w:basedOn w:val="DefaultParagraphFont"/>
    <w:link w:val="EndnoteText"/>
    <w:uiPriority w:val="99"/>
    <w:locked/>
    <w:rsid w:val="00283815"/>
    <w:rPr>
      <w:rFonts w:cs="Times New Roman"/>
    </w:rPr>
  </w:style>
  <w:style w:type="paragraph" w:styleId="ListParagraph">
    <w:name w:val="List Paragraph"/>
    <w:basedOn w:val="Normal"/>
    <w:uiPriority w:val="99"/>
    <w:qFormat/>
    <w:rsid w:val="00372362"/>
    <w:pPr>
      <w:ind w:left="720"/>
    </w:pPr>
  </w:style>
  <w:style w:type="character" w:styleId="FollowedHyperlink">
    <w:name w:val="FollowedHyperlink"/>
    <w:basedOn w:val="DefaultParagraphFont"/>
    <w:uiPriority w:val="99"/>
    <w:rsid w:val="009F4D23"/>
    <w:rPr>
      <w:rFonts w:cs="Times New Roman"/>
      <w:color w:val="800080"/>
      <w:u w:val="single"/>
    </w:rPr>
  </w:style>
  <w:style w:type="paragraph" w:customStyle="1" w:styleId="tbltxt9pt">
    <w:name w:val="tbltxt9pt"/>
    <w:basedOn w:val="Normal"/>
    <w:uiPriority w:val="99"/>
    <w:rsid w:val="00E63A86"/>
    <w:rPr>
      <w:rFonts w:eastAsia="Times New Roman"/>
      <w:sz w:val="18"/>
      <w:szCs w:val="18"/>
      <w:lang w:eastAsia="en-US"/>
    </w:rPr>
  </w:style>
  <w:style w:type="paragraph" w:customStyle="1" w:styleId="CharCharCharCharCharCharCharCharCharCharChar1CharCharCharCharCharCharChar1">
    <w:name w:val="Char Char Char Char Char Char Char Char Char Char Char1 Char Char Char Char Char Char Char1"/>
    <w:basedOn w:val="Normal"/>
    <w:uiPriority w:val="99"/>
    <w:rsid w:val="004C4D8D"/>
    <w:pPr>
      <w:spacing w:after="160" w:line="240" w:lineRule="exact"/>
    </w:pPr>
    <w:rPr>
      <w:rFonts w:ascii="Verdana" w:hAnsi="Verdana"/>
      <w:sz w:val="20"/>
    </w:rPr>
  </w:style>
  <w:style w:type="paragraph" w:customStyle="1" w:styleId="CharCharCharCharCharCharCharCharCharCharChar1">
    <w:name w:val="Char Char Char Char Char Char Char Char Char Char Char1"/>
    <w:basedOn w:val="Normal"/>
    <w:uiPriority w:val="99"/>
    <w:rsid w:val="004C4D8D"/>
    <w:pPr>
      <w:spacing w:after="160" w:line="240" w:lineRule="exact"/>
    </w:pPr>
    <w:rPr>
      <w:rFonts w:ascii="Verdana" w:hAnsi="Verdana"/>
      <w:sz w:val="20"/>
    </w:rPr>
  </w:style>
  <w:style w:type="paragraph" w:styleId="Revision">
    <w:name w:val="Revision"/>
    <w:hidden/>
    <w:uiPriority w:val="99"/>
    <w:semiHidden/>
    <w:rsid w:val="0043176F"/>
    <w:rPr>
      <w:rFonts w:eastAsia="MS Mincho"/>
      <w:sz w:val="24"/>
      <w:szCs w:val="24"/>
      <w:lang w:eastAsia="ja-JP"/>
    </w:rPr>
  </w:style>
  <w:style w:type="paragraph" w:customStyle="1" w:styleId="ColorfulList-Accent11">
    <w:name w:val="Colorful List - Accent 11"/>
    <w:basedOn w:val="Normal"/>
    <w:uiPriority w:val="99"/>
    <w:rsid w:val="00C174D5"/>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DefaultParagraphFont"/>
    <w:uiPriority w:val="99"/>
    <w:rsid w:val="00C174D5"/>
    <w:rPr>
      <w:rFonts w:cs="Times New Roman"/>
    </w:rPr>
  </w:style>
  <w:style w:type="character" w:customStyle="1" w:styleId="apple-converted-space">
    <w:name w:val="apple-converted-space"/>
    <w:basedOn w:val="DefaultParagraphFont"/>
    <w:uiPriority w:val="99"/>
    <w:rsid w:val="00D2503D"/>
    <w:rPr>
      <w:rFonts w:cs="Times New Roman"/>
    </w:rPr>
  </w:style>
  <w:style w:type="paragraph" w:customStyle="1" w:styleId="Bullets">
    <w:name w:val="Bullets"/>
    <w:basedOn w:val="Body"/>
    <w:uiPriority w:val="99"/>
    <w:rsid w:val="00A83F50"/>
    <w:pPr>
      <w:widowControl w:val="0"/>
      <w:tabs>
        <w:tab w:val="left" w:pos="720"/>
        <w:tab w:val="left" w:pos="1680"/>
        <w:tab w:val="left" w:pos="2880"/>
      </w:tabs>
      <w:suppressAutoHyphens/>
      <w:autoSpaceDE w:val="0"/>
      <w:autoSpaceDN w:val="0"/>
      <w:adjustRightInd w:val="0"/>
      <w:spacing w:before="60" w:after="60" w:line="300" w:lineRule="atLeast"/>
      <w:ind w:left="720" w:hanging="360"/>
      <w:textAlignment w:val="center"/>
    </w:pPr>
    <w:rPr>
      <w:rFonts w:ascii="StoneSerif" w:eastAsia="MS Mincho" w:hAnsi="StoneSerif" w:cs="StoneSerif"/>
      <w:color w:val="000000"/>
      <w:sz w:val="22"/>
      <w:szCs w:val="22"/>
      <w:lang w:eastAsia="en-US"/>
    </w:rPr>
  </w:style>
  <w:style w:type="paragraph" w:customStyle="1" w:styleId="WW-Default">
    <w:name w:val="WW-Default"/>
    <w:uiPriority w:val="99"/>
    <w:rsid w:val="00A83F50"/>
    <w:pPr>
      <w:suppressAutoHyphens/>
      <w:autoSpaceDE w:val="0"/>
    </w:pPr>
    <w:rPr>
      <w:rFonts w:eastAsia="MS Mincho"/>
      <w:color w:val="000000"/>
      <w:sz w:val="24"/>
      <w:szCs w:val="24"/>
      <w:lang w:eastAsia="ar-SA"/>
    </w:rPr>
  </w:style>
  <w:style w:type="paragraph" w:customStyle="1" w:styleId="msolistparagraph0">
    <w:name w:val="msolistparagraph"/>
    <w:basedOn w:val="Normal"/>
    <w:uiPriority w:val="99"/>
    <w:rsid w:val="006608A1"/>
    <w:pPr>
      <w:ind w:left="720"/>
    </w:pPr>
    <w:rPr>
      <w:rFonts w:ascii="Calibri" w:hAnsi="Calibri"/>
      <w:sz w:val="22"/>
      <w:szCs w:val="22"/>
    </w:rPr>
  </w:style>
  <w:style w:type="paragraph" w:customStyle="1" w:styleId="Style1">
    <w:name w:val="Style1"/>
    <w:basedOn w:val="Heading1"/>
    <w:uiPriority w:val="99"/>
    <w:rsid w:val="00136E11"/>
    <w:pPr>
      <w:shd w:val="clear" w:color="auto" w:fill="000080"/>
    </w:pPr>
    <w:rPr>
      <w:rFonts w:ascii="Calibri" w:hAnsi="Calibri"/>
      <w:color w:val="FFFFFF"/>
    </w:rPr>
  </w:style>
  <w:style w:type="paragraph" w:styleId="TOCHeading">
    <w:name w:val="TOC Heading"/>
    <w:basedOn w:val="Heading1"/>
    <w:next w:val="Normal"/>
    <w:uiPriority w:val="99"/>
    <w:qFormat/>
    <w:rsid w:val="00136E11"/>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libri" w:eastAsia="MS ????" w:hAnsi="Calibri"/>
      <w:bCs/>
      <w:color w:val="365F91"/>
      <w:sz w:val="28"/>
      <w:szCs w:val="28"/>
      <w:lang w:eastAsia="en-US"/>
    </w:rPr>
  </w:style>
  <w:style w:type="character" w:customStyle="1" w:styleId="A12">
    <w:name w:val="A12"/>
    <w:uiPriority w:val="99"/>
    <w:rsid w:val="00333E49"/>
    <w:rPr>
      <w:color w:val="000000"/>
      <w:sz w:val="14"/>
    </w:rPr>
  </w:style>
  <w:style w:type="table" w:styleId="LightList-Accent1">
    <w:name w:val="Light List Accent 1"/>
    <w:basedOn w:val="TableNormal"/>
    <w:uiPriority w:val="99"/>
    <w:rsid w:val="00B500C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ing1Left0">
    <w:name w:val="Heading 1 + Left:  0&quot;"/>
    <w:aliases w:val="First line:  0&quot;"/>
    <w:basedOn w:val="Heading1"/>
    <w:uiPriority w:val="99"/>
    <w:rsid w:val="001C7A5D"/>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6039">
      <w:marLeft w:val="0"/>
      <w:marRight w:val="0"/>
      <w:marTop w:val="0"/>
      <w:marBottom w:val="0"/>
      <w:divBdr>
        <w:top w:val="none" w:sz="0" w:space="0" w:color="auto"/>
        <w:left w:val="none" w:sz="0" w:space="0" w:color="auto"/>
        <w:bottom w:val="none" w:sz="0" w:space="0" w:color="auto"/>
        <w:right w:val="none" w:sz="0" w:space="0" w:color="auto"/>
      </w:divBdr>
      <w:divsChild>
        <w:div w:id="1750036460">
          <w:marLeft w:val="0"/>
          <w:marRight w:val="0"/>
          <w:marTop w:val="0"/>
          <w:marBottom w:val="0"/>
          <w:divBdr>
            <w:top w:val="none" w:sz="0" w:space="0" w:color="auto"/>
            <w:left w:val="none" w:sz="0" w:space="0" w:color="auto"/>
            <w:bottom w:val="none" w:sz="0" w:space="0" w:color="auto"/>
            <w:right w:val="none" w:sz="0" w:space="0" w:color="auto"/>
          </w:divBdr>
          <w:divsChild>
            <w:div w:id="1750036239">
              <w:marLeft w:val="0"/>
              <w:marRight w:val="0"/>
              <w:marTop w:val="0"/>
              <w:marBottom w:val="0"/>
              <w:divBdr>
                <w:top w:val="none" w:sz="0" w:space="0" w:color="auto"/>
                <w:left w:val="none" w:sz="0" w:space="0" w:color="auto"/>
                <w:bottom w:val="none" w:sz="0" w:space="0" w:color="auto"/>
                <w:right w:val="none" w:sz="0" w:space="0" w:color="auto"/>
              </w:divBdr>
            </w:div>
            <w:div w:id="1750036313">
              <w:marLeft w:val="0"/>
              <w:marRight w:val="0"/>
              <w:marTop w:val="0"/>
              <w:marBottom w:val="0"/>
              <w:divBdr>
                <w:top w:val="none" w:sz="0" w:space="0" w:color="auto"/>
                <w:left w:val="none" w:sz="0" w:space="0" w:color="auto"/>
                <w:bottom w:val="none" w:sz="0" w:space="0" w:color="auto"/>
                <w:right w:val="none" w:sz="0" w:space="0" w:color="auto"/>
              </w:divBdr>
            </w:div>
            <w:div w:id="17500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47">
      <w:marLeft w:val="0"/>
      <w:marRight w:val="0"/>
      <w:marTop w:val="0"/>
      <w:marBottom w:val="0"/>
      <w:divBdr>
        <w:top w:val="none" w:sz="0" w:space="0" w:color="auto"/>
        <w:left w:val="none" w:sz="0" w:space="0" w:color="auto"/>
        <w:bottom w:val="none" w:sz="0" w:space="0" w:color="auto"/>
        <w:right w:val="none" w:sz="0" w:space="0" w:color="auto"/>
      </w:divBdr>
    </w:div>
    <w:div w:id="1750036049">
      <w:marLeft w:val="0"/>
      <w:marRight w:val="0"/>
      <w:marTop w:val="0"/>
      <w:marBottom w:val="0"/>
      <w:divBdr>
        <w:top w:val="none" w:sz="0" w:space="0" w:color="auto"/>
        <w:left w:val="none" w:sz="0" w:space="0" w:color="auto"/>
        <w:bottom w:val="none" w:sz="0" w:space="0" w:color="auto"/>
        <w:right w:val="none" w:sz="0" w:space="0" w:color="auto"/>
      </w:divBdr>
    </w:div>
    <w:div w:id="1750036050">
      <w:marLeft w:val="0"/>
      <w:marRight w:val="0"/>
      <w:marTop w:val="0"/>
      <w:marBottom w:val="0"/>
      <w:divBdr>
        <w:top w:val="none" w:sz="0" w:space="0" w:color="auto"/>
        <w:left w:val="none" w:sz="0" w:space="0" w:color="auto"/>
        <w:bottom w:val="none" w:sz="0" w:space="0" w:color="auto"/>
        <w:right w:val="none" w:sz="0" w:space="0" w:color="auto"/>
      </w:divBdr>
    </w:div>
    <w:div w:id="1750036054">
      <w:marLeft w:val="0"/>
      <w:marRight w:val="0"/>
      <w:marTop w:val="0"/>
      <w:marBottom w:val="0"/>
      <w:divBdr>
        <w:top w:val="none" w:sz="0" w:space="0" w:color="auto"/>
        <w:left w:val="none" w:sz="0" w:space="0" w:color="auto"/>
        <w:bottom w:val="none" w:sz="0" w:space="0" w:color="auto"/>
        <w:right w:val="none" w:sz="0" w:space="0" w:color="auto"/>
      </w:divBdr>
    </w:div>
    <w:div w:id="1750036055">
      <w:marLeft w:val="0"/>
      <w:marRight w:val="0"/>
      <w:marTop w:val="0"/>
      <w:marBottom w:val="0"/>
      <w:divBdr>
        <w:top w:val="none" w:sz="0" w:space="0" w:color="auto"/>
        <w:left w:val="none" w:sz="0" w:space="0" w:color="auto"/>
        <w:bottom w:val="none" w:sz="0" w:space="0" w:color="auto"/>
        <w:right w:val="none" w:sz="0" w:space="0" w:color="auto"/>
      </w:divBdr>
    </w:div>
    <w:div w:id="1750036061">
      <w:marLeft w:val="0"/>
      <w:marRight w:val="0"/>
      <w:marTop w:val="0"/>
      <w:marBottom w:val="0"/>
      <w:divBdr>
        <w:top w:val="none" w:sz="0" w:space="0" w:color="auto"/>
        <w:left w:val="none" w:sz="0" w:space="0" w:color="auto"/>
        <w:bottom w:val="none" w:sz="0" w:space="0" w:color="auto"/>
        <w:right w:val="none" w:sz="0" w:space="0" w:color="auto"/>
      </w:divBdr>
    </w:div>
    <w:div w:id="1750036063">
      <w:marLeft w:val="0"/>
      <w:marRight w:val="0"/>
      <w:marTop w:val="0"/>
      <w:marBottom w:val="0"/>
      <w:divBdr>
        <w:top w:val="none" w:sz="0" w:space="0" w:color="auto"/>
        <w:left w:val="none" w:sz="0" w:space="0" w:color="auto"/>
        <w:bottom w:val="none" w:sz="0" w:space="0" w:color="auto"/>
        <w:right w:val="none" w:sz="0" w:space="0" w:color="auto"/>
      </w:divBdr>
      <w:divsChild>
        <w:div w:id="1750036187">
          <w:marLeft w:val="0"/>
          <w:marRight w:val="0"/>
          <w:marTop w:val="0"/>
          <w:marBottom w:val="0"/>
          <w:divBdr>
            <w:top w:val="none" w:sz="0" w:space="0" w:color="auto"/>
            <w:left w:val="none" w:sz="0" w:space="0" w:color="auto"/>
            <w:bottom w:val="none" w:sz="0" w:space="0" w:color="auto"/>
            <w:right w:val="none" w:sz="0" w:space="0" w:color="auto"/>
          </w:divBdr>
        </w:div>
        <w:div w:id="1750036279">
          <w:marLeft w:val="0"/>
          <w:marRight w:val="0"/>
          <w:marTop w:val="0"/>
          <w:marBottom w:val="0"/>
          <w:divBdr>
            <w:top w:val="none" w:sz="0" w:space="0" w:color="auto"/>
            <w:left w:val="none" w:sz="0" w:space="0" w:color="auto"/>
            <w:bottom w:val="none" w:sz="0" w:space="0" w:color="auto"/>
            <w:right w:val="none" w:sz="0" w:space="0" w:color="auto"/>
          </w:divBdr>
        </w:div>
        <w:div w:id="1750036406">
          <w:marLeft w:val="0"/>
          <w:marRight w:val="0"/>
          <w:marTop w:val="0"/>
          <w:marBottom w:val="0"/>
          <w:divBdr>
            <w:top w:val="none" w:sz="0" w:space="0" w:color="auto"/>
            <w:left w:val="none" w:sz="0" w:space="0" w:color="auto"/>
            <w:bottom w:val="none" w:sz="0" w:space="0" w:color="auto"/>
            <w:right w:val="none" w:sz="0" w:space="0" w:color="auto"/>
          </w:divBdr>
        </w:div>
        <w:div w:id="1750036463">
          <w:marLeft w:val="0"/>
          <w:marRight w:val="0"/>
          <w:marTop w:val="0"/>
          <w:marBottom w:val="0"/>
          <w:divBdr>
            <w:top w:val="none" w:sz="0" w:space="0" w:color="auto"/>
            <w:left w:val="none" w:sz="0" w:space="0" w:color="auto"/>
            <w:bottom w:val="none" w:sz="0" w:space="0" w:color="auto"/>
            <w:right w:val="none" w:sz="0" w:space="0" w:color="auto"/>
          </w:divBdr>
        </w:div>
      </w:divsChild>
    </w:div>
    <w:div w:id="1750036068">
      <w:marLeft w:val="0"/>
      <w:marRight w:val="0"/>
      <w:marTop w:val="0"/>
      <w:marBottom w:val="0"/>
      <w:divBdr>
        <w:top w:val="none" w:sz="0" w:space="0" w:color="auto"/>
        <w:left w:val="none" w:sz="0" w:space="0" w:color="auto"/>
        <w:bottom w:val="none" w:sz="0" w:space="0" w:color="auto"/>
        <w:right w:val="none" w:sz="0" w:space="0" w:color="auto"/>
      </w:divBdr>
    </w:div>
    <w:div w:id="1750036069">
      <w:marLeft w:val="0"/>
      <w:marRight w:val="0"/>
      <w:marTop w:val="0"/>
      <w:marBottom w:val="0"/>
      <w:divBdr>
        <w:top w:val="none" w:sz="0" w:space="0" w:color="auto"/>
        <w:left w:val="none" w:sz="0" w:space="0" w:color="auto"/>
        <w:bottom w:val="none" w:sz="0" w:space="0" w:color="auto"/>
        <w:right w:val="none" w:sz="0" w:space="0" w:color="auto"/>
      </w:divBdr>
    </w:div>
    <w:div w:id="1750036070">
      <w:marLeft w:val="0"/>
      <w:marRight w:val="0"/>
      <w:marTop w:val="0"/>
      <w:marBottom w:val="0"/>
      <w:divBdr>
        <w:top w:val="none" w:sz="0" w:space="0" w:color="auto"/>
        <w:left w:val="none" w:sz="0" w:space="0" w:color="auto"/>
        <w:bottom w:val="none" w:sz="0" w:space="0" w:color="auto"/>
        <w:right w:val="none" w:sz="0" w:space="0" w:color="auto"/>
      </w:divBdr>
      <w:divsChild>
        <w:div w:id="1750036459">
          <w:marLeft w:val="0"/>
          <w:marRight w:val="0"/>
          <w:marTop w:val="0"/>
          <w:marBottom w:val="0"/>
          <w:divBdr>
            <w:top w:val="none" w:sz="0" w:space="0" w:color="auto"/>
            <w:left w:val="none" w:sz="0" w:space="0" w:color="auto"/>
            <w:bottom w:val="none" w:sz="0" w:space="0" w:color="auto"/>
            <w:right w:val="none" w:sz="0" w:space="0" w:color="auto"/>
          </w:divBdr>
          <w:divsChild>
            <w:div w:id="17500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80">
      <w:marLeft w:val="0"/>
      <w:marRight w:val="0"/>
      <w:marTop w:val="0"/>
      <w:marBottom w:val="0"/>
      <w:divBdr>
        <w:top w:val="none" w:sz="0" w:space="0" w:color="auto"/>
        <w:left w:val="none" w:sz="0" w:space="0" w:color="auto"/>
        <w:bottom w:val="none" w:sz="0" w:space="0" w:color="auto"/>
        <w:right w:val="none" w:sz="0" w:space="0" w:color="auto"/>
      </w:divBdr>
      <w:divsChild>
        <w:div w:id="1750036387">
          <w:marLeft w:val="0"/>
          <w:marRight w:val="0"/>
          <w:marTop w:val="0"/>
          <w:marBottom w:val="0"/>
          <w:divBdr>
            <w:top w:val="none" w:sz="0" w:space="0" w:color="auto"/>
            <w:left w:val="none" w:sz="0" w:space="0" w:color="auto"/>
            <w:bottom w:val="none" w:sz="0" w:space="0" w:color="auto"/>
            <w:right w:val="none" w:sz="0" w:space="0" w:color="auto"/>
          </w:divBdr>
          <w:divsChild>
            <w:div w:id="1750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81">
      <w:marLeft w:val="0"/>
      <w:marRight w:val="0"/>
      <w:marTop w:val="0"/>
      <w:marBottom w:val="0"/>
      <w:divBdr>
        <w:top w:val="none" w:sz="0" w:space="0" w:color="auto"/>
        <w:left w:val="none" w:sz="0" w:space="0" w:color="auto"/>
        <w:bottom w:val="none" w:sz="0" w:space="0" w:color="auto"/>
        <w:right w:val="none" w:sz="0" w:space="0" w:color="auto"/>
      </w:divBdr>
      <w:divsChild>
        <w:div w:id="1750036140">
          <w:marLeft w:val="0"/>
          <w:marRight w:val="0"/>
          <w:marTop w:val="0"/>
          <w:marBottom w:val="0"/>
          <w:divBdr>
            <w:top w:val="none" w:sz="0" w:space="0" w:color="auto"/>
            <w:left w:val="none" w:sz="0" w:space="0" w:color="auto"/>
            <w:bottom w:val="none" w:sz="0" w:space="0" w:color="auto"/>
            <w:right w:val="none" w:sz="0" w:space="0" w:color="auto"/>
          </w:divBdr>
        </w:div>
      </w:divsChild>
    </w:div>
    <w:div w:id="1750036083">
      <w:marLeft w:val="0"/>
      <w:marRight w:val="0"/>
      <w:marTop w:val="0"/>
      <w:marBottom w:val="0"/>
      <w:divBdr>
        <w:top w:val="none" w:sz="0" w:space="0" w:color="auto"/>
        <w:left w:val="none" w:sz="0" w:space="0" w:color="auto"/>
        <w:bottom w:val="none" w:sz="0" w:space="0" w:color="auto"/>
        <w:right w:val="none" w:sz="0" w:space="0" w:color="auto"/>
      </w:divBdr>
      <w:divsChild>
        <w:div w:id="1750036065">
          <w:marLeft w:val="0"/>
          <w:marRight w:val="0"/>
          <w:marTop w:val="0"/>
          <w:marBottom w:val="0"/>
          <w:divBdr>
            <w:top w:val="none" w:sz="0" w:space="0" w:color="auto"/>
            <w:left w:val="none" w:sz="0" w:space="0" w:color="auto"/>
            <w:bottom w:val="none" w:sz="0" w:space="0" w:color="auto"/>
            <w:right w:val="none" w:sz="0" w:space="0" w:color="auto"/>
          </w:divBdr>
          <w:divsChild>
            <w:div w:id="1750036051">
              <w:marLeft w:val="0"/>
              <w:marRight w:val="0"/>
              <w:marTop w:val="0"/>
              <w:marBottom w:val="0"/>
              <w:divBdr>
                <w:top w:val="none" w:sz="0" w:space="0" w:color="auto"/>
                <w:left w:val="none" w:sz="0" w:space="0" w:color="auto"/>
                <w:bottom w:val="none" w:sz="0" w:space="0" w:color="auto"/>
                <w:right w:val="none" w:sz="0" w:space="0" w:color="auto"/>
              </w:divBdr>
            </w:div>
            <w:div w:id="1750036146">
              <w:marLeft w:val="0"/>
              <w:marRight w:val="0"/>
              <w:marTop w:val="0"/>
              <w:marBottom w:val="0"/>
              <w:divBdr>
                <w:top w:val="none" w:sz="0" w:space="0" w:color="auto"/>
                <w:left w:val="none" w:sz="0" w:space="0" w:color="auto"/>
                <w:bottom w:val="none" w:sz="0" w:space="0" w:color="auto"/>
                <w:right w:val="none" w:sz="0" w:space="0" w:color="auto"/>
              </w:divBdr>
            </w:div>
            <w:div w:id="1750036200">
              <w:marLeft w:val="0"/>
              <w:marRight w:val="0"/>
              <w:marTop w:val="0"/>
              <w:marBottom w:val="0"/>
              <w:divBdr>
                <w:top w:val="none" w:sz="0" w:space="0" w:color="auto"/>
                <w:left w:val="none" w:sz="0" w:space="0" w:color="auto"/>
                <w:bottom w:val="none" w:sz="0" w:space="0" w:color="auto"/>
                <w:right w:val="none" w:sz="0" w:space="0" w:color="auto"/>
              </w:divBdr>
            </w:div>
            <w:div w:id="1750036202">
              <w:marLeft w:val="0"/>
              <w:marRight w:val="0"/>
              <w:marTop w:val="0"/>
              <w:marBottom w:val="0"/>
              <w:divBdr>
                <w:top w:val="none" w:sz="0" w:space="0" w:color="auto"/>
                <w:left w:val="none" w:sz="0" w:space="0" w:color="auto"/>
                <w:bottom w:val="none" w:sz="0" w:space="0" w:color="auto"/>
                <w:right w:val="none" w:sz="0" w:space="0" w:color="auto"/>
              </w:divBdr>
            </w:div>
            <w:div w:id="1750036229">
              <w:marLeft w:val="0"/>
              <w:marRight w:val="0"/>
              <w:marTop w:val="0"/>
              <w:marBottom w:val="0"/>
              <w:divBdr>
                <w:top w:val="none" w:sz="0" w:space="0" w:color="auto"/>
                <w:left w:val="none" w:sz="0" w:space="0" w:color="auto"/>
                <w:bottom w:val="none" w:sz="0" w:space="0" w:color="auto"/>
                <w:right w:val="none" w:sz="0" w:space="0" w:color="auto"/>
              </w:divBdr>
            </w:div>
            <w:div w:id="1750036272">
              <w:marLeft w:val="0"/>
              <w:marRight w:val="0"/>
              <w:marTop w:val="0"/>
              <w:marBottom w:val="0"/>
              <w:divBdr>
                <w:top w:val="none" w:sz="0" w:space="0" w:color="auto"/>
                <w:left w:val="none" w:sz="0" w:space="0" w:color="auto"/>
                <w:bottom w:val="none" w:sz="0" w:space="0" w:color="auto"/>
                <w:right w:val="none" w:sz="0" w:space="0" w:color="auto"/>
              </w:divBdr>
            </w:div>
            <w:div w:id="1750036281">
              <w:marLeft w:val="0"/>
              <w:marRight w:val="0"/>
              <w:marTop w:val="0"/>
              <w:marBottom w:val="0"/>
              <w:divBdr>
                <w:top w:val="none" w:sz="0" w:space="0" w:color="auto"/>
                <w:left w:val="none" w:sz="0" w:space="0" w:color="auto"/>
                <w:bottom w:val="none" w:sz="0" w:space="0" w:color="auto"/>
                <w:right w:val="none" w:sz="0" w:space="0" w:color="auto"/>
              </w:divBdr>
            </w:div>
            <w:div w:id="1750036293">
              <w:marLeft w:val="0"/>
              <w:marRight w:val="0"/>
              <w:marTop w:val="0"/>
              <w:marBottom w:val="0"/>
              <w:divBdr>
                <w:top w:val="none" w:sz="0" w:space="0" w:color="auto"/>
                <w:left w:val="none" w:sz="0" w:space="0" w:color="auto"/>
                <w:bottom w:val="none" w:sz="0" w:space="0" w:color="auto"/>
                <w:right w:val="none" w:sz="0" w:space="0" w:color="auto"/>
              </w:divBdr>
            </w:div>
            <w:div w:id="1750036295">
              <w:marLeft w:val="0"/>
              <w:marRight w:val="0"/>
              <w:marTop w:val="0"/>
              <w:marBottom w:val="0"/>
              <w:divBdr>
                <w:top w:val="none" w:sz="0" w:space="0" w:color="auto"/>
                <w:left w:val="none" w:sz="0" w:space="0" w:color="auto"/>
                <w:bottom w:val="none" w:sz="0" w:space="0" w:color="auto"/>
                <w:right w:val="none" w:sz="0" w:space="0" w:color="auto"/>
              </w:divBdr>
            </w:div>
            <w:div w:id="1750036333">
              <w:marLeft w:val="0"/>
              <w:marRight w:val="0"/>
              <w:marTop w:val="0"/>
              <w:marBottom w:val="0"/>
              <w:divBdr>
                <w:top w:val="none" w:sz="0" w:space="0" w:color="auto"/>
                <w:left w:val="none" w:sz="0" w:space="0" w:color="auto"/>
                <w:bottom w:val="none" w:sz="0" w:space="0" w:color="auto"/>
                <w:right w:val="none" w:sz="0" w:space="0" w:color="auto"/>
              </w:divBdr>
            </w:div>
            <w:div w:id="1750036343">
              <w:marLeft w:val="0"/>
              <w:marRight w:val="0"/>
              <w:marTop w:val="0"/>
              <w:marBottom w:val="0"/>
              <w:divBdr>
                <w:top w:val="none" w:sz="0" w:space="0" w:color="auto"/>
                <w:left w:val="none" w:sz="0" w:space="0" w:color="auto"/>
                <w:bottom w:val="none" w:sz="0" w:space="0" w:color="auto"/>
                <w:right w:val="none" w:sz="0" w:space="0" w:color="auto"/>
              </w:divBdr>
            </w:div>
            <w:div w:id="1750036361">
              <w:marLeft w:val="0"/>
              <w:marRight w:val="0"/>
              <w:marTop w:val="0"/>
              <w:marBottom w:val="0"/>
              <w:divBdr>
                <w:top w:val="none" w:sz="0" w:space="0" w:color="auto"/>
                <w:left w:val="none" w:sz="0" w:space="0" w:color="auto"/>
                <w:bottom w:val="none" w:sz="0" w:space="0" w:color="auto"/>
                <w:right w:val="none" w:sz="0" w:space="0" w:color="auto"/>
              </w:divBdr>
            </w:div>
            <w:div w:id="1750036375">
              <w:marLeft w:val="0"/>
              <w:marRight w:val="0"/>
              <w:marTop w:val="0"/>
              <w:marBottom w:val="0"/>
              <w:divBdr>
                <w:top w:val="none" w:sz="0" w:space="0" w:color="auto"/>
                <w:left w:val="none" w:sz="0" w:space="0" w:color="auto"/>
                <w:bottom w:val="none" w:sz="0" w:space="0" w:color="auto"/>
                <w:right w:val="none" w:sz="0" w:space="0" w:color="auto"/>
              </w:divBdr>
            </w:div>
            <w:div w:id="1750036407">
              <w:marLeft w:val="0"/>
              <w:marRight w:val="0"/>
              <w:marTop w:val="0"/>
              <w:marBottom w:val="0"/>
              <w:divBdr>
                <w:top w:val="none" w:sz="0" w:space="0" w:color="auto"/>
                <w:left w:val="none" w:sz="0" w:space="0" w:color="auto"/>
                <w:bottom w:val="none" w:sz="0" w:space="0" w:color="auto"/>
                <w:right w:val="none" w:sz="0" w:space="0" w:color="auto"/>
              </w:divBdr>
            </w:div>
            <w:div w:id="1750036418">
              <w:marLeft w:val="0"/>
              <w:marRight w:val="0"/>
              <w:marTop w:val="0"/>
              <w:marBottom w:val="0"/>
              <w:divBdr>
                <w:top w:val="none" w:sz="0" w:space="0" w:color="auto"/>
                <w:left w:val="none" w:sz="0" w:space="0" w:color="auto"/>
                <w:bottom w:val="none" w:sz="0" w:space="0" w:color="auto"/>
                <w:right w:val="none" w:sz="0" w:space="0" w:color="auto"/>
              </w:divBdr>
            </w:div>
            <w:div w:id="17500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86">
      <w:marLeft w:val="0"/>
      <w:marRight w:val="0"/>
      <w:marTop w:val="0"/>
      <w:marBottom w:val="0"/>
      <w:divBdr>
        <w:top w:val="none" w:sz="0" w:space="0" w:color="auto"/>
        <w:left w:val="none" w:sz="0" w:space="0" w:color="auto"/>
        <w:bottom w:val="none" w:sz="0" w:space="0" w:color="auto"/>
        <w:right w:val="none" w:sz="0" w:space="0" w:color="auto"/>
      </w:divBdr>
    </w:div>
    <w:div w:id="1750036090">
      <w:marLeft w:val="0"/>
      <w:marRight w:val="0"/>
      <w:marTop w:val="0"/>
      <w:marBottom w:val="0"/>
      <w:divBdr>
        <w:top w:val="none" w:sz="0" w:space="0" w:color="auto"/>
        <w:left w:val="none" w:sz="0" w:space="0" w:color="auto"/>
        <w:bottom w:val="none" w:sz="0" w:space="0" w:color="auto"/>
        <w:right w:val="none" w:sz="0" w:space="0" w:color="auto"/>
      </w:divBdr>
    </w:div>
    <w:div w:id="1750036092">
      <w:marLeft w:val="0"/>
      <w:marRight w:val="0"/>
      <w:marTop w:val="0"/>
      <w:marBottom w:val="0"/>
      <w:divBdr>
        <w:top w:val="none" w:sz="0" w:space="0" w:color="auto"/>
        <w:left w:val="none" w:sz="0" w:space="0" w:color="auto"/>
        <w:bottom w:val="none" w:sz="0" w:space="0" w:color="auto"/>
        <w:right w:val="none" w:sz="0" w:space="0" w:color="auto"/>
      </w:divBdr>
    </w:div>
    <w:div w:id="1750036093">
      <w:marLeft w:val="0"/>
      <w:marRight w:val="0"/>
      <w:marTop w:val="0"/>
      <w:marBottom w:val="0"/>
      <w:divBdr>
        <w:top w:val="none" w:sz="0" w:space="0" w:color="auto"/>
        <w:left w:val="none" w:sz="0" w:space="0" w:color="auto"/>
        <w:bottom w:val="none" w:sz="0" w:space="0" w:color="auto"/>
        <w:right w:val="none" w:sz="0" w:space="0" w:color="auto"/>
      </w:divBdr>
      <w:divsChild>
        <w:div w:id="1750036480">
          <w:marLeft w:val="0"/>
          <w:marRight w:val="0"/>
          <w:marTop w:val="0"/>
          <w:marBottom w:val="0"/>
          <w:divBdr>
            <w:top w:val="none" w:sz="0" w:space="0" w:color="auto"/>
            <w:left w:val="none" w:sz="0" w:space="0" w:color="auto"/>
            <w:bottom w:val="none" w:sz="0" w:space="0" w:color="auto"/>
            <w:right w:val="none" w:sz="0" w:space="0" w:color="auto"/>
          </w:divBdr>
        </w:div>
      </w:divsChild>
    </w:div>
    <w:div w:id="1750036097">
      <w:marLeft w:val="0"/>
      <w:marRight w:val="0"/>
      <w:marTop w:val="0"/>
      <w:marBottom w:val="0"/>
      <w:divBdr>
        <w:top w:val="none" w:sz="0" w:space="0" w:color="auto"/>
        <w:left w:val="none" w:sz="0" w:space="0" w:color="auto"/>
        <w:bottom w:val="none" w:sz="0" w:space="0" w:color="auto"/>
        <w:right w:val="none" w:sz="0" w:space="0" w:color="auto"/>
      </w:divBdr>
    </w:div>
    <w:div w:id="1750036098">
      <w:marLeft w:val="0"/>
      <w:marRight w:val="0"/>
      <w:marTop w:val="0"/>
      <w:marBottom w:val="0"/>
      <w:divBdr>
        <w:top w:val="none" w:sz="0" w:space="0" w:color="auto"/>
        <w:left w:val="none" w:sz="0" w:space="0" w:color="auto"/>
        <w:bottom w:val="none" w:sz="0" w:space="0" w:color="auto"/>
        <w:right w:val="none" w:sz="0" w:space="0" w:color="auto"/>
      </w:divBdr>
    </w:div>
    <w:div w:id="1750036102">
      <w:marLeft w:val="0"/>
      <w:marRight w:val="0"/>
      <w:marTop w:val="0"/>
      <w:marBottom w:val="0"/>
      <w:divBdr>
        <w:top w:val="none" w:sz="0" w:space="0" w:color="auto"/>
        <w:left w:val="none" w:sz="0" w:space="0" w:color="auto"/>
        <w:bottom w:val="none" w:sz="0" w:space="0" w:color="auto"/>
        <w:right w:val="none" w:sz="0" w:space="0" w:color="auto"/>
      </w:divBdr>
      <w:divsChild>
        <w:div w:id="1750036073">
          <w:marLeft w:val="0"/>
          <w:marRight w:val="0"/>
          <w:marTop w:val="0"/>
          <w:marBottom w:val="0"/>
          <w:divBdr>
            <w:top w:val="none" w:sz="0" w:space="0" w:color="auto"/>
            <w:left w:val="none" w:sz="0" w:space="0" w:color="auto"/>
            <w:bottom w:val="none" w:sz="0" w:space="0" w:color="auto"/>
            <w:right w:val="none" w:sz="0" w:space="0" w:color="auto"/>
          </w:divBdr>
        </w:div>
        <w:div w:id="1750036078">
          <w:marLeft w:val="0"/>
          <w:marRight w:val="0"/>
          <w:marTop w:val="0"/>
          <w:marBottom w:val="0"/>
          <w:divBdr>
            <w:top w:val="none" w:sz="0" w:space="0" w:color="auto"/>
            <w:left w:val="none" w:sz="0" w:space="0" w:color="auto"/>
            <w:bottom w:val="none" w:sz="0" w:space="0" w:color="auto"/>
            <w:right w:val="none" w:sz="0" w:space="0" w:color="auto"/>
          </w:divBdr>
        </w:div>
        <w:div w:id="1750036171">
          <w:marLeft w:val="0"/>
          <w:marRight w:val="0"/>
          <w:marTop w:val="0"/>
          <w:marBottom w:val="0"/>
          <w:divBdr>
            <w:top w:val="none" w:sz="0" w:space="0" w:color="auto"/>
            <w:left w:val="none" w:sz="0" w:space="0" w:color="auto"/>
            <w:bottom w:val="none" w:sz="0" w:space="0" w:color="auto"/>
            <w:right w:val="none" w:sz="0" w:space="0" w:color="auto"/>
          </w:divBdr>
        </w:div>
        <w:div w:id="1750036474">
          <w:marLeft w:val="0"/>
          <w:marRight w:val="0"/>
          <w:marTop w:val="0"/>
          <w:marBottom w:val="0"/>
          <w:divBdr>
            <w:top w:val="none" w:sz="0" w:space="0" w:color="auto"/>
            <w:left w:val="none" w:sz="0" w:space="0" w:color="auto"/>
            <w:bottom w:val="none" w:sz="0" w:space="0" w:color="auto"/>
            <w:right w:val="none" w:sz="0" w:space="0" w:color="auto"/>
          </w:divBdr>
        </w:div>
      </w:divsChild>
    </w:div>
    <w:div w:id="1750036106">
      <w:marLeft w:val="0"/>
      <w:marRight w:val="0"/>
      <w:marTop w:val="0"/>
      <w:marBottom w:val="0"/>
      <w:divBdr>
        <w:top w:val="none" w:sz="0" w:space="0" w:color="auto"/>
        <w:left w:val="none" w:sz="0" w:space="0" w:color="auto"/>
        <w:bottom w:val="none" w:sz="0" w:space="0" w:color="auto"/>
        <w:right w:val="none" w:sz="0" w:space="0" w:color="auto"/>
      </w:divBdr>
    </w:div>
    <w:div w:id="1750036111">
      <w:marLeft w:val="0"/>
      <w:marRight w:val="0"/>
      <w:marTop w:val="0"/>
      <w:marBottom w:val="0"/>
      <w:divBdr>
        <w:top w:val="none" w:sz="0" w:space="0" w:color="auto"/>
        <w:left w:val="none" w:sz="0" w:space="0" w:color="auto"/>
        <w:bottom w:val="none" w:sz="0" w:space="0" w:color="auto"/>
        <w:right w:val="none" w:sz="0" w:space="0" w:color="auto"/>
      </w:divBdr>
      <w:divsChild>
        <w:div w:id="1750036196">
          <w:marLeft w:val="0"/>
          <w:marRight w:val="0"/>
          <w:marTop w:val="0"/>
          <w:marBottom w:val="0"/>
          <w:divBdr>
            <w:top w:val="none" w:sz="0" w:space="0" w:color="auto"/>
            <w:left w:val="none" w:sz="0" w:space="0" w:color="auto"/>
            <w:bottom w:val="none" w:sz="0" w:space="0" w:color="auto"/>
            <w:right w:val="none" w:sz="0" w:space="0" w:color="auto"/>
          </w:divBdr>
          <w:divsChild>
            <w:div w:id="1750036076">
              <w:marLeft w:val="0"/>
              <w:marRight w:val="0"/>
              <w:marTop w:val="0"/>
              <w:marBottom w:val="0"/>
              <w:divBdr>
                <w:top w:val="none" w:sz="0" w:space="0" w:color="auto"/>
                <w:left w:val="none" w:sz="0" w:space="0" w:color="auto"/>
                <w:bottom w:val="none" w:sz="0" w:space="0" w:color="auto"/>
                <w:right w:val="none" w:sz="0" w:space="0" w:color="auto"/>
              </w:divBdr>
            </w:div>
            <w:div w:id="1750036084">
              <w:marLeft w:val="0"/>
              <w:marRight w:val="0"/>
              <w:marTop w:val="0"/>
              <w:marBottom w:val="0"/>
              <w:divBdr>
                <w:top w:val="none" w:sz="0" w:space="0" w:color="auto"/>
                <w:left w:val="none" w:sz="0" w:space="0" w:color="auto"/>
                <w:bottom w:val="none" w:sz="0" w:space="0" w:color="auto"/>
                <w:right w:val="none" w:sz="0" w:space="0" w:color="auto"/>
              </w:divBdr>
            </w:div>
            <w:div w:id="1750036166">
              <w:marLeft w:val="0"/>
              <w:marRight w:val="0"/>
              <w:marTop w:val="0"/>
              <w:marBottom w:val="0"/>
              <w:divBdr>
                <w:top w:val="none" w:sz="0" w:space="0" w:color="auto"/>
                <w:left w:val="none" w:sz="0" w:space="0" w:color="auto"/>
                <w:bottom w:val="none" w:sz="0" w:space="0" w:color="auto"/>
                <w:right w:val="none" w:sz="0" w:space="0" w:color="auto"/>
              </w:divBdr>
            </w:div>
            <w:div w:id="1750036248">
              <w:marLeft w:val="0"/>
              <w:marRight w:val="0"/>
              <w:marTop w:val="0"/>
              <w:marBottom w:val="0"/>
              <w:divBdr>
                <w:top w:val="none" w:sz="0" w:space="0" w:color="auto"/>
                <w:left w:val="none" w:sz="0" w:space="0" w:color="auto"/>
                <w:bottom w:val="none" w:sz="0" w:space="0" w:color="auto"/>
                <w:right w:val="none" w:sz="0" w:space="0" w:color="auto"/>
              </w:divBdr>
            </w:div>
            <w:div w:id="1750036283">
              <w:marLeft w:val="0"/>
              <w:marRight w:val="0"/>
              <w:marTop w:val="0"/>
              <w:marBottom w:val="0"/>
              <w:divBdr>
                <w:top w:val="none" w:sz="0" w:space="0" w:color="auto"/>
                <w:left w:val="none" w:sz="0" w:space="0" w:color="auto"/>
                <w:bottom w:val="none" w:sz="0" w:space="0" w:color="auto"/>
                <w:right w:val="none" w:sz="0" w:space="0" w:color="auto"/>
              </w:divBdr>
            </w:div>
            <w:div w:id="1750036355">
              <w:marLeft w:val="0"/>
              <w:marRight w:val="0"/>
              <w:marTop w:val="0"/>
              <w:marBottom w:val="0"/>
              <w:divBdr>
                <w:top w:val="none" w:sz="0" w:space="0" w:color="auto"/>
                <w:left w:val="none" w:sz="0" w:space="0" w:color="auto"/>
                <w:bottom w:val="none" w:sz="0" w:space="0" w:color="auto"/>
                <w:right w:val="none" w:sz="0" w:space="0" w:color="auto"/>
              </w:divBdr>
            </w:div>
            <w:div w:id="17500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12">
      <w:marLeft w:val="0"/>
      <w:marRight w:val="0"/>
      <w:marTop w:val="0"/>
      <w:marBottom w:val="0"/>
      <w:divBdr>
        <w:top w:val="none" w:sz="0" w:space="0" w:color="auto"/>
        <w:left w:val="none" w:sz="0" w:space="0" w:color="auto"/>
        <w:bottom w:val="none" w:sz="0" w:space="0" w:color="auto"/>
        <w:right w:val="none" w:sz="0" w:space="0" w:color="auto"/>
      </w:divBdr>
      <w:divsChild>
        <w:div w:id="1750036278">
          <w:marLeft w:val="0"/>
          <w:marRight w:val="0"/>
          <w:marTop w:val="0"/>
          <w:marBottom w:val="0"/>
          <w:divBdr>
            <w:top w:val="none" w:sz="0" w:space="0" w:color="auto"/>
            <w:left w:val="none" w:sz="0" w:space="0" w:color="auto"/>
            <w:bottom w:val="none" w:sz="0" w:space="0" w:color="auto"/>
            <w:right w:val="none" w:sz="0" w:space="0" w:color="auto"/>
          </w:divBdr>
          <w:divsChild>
            <w:div w:id="17500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13">
      <w:marLeft w:val="0"/>
      <w:marRight w:val="0"/>
      <w:marTop w:val="0"/>
      <w:marBottom w:val="0"/>
      <w:divBdr>
        <w:top w:val="none" w:sz="0" w:space="0" w:color="auto"/>
        <w:left w:val="none" w:sz="0" w:space="0" w:color="auto"/>
        <w:bottom w:val="none" w:sz="0" w:space="0" w:color="auto"/>
        <w:right w:val="none" w:sz="0" w:space="0" w:color="auto"/>
      </w:divBdr>
      <w:divsChild>
        <w:div w:id="1750036046">
          <w:marLeft w:val="0"/>
          <w:marRight w:val="0"/>
          <w:marTop w:val="0"/>
          <w:marBottom w:val="0"/>
          <w:divBdr>
            <w:top w:val="none" w:sz="0" w:space="0" w:color="auto"/>
            <w:left w:val="none" w:sz="0" w:space="0" w:color="auto"/>
            <w:bottom w:val="none" w:sz="0" w:space="0" w:color="auto"/>
            <w:right w:val="none" w:sz="0" w:space="0" w:color="auto"/>
          </w:divBdr>
        </w:div>
        <w:div w:id="1750036053">
          <w:marLeft w:val="0"/>
          <w:marRight w:val="0"/>
          <w:marTop w:val="0"/>
          <w:marBottom w:val="0"/>
          <w:divBdr>
            <w:top w:val="none" w:sz="0" w:space="0" w:color="auto"/>
            <w:left w:val="none" w:sz="0" w:space="0" w:color="auto"/>
            <w:bottom w:val="none" w:sz="0" w:space="0" w:color="auto"/>
            <w:right w:val="none" w:sz="0" w:space="0" w:color="auto"/>
          </w:divBdr>
        </w:div>
        <w:div w:id="1750036057">
          <w:marLeft w:val="0"/>
          <w:marRight w:val="0"/>
          <w:marTop w:val="0"/>
          <w:marBottom w:val="0"/>
          <w:divBdr>
            <w:top w:val="none" w:sz="0" w:space="0" w:color="auto"/>
            <w:left w:val="none" w:sz="0" w:space="0" w:color="auto"/>
            <w:bottom w:val="none" w:sz="0" w:space="0" w:color="auto"/>
            <w:right w:val="none" w:sz="0" w:space="0" w:color="auto"/>
          </w:divBdr>
        </w:div>
        <w:div w:id="1750036095">
          <w:marLeft w:val="0"/>
          <w:marRight w:val="0"/>
          <w:marTop w:val="0"/>
          <w:marBottom w:val="0"/>
          <w:divBdr>
            <w:top w:val="none" w:sz="0" w:space="0" w:color="auto"/>
            <w:left w:val="none" w:sz="0" w:space="0" w:color="auto"/>
            <w:bottom w:val="none" w:sz="0" w:space="0" w:color="auto"/>
            <w:right w:val="none" w:sz="0" w:space="0" w:color="auto"/>
          </w:divBdr>
        </w:div>
        <w:div w:id="1750036186">
          <w:marLeft w:val="0"/>
          <w:marRight w:val="0"/>
          <w:marTop w:val="0"/>
          <w:marBottom w:val="0"/>
          <w:divBdr>
            <w:top w:val="none" w:sz="0" w:space="0" w:color="auto"/>
            <w:left w:val="none" w:sz="0" w:space="0" w:color="auto"/>
            <w:bottom w:val="none" w:sz="0" w:space="0" w:color="auto"/>
            <w:right w:val="none" w:sz="0" w:space="0" w:color="auto"/>
          </w:divBdr>
        </w:div>
        <w:div w:id="1750036188">
          <w:marLeft w:val="0"/>
          <w:marRight w:val="0"/>
          <w:marTop w:val="0"/>
          <w:marBottom w:val="0"/>
          <w:divBdr>
            <w:top w:val="none" w:sz="0" w:space="0" w:color="auto"/>
            <w:left w:val="none" w:sz="0" w:space="0" w:color="auto"/>
            <w:bottom w:val="none" w:sz="0" w:space="0" w:color="auto"/>
            <w:right w:val="none" w:sz="0" w:space="0" w:color="auto"/>
          </w:divBdr>
        </w:div>
        <w:div w:id="1750036321">
          <w:marLeft w:val="0"/>
          <w:marRight w:val="0"/>
          <w:marTop w:val="0"/>
          <w:marBottom w:val="0"/>
          <w:divBdr>
            <w:top w:val="none" w:sz="0" w:space="0" w:color="auto"/>
            <w:left w:val="none" w:sz="0" w:space="0" w:color="auto"/>
            <w:bottom w:val="none" w:sz="0" w:space="0" w:color="auto"/>
            <w:right w:val="none" w:sz="0" w:space="0" w:color="auto"/>
          </w:divBdr>
        </w:div>
        <w:div w:id="1750036348">
          <w:marLeft w:val="0"/>
          <w:marRight w:val="0"/>
          <w:marTop w:val="0"/>
          <w:marBottom w:val="0"/>
          <w:divBdr>
            <w:top w:val="none" w:sz="0" w:space="0" w:color="auto"/>
            <w:left w:val="none" w:sz="0" w:space="0" w:color="auto"/>
            <w:bottom w:val="none" w:sz="0" w:space="0" w:color="auto"/>
            <w:right w:val="none" w:sz="0" w:space="0" w:color="auto"/>
          </w:divBdr>
        </w:div>
        <w:div w:id="1750036359">
          <w:marLeft w:val="0"/>
          <w:marRight w:val="0"/>
          <w:marTop w:val="0"/>
          <w:marBottom w:val="0"/>
          <w:divBdr>
            <w:top w:val="none" w:sz="0" w:space="0" w:color="auto"/>
            <w:left w:val="none" w:sz="0" w:space="0" w:color="auto"/>
            <w:bottom w:val="none" w:sz="0" w:space="0" w:color="auto"/>
            <w:right w:val="none" w:sz="0" w:space="0" w:color="auto"/>
          </w:divBdr>
        </w:div>
        <w:div w:id="1750036370">
          <w:marLeft w:val="0"/>
          <w:marRight w:val="0"/>
          <w:marTop w:val="0"/>
          <w:marBottom w:val="0"/>
          <w:divBdr>
            <w:top w:val="none" w:sz="0" w:space="0" w:color="auto"/>
            <w:left w:val="none" w:sz="0" w:space="0" w:color="auto"/>
            <w:bottom w:val="none" w:sz="0" w:space="0" w:color="auto"/>
            <w:right w:val="none" w:sz="0" w:space="0" w:color="auto"/>
          </w:divBdr>
        </w:div>
        <w:div w:id="1750036374">
          <w:marLeft w:val="0"/>
          <w:marRight w:val="0"/>
          <w:marTop w:val="0"/>
          <w:marBottom w:val="0"/>
          <w:divBdr>
            <w:top w:val="none" w:sz="0" w:space="0" w:color="auto"/>
            <w:left w:val="none" w:sz="0" w:space="0" w:color="auto"/>
            <w:bottom w:val="none" w:sz="0" w:space="0" w:color="auto"/>
            <w:right w:val="none" w:sz="0" w:space="0" w:color="auto"/>
          </w:divBdr>
        </w:div>
        <w:div w:id="1750036380">
          <w:marLeft w:val="0"/>
          <w:marRight w:val="0"/>
          <w:marTop w:val="0"/>
          <w:marBottom w:val="0"/>
          <w:divBdr>
            <w:top w:val="none" w:sz="0" w:space="0" w:color="auto"/>
            <w:left w:val="none" w:sz="0" w:space="0" w:color="auto"/>
            <w:bottom w:val="none" w:sz="0" w:space="0" w:color="auto"/>
            <w:right w:val="none" w:sz="0" w:space="0" w:color="auto"/>
          </w:divBdr>
        </w:div>
        <w:div w:id="1750036391">
          <w:marLeft w:val="0"/>
          <w:marRight w:val="0"/>
          <w:marTop w:val="0"/>
          <w:marBottom w:val="0"/>
          <w:divBdr>
            <w:top w:val="none" w:sz="0" w:space="0" w:color="auto"/>
            <w:left w:val="none" w:sz="0" w:space="0" w:color="auto"/>
            <w:bottom w:val="none" w:sz="0" w:space="0" w:color="auto"/>
            <w:right w:val="none" w:sz="0" w:space="0" w:color="auto"/>
          </w:divBdr>
        </w:div>
        <w:div w:id="1750036397">
          <w:marLeft w:val="0"/>
          <w:marRight w:val="0"/>
          <w:marTop w:val="0"/>
          <w:marBottom w:val="0"/>
          <w:divBdr>
            <w:top w:val="none" w:sz="0" w:space="0" w:color="auto"/>
            <w:left w:val="none" w:sz="0" w:space="0" w:color="auto"/>
            <w:bottom w:val="none" w:sz="0" w:space="0" w:color="auto"/>
            <w:right w:val="none" w:sz="0" w:space="0" w:color="auto"/>
          </w:divBdr>
        </w:div>
        <w:div w:id="1750036413">
          <w:marLeft w:val="0"/>
          <w:marRight w:val="0"/>
          <w:marTop w:val="0"/>
          <w:marBottom w:val="0"/>
          <w:divBdr>
            <w:top w:val="none" w:sz="0" w:space="0" w:color="auto"/>
            <w:left w:val="none" w:sz="0" w:space="0" w:color="auto"/>
            <w:bottom w:val="none" w:sz="0" w:space="0" w:color="auto"/>
            <w:right w:val="none" w:sz="0" w:space="0" w:color="auto"/>
          </w:divBdr>
        </w:div>
        <w:div w:id="1750036416">
          <w:marLeft w:val="0"/>
          <w:marRight w:val="0"/>
          <w:marTop w:val="0"/>
          <w:marBottom w:val="0"/>
          <w:divBdr>
            <w:top w:val="none" w:sz="0" w:space="0" w:color="auto"/>
            <w:left w:val="none" w:sz="0" w:space="0" w:color="auto"/>
            <w:bottom w:val="none" w:sz="0" w:space="0" w:color="auto"/>
            <w:right w:val="none" w:sz="0" w:space="0" w:color="auto"/>
          </w:divBdr>
        </w:div>
      </w:divsChild>
    </w:div>
    <w:div w:id="1750036114">
      <w:marLeft w:val="0"/>
      <w:marRight w:val="0"/>
      <w:marTop w:val="0"/>
      <w:marBottom w:val="0"/>
      <w:divBdr>
        <w:top w:val="none" w:sz="0" w:space="0" w:color="auto"/>
        <w:left w:val="none" w:sz="0" w:space="0" w:color="auto"/>
        <w:bottom w:val="none" w:sz="0" w:space="0" w:color="auto"/>
        <w:right w:val="none" w:sz="0" w:space="0" w:color="auto"/>
      </w:divBdr>
      <w:divsChild>
        <w:div w:id="1750036477">
          <w:marLeft w:val="0"/>
          <w:marRight w:val="0"/>
          <w:marTop w:val="0"/>
          <w:marBottom w:val="0"/>
          <w:divBdr>
            <w:top w:val="none" w:sz="0" w:space="0" w:color="auto"/>
            <w:left w:val="none" w:sz="0" w:space="0" w:color="auto"/>
            <w:bottom w:val="none" w:sz="0" w:space="0" w:color="auto"/>
            <w:right w:val="none" w:sz="0" w:space="0" w:color="auto"/>
          </w:divBdr>
        </w:div>
      </w:divsChild>
    </w:div>
    <w:div w:id="1750036115">
      <w:marLeft w:val="0"/>
      <w:marRight w:val="0"/>
      <w:marTop w:val="0"/>
      <w:marBottom w:val="0"/>
      <w:divBdr>
        <w:top w:val="none" w:sz="0" w:space="0" w:color="auto"/>
        <w:left w:val="none" w:sz="0" w:space="0" w:color="auto"/>
        <w:bottom w:val="none" w:sz="0" w:space="0" w:color="auto"/>
        <w:right w:val="none" w:sz="0" w:space="0" w:color="auto"/>
      </w:divBdr>
    </w:div>
    <w:div w:id="1750036117">
      <w:marLeft w:val="0"/>
      <w:marRight w:val="0"/>
      <w:marTop w:val="0"/>
      <w:marBottom w:val="0"/>
      <w:divBdr>
        <w:top w:val="none" w:sz="0" w:space="0" w:color="auto"/>
        <w:left w:val="none" w:sz="0" w:space="0" w:color="auto"/>
        <w:bottom w:val="none" w:sz="0" w:space="0" w:color="auto"/>
        <w:right w:val="none" w:sz="0" w:space="0" w:color="auto"/>
      </w:divBdr>
      <w:divsChild>
        <w:div w:id="1750036207">
          <w:marLeft w:val="0"/>
          <w:marRight w:val="0"/>
          <w:marTop w:val="0"/>
          <w:marBottom w:val="0"/>
          <w:divBdr>
            <w:top w:val="none" w:sz="0" w:space="0" w:color="auto"/>
            <w:left w:val="none" w:sz="0" w:space="0" w:color="auto"/>
            <w:bottom w:val="none" w:sz="0" w:space="0" w:color="auto"/>
            <w:right w:val="none" w:sz="0" w:space="0" w:color="auto"/>
          </w:divBdr>
        </w:div>
      </w:divsChild>
    </w:div>
    <w:div w:id="1750036122">
      <w:marLeft w:val="0"/>
      <w:marRight w:val="0"/>
      <w:marTop w:val="0"/>
      <w:marBottom w:val="0"/>
      <w:divBdr>
        <w:top w:val="none" w:sz="0" w:space="0" w:color="auto"/>
        <w:left w:val="none" w:sz="0" w:space="0" w:color="auto"/>
        <w:bottom w:val="none" w:sz="0" w:space="0" w:color="auto"/>
        <w:right w:val="none" w:sz="0" w:space="0" w:color="auto"/>
      </w:divBdr>
      <w:divsChild>
        <w:div w:id="1750036198">
          <w:marLeft w:val="0"/>
          <w:marRight w:val="0"/>
          <w:marTop w:val="0"/>
          <w:marBottom w:val="0"/>
          <w:divBdr>
            <w:top w:val="none" w:sz="0" w:space="0" w:color="auto"/>
            <w:left w:val="none" w:sz="0" w:space="0" w:color="auto"/>
            <w:bottom w:val="none" w:sz="0" w:space="0" w:color="auto"/>
            <w:right w:val="none" w:sz="0" w:space="0" w:color="auto"/>
          </w:divBdr>
          <w:divsChild>
            <w:div w:id="17500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27">
      <w:marLeft w:val="0"/>
      <w:marRight w:val="0"/>
      <w:marTop w:val="0"/>
      <w:marBottom w:val="0"/>
      <w:divBdr>
        <w:top w:val="none" w:sz="0" w:space="0" w:color="auto"/>
        <w:left w:val="none" w:sz="0" w:space="0" w:color="auto"/>
        <w:bottom w:val="none" w:sz="0" w:space="0" w:color="auto"/>
        <w:right w:val="none" w:sz="0" w:space="0" w:color="auto"/>
      </w:divBdr>
    </w:div>
    <w:div w:id="1750036128">
      <w:marLeft w:val="0"/>
      <w:marRight w:val="0"/>
      <w:marTop w:val="0"/>
      <w:marBottom w:val="0"/>
      <w:divBdr>
        <w:top w:val="none" w:sz="0" w:space="0" w:color="auto"/>
        <w:left w:val="none" w:sz="0" w:space="0" w:color="auto"/>
        <w:bottom w:val="none" w:sz="0" w:space="0" w:color="auto"/>
        <w:right w:val="none" w:sz="0" w:space="0" w:color="auto"/>
      </w:divBdr>
    </w:div>
    <w:div w:id="1750036133">
      <w:marLeft w:val="0"/>
      <w:marRight w:val="0"/>
      <w:marTop w:val="0"/>
      <w:marBottom w:val="0"/>
      <w:divBdr>
        <w:top w:val="none" w:sz="0" w:space="0" w:color="auto"/>
        <w:left w:val="none" w:sz="0" w:space="0" w:color="auto"/>
        <w:bottom w:val="none" w:sz="0" w:space="0" w:color="auto"/>
        <w:right w:val="none" w:sz="0" w:space="0" w:color="auto"/>
      </w:divBdr>
    </w:div>
    <w:div w:id="1750036134">
      <w:marLeft w:val="0"/>
      <w:marRight w:val="0"/>
      <w:marTop w:val="0"/>
      <w:marBottom w:val="0"/>
      <w:divBdr>
        <w:top w:val="none" w:sz="0" w:space="0" w:color="auto"/>
        <w:left w:val="none" w:sz="0" w:space="0" w:color="auto"/>
        <w:bottom w:val="none" w:sz="0" w:space="0" w:color="auto"/>
        <w:right w:val="none" w:sz="0" w:space="0" w:color="auto"/>
      </w:divBdr>
      <w:divsChild>
        <w:div w:id="1750036101">
          <w:marLeft w:val="0"/>
          <w:marRight w:val="0"/>
          <w:marTop w:val="0"/>
          <w:marBottom w:val="0"/>
          <w:divBdr>
            <w:top w:val="none" w:sz="0" w:space="0" w:color="auto"/>
            <w:left w:val="none" w:sz="0" w:space="0" w:color="auto"/>
            <w:bottom w:val="none" w:sz="0" w:space="0" w:color="auto"/>
            <w:right w:val="none" w:sz="0" w:space="0" w:color="auto"/>
          </w:divBdr>
        </w:div>
      </w:divsChild>
    </w:div>
    <w:div w:id="1750036136">
      <w:marLeft w:val="0"/>
      <w:marRight w:val="0"/>
      <w:marTop w:val="0"/>
      <w:marBottom w:val="0"/>
      <w:divBdr>
        <w:top w:val="none" w:sz="0" w:space="0" w:color="auto"/>
        <w:left w:val="none" w:sz="0" w:space="0" w:color="auto"/>
        <w:bottom w:val="none" w:sz="0" w:space="0" w:color="auto"/>
        <w:right w:val="none" w:sz="0" w:space="0" w:color="auto"/>
      </w:divBdr>
    </w:div>
    <w:div w:id="1750036142">
      <w:marLeft w:val="0"/>
      <w:marRight w:val="0"/>
      <w:marTop w:val="0"/>
      <w:marBottom w:val="0"/>
      <w:divBdr>
        <w:top w:val="none" w:sz="0" w:space="0" w:color="auto"/>
        <w:left w:val="none" w:sz="0" w:space="0" w:color="auto"/>
        <w:bottom w:val="none" w:sz="0" w:space="0" w:color="auto"/>
        <w:right w:val="none" w:sz="0" w:space="0" w:color="auto"/>
      </w:divBdr>
    </w:div>
    <w:div w:id="1750036143">
      <w:marLeft w:val="0"/>
      <w:marRight w:val="0"/>
      <w:marTop w:val="0"/>
      <w:marBottom w:val="0"/>
      <w:divBdr>
        <w:top w:val="none" w:sz="0" w:space="0" w:color="auto"/>
        <w:left w:val="none" w:sz="0" w:space="0" w:color="auto"/>
        <w:bottom w:val="none" w:sz="0" w:space="0" w:color="auto"/>
        <w:right w:val="none" w:sz="0" w:space="0" w:color="auto"/>
      </w:divBdr>
      <w:divsChild>
        <w:div w:id="1750036309">
          <w:marLeft w:val="0"/>
          <w:marRight w:val="0"/>
          <w:marTop w:val="0"/>
          <w:marBottom w:val="0"/>
          <w:divBdr>
            <w:top w:val="none" w:sz="0" w:space="0" w:color="auto"/>
            <w:left w:val="none" w:sz="0" w:space="0" w:color="auto"/>
            <w:bottom w:val="none" w:sz="0" w:space="0" w:color="auto"/>
            <w:right w:val="none" w:sz="0" w:space="0" w:color="auto"/>
          </w:divBdr>
          <w:divsChild>
            <w:div w:id="1750036087">
              <w:marLeft w:val="0"/>
              <w:marRight w:val="0"/>
              <w:marTop w:val="0"/>
              <w:marBottom w:val="0"/>
              <w:divBdr>
                <w:top w:val="none" w:sz="0" w:space="0" w:color="auto"/>
                <w:left w:val="none" w:sz="0" w:space="0" w:color="auto"/>
                <w:bottom w:val="none" w:sz="0" w:space="0" w:color="auto"/>
                <w:right w:val="none" w:sz="0" w:space="0" w:color="auto"/>
              </w:divBdr>
            </w:div>
            <w:div w:id="1750036088">
              <w:marLeft w:val="0"/>
              <w:marRight w:val="0"/>
              <w:marTop w:val="0"/>
              <w:marBottom w:val="0"/>
              <w:divBdr>
                <w:top w:val="none" w:sz="0" w:space="0" w:color="auto"/>
                <w:left w:val="none" w:sz="0" w:space="0" w:color="auto"/>
                <w:bottom w:val="none" w:sz="0" w:space="0" w:color="auto"/>
                <w:right w:val="none" w:sz="0" w:space="0" w:color="auto"/>
              </w:divBdr>
            </w:div>
            <w:div w:id="1750036123">
              <w:marLeft w:val="0"/>
              <w:marRight w:val="0"/>
              <w:marTop w:val="0"/>
              <w:marBottom w:val="0"/>
              <w:divBdr>
                <w:top w:val="none" w:sz="0" w:space="0" w:color="auto"/>
                <w:left w:val="none" w:sz="0" w:space="0" w:color="auto"/>
                <w:bottom w:val="none" w:sz="0" w:space="0" w:color="auto"/>
                <w:right w:val="none" w:sz="0" w:space="0" w:color="auto"/>
              </w:divBdr>
            </w:div>
            <w:div w:id="1750036225">
              <w:marLeft w:val="0"/>
              <w:marRight w:val="0"/>
              <w:marTop w:val="0"/>
              <w:marBottom w:val="0"/>
              <w:divBdr>
                <w:top w:val="none" w:sz="0" w:space="0" w:color="auto"/>
                <w:left w:val="none" w:sz="0" w:space="0" w:color="auto"/>
                <w:bottom w:val="none" w:sz="0" w:space="0" w:color="auto"/>
                <w:right w:val="none" w:sz="0" w:space="0" w:color="auto"/>
              </w:divBdr>
            </w:div>
            <w:div w:id="1750036304">
              <w:marLeft w:val="0"/>
              <w:marRight w:val="0"/>
              <w:marTop w:val="0"/>
              <w:marBottom w:val="0"/>
              <w:divBdr>
                <w:top w:val="none" w:sz="0" w:space="0" w:color="auto"/>
                <w:left w:val="none" w:sz="0" w:space="0" w:color="auto"/>
                <w:bottom w:val="none" w:sz="0" w:space="0" w:color="auto"/>
                <w:right w:val="none" w:sz="0" w:space="0" w:color="auto"/>
              </w:divBdr>
            </w:div>
            <w:div w:id="1750036325">
              <w:marLeft w:val="0"/>
              <w:marRight w:val="0"/>
              <w:marTop w:val="0"/>
              <w:marBottom w:val="0"/>
              <w:divBdr>
                <w:top w:val="none" w:sz="0" w:space="0" w:color="auto"/>
                <w:left w:val="none" w:sz="0" w:space="0" w:color="auto"/>
                <w:bottom w:val="none" w:sz="0" w:space="0" w:color="auto"/>
                <w:right w:val="none" w:sz="0" w:space="0" w:color="auto"/>
              </w:divBdr>
            </w:div>
            <w:div w:id="1750036339">
              <w:marLeft w:val="0"/>
              <w:marRight w:val="0"/>
              <w:marTop w:val="0"/>
              <w:marBottom w:val="0"/>
              <w:divBdr>
                <w:top w:val="none" w:sz="0" w:space="0" w:color="auto"/>
                <w:left w:val="none" w:sz="0" w:space="0" w:color="auto"/>
                <w:bottom w:val="none" w:sz="0" w:space="0" w:color="auto"/>
                <w:right w:val="none" w:sz="0" w:space="0" w:color="auto"/>
              </w:divBdr>
            </w:div>
            <w:div w:id="1750036353">
              <w:marLeft w:val="0"/>
              <w:marRight w:val="0"/>
              <w:marTop w:val="0"/>
              <w:marBottom w:val="0"/>
              <w:divBdr>
                <w:top w:val="none" w:sz="0" w:space="0" w:color="auto"/>
                <w:left w:val="none" w:sz="0" w:space="0" w:color="auto"/>
                <w:bottom w:val="none" w:sz="0" w:space="0" w:color="auto"/>
                <w:right w:val="none" w:sz="0" w:space="0" w:color="auto"/>
              </w:divBdr>
            </w:div>
            <w:div w:id="1750036366">
              <w:marLeft w:val="0"/>
              <w:marRight w:val="0"/>
              <w:marTop w:val="0"/>
              <w:marBottom w:val="0"/>
              <w:divBdr>
                <w:top w:val="none" w:sz="0" w:space="0" w:color="auto"/>
                <w:left w:val="none" w:sz="0" w:space="0" w:color="auto"/>
                <w:bottom w:val="none" w:sz="0" w:space="0" w:color="auto"/>
                <w:right w:val="none" w:sz="0" w:space="0" w:color="auto"/>
              </w:divBdr>
            </w:div>
            <w:div w:id="1750036379">
              <w:marLeft w:val="0"/>
              <w:marRight w:val="0"/>
              <w:marTop w:val="0"/>
              <w:marBottom w:val="0"/>
              <w:divBdr>
                <w:top w:val="none" w:sz="0" w:space="0" w:color="auto"/>
                <w:left w:val="none" w:sz="0" w:space="0" w:color="auto"/>
                <w:bottom w:val="none" w:sz="0" w:space="0" w:color="auto"/>
                <w:right w:val="none" w:sz="0" w:space="0" w:color="auto"/>
              </w:divBdr>
            </w:div>
            <w:div w:id="1750036392">
              <w:marLeft w:val="0"/>
              <w:marRight w:val="0"/>
              <w:marTop w:val="0"/>
              <w:marBottom w:val="0"/>
              <w:divBdr>
                <w:top w:val="none" w:sz="0" w:space="0" w:color="auto"/>
                <w:left w:val="none" w:sz="0" w:space="0" w:color="auto"/>
                <w:bottom w:val="none" w:sz="0" w:space="0" w:color="auto"/>
                <w:right w:val="none" w:sz="0" w:space="0" w:color="auto"/>
              </w:divBdr>
            </w:div>
            <w:div w:id="1750036401">
              <w:marLeft w:val="0"/>
              <w:marRight w:val="0"/>
              <w:marTop w:val="0"/>
              <w:marBottom w:val="0"/>
              <w:divBdr>
                <w:top w:val="none" w:sz="0" w:space="0" w:color="auto"/>
                <w:left w:val="none" w:sz="0" w:space="0" w:color="auto"/>
                <w:bottom w:val="none" w:sz="0" w:space="0" w:color="auto"/>
                <w:right w:val="none" w:sz="0" w:space="0" w:color="auto"/>
              </w:divBdr>
            </w:div>
            <w:div w:id="1750036426">
              <w:marLeft w:val="0"/>
              <w:marRight w:val="0"/>
              <w:marTop w:val="0"/>
              <w:marBottom w:val="0"/>
              <w:divBdr>
                <w:top w:val="none" w:sz="0" w:space="0" w:color="auto"/>
                <w:left w:val="none" w:sz="0" w:space="0" w:color="auto"/>
                <w:bottom w:val="none" w:sz="0" w:space="0" w:color="auto"/>
                <w:right w:val="none" w:sz="0" w:space="0" w:color="auto"/>
              </w:divBdr>
            </w:div>
            <w:div w:id="1750036434">
              <w:marLeft w:val="0"/>
              <w:marRight w:val="0"/>
              <w:marTop w:val="0"/>
              <w:marBottom w:val="0"/>
              <w:divBdr>
                <w:top w:val="none" w:sz="0" w:space="0" w:color="auto"/>
                <w:left w:val="none" w:sz="0" w:space="0" w:color="auto"/>
                <w:bottom w:val="none" w:sz="0" w:space="0" w:color="auto"/>
                <w:right w:val="none" w:sz="0" w:space="0" w:color="auto"/>
              </w:divBdr>
            </w:div>
            <w:div w:id="1750036457">
              <w:marLeft w:val="0"/>
              <w:marRight w:val="0"/>
              <w:marTop w:val="0"/>
              <w:marBottom w:val="0"/>
              <w:divBdr>
                <w:top w:val="none" w:sz="0" w:space="0" w:color="auto"/>
                <w:left w:val="none" w:sz="0" w:space="0" w:color="auto"/>
                <w:bottom w:val="none" w:sz="0" w:space="0" w:color="auto"/>
                <w:right w:val="none" w:sz="0" w:space="0" w:color="auto"/>
              </w:divBdr>
            </w:div>
            <w:div w:id="17500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53">
      <w:marLeft w:val="0"/>
      <w:marRight w:val="0"/>
      <w:marTop w:val="0"/>
      <w:marBottom w:val="0"/>
      <w:divBdr>
        <w:top w:val="none" w:sz="0" w:space="0" w:color="auto"/>
        <w:left w:val="none" w:sz="0" w:space="0" w:color="auto"/>
        <w:bottom w:val="none" w:sz="0" w:space="0" w:color="auto"/>
        <w:right w:val="none" w:sz="0" w:space="0" w:color="auto"/>
      </w:divBdr>
    </w:div>
    <w:div w:id="1750036154">
      <w:marLeft w:val="0"/>
      <w:marRight w:val="0"/>
      <w:marTop w:val="0"/>
      <w:marBottom w:val="0"/>
      <w:divBdr>
        <w:top w:val="none" w:sz="0" w:space="0" w:color="auto"/>
        <w:left w:val="none" w:sz="0" w:space="0" w:color="auto"/>
        <w:bottom w:val="none" w:sz="0" w:space="0" w:color="auto"/>
        <w:right w:val="none" w:sz="0" w:space="0" w:color="auto"/>
      </w:divBdr>
    </w:div>
    <w:div w:id="1750036163">
      <w:marLeft w:val="0"/>
      <w:marRight w:val="0"/>
      <w:marTop w:val="0"/>
      <w:marBottom w:val="0"/>
      <w:divBdr>
        <w:top w:val="none" w:sz="0" w:space="0" w:color="auto"/>
        <w:left w:val="none" w:sz="0" w:space="0" w:color="auto"/>
        <w:bottom w:val="none" w:sz="0" w:space="0" w:color="auto"/>
        <w:right w:val="none" w:sz="0" w:space="0" w:color="auto"/>
      </w:divBdr>
    </w:div>
    <w:div w:id="1750036164">
      <w:marLeft w:val="0"/>
      <w:marRight w:val="0"/>
      <w:marTop w:val="0"/>
      <w:marBottom w:val="0"/>
      <w:divBdr>
        <w:top w:val="none" w:sz="0" w:space="0" w:color="auto"/>
        <w:left w:val="none" w:sz="0" w:space="0" w:color="auto"/>
        <w:bottom w:val="none" w:sz="0" w:space="0" w:color="auto"/>
        <w:right w:val="none" w:sz="0" w:space="0" w:color="auto"/>
      </w:divBdr>
    </w:div>
    <w:div w:id="1750036167">
      <w:marLeft w:val="0"/>
      <w:marRight w:val="0"/>
      <w:marTop w:val="0"/>
      <w:marBottom w:val="0"/>
      <w:divBdr>
        <w:top w:val="none" w:sz="0" w:space="0" w:color="auto"/>
        <w:left w:val="none" w:sz="0" w:space="0" w:color="auto"/>
        <w:bottom w:val="none" w:sz="0" w:space="0" w:color="auto"/>
        <w:right w:val="none" w:sz="0" w:space="0" w:color="auto"/>
      </w:divBdr>
      <w:divsChild>
        <w:div w:id="1750036326">
          <w:marLeft w:val="0"/>
          <w:marRight w:val="0"/>
          <w:marTop w:val="0"/>
          <w:marBottom w:val="0"/>
          <w:divBdr>
            <w:top w:val="none" w:sz="0" w:space="0" w:color="auto"/>
            <w:left w:val="none" w:sz="0" w:space="0" w:color="auto"/>
            <w:bottom w:val="none" w:sz="0" w:space="0" w:color="auto"/>
            <w:right w:val="none" w:sz="0" w:space="0" w:color="auto"/>
          </w:divBdr>
          <w:divsChild>
            <w:div w:id="17500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69">
      <w:marLeft w:val="0"/>
      <w:marRight w:val="0"/>
      <w:marTop w:val="0"/>
      <w:marBottom w:val="0"/>
      <w:divBdr>
        <w:top w:val="none" w:sz="0" w:space="0" w:color="auto"/>
        <w:left w:val="none" w:sz="0" w:space="0" w:color="auto"/>
        <w:bottom w:val="none" w:sz="0" w:space="0" w:color="auto"/>
        <w:right w:val="none" w:sz="0" w:space="0" w:color="auto"/>
      </w:divBdr>
      <w:divsChild>
        <w:div w:id="1750036334">
          <w:marLeft w:val="0"/>
          <w:marRight w:val="0"/>
          <w:marTop w:val="0"/>
          <w:marBottom w:val="0"/>
          <w:divBdr>
            <w:top w:val="none" w:sz="0" w:space="0" w:color="auto"/>
            <w:left w:val="none" w:sz="0" w:space="0" w:color="auto"/>
            <w:bottom w:val="none" w:sz="0" w:space="0" w:color="auto"/>
            <w:right w:val="none" w:sz="0" w:space="0" w:color="auto"/>
          </w:divBdr>
        </w:div>
      </w:divsChild>
    </w:div>
    <w:div w:id="1750036170">
      <w:marLeft w:val="0"/>
      <w:marRight w:val="0"/>
      <w:marTop w:val="0"/>
      <w:marBottom w:val="0"/>
      <w:divBdr>
        <w:top w:val="none" w:sz="0" w:space="0" w:color="auto"/>
        <w:left w:val="none" w:sz="0" w:space="0" w:color="auto"/>
        <w:bottom w:val="none" w:sz="0" w:space="0" w:color="auto"/>
        <w:right w:val="none" w:sz="0" w:space="0" w:color="auto"/>
      </w:divBdr>
    </w:div>
    <w:div w:id="1750036174">
      <w:marLeft w:val="0"/>
      <w:marRight w:val="0"/>
      <w:marTop w:val="0"/>
      <w:marBottom w:val="0"/>
      <w:divBdr>
        <w:top w:val="none" w:sz="0" w:space="0" w:color="auto"/>
        <w:left w:val="none" w:sz="0" w:space="0" w:color="auto"/>
        <w:bottom w:val="none" w:sz="0" w:space="0" w:color="auto"/>
        <w:right w:val="none" w:sz="0" w:space="0" w:color="auto"/>
      </w:divBdr>
      <w:divsChild>
        <w:div w:id="1750036301">
          <w:marLeft w:val="0"/>
          <w:marRight w:val="0"/>
          <w:marTop w:val="0"/>
          <w:marBottom w:val="0"/>
          <w:divBdr>
            <w:top w:val="none" w:sz="0" w:space="0" w:color="auto"/>
            <w:left w:val="none" w:sz="0" w:space="0" w:color="auto"/>
            <w:bottom w:val="none" w:sz="0" w:space="0" w:color="auto"/>
            <w:right w:val="none" w:sz="0" w:space="0" w:color="auto"/>
          </w:divBdr>
          <w:divsChild>
            <w:div w:id="1750036139">
              <w:marLeft w:val="0"/>
              <w:marRight w:val="0"/>
              <w:marTop w:val="0"/>
              <w:marBottom w:val="0"/>
              <w:divBdr>
                <w:top w:val="none" w:sz="0" w:space="0" w:color="auto"/>
                <w:left w:val="none" w:sz="0" w:space="0" w:color="auto"/>
                <w:bottom w:val="none" w:sz="0" w:space="0" w:color="auto"/>
                <w:right w:val="none" w:sz="0" w:space="0" w:color="auto"/>
              </w:divBdr>
            </w:div>
            <w:div w:id="1750036147">
              <w:marLeft w:val="0"/>
              <w:marRight w:val="0"/>
              <w:marTop w:val="0"/>
              <w:marBottom w:val="0"/>
              <w:divBdr>
                <w:top w:val="none" w:sz="0" w:space="0" w:color="auto"/>
                <w:left w:val="none" w:sz="0" w:space="0" w:color="auto"/>
                <w:bottom w:val="none" w:sz="0" w:space="0" w:color="auto"/>
                <w:right w:val="none" w:sz="0" w:space="0" w:color="auto"/>
              </w:divBdr>
            </w:div>
            <w:div w:id="17500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176">
      <w:marLeft w:val="0"/>
      <w:marRight w:val="0"/>
      <w:marTop w:val="0"/>
      <w:marBottom w:val="0"/>
      <w:divBdr>
        <w:top w:val="none" w:sz="0" w:space="0" w:color="auto"/>
        <w:left w:val="none" w:sz="0" w:space="0" w:color="auto"/>
        <w:bottom w:val="none" w:sz="0" w:space="0" w:color="auto"/>
        <w:right w:val="none" w:sz="0" w:space="0" w:color="auto"/>
      </w:divBdr>
      <w:divsChild>
        <w:div w:id="1750036042">
          <w:marLeft w:val="0"/>
          <w:marRight w:val="0"/>
          <w:marTop w:val="0"/>
          <w:marBottom w:val="0"/>
          <w:divBdr>
            <w:top w:val="none" w:sz="0" w:space="0" w:color="auto"/>
            <w:left w:val="none" w:sz="0" w:space="0" w:color="auto"/>
            <w:bottom w:val="none" w:sz="0" w:space="0" w:color="auto"/>
            <w:right w:val="none" w:sz="0" w:space="0" w:color="auto"/>
          </w:divBdr>
        </w:div>
      </w:divsChild>
    </w:div>
    <w:div w:id="1750036181">
      <w:marLeft w:val="0"/>
      <w:marRight w:val="0"/>
      <w:marTop w:val="0"/>
      <w:marBottom w:val="0"/>
      <w:divBdr>
        <w:top w:val="none" w:sz="0" w:space="0" w:color="auto"/>
        <w:left w:val="none" w:sz="0" w:space="0" w:color="auto"/>
        <w:bottom w:val="none" w:sz="0" w:space="0" w:color="auto"/>
        <w:right w:val="none" w:sz="0" w:space="0" w:color="auto"/>
      </w:divBdr>
    </w:div>
    <w:div w:id="1750036189">
      <w:marLeft w:val="0"/>
      <w:marRight w:val="0"/>
      <w:marTop w:val="0"/>
      <w:marBottom w:val="0"/>
      <w:divBdr>
        <w:top w:val="none" w:sz="0" w:space="0" w:color="auto"/>
        <w:left w:val="none" w:sz="0" w:space="0" w:color="auto"/>
        <w:bottom w:val="none" w:sz="0" w:space="0" w:color="auto"/>
        <w:right w:val="none" w:sz="0" w:space="0" w:color="auto"/>
      </w:divBdr>
    </w:div>
    <w:div w:id="1750036211">
      <w:marLeft w:val="0"/>
      <w:marRight w:val="0"/>
      <w:marTop w:val="0"/>
      <w:marBottom w:val="0"/>
      <w:divBdr>
        <w:top w:val="none" w:sz="0" w:space="0" w:color="auto"/>
        <w:left w:val="none" w:sz="0" w:space="0" w:color="auto"/>
        <w:bottom w:val="none" w:sz="0" w:space="0" w:color="auto"/>
        <w:right w:val="none" w:sz="0" w:space="0" w:color="auto"/>
      </w:divBdr>
    </w:div>
    <w:div w:id="1750036215">
      <w:marLeft w:val="0"/>
      <w:marRight w:val="0"/>
      <w:marTop w:val="0"/>
      <w:marBottom w:val="0"/>
      <w:divBdr>
        <w:top w:val="none" w:sz="0" w:space="0" w:color="auto"/>
        <w:left w:val="none" w:sz="0" w:space="0" w:color="auto"/>
        <w:bottom w:val="none" w:sz="0" w:space="0" w:color="auto"/>
        <w:right w:val="none" w:sz="0" w:space="0" w:color="auto"/>
      </w:divBdr>
    </w:div>
    <w:div w:id="1750036224">
      <w:marLeft w:val="0"/>
      <w:marRight w:val="0"/>
      <w:marTop w:val="0"/>
      <w:marBottom w:val="0"/>
      <w:divBdr>
        <w:top w:val="none" w:sz="0" w:space="0" w:color="auto"/>
        <w:left w:val="none" w:sz="0" w:space="0" w:color="auto"/>
        <w:bottom w:val="none" w:sz="0" w:space="0" w:color="auto"/>
        <w:right w:val="none" w:sz="0" w:space="0" w:color="auto"/>
      </w:divBdr>
    </w:div>
    <w:div w:id="1750036227">
      <w:marLeft w:val="0"/>
      <w:marRight w:val="0"/>
      <w:marTop w:val="0"/>
      <w:marBottom w:val="0"/>
      <w:divBdr>
        <w:top w:val="none" w:sz="0" w:space="0" w:color="auto"/>
        <w:left w:val="none" w:sz="0" w:space="0" w:color="auto"/>
        <w:bottom w:val="none" w:sz="0" w:space="0" w:color="auto"/>
        <w:right w:val="none" w:sz="0" w:space="0" w:color="auto"/>
      </w:divBdr>
    </w:div>
    <w:div w:id="1750036231">
      <w:marLeft w:val="0"/>
      <w:marRight w:val="0"/>
      <w:marTop w:val="0"/>
      <w:marBottom w:val="0"/>
      <w:divBdr>
        <w:top w:val="none" w:sz="0" w:space="0" w:color="auto"/>
        <w:left w:val="none" w:sz="0" w:space="0" w:color="auto"/>
        <w:bottom w:val="none" w:sz="0" w:space="0" w:color="auto"/>
        <w:right w:val="none" w:sz="0" w:space="0" w:color="auto"/>
      </w:divBdr>
    </w:div>
    <w:div w:id="1750036238">
      <w:marLeft w:val="0"/>
      <w:marRight w:val="0"/>
      <w:marTop w:val="0"/>
      <w:marBottom w:val="0"/>
      <w:divBdr>
        <w:top w:val="none" w:sz="0" w:space="0" w:color="auto"/>
        <w:left w:val="none" w:sz="0" w:space="0" w:color="auto"/>
        <w:bottom w:val="none" w:sz="0" w:space="0" w:color="auto"/>
        <w:right w:val="none" w:sz="0" w:space="0" w:color="auto"/>
      </w:divBdr>
      <w:divsChild>
        <w:div w:id="1750036038">
          <w:marLeft w:val="0"/>
          <w:marRight w:val="0"/>
          <w:marTop w:val="0"/>
          <w:marBottom w:val="0"/>
          <w:divBdr>
            <w:top w:val="none" w:sz="0" w:space="0" w:color="auto"/>
            <w:left w:val="none" w:sz="0" w:space="0" w:color="auto"/>
            <w:bottom w:val="none" w:sz="0" w:space="0" w:color="auto"/>
            <w:right w:val="none" w:sz="0" w:space="0" w:color="auto"/>
          </w:divBdr>
        </w:div>
        <w:div w:id="1750036048">
          <w:marLeft w:val="0"/>
          <w:marRight w:val="0"/>
          <w:marTop w:val="0"/>
          <w:marBottom w:val="0"/>
          <w:divBdr>
            <w:top w:val="none" w:sz="0" w:space="0" w:color="auto"/>
            <w:left w:val="none" w:sz="0" w:space="0" w:color="auto"/>
            <w:bottom w:val="none" w:sz="0" w:space="0" w:color="auto"/>
            <w:right w:val="none" w:sz="0" w:space="0" w:color="auto"/>
          </w:divBdr>
        </w:div>
        <w:div w:id="1750036059">
          <w:marLeft w:val="0"/>
          <w:marRight w:val="0"/>
          <w:marTop w:val="0"/>
          <w:marBottom w:val="0"/>
          <w:divBdr>
            <w:top w:val="none" w:sz="0" w:space="0" w:color="auto"/>
            <w:left w:val="none" w:sz="0" w:space="0" w:color="auto"/>
            <w:bottom w:val="none" w:sz="0" w:space="0" w:color="auto"/>
            <w:right w:val="none" w:sz="0" w:space="0" w:color="auto"/>
          </w:divBdr>
        </w:div>
        <w:div w:id="1750036066">
          <w:marLeft w:val="0"/>
          <w:marRight w:val="0"/>
          <w:marTop w:val="0"/>
          <w:marBottom w:val="0"/>
          <w:divBdr>
            <w:top w:val="none" w:sz="0" w:space="0" w:color="auto"/>
            <w:left w:val="none" w:sz="0" w:space="0" w:color="auto"/>
            <w:bottom w:val="none" w:sz="0" w:space="0" w:color="auto"/>
            <w:right w:val="none" w:sz="0" w:space="0" w:color="auto"/>
          </w:divBdr>
        </w:div>
        <w:div w:id="1750036100">
          <w:marLeft w:val="0"/>
          <w:marRight w:val="0"/>
          <w:marTop w:val="0"/>
          <w:marBottom w:val="0"/>
          <w:divBdr>
            <w:top w:val="none" w:sz="0" w:space="0" w:color="auto"/>
            <w:left w:val="none" w:sz="0" w:space="0" w:color="auto"/>
            <w:bottom w:val="none" w:sz="0" w:space="0" w:color="auto"/>
            <w:right w:val="none" w:sz="0" w:space="0" w:color="auto"/>
          </w:divBdr>
        </w:div>
        <w:div w:id="1750036119">
          <w:marLeft w:val="0"/>
          <w:marRight w:val="0"/>
          <w:marTop w:val="0"/>
          <w:marBottom w:val="0"/>
          <w:divBdr>
            <w:top w:val="none" w:sz="0" w:space="0" w:color="auto"/>
            <w:left w:val="none" w:sz="0" w:space="0" w:color="auto"/>
            <w:bottom w:val="none" w:sz="0" w:space="0" w:color="auto"/>
            <w:right w:val="none" w:sz="0" w:space="0" w:color="auto"/>
          </w:divBdr>
        </w:div>
        <w:div w:id="1750036121">
          <w:marLeft w:val="0"/>
          <w:marRight w:val="0"/>
          <w:marTop w:val="0"/>
          <w:marBottom w:val="0"/>
          <w:divBdr>
            <w:top w:val="none" w:sz="0" w:space="0" w:color="auto"/>
            <w:left w:val="none" w:sz="0" w:space="0" w:color="auto"/>
            <w:bottom w:val="none" w:sz="0" w:space="0" w:color="auto"/>
            <w:right w:val="none" w:sz="0" w:space="0" w:color="auto"/>
          </w:divBdr>
        </w:div>
        <w:div w:id="1750036135">
          <w:marLeft w:val="0"/>
          <w:marRight w:val="0"/>
          <w:marTop w:val="0"/>
          <w:marBottom w:val="0"/>
          <w:divBdr>
            <w:top w:val="none" w:sz="0" w:space="0" w:color="auto"/>
            <w:left w:val="none" w:sz="0" w:space="0" w:color="auto"/>
            <w:bottom w:val="none" w:sz="0" w:space="0" w:color="auto"/>
            <w:right w:val="none" w:sz="0" w:space="0" w:color="auto"/>
          </w:divBdr>
        </w:div>
        <w:div w:id="1750036144">
          <w:marLeft w:val="0"/>
          <w:marRight w:val="0"/>
          <w:marTop w:val="0"/>
          <w:marBottom w:val="0"/>
          <w:divBdr>
            <w:top w:val="none" w:sz="0" w:space="0" w:color="auto"/>
            <w:left w:val="none" w:sz="0" w:space="0" w:color="auto"/>
            <w:bottom w:val="none" w:sz="0" w:space="0" w:color="auto"/>
            <w:right w:val="none" w:sz="0" w:space="0" w:color="auto"/>
          </w:divBdr>
        </w:div>
        <w:div w:id="1750036145">
          <w:marLeft w:val="0"/>
          <w:marRight w:val="0"/>
          <w:marTop w:val="0"/>
          <w:marBottom w:val="0"/>
          <w:divBdr>
            <w:top w:val="none" w:sz="0" w:space="0" w:color="auto"/>
            <w:left w:val="none" w:sz="0" w:space="0" w:color="auto"/>
            <w:bottom w:val="none" w:sz="0" w:space="0" w:color="auto"/>
            <w:right w:val="none" w:sz="0" w:space="0" w:color="auto"/>
          </w:divBdr>
        </w:div>
        <w:div w:id="1750036151">
          <w:marLeft w:val="0"/>
          <w:marRight w:val="0"/>
          <w:marTop w:val="0"/>
          <w:marBottom w:val="0"/>
          <w:divBdr>
            <w:top w:val="none" w:sz="0" w:space="0" w:color="auto"/>
            <w:left w:val="none" w:sz="0" w:space="0" w:color="auto"/>
            <w:bottom w:val="none" w:sz="0" w:space="0" w:color="auto"/>
            <w:right w:val="none" w:sz="0" w:space="0" w:color="auto"/>
          </w:divBdr>
        </w:div>
        <w:div w:id="1750036157">
          <w:marLeft w:val="0"/>
          <w:marRight w:val="0"/>
          <w:marTop w:val="0"/>
          <w:marBottom w:val="0"/>
          <w:divBdr>
            <w:top w:val="none" w:sz="0" w:space="0" w:color="auto"/>
            <w:left w:val="none" w:sz="0" w:space="0" w:color="auto"/>
            <w:bottom w:val="none" w:sz="0" w:space="0" w:color="auto"/>
            <w:right w:val="none" w:sz="0" w:space="0" w:color="auto"/>
          </w:divBdr>
        </w:div>
        <w:div w:id="1750036162">
          <w:marLeft w:val="0"/>
          <w:marRight w:val="0"/>
          <w:marTop w:val="0"/>
          <w:marBottom w:val="0"/>
          <w:divBdr>
            <w:top w:val="none" w:sz="0" w:space="0" w:color="auto"/>
            <w:left w:val="none" w:sz="0" w:space="0" w:color="auto"/>
            <w:bottom w:val="none" w:sz="0" w:space="0" w:color="auto"/>
            <w:right w:val="none" w:sz="0" w:space="0" w:color="auto"/>
          </w:divBdr>
        </w:div>
        <w:div w:id="1750036175">
          <w:marLeft w:val="0"/>
          <w:marRight w:val="0"/>
          <w:marTop w:val="0"/>
          <w:marBottom w:val="0"/>
          <w:divBdr>
            <w:top w:val="none" w:sz="0" w:space="0" w:color="auto"/>
            <w:left w:val="none" w:sz="0" w:space="0" w:color="auto"/>
            <w:bottom w:val="none" w:sz="0" w:space="0" w:color="auto"/>
            <w:right w:val="none" w:sz="0" w:space="0" w:color="auto"/>
          </w:divBdr>
        </w:div>
        <w:div w:id="1750036183">
          <w:marLeft w:val="0"/>
          <w:marRight w:val="0"/>
          <w:marTop w:val="0"/>
          <w:marBottom w:val="0"/>
          <w:divBdr>
            <w:top w:val="none" w:sz="0" w:space="0" w:color="auto"/>
            <w:left w:val="none" w:sz="0" w:space="0" w:color="auto"/>
            <w:bottom w:val="none" w:sz="0" w:space="0" w:color="auto"/>
            <w:right w:val="none" w:sz="0" w:space="0" w:color="auto"/>
          </w:divBdr>
        </w:div>
        <w:div w:id="1750036184">
          <w:marLeft w:val="0"/>
          <w:marRight w:val="0"/>
          <w:marTop w:val="0"/>
          <w:marBottom w:val="0"/>
          <w:divBdr>
            <w:top w:val="none" w:sz="0" w:space="0" w:color="auto"/>
            <w:left w:val="none" w:sz="0" w:space="0" w:color="auto"/>
            <w:bottom w:val="none" w:sz="0" w:space="0" w:color="auto"/>
            <w:right w:val="none" w:sz="0" w:space="0" w:color="auto"/>
          </w:divBdr>
        </w:div>
        <w:div w:id="1750036185">
          <w:marLeft w:val="0"/>
          <w:marRight w:val="0"/>
          <w:marTop w:val="0"/>
          <w:marBottom w:val="0"/>
          <w:divBdr>
            <w:top w:val="none" w:sz="0" w:space="0" w:color="auto"/>
            <w:left w:val="none" w:sz="0" w:space="0" w:color="auto"/>
            <w:bottom w:val="none" w:sz="0" w:space="0" w:color="auto"/>
            <w:right w:val="none" w:sz="0" w:space="0" w:color="auto"/>
          </w:divBdr>
        </w:div>
        <w:div w:id="1750036193">
          <w:marLeft w:val="0"/>
          <w:marRight w:val="0"/>
          <w:marTop w:val="0"/>
          <w:marBottom w:val="0"/>
          <w:divBdr>
            <w:top w:val="none" w:sz="0" w:space="0" w:color="auto"/>
            <w:left w:val="none" w:sz="0" w:space="0" w:color="auto"/>
            <w:bottom w:val="none" w:sz="0" w:space="0" w:color="auto"/>
            <w:right w:val="none" w:sz="0" w:space="0" w:color="auto"/>
          </w:divBdr>
        </w:div>
        <w:div w:id="1750036194">
          <w:marLeft w:val="0"/>
          <w:marRight w:val="0"/>
          <w:marTop w:val="0"/>
          <w:marBottom w:val="0"/>
          <w:divBdr>
            <w:top w:val="none" w:sz="0" w:space="0" w:color="auto"/>
            <w:left w:val="none" w:sz="0" w:space="0" w:color="auto"/>
            <w:bottom w:val="none" w:sz="0" w:space="0" w:color="auto"/>
            <w:right w:val="none" w:sz="0" w:space="0" w:color="auto"/>
          </w:divBdr>
        </w:div>
        <w:div w:id="1750036199">
          <w:marLeft w:val="0"/>
          <w:marRight w:val="0"/>
          <w:marTop w:val="0"/>
          <w:marBottom w:val="0"/>
          <w:divBdr>
            <w:top w:val="none" w:sz="0" w:space="0" w:color="auto"/>
            <w:left w:val="none" w:sz="0" w:space="0" w:color="auto"/>
            <w:bottom w:val="none" w:sz="0" w:space="0" w:color="auto"/>
            <w:right w:val="none" w:sz="0" w:space="0" w:color="auto"/>
          </w:divBdr>
        </w:div>
        <w:div w:id="1750036204">
          <w:marLeft w:val="0"/>
          <w:marRight w:val="0"/>
          <w:marTop w:val="0"/>
          <w:marBottom w:val="0"/>
          <w:divBdr>
            <w:top w:val="none" w:sz="0" w:space="0" w:color="auto"/>
            <w:left w:val="none" w:sz="0" w:space="0" w:color="auto"/>
            <w:bottom w:val="none" w:sz="0" w:space="0" w:color="auto"/>
            <w:right w:val="none" w:sz="0" w:space="0" w:color="auto"/>
          </w:divBdr>
        </w:div>
        <w:div w:id="1750036216">
          <w:marLeft w:val="0"/>
          <w:marRight w:val="0"/>
          <w:marTop w:val="0"/>
          <w:marBottom w:val="0"/>
          <w:divBdr>
            <w:top w:val="none" w:sz="0" w:space="0" w:color="auto"/>
            <w:left w:val="none" w:sz="0" w:space="0" w:color="auto"/>
            <w:bottom w:val="none" w:sz="0" w:space="0" w:color="auto"/>
            <w:right w:val="none" w:sz="0" w:space="0" w:color="auto"/>
          </w:divBdr>
        </w:div>
        <w:div w:id="1750036232">
          <w:marLeft w:val="0"/>
          <w:marRight w:val="0"/>
          <w:marTop w:val="0"/>
          <w:marBottom w:val="0"/>
          <w:divBdr>
            <w:top w:val="none" w:sz="0" w:space="0" w:color="auto"/>
            <w:left w:val="none" w:sz="0" w:space="0" w:color="auto"/>
            <w:bottom w:val="none" w:sz="0" w:space="0" w:color="auto"/>
            <w:right w:val="none" w:sz="0" w:space="0" w:color="auto"/>
          </w:divBdr>
        </w:div>
        <w:div w:id="1750036236">
          <w:marLeft w:val="0"/>
          <w:marRight w:val="0"/>
          <w:marTop w:val="0"/>
          <w:marBottom w:val="0"/>
          <w:divBdr>
            <w:top w:val="none" w:sz="0" w:space="0" w:color="auto"/>
            <w:left w:val="none" w:sz="0" w:space="0" w:color="auto"/>
            <w:bottom w:val="none" w:sz="0" w:space="0" w:color="auto"/>
            <w:right w:val="none" w:sz="0" w:space="0" w:color="auto"/>
          </w:divBdr>
        </w:div>
        <w:div w:id="1750036245">
          <w:marLeft w:val="0"/>
          <w:marRight w:val="0"/>
          <w:marTop w:val="0"/>
          <w:marBottom w:val="0"/>
          <w:divBdr>
            <w:top w:val="none" w:sz="0" w:space="0" w:color="auto"/>
            <w:left w:val="none" w:sz="0" w:space="0" w:color="auto"/>
            <w:bottom w:val="none" w:sz="0" w:space="0" w:color="auto"/>
            <w:right w:val="none" w:sz="0" w:space="0" w:color="auto"/>
          </w:divBdr>
        </w:div>
        <w:div w:id="1750036254">
          <w:marLeft w:val="0"/>
          <w:marRight w:val="0"/>
          <w:marTop w:val="0"/>
          <w:marBottom w:val="0"/>
          <w:divBdr>
            <w:top w:val="none" w:sz="0" w:space="0" w:color="auto"/>
            <w:left w:val="none" w:sz="0" w:space="0" w:color="auto"/>
            <w:bottom w:val="none" w:sz="0" w:space="0" w:color="auto"/>
            <w:right w:val="none" w:sz="0" w:space="0" w:color="auto"/>
          </w:divBdr>
        </w:div>
        <w:div w:id="1750036255">
          <w:marLeft w:val="0"/>
          <w:marRight w:val="0"/>
          <w:marTop w:val="0"/>
          <w:marBottom w:val="0"/>
          <w:divBdr>
            <w:top w:val="none" w:sz="0" w:space="0" w:color="auto"/>
            <w:left w:val="none" w:sz="0" w:space="0" w:color="auto"/>
            <w:bottom w:val="none" w:sz="0" w:space="0" w:color="auto"/>
            <w:right w:val="none" w:sz="0" w:space="0" w:color="auto"/>
          </w:divBdr>
        </w:div>
        <w:div w:id="1750036260">
          <w:marLeft w:val="0"/>
          <w:marRight w:val="0"/>
          <w:marTop w:val="0"/>
          <w:marBottom w:val="0"/>
          <w:divBdr>
            <w:top w:val="none" w:sz="0" w:space="0" w:color="auto"/>
            <w:left w:val="none" w:sz="0" w:space="0" w:color="auto"/>
            <w:bottom w:val="none" w:sz="0" w:space="0" w:color="auto"/>
            <w:right w:val="none" w:sz="0" w:space="0" w:color="auto"/>
          </w:divBdr>
        </w:div>
        <w:div w:id="1750036266">
          <w:marLeft w:val="0"/>
          <w:marRight w:val="0"/>
          <w:marTop w:val="0"/>
          <w:marBottom w:val="0"/>
          <w:divBdr>
            <w:top w:val="none" w:sz="0" w:space="0" w:color="auto"/>
            <w:left w:val="none" w:sz="0" w:space="0" w:color="auto"/>
            <w:bottom w:val="none" w:sz="0" w:space="0" w:color="auto"/>
            <w:right w:val="none" w:sz="0" w:space="0" w:color="auto"/>
          </w:divBdr>
        </w:div>
        <w:div w:id="1750036288">
          <w:marLeft w:val="0"/>
          <w:marRight w:val="0"/>
          <w:marTop w:val="0"/>
          <w:marBottom w:val="0"/>
          <w:divBdr>
            <w:top w:val="none" w:sz="0" w:space="0" w:color="auto"/>
            <w:left w:val="none" w:sz="0" w:space="0" w:color="auto"/>
            <w:bottom w:val="none" w:sz="0" w:space="0" w:color="auto"/>
            <w:right w:val="none" w:sz="0" w:space="0" w:color="auto"/>
          </w:divBdr>
        </w:div>
        <w:div w:id="1750036299">
          <w:marLeft w:val="0"/>
          <w:marRight w:val="0"/>
          <w:marTop w:val="0"/>
          <w:marBottom w:val="0"/>
          <w:divBdr>
            <w:top w:val="none" w:sz="0" w:space="0" w:color="auto"/>
            <w:left w:val="none" w:sz="0" w:space="0" w:color="auto"/>
            <w:bottom w:val="none" w:sz="0" w:space="0" w:color="auto"/>
            <w:right w:val="none" w:sz="0" w:space="0" w:color="auto"/>
          </w:divBdr>
        </w:div>
        <w:div w:id="1750036305">
          <w:marLeft w:val="0"/>
          <w:marRight w:val="0"/>
          <w:marTop w:val="0"/>
          <w:marBottom w:val="0"/>
          <w:divBdr>
            <w:top w:val="none" w:sz="0" w:space="0" w:color="auto"/>
            <w:left w:val="none" w:sz="0" w:space="0" w:color="auto"/>
            <w:bottom w:val="none" w:sz="0" w:space="0" w:color="auto"/>
            <w:right w:val="none" w:sz="0" w:space="0" w:color="auto"/>
          </w:divBdr>
        </w:div>
        <w:div w:id="1750036307">
          <w:marLeft w:val="0"/>
          <w:marRight w:val="0"/>
          <w:marTop w:val="0"/>
          <w:marBottom w:val="0"/>
          <w:divBdr>
            <w:top w:val="none" w:sz="0" w:space="0" w:color="auto"/>
            <w:left w:val="none" w:sz="0" w:space="0" w:color="auto"/>
            <w:bottom w:val="none" w:sz="0" w:space="0" w:color="auto"/>
            <w:right w:val="none" w:sz="0" w:space="0" w:color="auto"/>
          </w:divBdr>
        </w:div>
        <w:div w:id="1750036328">
          <w:marLeft w:val="0"/>
          <w:marRight w:val="0"/>
          <w:marTop w:val="0"/>
          <w:marBottom w:val="0"/>
          <w:divBdr>
            <w:top w:val="none" w:sz="0" w:space="0" w:color="auto"/>
            <w:left w:val="none" w:sz="0" w:space="0" w:color="auto"/>
            <w:bottom w:val="none" w:sz="0" w:space="0" w:color="auto"/>
            <w:right w:val="none" w:sz="0" w:space="0" w:color="auto"/>
          </w:divBdr>
        </w:div>
        <w:div w:id="1750036330">
          <w:marLeft w:val="0"/>
          <w:marRight w:val="0"/>
          <w:marTop w:val="0"/>
          <w:marBottom w:val="0"/>
          <w:divBdr>
            <w:top w:val="none" w:sz="0" w:space="0" w:color="auto"/>
            <w:left w:val="none" w:sz="0" w:space="0" w:color="auto"/>
            <w:bottom w:val="none" w:sz="0" w:space="0" w:color="auto"/>
            <w:right w:val="none" w:sz="0" w:space="0" w:color="auto"/>
          </w:divBdr>
        </w:div>
        <w:div w:id="1750036340">
          <w:marLeft w:val="0"/>
          <w:marRight w:val="0"/>
          <w:marTop w:val="0"/>
          <w:marBottom w:val="0"/>
          <w:divBdr>
            <w:top w:val="none" w:sz="0" w:space="0" w:color="auto"/>
            <w:left w:val="none" w:sz="0" w:space="0" w:color="auto"/>
            <w:bottom w:val="none" w:sz="0" w:space="0" w:color="auto"/>
            <w:right w:val="none" w:sz="0" w:space="0" w:color="auto"/>
          </w:divBdr>
        </w:div>
        <w:div w:id="1750036344">
          <w:marLeft w:val="0"/>
          <w:marRight w:val="0"/>
          <w:marTop w:val="0"/>
          <w:marBottom w:val="0"/>
          <w:divBdr>
            <w:top w:val="none" w:sz="0" w:space="0" w:color="auto"/>
            <w:left w:val="none" w:sz="0" w:space="0" w:color="auto"/>
            <w:bottom w:val="none" w:sz="0" w:space="0" w:color="auto"/>
            <w:right w:val="none" w:sz="0" w:space="0" w:color="auto"/>
          </w:divBdr>
        </w:div>
        <w:div w:id="1750036346">
          <w:marLeft w:val="0"/>
          <w:marRight w:val="0"/>
          <w:marTop w:val="0"/>
          <w:marBottom w:val="0"/>
          <w:divBdr>
            <w:top w:val="none" w:sz="0" w:space="0" w:color="auto"/>
            <w:left w:val="none" w:sz="0" w:space="0" w:color="auto"/>
            <w:bottom w:val="none" w:sz="0" w:space="0" w:color="auto"/>
            <w:right w:val="none" w:sz="0" w:space="0" w:color="auto"/>
          </w:divBdr>
        </w:div>
        <w:div w:id="1750036347">
          <w:marLeft w:val="0"/>
          <w:marRight w:val="0"/>
          <w:marTop w:val="0"/>
          <w:marBottom w:val="0"/>
          <w:divBdr>
            <w:top w:val="none" w:sz="0" w:space="0" w:color="auto"/>
            <w:left w:val="none" w:sz="0" w:space="0" w:color="auto"/>
            <w:bottom w:val="none" w:sz="0" w:space="0" w:color="auto"/>
            <w:right w:val="none" w:sz="0" w:space="0" w:color="auto"/>
          </w:divBdr>
        </w:div>
        <w:div w:id="1750036360">
          <w:marLeft w:val="0"/>
          <w:marRight w:val="0"/>
          <w:marTop w:val="0"/>
          <w:marBottom w:val="0"/>
          <w:divBdr>
            <w:top w:val="none" w:sz="0" w:space="0" w:color="auto"/>
            <w:left w:val="none" w:sz="0" w:space="0" w:color="auto"/>
            <w:bottom w:val="none" w:sz="0" w:space="0" w:color="auto"/>
            <w:right w:val="none" w:sz="0" w:space="0" w:color="auto"/>
          </w:divBdr>
        </w:div>
        <w:div w:id="1750036382">
          <w:marLeft w:val="0"/>
          <w:marRight w:val="0"/>
          <w:marTop w:val="0"/>
          <w:marBottom w:val="0"/>
          <w:divBdr>
            <w:top w:val="none" w:sz="0" w:space="0" w:color="auto"/>
            <w:left w:val="none" w:sz="0" w:space="0" w:color="auto"/>
            <w:bottom w:val="none" w:sz="0" w:space="0" w:color="auto"/>
            <w:right w:val="none" w:sz="0" w:space="0" w:color="auto"/>
          </w:divBdr>
        </w:div>
        <w:div w:id="1750036390">
          <w:marLeft w:val="0"/>
          <w:marRight w:val="0"/>
          <w:marTop w:val="0"/>
          <w:marBottom w:val="0"/>
          <w:divBdr>
            <w:top w:val="none" w:sz="0" w:space="0" w:color="auto"/>
            <w:left w:val="none" w:sz="0" w:space="0" w:color="auto"/>
            <w:bottom w:val="none" w:sz="0" w:space="0" w:color="auto"/>
            <w:right w:val="none" w:sz="0" w:space="0" w:color="auto"/>
          </w:divBdr>
        </w:div>
        <w:div w:id="1750036403">
          <w:marLeft w:val="0"/>
          <w:marRight w:val="0"/>
          <w:marTop w:val="0"/>
          <w:marBottom w:val="0"/>
          <w:divBdr>
            <w:top w:val="none" w:sz="0" w:space="0" w:color="auto"/>
            <w:left w:val="none" w:sz="0" w:space="0" w:color="auto"/>
            <w:bottom w:val="none" w:sz="0" w:space="0" w:color="auto"/>
            <w:right w:val="none" w:sz="0" w:space="0" w:color="auto"/>
          </w:divBdr>
        </w:div>
        <w:div w:id="1750036427">
          <w:marLeft w:val="0"/>
          <w:marRight w:val="0"/>
          <w:marTop w:val="0"/>
          <w:marBottom w:val="0"/>
          <w:divBdr>
            <w:top w:val="none" w:sz="0" w:space="0" w:color="auto"/>
            <w:left w:val="none" w:sz="0" w:space="0" w:color="auto"/>
            <w:bottom w:val="none" w:sz="0" w:space="0" w:color="auto"/>
            <w:right w:val="none" w:sz="0" w:space="0" w:color="auto"/>
          </w:divBdr>
        </w:div>
        <w:div w:id="1750036428">
          <w:marLeft w:val="0"/>
          <w:marRight w:val="0"/>
          <w:marTop w:val="0"/>
          <w:marBottom w:val="0"/>
          <w:divBdr>
            <w:top w:val="none" w:sz="0" w:space="0" w:color="auto"/>
            <w:left w:val="none" w:sz="0" w:space="0" w:color="auto"/>
            <w:bottom w:val="none" w:sz="0" w:space="0" w:color="auto"/>
            <w:right w:val="none" w:sz="0" w:space="0" w:color="auto"/>
          </w:divBdr>
        </w:div>
      </w:divsChild>
    </w:div>
    <w:div w:id="1750036241">
      <w:marLeft w:val="0"/>
      <w:marRight w:val="0"/>
      <w:marTop w:val="0"/>
      <w:marBottom w:val="0"/>
      <w:divBdr>
        <w:top w:val="none" w:sz="0" w:space="0" w:color="auto"/>
        <w:left w:val="none" w:sz="0" w:space="0" w:color="auto"/>
        <w:bottom w:val="none" w:sz="0" w:space="0" w:color="auto"/>
        <w:right w:val="none" w:sz="0" w:space="0" w:color="auto"/>
      </w:divBdr>
    </w:div>
    <w:div w:id="1750036242">
      <w:marLeft w:val="0"/>
      <w:marRight w:val="0"/>
      <w:marTop w:val="0"/>
      <w:marBottom w:val="0"/>
      <w:divBdr>
        <w:top w:val="none" w:sz="0" w:space="0" w:color="auto"/>
        <w:left w:val="none" w:sz="0" w:space="0" w:color="auto"/>
        <w:bottom w:val="none" w:sz="0" w:space="0" w:color="auto"/>
        <w:right w:val="none" w:sz="0" w:space="0" w:color="auto"/>
      </w:divBdr>
    </w:div>
    <w:div w:id="1750036246">
      <w:marLeft w:val="0"/>
      <w:marRight w:val="0"/>
      <w:marTop w:val="0"/>
      <w:marBottom w:val="0"/>
      <w:divBdr>
        <w:top w:val="none" w:sz="0" w:space="0" w:color="auto"/>
        <w:left w:val="none" w:sz="0" w:space="0" w:color="auto"/>
        <w:bottom w:val="none" w:sz="0" w:space="0" w:color="auto"/>
        <w:right w:val="none" w:sz="0" w:space="0" w:color="auto"/>
      </w:divBdr>
    </w:div>
    <w:div w:id="1750036250">
      <w:marLeft w:val="0"/>
      <w:marRight w:val="0"/>
      <w:marTop w:val="0"/>
      <w:marBottom w:val="0"/>
      <w:divBdr>
        <w:top w:val="none" w:sz="0" w:space="0" w:color="auto"/>
        <w:left w:val="none" w:sz="0" w:space="0" w:color="auto"/>
        <w:bottom w:val="none" w:sz="0" w:space="0" w:color="auto"/>
        <w:right w:val="none" w:sz="0" w:space="0" w:color="auto"/>
      </w:divBdr>
    </w:div>
    <w:div w:id="1750036252">
      <w:marLeft w:val="0"/>
      <w:marRight w:val="0"/>
      <w:marTop w:val="0"/>
      <w:marBottom w:val="0"/>
      <w:divBdr>
        <w:top w:val="none" w:sz="0" w:space="0" w:color="auto"/>
        <w:left w:val="none" w:sz="0" w:space="0" w:color="auto"/>
        <w:bottom w:val="none" w:sz="0" w:space="0" w:color="auto"/>
        <w:right w:val="none" w:sz="0" w:space="0" w:color="auto"/>
      </w:divBdr>
      <w:divsChild>
        <w:div w:id="1750036371">
          <w:marLeft w:val="0"/>
          <w:marRight w:val="0"/>
          <w:marTop w:val="0"/>
          <w:marBottom w:val="0"/>
          <w:divBdr>
            <w:top w:val="none" w:sz="0" w:space="0" w:color="auto"/>
            <w:left w:val="none" w:sz="0" w:space="0" w:color="auto"/>
            <w:bottom w:val="none" w:sz="0" w:space="0" w:color="auto"/>
            <w:right w:val="none" w:sz="0" w:space="0" w:color="auto"/>
          </w:divBdr>
          <w:divsChild>
            <w:div w:id="1750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259">
      <w:marLeft w:val="0"/>
      <w:marRight w:val="0"/>
      <w:marTop w:val="0"/>
      <w:marBottom w:val="0"/>
      <w:divBdr>
        <w:top w:val="none" w:sz="0" w:space="0" w:color="auto"/>
        <w:left w:val="none" w:sz="0" w:space="0" w:color="auto"/>
        <w:bottom w:val="none" w:sz="0" w:space="0" w:color="auto"/>
        <w:right w:val="none" w:sz="0" w:space="0" w:color="auto"/>
      </w:divBdr>
    </w:div>
    <w:div w:id="1750036267">
      <w:marLeft w:val="0"/>
      <w:marRight w:val="0"/>
      <w:marTop w:val="0"/>
      <w:marBottom w:val="0"/>
      <w:divBdr>
        <w:top w:val="none" w:sz="0" w:space="0" w:color="auto"/>
        <w:left w:val="none" w:sz="0" w:space="0" w:color="auto"/>
        <w:bottom w:val="none" w:sz="0" w:space="0" w:color="auto"/>
        <w:right w:val="none" w:sz="0" w:space="0" w:color="auto"/>
      </w:divBdr>
    </w:div>
    <w:div w:id="1750036269">
      <w:marLeft w:val="0"/>
      <w:marRight w:val="0"/>
      <w:marTop w:val="0"/>
      <w:marBottom w:val="0"/>
      <w:divBdr>
        <w:top w:val="none" w:sz="0" w:space="0" w:color="auto"/>
        <w:left w:val="none" w:sz="0" w:space="0" w:color="auto"/>
        <w:bottom w:val="none" w:sz="0" w:space="0" w:color="auto"/>
        <w:right w:val="none" w:sz="0" w:space="0" w:color="auto"/>
      </w:divBdr>
      <w:divsChild>
        <w:div w:id="1750036040">
          <w:marLeft w:val="0"/>
          <w:marRight w:val="0"/>
          <w:marTop w:val="0"/>
          <w:marBottom w:val="0"/>
          <w:divBdr>
            <w:top w:val="none" w:sz="0" w:space="0" w:color="auto"/>
            <w:left w:val="none" w:sz="0" w:space="0" w:color="auto"/>
            <w:bottom w:val="none" w:sz="0" w:space="0" w:color="auto"/>
            <w:right w:val="none" w:sz="0" w:space="0" w:color="auto"/>
          </w:divBdr>
          <w:divsChild>
            <w:div w:id="17500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270">
      <w:marLeft w:val="0"/>
      <w:marRight w:val="0"/>
      <w:marTop w:val="0"/>
      <w:marBottom w:val="0"/>
      <w:divBdr>
        <w:top w:val="none" w:sz="0" w:space="0" w:color="auto"/>
        <w:left w:val="none" w:sz="0" w:space="0" w:color="auto"/>
        <w:bottom w:val="none" w:sz="0" w:space="0" w:color="auto"/>
        <w:right w:val="none" w:sz="0" w:space="0" w:color="auto"/>
      </w:divBdr>
    </w:div>
    <w:div w:id="1750036271">
      <w:marLeft w:val="0"/>
      <w:marRight w:val="0"/>
      <w:marTop w:val="0"/>
      <w:marBottom w:val="0"/>
      <w:divBdr>
        <w:top w:val="none" w:sz="0" w:space="0" w:color="auto"/>
        <w:left w:val="none" w:sz="0" w:space="0" w:color="auto"/>
        <w:bottom w:val="none" w:sz="0" w:space="0" w:color="auto"/>
        <w:right w:val="none" w:sz="0" w:space="0" w:color="auto"/>
      </w:divBdr>
      <w:divsChild>
        <w:div w:id="1750036327">
          <w:marLeft w:val="0"/>
          <w:marRight w:val="0"/>
          <w:marTop w:val="0"/>
          <w:marBottom w:val="0"/>
          <w:divBdr>
            <w:top w:val="none" w:sz="0" w:space="0" w:color="auto"/>
            <w:left w:val="none" w:sz="0" w:space="0" w:color="auto"/>
            <w:bottom w:val="none" w:sz="0" w:space="0" w:color="auto"/>
            <w:right w:val="none" w:sz="0" w:space="0" w:color="auto"/>
          </w:divBdr>
          <w:divsChild>
            <w:div w:id="1750036075">
              <w:marLeft w:val="0"/>
              <w:marRight w:val="0"/>
              <w:marTop w:val="0"/>
              <w:marBottom w:val="0"/>
              <w:divBdr>
                <w:top w:val="none" w:sz="0" w:space="0" w:color="auto"/>
                <w:left w:val="none" w:sz="0" w:space="0" w:color="auto"/>
                <w:bottom w:val="none" w:sz="0" w:space="0" w:color="auto"/>
                <w:right w:val="none" w:sz="0" w:space="0" w:color="auto"/>
              </w:divBdr>
            </w:div>
            <w:div w:id="1750036182">
              <w:marLeft w:val="0"/>
              <w:marRight w:val="0"/>
              <w:marTop w:val="0"/>
              <w:marBottom w:val="0"/>
              <w:divBdr>
                <w:top w:val="none" w:sz="0" w:space="0" w:color="auto"/>
                <w:left w:val="none" w:sz="0" w:space="0" w:color="auto"/>
                <w:bottom w:val="none" w:sz="0" w:space="0" w:color="auto"/>
                <w:right w:val="none" w:sz="0" w:space="0" w:color="auto"/>
              </w:divBdr>
            </w:div>
            <w:div w:id="1750036190">
              <w:marLeft w:val="0"/>
              <w:marRight w:val="0"/>
              <w:marTop w:val="0"/>
              <w:marBottom w:val="0"/>
              <w:divBdr>
                <w:top w:val="none" w:sz="0" w:space="0" w:color="auto"/>
                <w:left w:val="none" w:sz="0" w:space="0" w:color="auto"/>
                <w:bottom w:val="none" w:sz="0" w:space="0" w:color="auto"/>
                <w:right w:val="none" w:sz="0" w:space="0" w:color="auto"/>
              </w:divBdr>
            </w:div>
            <w:div w:id="1750036191">
              <w:marLeft w:val="0"/>
              <w:marRight w:val="0"/>
              <w:marTop w:val="0"/>
              <w:marBottom w:val="0"/>
              <w:divBdr>
                <w:top w:val="none" w:sz="0" w:space="0" w:color="auto"/>
                <w:left w:val="none" w:sz="0" w:space="0" w:color="auto"/>
                <w:bottom w:val="none" w:sz="0" w:space="0" w:color="auto"/>
                <w:right w:val="none" w:sz="0" w:space="0" w:color="auto"/>
              </w:divBdr>
            </w:div>
            <w:div w:id="1750036247">
              <w:marLeft w:val="0"/>
              <w:marRight w:val="0"/>
              <w:marTop w:val="0"/>
              <w:marBottom w:val="0"/>
              <w:divBdr>
                <w:top w:val="none" w:sz="0" w:space="0" w:color="auto"/>
                <w:left w:val="none" w:sz="0" w:space="0" w:color="auto"/>
                <w:bottom w:val="none" w:sz="0" w:space="0" w:color="auto"/>
                <w:right w:val="none" w:sz="0" w:space="0" w:color="auto"/>
              </w:divBdr>
            </w:div>
            <w:div w:id="1750036310">
              <w:marLeft w:val="0"/>
              <w:marRight w:val="0"/>
              <w:marTop w:val="0"/>
              <w:marBottom w:val="0"/>
              <w:divBdr>
                <w:top w:val="none" w:sz="0" w:space="0" w:color="auto"/>
                <w:left w:val="none" w:sz="0" w:space="0" w:color="auto"/>
                <w:bottom w:val="none" w:sz="0" w:space="0" w:color="auto"/>
                <w:right w:val="none" w:sz="0" w:space="0" w:color="auto"/>
              </w:divBdr>
            </w:div>
            <w:div w:id="17500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273">
      <w:marLeft w:val="0"/>
      <w:marRight w:val="0"/>
      <w:marTop w:val="0"/>
      <w:marBottom w:val="0"/>
      <w:divBdr>
        <w:top w:val="none" w:sz="0" w:space="0" w:color="auto"/>
        <w:left w:val="none" w:sz="0" w:space="0" w:color="auto"/>
        <w:bottom w:val="none" w:sz="0" w:space="0" w:color="auto"/>
        <w:right w:val="none" w:sz="0" w:space="0" w:color="auto"/>
      </w:divBdr>
    </w:div>
    <w:div w:id="1750036275">
      <w:marLeft w:val="0"/>
      <w:marRight w:val="0"/>
      <w:marTop w:val="0"/>
      <w:marBottom w:val="0"/>
      <w:divBdr>
        <w:top w:val="none" w:sz="0" w:space="0" w:color="auto"/>
        <w:left w:val="none" w:sz="0" w:space="0" w:color="auto"/>
        <w:bottom w:val="none" w:sz="0" w:space="0" w:color="auto"/>
        <w:right w:val="none" w:sz="0" w:space="0" w:color="auto"/>
      </w:divBdr>
    </w:div>
    <w:div w:id="1750036276">
      <w:marLeft w:val="0"/>
      <w:marRight w:val="0"/>
      <w:marTop w:val="0"/>
      <w:marBottom w:val="0"/>
      <w:divBdr>
        <w:top w:val="none" w:sz="0" w:space="0" w:color="auto"/>
        <w:left w:val="none" w:sz="0" w:space="0" w:color="auto"/>
        <w:bottom w:val="none" w:sz="0" w:space="0" w:color="auto"/>
        <w:right w:val="none" w:sz="0" w:space="0" w:color="auto"/>
      </w:divBdr>
      <w:divsChild>
        <w:div w:id="1750036172">
          <w:marLeft w:val="0"/>
          <w:marRight w:val="0"/>
          <w:marTop w:val="0"/>
          <w:marBottom w:val="0"/>
          <w:divBdr>
            <w:top w:val="none" w:sz="0" w:space="0" w:color="auto"/>
            <w:left w:val="none" w:sz="0" w:space="0" w:color="auto"/>
            <w:bottom w:val="none" w:sz="0" w:space="0" w:color="auto"/>
            <w:right w:val="none" w:sz="0" w:space="0" w:color="auto"/>
          </w:divBdr>
          <w:divsChild>
            <w:div w:id="17500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280">
      <w:marLeft w:val="0"/>
      <w:marRight w:val="0"/>
      <w:marTop w:val="0"/>
      <w:marBottom w:val="0"/>
      <w:divBdr>
        <w:top w:val="none" w:sz="0" w:space="0" w:color="auto"/>
        <w:left w:val="none" w:sz="0" w:space="0" w:color="auto"/>
        <w:bottom w:val="none" w:sz="0" w:space="0" w:color="auto"/>
        <w:right w:val="none" w:sz="0" w:space="0" w:color="auto"/>
      </w:divBdr>
    </w:div>
    <w:div w:id="1750036282">
      <w:marLeft w:val="0"/>
      <w:marRight w:val="0"/>
      <w:marTop w:val="0"/>
      <w:marBottom w:val="0"/>
      <w:divBdr>
        <w:top w:val="none" w:sz="0" w:space="0" w:color="auto"/>
        <w:left w:val="none" w:sz="0" w:space="0" w:color="auto"/>
        <w:bottom w:val="none" w:sz="0" w:space="0" w:color="auto"/>
        <w:right w:val="none" w:sz="0" w:space="0" w:color="auto"/>
      </w:divBdr>
    </w:div>
    <w:div w:id="1750036284">
      <w:marLeft w:val="0"/>
      <w:marRight w:val="0"/>
      <w:marTop w:val="0"/>
      <w:marBottom w:val="0"/>
      <w:divBdr>
        <w:top w:val="none" w:sz="0" w:space="0" w:color="auto"/>
        <w:left w:val="none" w:sz="0" w:space="0" w:color="auto"/>
        <w:bottom w:val="none" w:sz="0" w:space="0" w:color="auto"/>
        <w:right w:val="none" w:sz="0" w:space="0" w:color="auto"/>
      </w:divBdr>
    </w:div>
    <w:div w:id="1750036286">
      <w:marLeft w:val="0"/>
      <w:marRight w:val="0"/>
      <w:marTop w:val="0"/>
      <w:marBottom w:val="0"/>
      <w:divBdr>
        <w:top w:val="none" w:sz="0" w:space="0" w:color="auto"/>
        <w:left w:val="none" w:sz="0" w:space="0" w:color="auto"/>
        <w:bottom w:val="none" w:sz="0" w:space="0" w:color="auto"/>
        <w:right w:val="none" w:sz="0" w:space="0" w:color="auto"/>
      </w:divBdr>
      <w:divsChild>
        <w:div w:id="1750036292">
          <w:marLeft w:val="0"/>
          <w:marRight w:val="0"/>
          <w:marTop w:val="0"/>
          <w:marBottom w:val="0"/>
          <w:divBdr>
            <w:top w:val="none" w:sz="0" w:space="0" w:color="auto"/>
            <w:left w:val="none" w:sz="0" w:space="0" w:color="auto"/>
            <w:bottom w:val="none" w:sz="0" w:space="0" w:color="auto"/>
            <w:right w:val="none" w:sz="0" w:space="0" w:color="auto"/>
          </w:divBdr>
        </w:div>
      </w:divsChild>
    </w:div>
    <w:div w:id="1750036287">
      <w:marLeft w:val="0"/>
      <w:marRight w:val="0"/>
      <w:marTop w:val="0"/>
      <w:marBottom w:val="0"/>
      <w:divBdr>
        <w:top w:val="none" w:sz="0" w:space="0" w:color="auto"/>
        <w:left w:val="none" w:sz="0" w:space="0" w:color="auto"/>
        <w:bottom w:val="none" w:sz="0" w:space="0" w:color="auto"/>
        <w:right w:val="none" w:sz="0" w:space="0" w:color="auto"/>
      </w:divBdr>
      <w:divsChild>
        <w:div w:id="1750036476">
          <w:marLeft w:val="0"/>
          <w:marRight w:val="0"/>
          <w:marTop w:val="0"/>
          <w:marBottom w:val="0"/>
          <w:divBdr>
            <w:top w:val="none" w:sz="0" w:space="0" w:color="auto"/>
            <w:left w:val="none" w:sz="0" w:space="0" w:color="auto"/>
            <w:bottom w:val="none" w:sz="0" w:space="0" w:color="auto"/>
            <w:right w:val="none" w:sz="0" w:space="0" w:color="auto"/>
          </w:divBdr>
          <w:divsChild>
            <w:div w:id="1750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289">
      <w:marLeft w:val="0"/>
      <w:marRight w:val="0"/>
      <w:marTop w:val="0"/>
      <w:marBottom w:val="0"/>
      <w:divBdr>
        <w:top w:val="none" w:sz="0" w:space="0" w:color="auto"/>
        <w:left w:val="none" w:sz="0" w:space="0" w:color="auto"/>
        <w:bottom w:val="none" w:sz="0" w:space="0" w:color="auto"/>
        <w:right w:val="none" w:sz="0" w:space="0" w:color="auto"/>
      </w:divBdr>
    </w:div>
    <w:div w:id="1750036291">
      <w:marLeft w:val="0"/>
      <w:marRight w:val="0"/>
      <w:marTop w:val="0"/>
      <w:marBottom w:val="0"/>
      <w:divBdr>
        <w:top w:val="none" w:sz="0" w:space="0" w:color="auto"/>
        <w:left w:val="none" w:sz="0" w:space="0" w:color="auto"/>
        <w:bottom w:val="none" w:sz="0" w:space="0" w:color="auto"/>
        <w:right w:val="none" w:sz="0" w:space="0" w:color="auto"/>
      </w:divBdr>
    </w:div>
    <w:div w:id="1750036294">
      <w:marLeft w:val="0"/>
      <w:marRight w:val="0"/>
      <w:marTop w:val="0"/>
      <w:marBottom w:val="0"/>
      <w:divBdr>
        <w:top w:val="none" w:sz="0" w:space="0" w:color="auto"/>
        <w:left w:val="none" w:sz="0" w:space="0" w:color="auto"/>
        <w:bottom w:val="none" w:sz="0" w:space="0" w:color="auto"/>
        <w:right w:val="none" w:sz="0" w:space="0" w:color="auto"/>
      </w:divBdr>
    </w:div>
    <w:div w:id="1750036296">
      <w:marLeft w:val="0"/>
      <w:marRight w:val="0"/>
      <w:marTop w:val="0"/>
      <w:marBottom w:val="0"/>
      <w:divBdr>
        <w:top w:val="none" w:sz="0" w:space="0" w:color="auto"/>
        <w:left w:val="none" w:sz="0" w:space="0" w:color="auto"/>
        <w:bottom w:val="none" w:sz="0" w:space="0" w:color="auto"/>
        <w:right w:val="none" w:sz="0" w:space="0" w:color="auto"/>
      </w:divBdr>
      <w:divsChild>
        <w:div w:id="1750036435">
          <w:marLeft w:val="0"/>
          <w:marRight w:val="0"/>
          <w:marTop w:val="0"/>
          <w:marBottom w:val="0"/>
          <w:divBdr>
            <w:top w:val="none" w:sz="0" w:space="0" w:color="auto"/>
            <w:left w:val="none" w:sz="0" w:space="0" w:color="auto"/>
            <w:bottom w:val="none" w:sz="0" w:space="0" w:color="auto"/>
            <w:right w:val="none" w:sz="0" w:space="0" w:color="auto"/>
          </w:divBdr>
          <w:divsChild>
            <w:div w:id="1750036060">
              <w:marLeft w:val="0"/>
              <w:marRight w:val="0"/>
              <w:marTop w:val="0"/>
              <w:marBottom w:val="0"/>
              <w:divBdr>
                <w:top w:val="none" w:sz="0" w:space="0" w:color="auto"/>
                <w:left w:val="none" w:sz="0" w:space="0" w:color="auto"/>
                <w:bottom w:val="none" w:sz="0" w:space="0" w:color="auto"/>
                <w:right w:val="none" w:sz="0" w:space="0" w:color="auto"/>
              </w:divBdr>
            </w:div>
            <w:div w:id="1750036062">
              <w:marLeft w:val="0"/>
              <w:marRight w:val="0"/>
              <w:marTop w:val="0"/>
              <w:marBottom w:val="0"/>
              <w:divBdr>
                <w:top w:val="none" w:sz="0" w:space="0" w:color="auto"/>
                <w:left w:val="none" w:sz="0" w:space="0" w:color="auto"/>
                <w:bottom w:val="none" w:sz="0" w:space="0" w:color="auto"/>
                <w:right w:val="none" w:sz="0" w:space="0" w:color="auto"/>
              </w:divBdr>
            </w:div>
            <w:div w:id="1750036125">
              <w:marLeft w:val="0"/>
              <w:marRight w:val="0"/>
              <w:marTop w:val="0"/>
              <w:marBottom w:val="0"/>
              <w:divBdr>
                <w:top w:val="none" w:sz="0" w:space="0" w:color="auto"/>
                <w:left w:val="none" w:sz="0" w:space="0" w:color="auto"/>
                <w:bottom w:val="none" w:sz="0" w:space="0" w:color="auto"/>
                <w:right w:val="none" w:sz="0" w:space="0" w:color="auto"/>
              </w:divBdr>
            </w:div>
            <w:div w:id="1750036149">
              <w:marLeft w:val="0"/>
              <w:marRight w:val="0"/>
              <w:marTop w:val="0"/>
              <w:marBottom w:val="0"/>
              <w:divBdr>
                <w:top w:val="none" w:sz="0" w:space="0" w:color="auto"/>
                <w:left w:val="none" w:sz="0" w:space="0" w:color="auto"/>
                <w:bottom w:val="none" w:sz="0" w:space="0" w:color="auto"/>
                <w:right w:val="none" w:sz="0" w:space="0" w:color="auto"/>
              </w:divBdr>
            </w:div>
            <w:div w:id="1750036159">
              <w:marLeft w:val="0"/>
              <w:marRight w:val="0"/>
              <w:marTop w:val="0"/>
              <w:marBottom w:val="0"/>
              <w:divBdr>
                <w:top w:val="none" w:sz="0" w:space="0" w:color="auto"/>
                <w:left w:val="none" w:sz="0" w:space="0" w:color="auto"/>
                <w:bottom w:val="none" w:sz="0" w:space="0" w:color="auto"/>
                <w:right w:val="none" w:sz="0" w:space="0" w:color="auto"/>
              </w:divBdr>
            </w:div>
            <w:div w:id="1750036316">
              <w:marLeft w:val="0"/>
              <w:marRight w:val="0"/>
              <w:marTop w:val="0"/>
              <w:marBottom w:val="0"/>
              <w:divBdr>
                <w:top w:val="none" w:sz="0" w:space="0" w:color="auto"/>
                <w:left w:val="none" w:sz="0" w:space="0" w:color="auto"/>
                <w:bottom w:val="none" w:sz="0" w:space="0" w:color="auto"/>
                <w:right w:val="none" w:sz="0" w:space="0" w:color="auto"/>
              </w:divBdr>
            </w:div>
            <w:div w:id="1750036332">
              <w:marLeft w:val="0"/>
              <w:marRight w:val="0"/>
              <w:marTop w:val="0"/>
              <w:marBottom w:val="0"/>
              <w:divBdr>
                <w:top w:val="none" w:sz="0" w:space="0" w:color="auto"/>
                <w:left w:val="none" w:sz="0" w:space="0" w:color="auto"/>
                <w:bottom w:val="none" w:sz="0" w:space="0" w:color="auto"/>
                <w:right w:val="none" w:sz="0" w:space="0" w:color="auto"/>
              </w:divBdr>
            </w:div>
            <w:div w:id="1750036372">
              <w:marLeft w:val="0"/>
              <w:marRight w:val="0"/>
              <w:marTop w:val="0"/>
              <w:marBottom w:val="0"/>
              <w:divBdr>
                <w:top w:val="none" w:sz="0" w:space="0" w:color="auto"/>
                <w:left w:val="none" w:sz="0" w:space="0" w:color="auto"/>
                <w:bottom w:val="none" w:sz="0" w:space="0" w:color="auto"/>
                <w:right w:val="none" w:sz="0" w:space="0" w:color="auto"/>
              </w:divBdr>
            </w:div>
            <w:div w:id="1750036376">
              <w:marLeft w:val="0"/>
              <w:marRight w:val="0"/>
              <w:marTop w:val="0"/>
              <w:marBottom w:val="0"/>
              <w:divBdr>
                <w:top w:val="none" w:sz="0" w:space="0" w:color="auto"/>
                <w:left w:val="none" w:sz="0" w:space="0" w:color="auto"/>
                <w:bottom w:val="none" w:sz="0" w:space="0" w:color="auto"/>
                <w:right w:val="none" w:sz="0" w:space="0" w:color="auto"/>
              </w:divBdr>
            </w:div>
            <w:div w:id="1750036386">
              <w:marLeft w:val="0"/>
              <w:marRight w:val="0"/>
              <w:marTop w:val="0"/>
              <w:marBottom w:val="0"/>
              <w:divBdr>
                <w:top w:val="none" w:sz="0" w:space="0" w:color="auto"/>
                <w:left w:val="none" w:sz="0" w:space="0" w:color="auto"/>
                <w:bottom w:val="none" w:sz="0" w:space="0" w:color="auto"/>
                <w:right w:val="none" w:sz="0" w:space="0" w:color="auto"/>
              </w:divBdr>
            </w:div>
            <w:div w:id="1750036400">
              <w:marLeft w:val="0"/>
              <w:marRight w:val="0"/>
              <w:marTop w:val="0"/>
              <w:marBottom w:val="0"/>
              <w:divBdr>
                <w:top w:val="none" w:sz="0" w:space="0" w:color="auto"/>
                <w:left w:val="none" w:sz="0" w:space="0" w:color="auto"/>
                <w:bottom w:val="none" w:sz="0" w:space="0" w:color="auto"/>
                <w:right w:val="none" w:sz="0" w:space="0" w:color="auto"/>
              </w:divBdr>
            </w:div>
            <w:div w:id="1750036422">
              <w:marLeft w:val="0"/>
              <w:marRight w:val="0"/>
              <w:marTop w:val="0"/>
              <w:marBottom w:val="0"/>
              <w:divBdr>
                <w:top w:val="none" w:sz="0" w:space="0" w:color="auto"/>
                <w:left w:val="none" w:sz="0" w:space="0" w:color="auto"/>
                <w:bottom w:val="none" w:sz="0" w:space="0" w:color="auto"/>
                <w:right w:val="none" w:sz="0" w:space="0" w:color="auto"/>
              </w:divBdr>
            </w:div>
            <w:div w:id="1750036429">
              <w:marLeft w:val="0"/>
              <w:marRight w:val="0"/>
              <w:marTop w:val="0"/>
              <w:marBottom w:val="0"/>
              <w:divBdr>
                <w:top w:val="none" w:sz="0" w:space="0" w:color="auto"/>
                <w:left w:val="none" w:sz="0" w:space="0" w:color="auto"/>
                <w:bottom w:val="none" w:sz="0" w:space="0" w:color="auto"/>
                <w:right w:val="none" w:sz="0" w:space="0" w:color="auto"/>
              </w:divBdr>
            </w:div>
            <w:div w:id="1750036440">
              <w:marLeft w:val="0"/>
              <w:marRight w:val="0"/>
              <w:marTop w:val="0"/>
              <w:marBottom w:val="0"/>
              <w:divBdr>
                <w:top w:val="none" w:sz="0" w:space="0" w:color="auto"/>
                <w:left w:val="none" w:sz="0" w:space="0" w:color="auto"/>
                <w:bottom w:val="none" w:sz="0" w:space="0" w:color="auto"/>
                <w:right w:val="none" w:sz="0" w:space="0" w:color="auto"/>
              </w:divBdr>
            </w:div>
            <w:div w:id="1750036442">
              <w:marLeft w:val="0"/>
              <w:marRight w:val="0"/>
              <w:marTop w:val="0"/>
              <w:marBottom w:val="0"/>
              <w:divBdr>
                <w:top w:val="none" w:sz="0" w:space="0" w:color="auto"/>
                <w:left w:val="none" w:sz="0" w:space="0" w:color="auto"/>
                <w:bottom w:val="none" w:sz="0" w:space="0" w:color="auto"/>
                <w:right w:val="none" w:sz="0" w:space="0" w:color="auto"/>
              </w:divBdr>
            </w:div>
            <w:div w:id="1750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303">
      <w:marLeft w:val="0"/>
      <w:marRight w:val="0"/>
      <w:marTop w:val="0"/>
      <w:marBottom w:val="0"/>
      <w:divBdr>
        <w:top w:val="none" w:sz="0" w:space="0" w:color="auto"/>
        <w:left w:val="none" w:sz="0" w:space="0" w:color="auto"/>
        <w:bottom w:val="none" w:sz="0" w:space="0" w:color="auto"/>
        <w:right w:val="none" w:sz="0" w:space="0" w:color="auto"/>
      </w:divBdr>
      <w:divsChild>
        <w:div w:id="1750036045">
          <w:marLeft w:val="0"/>
          <w:marRight w:val="0"/>
          <w:marTop w:val="0"/>
          <w:marBottom w:val="0"/>
          <w:divBdr>
            <w:top w:val="none" w:sz="0" w:space="0" w:color="auto"/>
            <w:left w:val="none" w:sz="0" w:space="0" w:color="auto"/>
            <w:bottom w:val="none" w:sz="0" w:space="0" w:color="auto"/>
            <w:right w:val="none" w:sz="0" w:space="0" w:color="auto"/>
          </w:divBdr>
        </w:div>
        <w:div w:id="1750036052">
          <w:marLeft w:val="0"/>
          <w:marRight w:val="0"/>
          <w:marTop w:val="0"/>
          <w:marBottom w:val="0"/>
          <w:divBdr>
            <w:top w:val="none" w:sz="0" w:space="0" w:color="auto"/>
            <w:left w:val="none" w:sz="0" w:space="0" w:color="auto"/>
            <w:bottom w:val="none" w:sz="0" w:space="0" w:color="auto"/>
            <w:right w:val="none" w:sz="0" w:space="0" w:color="auto"/>
          </w:divBdr>
        </w:div>
        <w:div w:id="1750036064">
          <w:marLeft w:val="0"/>
          <w:marRight w:val="0"/>
          <w:marTop w:val="0"/>
          <w:marBottom w:val="0"/>
          <w:divBdr>
            <w:top w:val="none" w:sz="0" w:space="0" w:color="auto"/>
            <w:left w:val="none" w:sz="0" w:space="0" w:color="auto"/>
            <w:bottom w:val="none" w:sz="0" w:space="0" w:color="auto"/>
            <w:right w:val="none" w:sz="0" w:space="0" w:color="auto"/>
          </w:divBdr>
        </w:div>
        <w:div w:id="1750036067">
          <w:marLeft w:val="0"/>
          <w:marRight w:val="0"/>
          <w:marTop w:val="0"/>
          <w:marBottom w:val="0"/>
          <w:divBdr>
            <w:top w:val="none" w:sz="0" w:space="0" w:color="auto"/>
            <w:left w:val="none" w:sz="0" w:space="0" w:color="auto"/>
            <w:bottom w:val="none" w:sz="0" w:space="0" w:color="auto"/>
            <w:right w:val="none" w:sz="0" w:space="0" w:color="auto"/>
          </w:divBdr>
        </w:div>
        <w:div w:id="1750036082">
          <w:marLeft w:val="0"/>
          <w:marRight w:val="0"/>
          <w:marTop w:val="0"/>
          <w:marBottom w:val="0"/>
          <w:divBdr>
            <w:top w:val="none" w:sz="0" w:space="0" w:color="auto"/>
            <w:left w:val="none" w:sz="0" w:space="0" w:color="auto"/>
            <w:bottom w:val="none" w:sz="0" w:space="0" w:color="auto"/>
            <w:right w:val="none" w:sz="0" w:space="0" w:color="auto"/>
          </w:divBdr>
        </w:div>
        <w:div w:id="1750036085">
          <w:marLeft w:val="0"/>
          <w:marRight w:val="0"/>
          <w:marTop w:val="0"/>
          <w:marBottom w:val="0"/>
          <w:divBdr>
            <w:top w:val="none" w:sz="0" w:space="0" w:color="auto"/>
            <w:left w:val="none" w:sz="0" w:space="0" w:color="auto"/>
            <w:bottom w:val="none" w:sz="0" w:space="0" w:color="auto"/>
            <w:right w:val="none" w:sz="0" w:space="0" w:color="auto"/>
          </w:divBdr>
        </w:div>
        <w:div w:id="1750036089">
          <w:marLeft w:val="0"/>
          <w:marRight w:val="0"/>
          <w:marTop w:val="0"/>
          <w:marBottom w:val="0"/>
          <w:divBdr>
            <w:top w:val="none" w:sz="0" w:space="0" w:color="auto"/>
            <w:left w:val="none" w:sz="0" w:space="0" w:color="auto"/>
            <w:bottom w:val="none" w:sz="0" w:space="0" w:color="auto"/>
            <w:right w:val="none" w:sz="0" w:space="0" w:color="auto"/>
          </w:divBdr>
        </w:div>
        <w:div w:id="1750036099">
          <w:marLeft w:val="0"/>
          <w:marRight w:val="0"/>
          <w:marTop w:val="0"/>
          <w:marBottom w:val="0"/>
          <w:divBdr>
            <w:top w:val="none" w:sz="0" w:space="0" w:color="auto"/>
            <w:left w:val="none" w:sz="0" w:space="0" w:color="auto"/>
            <w:bottom w:val="none" w:sz="0" w:space="0" w:color="auto"/>
            <w:right w:val="none" w:sz="0" w:space="0" w:color="auto"/>
          </w:divBdr>
        </w:div>
        <w:div w:id="1750036103">
          <w:marLeft w:val="0"/>
          <w:marRight w:val="0"/>
          <w:marTop w:val="0"/>
          <w:marBottom w:val="0"/>
          <w:divBdr>
            <w:top w:val="none" w:sz="0" w:space="0" w:color="auto"/>
            <w:left w:val="none" w:sz="0" w:space="0" w:color="auto"/>
            <w:bottom w:val="none" w:sz="0" w:space="0" w:color="auto"/>
            <w:right w:val="none" w:sz="0" w:space="0" w:color="auto"/>
          </w:divBdr>
        </w:div>
        <w:div w:id="1750036105">
          <w:marLeft w:val="0"/>
          <w:marRight w:val="0"/>
          <w:marTop w:val="0"/>
          <w:marBottom w:val="0"/>
          <w:divBdr>
            <w:top w:val="none" w:sz="0" w:space="0" w:color="auto"/>
            <w:left w:val="none" w:sz="0" w:space="0" w:color="auto"/>
            <w:bottom w:val="none" w:sz="0" w:space="0" w:color="auto"/>
            <w:right w:val="none" w:sz="0" w:space="0" w:color="auto"/>
          </w:divBdr>
        </w:div>
        <w:div w:id="1750036108">
          <w:marLeft w:val="0"/>
          <w:marRight w:val="0"/>
          <w:marTop w:val="0"/>
          <w:marBottom w:val="0"/>
          <w:divBdr>
            <w:top w:val="none" w:sz="0" w:space="0" w:color="auto"/>
            <w:left w:val="none" w:sz="0" w:space="0" w:color="auto"/>
            <w:bottom w:val="none" w:sz="0" w:space="0" w:color="auto"/>
            <w:right w:val="none" w:sz="0" w:space="0" w:color="auto"/>
          </w:divBdr>
        </w:div>
        <w:div w:id="1750036116">
          <w:marLeft w:val="0"/>
          <w:marRight w:val="0"/>
          <w:marTop w:val="0"/>
          <w:marBottom w:val="0"/>
          <w:divBdr>
            <w:top w:val="none" w:sz="0" w:space="0" w:color="auto"/>
            <w:left w:val="none" w:sz="0" w:space="0" w:color="auto"/>
            <w:bottom w:val="none" w:sz="0" w:space="0" w:color="auto"/>
            <w:right w:val="none" w:sz="0" w:space="0" w:color="auto"/>
          </w:divBdr>
        </w:div>
        <w:div w:id="1750036118">
          <w:marLeft w:val="0"/>
          <w:marRight w:val="0"/>
          <w:marTop w:val="0"/>
          <w:marBottom w:val="0"/>
          <w:divBdr>
            <w:top w:val="none" w:sz="0" w:space="0" w:color="auto"/>
            <w:left w:val="none" w:sz="0" w:space="0" w:color="auto"/>
            <w:bottom w:val="none" w:sz="0" w:space="0" w:color="auto"/>
            <w:right w:val="none" w:sz="0" w:space="0" w:color="auto"/>
          </w:divBdr>
        </w:div>
        <w:div w:id="1750036130">
          <w:marLeft w:val="0"/>
          <w:marRight w:val="0"/>
          <w:marTop w:val="0"/>
          <w:marBottom w:val="0"/>
          <w:divBdr>
            <w:top w:val="none" w:sz="0" w:space="0" w:color="auto"/>
            <w:left w:val="none" w:sz="0" w:space="0" w:color="auto"/>
            <w:bottom w:val="none" w:sz="0" w:space="0" w:color="auto"/>
            <w:right w:val="none" w:sz="0" w:space="0" w:color="auto"/>
          </w:divBdr>
        </w:div>
        <w:div w:id="1750036137">
          <w:marLeft w:val="0"/>
          <w:marRight w:val="0"/>
          <w:marTop w:val="0"/>
          <w:marBottom w:val="0"/>
          <w:divBdr>
            <w:top w:val="none" w:sz="0" w:space="0" w:color="auto"/>
            <w:left w:val="none" w:sz="0" w:space="0" w:color="auto"/>
            <w:bottom w:val="none" w:sz="0" w:space="0" w:color="auto"/>
            <w:right w:val="none" w:sz="0" w:space="0" w:color="auto"/>
          </w:divBdr>
        </w:div>
        <w:div w:id="1750036160">
          <w:marLeft w:val="0"/>
          <w:marRight w:val="0"/>
          <w:marTop w:val="0"/>
          <w:marBottom w:val="0"/>
          <w:divBdr>
            <w:top w:val="none" w:sz="0" w:space="0" w:color="auto"/>
            <w:left w:val="none" w:sz="0" w:space="0" w:color="auto"/>
            <w:bottom w:val="none" w:sz="0" w:space="0" w:color="auto"/>
            <w:right w:val="none" w:sz="0" w:space="0" w:color="auto"/>
          </w:divBdr>
        </w:div>
        <w:div w:id="1750036168">
          <w:marLeft w:val="0"/>
          <w:marRight w:val="0"/>
          <w:marTop w:val="0"/>
          <w:marBottom w:val="0"/>
          <w:divBdr>
            <w:top w:val="none" w:sz="0" w:space="0" w:color="auto"/>
            <w:left w:val="none" w:sz="0" w:space="0" w:color="auto"/>
            <w:bottom w:val="none" w:sz="0" w:space="0" w:color="auto"/>
            <w:right w:val="none" w:sz="0" w:space="0" w:color="auto"/>
          </w:divBdr>
        </w:div>
        <w:div w:id="1750036177">
          <w:marLeft w:val="0"/>
          <w:marRight w:val="0"/>
          <w:marTop w:val="0"/>
          <w:marBottom w:val="0"/>
          <w:divBdr>
            <w:top w:val="none" w:sz="0" w:space="0" w:color="auto"/>
            <w:left w:val="none" w:sz="0" w:space="0" w:color="auto"/>
            <w:bottom w:val="none" w:sz="0" w:space="0" w:color="auto"/>
            <w:right w:val="none" w:sz="0" w:space="0" w:color="auto"/>
          </w:divBdr>
        </w:div>
        <w:div w:id="1750036222">
          <w:marLeft w:val="0"/>
          <w:marRight w:val="0"/>
          <w:marTop w:val="0"/>
          <w:marBottom w:val="0"/>
          <w:divBdr>
            <w:top w:val="none" w:sz="0" w:space="0" w:color="auto"/>
            <w:left w:val="none" w:sz="0" w:space="0" w:color="auto"/>
            <w:bottom w:val="none" w:sz="0" w:space="0" w:color="auto"/>
            <w:right w:val="none" w:sz="0" w:space="0" w:color="auto"/>
          </w:divBdr>
        </w:div>
        <w:div w:id="1750036223">
          <w:marLeft w:val="0"/>
          <w:marRight w:val="0"/>
          <w:marTop w:val="0"/>
          <w:marBottom w:val="0"/>
          <w:divBdr>
            <w:top w:val="none" w:sz="0" w:space="0" w:color="auto"/>
            <w:left w:val="none" w:sz="0" w:space="0" w:color="auto"/>
            <w:bottom w:val="none" w:sz="0" w:space="0" w:color="auto"/>
            <w:right w:val="none" w:sz="0" w:space="0" w:color="auto"/>
          </w:divBdr>
        </w:div>
        <w:div w:id="1750036230">
          <w:marLeft w:val="0"/>
          <w:marRight w:val="0"/>
          <w:marTop w:val="0"/>
          <w:marBottom w:val="0"/>
          <w:divBdr>
            <w:top w:val="none" w:sz="0" w:space="0" w:color="auto"/>
            <w:left w:val="none" w:sz="0" w:space="0" w:color="auto"/>
            <w:bottom w:val="none" w:sz="0" w:space="0" w:color="auto"/>
            <w:right w:val="none" w:sz="0" w:space="0" w:color="auto"/>
          </w:divBdr>
        </w:div>
        <w:div w:id="1750036233">
          <w:marLeft w:val="0"/>
          <w:marRight w:val="0"/>
          <w:marTop w:val="0"/>
          <w:marBottom w:val="0"/>
          <w:divBdr>
            <w:top w:val="none" w:sz="0" w:space="0" w:color="auto"/>
            <w:left w:val="none" w:sz="0" w:space="0" w:color="auto"/>
            <w:bottom w:val="none" w:sz="0" w:space="0" w:color="auto"/>
            <w:right w:val="none" w:sz="0" w:space="0" w:color="auto"/>
          </w:divBdr>
        </w:div>
        <w:div w:id="1750036237">
          <w:marLeft w:val="0"/>
          <w:marRight w:val="0"/>
          <w:marTop w:val="0"/>
          <w:marBottom w:val="0"/>
          <w:divBdr>
            <w:top w:val="none" w:sz="0" w:space="0" w:color="auto"/>
            <w:left w:val="none" w:sz="0" w:space="0" w:color="auto"/>
            <w:bottom w:val="none" w:sz="0" w:space="0" w:color="auto"/>
            <w:right w:val="none" w:sz="0" w:space="0" w:color="auto"/>
          </w:divBdr>
        </w:div>
        <w:div w:id="1750036240">
          <w:marLeft w:val="0"/>
          <w:marRight w:val="0"/>
          <w:marTop w:val="0"/>
          <w:marBottom w:val="0"/>
          <w:divBdr>
            <w:top w:val="none" w:sz="0" w:space="0" w:color="auto"/>
            <w:left w:val="none" w:sz="0" w:space="0" w:color="auto"/>
            <w:bottom w:val="none" w:sz="0" w:space="0" w:color="auto"/>
            <w:right w:val="none" w:sz="0" w:space="0" w:color="auto"/>
          </w:divBdr>
        </w:div>
        <w:div w:id="1750036262">
          <w:marLeft w:val="0"/>
          <w:marRight w:val="0"/>
          <w:marTop w:val="0"/>
          <w:marBottom w:val="0"/>
          <w:divBdr>
            <w:top w:val="none" w:sz="0" w:space="0" w:color="auto"/>
            <w:left w:val="none" w:sz="0" w:space="0" w:color="auto"/>
            <w:bottom w:val="none" w:sz="0" w:space="0" w:color="auto"/>
            <w:right w:val="none" w:sz="0" w:space="0" w:color="auto"/>
          </w:divBdr>
        </w:div>
        <w:div w:id="1750036265">
          <w:marLeft w:val="0"/>
          <w:marRight w:val="0"/>
          <w:marTop w:val="0"/>
          <w:marBottom w:val="0"/>
          <w:divBdr>
            <w:top w:val="none" w:sz="0" w:space="0" w:color="auto"/>
            <w:left w:val="none" w:sz="0" w:space="0" w:color="auto"/>
            <w:bottom w:val="none" w:sz="0" w:space="0" w:color="auto"/>
            <w:right w:val="none" w:sz="0" w:space="0" w:color="auto"/>
          </w:divBdr>
        </w:div>
        <w:div w:id="1750036274">
          <w:marLeft w:val="0"/>
          <w:marRight w:val="0"/>
          <w:marTop w:val="0"/>
          <w:marBottom w:val="0"/>
          <w:divBdr>
            <w:top w:val="none" w:sz="0" w:space="0" w:color="auto"/>
            <w:left w:val="none" w:sz="0" w:space="0" w:color="auto"/>
            <w:bottom w:val="none" w:sz="0" w:space="0" w:color="auto"/>
            <w:right w:val="none" w:sz="0" w:space="0" w:color="auto"/>
          </w:divBdr>
        </w:div>
        <w:div w:id="1750036285">
          <w:marLeft w:val="0"/>
          <w:marRight w:val="0"/>
          <w:marTop w:val="0"/>
          <w:marBottom w:val="0"/>
          <w:divBdr>
            <w:top w:val="none" w:sz="0" w:space="0" w:color="auto"/>
            <w:left w:val="none" w:sz="0" w:space="0" w:color="auto"/>
            <w:bottom w:val="none" w:sz="0" w:space="0" w:color="auto"/>
            <w:right w:val="none" w:sz="0" w:space="0" w:color="auto"/>
          </w:divBdr>
        </w:div>
        <w:div w:id="1750036306">
          <w:marLeft w:val="0"/>
          <w:marRight w:val="0"/>
          <w:marTop w:val="0"/>
          <w:marBottom w:val="0"/>
          <w:divBdr>
            <w:top w:val="none" w:sz="0" w:space="0" w:color="auto"/>
            <w:left w:val="none" w:sz="0" w:space="0" w:color="auto"/>
            <w:bottom w:val="none" w:sz="0" w:space="0" w:color="auto"/>
            <w:right w:val="none" w:sz="0" w:space="0" w:color="auto"/>
          </w:divBdr>
        </w:div>
        <w:div w:id="1750036311">
          <w:marLeft w:val="0"/>
          <w:marRight w:val="0"/>
          <w:marTop w:val="0"/>
          <w:marBottom w:val="0"/>
          <w:divBdr>
            <w:top w:val="none" w:sz="0" w:space="0" w:color="auto"/>
            <w:left w:val="none" w:sz="0" w:space="0" w:color="auto"/>
            <w:bottom w:val="none" w:sz="0" w:space="0" w:color="auto"/>
            <w:right w:val="none" w:sz="0" w:space="0" w:color="auto"/>
          </w:divBdr>
        </w:div>
        <w:div w:id="1750036322">
          <w:marLeft w:val="0"/>
          <w:marRight w:val="0"/>
          <w:marTop w:val="0"/>
          <w:marBottom w:val="0"/>
          <w:divBdr>
            <w:top w:val="none" w:sz="0" w:space="0" w:color="auto"/>
            <w:left w:val="none" w:sz="0" w:space="0" w:color="auto"/>
            <w:bottom w:val="none" w:sz="0" w:space="0" w:color="auto"/>
            <w:right w:val="none" w:sz="0" w:space="0" w:color="auto"/>
          </w:divBdr>
        </w:div>
        <w:div w:id="1750036329">
          <w:marLeft w:val="0"/>
          <w:marRight w:val="0"/>
          <w:marTop w:val="0"/>
          <w:marBottom w:val="0"/>
          <w:divBdr>
            <w:top w:val="none" w:sz="0" w:space="0" w:color="auto"/>
            <w:left w:val="none" w:sz="0" w:space="0" w:color="auto"/>
            <w:bottom w:val="none" w:sz="0" w:space="0" w:color="auto"/>
            <w:right w:val="none" w:sz="0" w:space="0" w:color="auto"/>
          </w:divBdr>
        </w:div>
        <w:div w:id="1750036335">
          <w:marLeft w:val="0"/>
          <w:marRight w:val="0"/>
          <w:marTop w:val="0"/>
          <w:marBottom w:val="0"/>
          <w:divBdr>
            <w:top w:val="none" w:sz="0" w:space="0" w:color="auto"/>
            <w:left w:val="none" w:sz="0" w:space="0" w:color="auto"/>
            <w:bottom w:val="none" w:sz="0" w:space="0" w:color="auto"/>
            <w:right w:val="none" w:sz="0" w:space="0" w:color="auto"/>
          </w:divBdr>
        </w:div>
        <w:div w:id="1750036358">
          <w:marLeft w:val="0"/>
          <w:marRight w:val="0"/>
          <w:marTop w:val="0"/>
          <w:marBottom w:val="0"/>
          <w:divBdr>
            <w:top w:val="none" w:sz="0" w:space="0" w:color="auto"/>
            <w:left w:val="none" w:sz="0" w:space="0" w:color="auto"/>
            <w:bottom w:val="none" w:sz="0" w:space="0" w:color="auto"/>
            <w:right w:val="none" w:sz="0" w:space="0" w:color="auto"/>
          </w:divBdr>
        </w:div>
        <w:div w:id="1750036363">
          <w:marLeft w:val="0"/>
          <w:marRight w:val="0"/>
          <w:marTop w:val="0"/>
          <w:marBottom w:val="0"/>
          <w:divBdr>
            <w:top w:val="none" w:sz="0" w:space="0" w:color="auto"/>
            <w:left w:val="none" w:sz="0" w:space="0" w:color="auto"/>
            <w:bottom w:val="none" w:sz="0" w:space="0" w:color="auto"/>
            <w:right w:val="none" w:sz="0" w:space="0" w:color="auto"/>
          </w:divBdr>
        </w:div>
        <w:div w:id="1750036373">
          <w:marLeft w:val="0"/>
          <w:marRight w:val="0"/>
          <w:marTop w:val="0"/>
          <w:marBottom w:val="0"/>
          <w:divBdr>
            <w:top w:val="none" w:sz="0" w:space="0" w:color="auto"/>
            <w:left w:val="none" w:sz="0" w:space="0" w:color="auto"/>
            <w:bottom w:val="none" w:sz="0" w:space="0" w:color="auto"/>
            <w:right w:val="none" w:sz="0" w:space="0" w:color="auto"/>
          </w:divBdr>
        </w:div>
        <w:div w:id="1750036393">
          <w:marLeft w:val="0"/>
          <w:marRight w:val="0"/>
          <w:marTop w:val="0"/>
          <w:marBottom w:val="0"/>
          <w:divBdr>
            <w:top w:val="none" w:sz="0" w:space="0" w:color="auto"/>
            <w:left w:val="none" w:sz="0" w:space="0" w:color="auto"/>
            <w:bottom w:val="none" w:sz="0" w:space="0" w:color="auto"/>
            <w:right w:val="none" w:sz="0" w:space="0" w:color="auto"/>
          </w:divBdr>
        </w:div>
        <w:div w:id="1750036410">
          <w:marLeft w:val="0"/>
          <w:marRight w:val="0"/>
          <w:marTop w:val="0"/>
          <w:marBottom w:val="0"/>
          <w:divBdr>
            <w:top w:val="none" w:sz="0" w:space="0" w:color="auto"/>
            <w:left w:val="none" w:sz="0" w:space="0" w:color="auto"/>
            <w:bottom w:val="none" w:sz="0" w:space="0" w:color="auto"/>
            <w:right w:val="none" w:sz="0" w:space="0" w:color="auto"/>
          </w:divBdr>
        </w:div>
        <w:div w:id="1750036415">
          <w:marLeft w:val="0"/>
          <w:marRight w:val="0"/>
          <w:marTop w:val="0"/>
          <w:marBottom w:val="0"/>
          <w:divBdr>
            <w:top w:val="none" w:sz="0" w:space="0" w:color="auto"/>
            <w:left w:val="none" w:sz="0" w:space="0" w:color="auto"/>
            <w:bottom w:val="none" w:sz="0" w:space="0" w:color="auto"/>
            <w:right w:val="none" w:sz="0" w:space="0" w:color="auto"/>
          </w:divBdr>
        </w:div>
        <w:div w:id="1750036420">
          <w:marLeft w:val="0"/>
          <w:marRight w:val="0"/>
          <w:marTop w:val="0"/>
          <w:marBottom w:val="0"/>
          <w:divBdr>
            <w:top w:val="none" w:sz="0" w:space="0" w:color="auto"/>
            <w:left w:val="none" w:sz="0" w:space="0" w:color="auto"/>
            <w:bottom w:val="none" w:sz="0" w:space="0" w:color="auto"/>
            <w:right w:val="none" w:sz="0" w:space="0" w:color="auto"/>
          </w:divBdr>
        </w:div>
        <w:div w:id="1750036431">
          <w:marLeft w:val="0"/>
          <w:marRight w:val="0"/>
          <w:marTop w:val="0"/>
          <w:marBottom w:val="0"/>
          <w:divBdr>
            <w:top w:val="none" w:sz="0" w:space="0" w:color="auto"/>
            <w:left w:val="none" w:sz="0" w:space="0" w:color="auto"/>
            <w:bottom w:val="none" w:sz="0" w:space="0" w:color="auto"/>
            <w:right w:val="none" w:sz="0" w:space="0" w:color="auto"/>
          </w:divBdr>
        </w:div>
        <w:div w:id="1750036436">
          <w:marLeft w:val="0"/>
          <w:marRight w:val="0"/>
          <w:marTop w:val="0"/>
          <w:marBottom w:val="0"/>
          <w:divBdr>
            <w:top w:val="none" w:sz="0" w:space="0" w:color="auto"/>
            <w:left w:val="none" w:sz="0" w:space="0" w:color="auto"/>
            <w:bottom w:val="none" w:sz="0" w:space="0" w:color="auto"/>
            <w:right w:val="none" w:sz="0" w:space="0" w:color="auto"/>
          </w:divBdr>
        </w:div>
        <w:div w:id="1750036446">
          <w:marLeft w:val="0"/>
          <w:marRight w:val="0"/>
          <w:marTop w:val="0"/>
          <w:marBottom w:val="0"/>
          <w:divBdr>
            <w:top w:val="none" w:sz="0" w:space="0" w:color="auto"/>
            <w:left w:val="none" w:sz="0" w:space="0" w:color="auto"/>
            <w:bottom w:val="none" w:sz="0" w:space="0" w:color="auto"/>
            <w:right w:val="none" w:sz="0" w:space="0" w:color="auto"/>
          </w:divBdr>
        </w:div>
        <w:div w:id="1750036456">
          <w:marLeft w:val="0"/>
          <w:marRight w:val="0"/>
          <w:marTop w:val="0"/>
          <w:marBottom w:val="0"/>
          <w:divBdr>
            <w:top w:val="none" w:sz="0" w:space="0" w:color="auto"/>
            <w:left w:val="none" w:sz="0" w:space="0" w:color="auto"/>
            <w:bottom w:val="none" w:sz="0" w:space="0" w:color="auto"/>
            <w:right w:val="none" w:sz="0" w:space="0" w:color="auto"/>
          </w:divBdr>
        </w:div>
        <w:div w:id="1750036471">
          <w:marLeft w:val="0"/>
          <w:marRight w:val="0"/>
          <w:marTop w:val="0"/>
          <w:marBottom w:val="0"/>
          <w:divBdr>
            <w:top w:val="none" w:sz="0" w:space="0" w:color="auto"/>
            <w:left w:val="none" w:sz="0" w:space="0" w:color="auto"/>
            <w:bottom w:val="none" w:sz="0" w:space="0" w:color="auto"/>
            <w:right w:val="none" w:sz="0" w:space="0" w:color="auto"/>
          </w:divBdr>
        </w:div>
      </w:divsChild>
    </w:div>
    <w:div w:id="1750036308">
      <w:marLeft w:val="0"/>
      <w:marRight w:val="0"/>
      <w:marTop w:val="0"/>
      <w:marBottom w:val="0"/>
      <w:divBdr>
        <w:top w:val="none" w:sz="0" w:space="0" w:color="auto"/>
        <w:left w:val="none" w:sz="0" w:space="0" w:color="auto"/>
        <w:bottom w:val="none" w:sz="0" w:space="0" w:color="auto"/>
        <w:right w:val="none" w:sz="0" w:space="0" w:color="auto"/>
      </w:divBdr>
      <w:divsChild>
        <w:div w:id="1750036094">
          <w:marLeft w:val="0"/>
          <w:marRight w:val="0"/>
          <w:marTop w:val="0"/>
          <w:marBottom w:val="0"/>
          <w:divBdr>
            <w:top w:val="none" w:sz="0" w:space="0" w:color="auto"/>
            <w:left w:val="none" w:sz="0" w:space="0" w:color="auto"/>
            <w:bottom w:val="none" w:sz="0" w:space="0" w:color="auto"/>
            <w:right w:val="none" w:sz="0" w:space="0" w:color="auto"/>
          </w:divBdr>
        </w:div>
        <w:div w:id="1750036152">
          <w:marLeft w:val="0"/>
          <w:marRight w:val="0"/>
          <w:marTop w:val="0"/>
          <w:marBottom w:val="0"/>
          <w:divBdr>
            <w:top w:val="none" w:sz="0" w:space="0" w:color="auto"/>
            <w:left w:val="none" w:sz="0" w:space="0" w:color="auto"/>
            <w:bottom w:val="none" w:sz="0" w:space="0" w:color="auto"/>
            <w:right w:val="none" w:sz="0" w:space="0" w:color="auto"/>
          </w:divBdr>
        </w:div>
        <w:div w:id="1750036212">
          <w:marLeft w:val="0"/>
          <w:marRight w:val="0"/>
          <w:marTop w:val="0"/>
          <w:marBottom w:val="0"/>
          <w:divBdr>
            <w:top w:val="none" w:sz="0" w:space="0" w:color="auto"/>
            <w:left w:val="none" w:sz="0" w:space="0" w:color="auto"/>
            <w:bottom w:val="none" w:sz="0" w:space="0" w:color="auto"/>
            <w:right w:val="none" w:sz="0" w:space="0" w:color="auto"/>
          </w:divBdr>
        </w:div>
        <w:div w:id="1750036412">
          <w:marLeft w:val="0"/>
          <w:marRight w:val="0"/>
          <w:marTop w:val="0"/>
          <w:marBottom w:val="0"/>
          <w:divBdr>
            <w:top w:val="none" w:sz="0" w:space="0" w:color="auto"/>
            <w:left w:val="none" w:sz="0" w:space="0" w:color="auto"/>
            <w:bottom w:val="none" w:sz="0" w:space="0" w:color="auto"/>
            <w:right w:val="none" w:sz="0" w:space="0" w:color="auto"/>
          </w:divBdr>
        </w:div>
      </w:divsChild>
    </w:div>
    <w:div w:id="1750036312">
      <w:marLeft w:val="0"/>
      <w:marRight w:val="0"/>
      <w:marTop w:val="0"/>
      <w:marBottom w:val="0"/>
      <w:divBdr>
        <w:top w:val="none" w:sz="0" w:space="0" w:color="auto"/>
        <w:left w:val="none" w:sz="0" w:space="0" w:color="auto"/>
        <w:bottom w:val="none" w:sz="0" w:space="0" w:color="auto"/>
        <w:right w:val="none" w:sz="0" w:space="0" w:color="auto"/>
      </w:divBdr>
      <w:divsChild>
        <w:div w:id="1750036041">
          <w:marLeft w:val="0"/>
          <w:marRight w:val="0"/>
          <w:marTop w:val="0"/>
          <w:marBottom w:val="0"/>
          <w:divBdr>
            <w:top w:val="none" w:sz="0" w:space="0" w:color="auto"/>
            <w:left w:val="none" w:sz="0" w:space="0" w:color="auto"/>
            <w:bottom w:val="none" w:sz="0" w:space="0" w:color="auto"/>
            <w:right w:val="none" w:sz="0" w:space="0" w:color="auto"/>
          </w:divBdr>
        </w:div>
        <w:div w:id="1750036323">
          <w:marLeft w:val="0"/>
          <w:marRight w:val="0"/>
          <w:marTop w:val="0"/>
          <w:marBottom w:val="0"/>
          <w:divBdr>
            <w:top w:val="none" w:sz="0" w:space="0" w:color="auto"/>
            <w:left w:val="none" w:sz="0" w:space="0" w:color="auto"/>
            <w:bottom w:val="none" w:sz="0" w:space="0" w:color="auto"/>
            <w:right w:val="none" w:sz="0" w:space="0" w:color="auto"/>
          </w:divBdr>
        </w:div>
        <w:div w:id="1750036433">
          <w:marLeft w:val="0"/>
          <w:marRight w:val="0"/>
          <w:marTop w:val="0"/>
          <w:marBottom w:val="0"/>
          <w:divBdr>
            <w:top w:val="none" w:sz="0" w:space="0" w:color="auto"/>
            <w:left w:val="none" w:sz="0" w:space="0" w:color="auto"/>
            <w:bottom w:val="none" w:sz="0" w:space="0" w:color="auto"/>
            <w:right w:val="none" w:sz="0" w:space="0" w:color="auto"/>
          </w:divBdr>
        </w:div>
        <w:div w:id="1750036472">
          <w:marLeft w:val="0"/>
          <w:marRight w:val="0"/>
          <w:marTop w:val="0"/>
          <w:marBottom w:val="0"/>
          <w:divBdr>
            <w:top w:val="none" w:sz="0" w:space="0" w:color="auto"/>
            <w:left w:val="none" w:sz="0" w:space="0" w:color="auto"/>
            <w:bottom w:val="none" w:sz="0" w:space="0" w:color="auto"/>
            <w:right w:val="none" w:sz="0" w:space="0" w:color="auto"/>
          </w:divBdr>
        </w:div>
      </w:divsChild>
    </w:div>
    <w:div w:id="1750036314">
      <w:marLeft w:val="0"/>
      <w:marRight w:val="0"/>
      <w:marTop w:val="0"/>
      <w:marBottom w:val="0"/>
      <w:divBdr>
        <w:top w:val="none" w:sz="0" w:space="0" w:color="auto"/>
        <w:left w:val="none" w:sz="0" w:space="0" w:color="auto"/>
        <w:bottom w:val="none" w:sz="0" w:space="0" w:color="auto"/>
        <w:right w:val="none" w:sz="0" w:space="0" w:color="auto"/>
      </w:divBdr>
    </w:div>
    <w:div w:id="1750036318">
      <w:marLeft w:val="0"/>
      <w:marRight w:val="0"/>
      <w:marTop w:val="0"/>
      <w:marBottom w:val="0"/>
      <w:divBdr>
        <w:top w:val="none" w:sz="0" w:space="0" w:color="auto"/>
        <w:left w:val="none" w:sz="0" w:space="0" w:color="auto"/>
        <w:bottom w:val="none" w:sz="0" w:space="0" w:color="auto"/>
        <w:right w:val="none" w:sz="0" w:space="0" w:color="auto"/>
      </w:divBdr>
      <w:divsChild>
        <w:div w:id="1750036195">
          <w:marLeft w:val="0"/>
          <w:marRight w:val="0"/>
          <w:marTop w:val="0"/>
          <w:marBottom w:val="0"/>
          <w:divBdr>
            <w:top w:val="none" w:sz="0" w:space="0" w:color="auto"/>
            <w:left w:val="none" w:sz="0" w:space="0" w:color="auto"/>
            <w:bottom w:val="none" w:sz="0" w:space="0" w:color="auto"/>
            <w:right w:val="none" w:sz="0" w:space="0" w:color="auto"/>
          </w:divBdr>
        </w:div>
        <w:div w:id="1750036208">
          <w:marLeft w:val="0"/>
          <w:marRight w:val="0"/>
          <w:marTop w:val="0"/>
          <w:marBottom w:val="0"/>
          <w:divBdr>
            <w:top w:val="none" w:sz="0" w:space="0" w:color="auto"/>
            <w:left w:val="none" w:sz="0" w:space="0" w:color="auto"/>
            <w:bottom w:val="none" w:sz="0" w:space="0" w:color="auto"/>
            <w:right w:val="none" w:sz="0" w:space="0" w:color="auto"/>
          </w:divBdr>
        </w:div>
        <w:div w:id="1750036210">
          <w:marLeft w:val="0"/>
          <w:marRight w:val="0"/>
          <w:marTop w:val="0"/>
          <w:marBottom w:val="0"/>
          <w:divBdr>
            <w:top w:val="none" w:sz="0" w:space="0" w:color="auto"/>
            <w:left w:val="none" w:sz="0" w:space="0" w:color="auto"/>
            <w:bottom w:val="none" w:sz="0" w:space="0" w:color="auto"/>
            <w:right w:val="none" w:sz="0" w:space="0" w:color="auto"/>
          </w:divBdr>
        </w:div>
        <w:div w:id="1750036277">
          <w:marLeft w:val="0"/>
          <w:marRight w:val="0"/>
          <w:marTop w:val="0"/>
          <w:marBottom w:val="0"/>
          <w:divBdr>
            <w:top w:val="none" w:sz="0" w:space="0" w:color="auto"/>
            <w:left w:val="none" w:sz="0" w:space="0" w:color="auto"/>
            <w:bottom w:val="none" w:sz="0" w:space="0" w:color="auto"/>
            <w:right w:val="none" w:sz="0" w:space="0" w:color="auto"/>
          </w:divBdr>
        </w:div>
        <w:div w:id="1750036315">
          <w:marLeft w:val="0"/>
          <w:marRight w:val="0"/>
          <w:marTop w:val="0"/>
          <w:marBottom w:val="0"/>
          <w:divBdr>
            <w:top w:val="none" w:sz="0" w:space="0" w:color="auto"/>
            <w:left w:val="none" w:sz="0" w:space="0" w:color="auto"/>
            <w:bottom w:val="none" w:sz="0" w:space="0" w:color="auto"/>
            <w:right w:val="none" w:sz="0" w:space="0" w:color="auto"/>
          </w:divBdr>
        </w:div>
        <w:div w:id="1750036324">
          <w:marLeft w:val="0"/>
          <w:marRight w:val="0"/>
          <w:marTop w:val="0"/>
          <w:marBottom w:val="0"/>
          <w:divBdr>
            <w:top w:val="none" w:sz="0" w:space="0" w:color="auto"/>
            <w:left w:val="none" w:sz="0" w:space="0" w:color="auto"/>
            <w:bottom w:val="none" w:sz="0" w:space="0" w:color="auto"/>
            <w:right w:val="none" w:sz="0" w:space="0" w:color="auto"/>
          </w:divBdr>
        </w:div>
      </w:divsChild>
    </w:div>
    <w:div w:id="1750036320">
      <w:marLeft w:val="0"/>
      <w:marRight w:val="0"/>
      <w:marTop w:val="0"/>
      <w:marBottom w:val="0"/>
      <w:divBdr>
        <w:top w:val="none" w:sz="0" w:space="0" w:color="auto"/>
        <w:left w:val="none" w:sz="0" w:space="0" w:color="auto"/>
        <w:bottom w:val="none" w:sz="0" w:space="0" w:color="auto"/>
        <w:right w:val="none" w:sz="0" w:space="0" w:color="auto"/>
      </w:divBdr>
      <w:divsChild>
        <w:div w:id="1750036037">
          <w:marLeft w:val="0"/>
          <w:marRight w:val="0"/>
          <w:marTop w:val="0"/>
          <w:marBottom w:val="0"/>
          <w:divBdr>
            <w:top w:val="none" w:sz="0" w:space="0" w:color="auto"/>
            <w:left w:val="none" w:sz="0" w:space="0" w:color="auto"/>
            <w:bottom w:val="none" w:sz="0" w:space="0" w:color="auto"/>
            <w:right w:val="none" w:sz="0" w:space="0" w:color="auto"/>
          </w:divBdr>
        </w:div>
        <w:div w:id="1750036043">
          <w:marLeft w:val="0"/>
          <w:marRight w:val="0"/>
          <w:marTop w:val="0"/>
          <w:marBottom w:val="0"/>
          <w:divBdr>
            <w:top w:val="none" w:sz="0" w:space="0" w:color="auto"/>
            <w:left w:val="none" w:sz="0" w:space="0" w:color="auto"/>
            <w:bottom w:val="none" w:sz="0" w:space="0" w:color="auto"/>
            <w:right w:val="none" w:sz="0" w:space="0" w:color="auto"/>
          </w:divBdr>
        </w:div>
        <w:div w:id="1750036056">
          <w:marLeft w:val="0"/>
          <w:marRight w:val="0"/>
          <w:marTop w:val="0"/>
          <w:marBottom w:val="0"/>
          <w:divBdr>
            <w:top w:val="none" w:sz="0" w:space="0" w:color="auto"/>
            <w:left w:val="none" w:sz="0" w:space="0" w:color="auto"/>
            <w:bottom w:val="none" w:sz="0" w:space="0" w:color="auto"/>
            <w:right w:val="none" w:sz="0" w:space="0" w:color="auto"/>
          </w:divBdr>
        </w:div>
        <w:div w:id="1750036074">
          <w:marLeft w:val="0"/>
          <w:marRight w:val="0"/>
          <w:marTop w:val="0"/>
          <w:marBottom w:val="0"/>
          <w:divBdr>
            <w:top w:val="none" w:sz="0" w:space="0" w:color="auto"/>
            <w:left w:val="none" w:sz="0" w:space="0" w:color="auto"/>
            <w:bottom w:val="none" w:sz="0" w:space="0" w:color="auto"/>
            <w:right w:val="none" w:sz="0" w:space="0" w:color="auto"/>
          </w:divBdr>
        </w:div>
        <w:div w:id="1750036079">
          <w:marLeft w:val="0"/>
          <w:marRight w:val="0"/>
          <w:marTop w:val="0"/>
          <w:marBottom w:val="0"/>
          <w:divBdr>
            <w:top w:val="none" w:sz="0" w:space="0" w:color="auto"/>
            <w:left w:val="none" w:sz="0" w:space="0" w:color="auto"/>
            <w:bottom w:val="none" w:sz="0" w:space="0" w:color="auto"/>
            <w:right w:val="none" w:sz="0" w:space="0" w:color="auto"/>
          </w:divBdr>
        </w:div>
        <w:div w:id="1750036104">
          <w:marLeft w:val="0"/>
          <w:marRight w:val="0"/>
          <w:marTop w:val="0"/>
          <w:marBottom w:val="0"/>
          <w:divBdr>
            <w:top w:val="none" w:sz="0" w:space="0" w:color="auto"/>
            <w:left w:val="none" w:sz="0" w:space="0" w:color="auto"/>
            <w:bottom w:val="none" w:sz="0" w:space="0" w:color="auto"/>
            <w:right w:val="none" w:sz="0" w:space="0" w:color="auto"/>
          </w:divBdr>
        </w:div>
        <w:div w:id="1750036107">
          <w:marLeft w:val="0"/>
          <w:marRight w:val="0"/>
          <w:marTop w:val="0"/>
          <w:marBottom w:val="0"/>
          <w:divBdr>
            <w:top w:val="none" w:sz="0" w:space="0" w:color="auto"/>
            <w:left w:val="none" w:sz="0" w:space="0" w:color="auto"/>
            <w:bottom w:val="none" w:sz="0" w:space="0" w:color="auto"/>
            <w:right w:val="none" w:sz="0" w:space="0" w:color="auto"/>
          </w:divBdr>
        </w:div>
        <w:div w:id="1750036109">
          <w:marLeft w:val="0"/>
          <w:marRight w:val="0"/>
          <w:marTop w:val="0"/>
          <w:marBottom w:val="0"/>
          <w:divBdr>
            <w:top w:val="none" w:sz="0" w:space="0" w:color="auto"/>
            <w:left w:val="none" w:sz="0" w:space="0" w:color="auto"/>
            <w:bottom w:val="none" w:sz="0" w:space="0" w:color="auto"/>
            <w:right w:val="none" w:sz="0" w:space="0" w:color="auto"/>
          </w:divBdr>
        </w:div>
        <w:div w:id="1750036126">
          <w:marLeft w:val="0"/>
          <w:marRight w:val="0"/>
          <w:marTop w:val="0"/>
          <w:marBottom w:val="0"/>
          <w:divBdr>
            <w:top w:val="none" w:sz="0" w:space="0" w:color="auto"/>
            <w:left w:val="none" w:sz="0" w:space="0" w:color="auto"/>
            <w:bottom w:val="none" w:sz="0" w:space="0" w:color="auto"/>
            <w:right w:val="none" w:sz="0" w:space="0" w:color="auto"/>
          </w:divBdr>
        </w:div>
        <w:div w:id="1750036131">
          <w:marLeft w:val="0"/>
          <w:marRight w:val="0"/>
          <w:marTop w:val="0"/>
          <w:marBottom w:val="0"/>
          <w:divBdr>
            <w:top w:val="none" w:sz="0" w:space="0" w:color="auto"/>
            <w:left w:val="none" w:sz="0" w:space="0" w:color="auto"/>
            <w:bottom w:val="none" w:sz="0" w:space="0" w:color="auto"/>
            <w:right w:val="none" w:sz="0" w:space="0" w:color="auto"/>
          </w:divBdr>
        </w:div>
        <w:div w:id="1750036141">
          <w:marLeft w:val="0"/>
          <w:marRight w:val="0"/>
          <w:marTop w:val="0"/>
          <w:marBottom w:val="0"/>
          <w:divBdr>
            <w:top w:val="none" w:sz="0" w:space="0" w:color="auto"/>
            <w:left w:val="none" w:sz="0" w:space="0" w:color="auto"/>
            <w:bottom w:val="none" w:sz="0" w:space="0" w:color="auto"/>
            <w:right w:val="none" w:sz="0" w:space="0" w:color="auto"/>
          </w:divBdr>
        </w:div>
        <w:div w:id="1750036155">
          <w:marLeft w:val="0"/>
          <w:marRight w:val="0"/>
          <w:marTop w:val="0"/>
          <w:marBottom w:val="0"/>
          <w:divBdr>
            <w:top w:val="none" w:sz="0" w:space="0" w:color="auto"/>
            <w:left w:val="none" w:sz="0" w:space="0" w:color="auto"/>
            <w:bottom w:val="none" w:sz="0" w:space="0" w:color="auto"/>
            <w:right w:val="none" w:sz="0" w:space="0" w:color="auto"/>
          </w:divBdr>
        </w:div>
        <w:div w:id="1750036156">
          <w:marLeft w:val="0"/>
          <w:marRight w:val="0"/>
          <w:marTop w:val="0"/>
          <w:marBottom w:val="0"/>
          <w:divBdr>
            <w:top w:val="none" w:sz="0" w:space="0" w:color="auto"/>
            <w:left w:val="none" w:sz="0" w:space="0" w:color="auto"/>
            <w:bottom w:val="none" w:sz="0" w:space="0" w:color="auto"/>
            <w:right w:val="none" w:sz="0" w:space="0" w:color="auto"/>
          </w:divBdr>
        </w:div>
        <w:div w:id="1750036158">
          <w:marLeft w:val="0"/>
          <w:marRight w:val="0"/>
          <w:marTop w:val="0"/>
          <w:marBottom w:val="0"/>
          <w:divBdr>
            <w:top w:val="none" w:sz="0" w:space="0" w:color="auto"/>
            <w:left w:val="none" w:sz="0" w:space="0" w:color="auto"/>
            <w:bottom w:val="none" w:sz="0" w:space="0" w:color="auto"/>
            <w:right w:val="none" w:sz="0" w:space="0" w:color="auto"/>
          </w:divBdr>
        </w:div>
        <w:div w:id="1750036161">
          <w:marLeft w:val="0"/>
          <w:marRight w:val="0"/>
          <w:marTop w:val="0"/>
          <w:marBottom w:val="0"/>
          <w:divBdr>
            <w:top w:val="none" w:sz="0" w:space="0" w:color="auto"/>
            <w:left w:val="none" w:sz="0" w:space="0" w:color="auto"/>
            <w:bottom w:val="none" w:sz="0" w:space="0" w:color="auto"/>
            <w:right w:val="none" w:sz="0" w:space="0" w:color="auto"/>
          </w:divBdr>
        </w:div>
        <w:div w:id="1750036179">
          <w:marLeft w:val="0"/>
          <w:marRight w:val="0"/>
          <w:marTop w:val="0"/>
          <w:marBottom w:val="0"/>
          <w:divBdr>
            <w:top w:val="none" w:sz="0" w:space="0" w:color="auto"/>
            <w:left w:val="none" w:sz="0" w:space="0" w:color="auto"/>
            <w:bottom w:val="none" w:sz="0" w:space="0" w:color="auto"/>
            <w:right w:val="none" w:sz="0" w:space="0" w:color="auto"/>
          </w:divBdr>
        </w:div>
        <w:div w:id="1750036192">
          <w:marLeft w:val="0"/>
          <w:marRight w:val="0"/>
          <w:marTop w:val="0"/>
          <w:marBottom w:val="0"/>
          <w:divBdr>
            <w:top w:val="none" w:sz="0" w:space="0" w:color="auto"/>
            <w:left w:val="none" w:sz="0" w:space="0" w:color="auto"/>
            <w:bottom w:val="none" w:sz="0" w:space="0" w:color="auto"/>
            <w:right w:val="none" w:sz="0" w:space="0" w:color="auto"/>
          </w:divBdr>
        </w:div>
        <w:div w:id="1750036201">
          <w:marLeft w:val="0"/>
          <w:marRight w:val="0"/>
          <w:marTop w:val="0"/>
          <w:marBottom w:val="0"/>
          <w:divBdr>
            <w:top w:val="none" w:sz="0" w:space="0" w:color="auto"/>
            <w:left w:val="none" w:sz="0" w:space="0" w:color="auto"/>
            <w:bottom w:val="none" w:sz="0" w:space="0" w:color="auto"/>
            <w:right w:val="none" w:sz="0" w:space="0" w:color="auto"/>
          </w:divBdr>
        </w:div>
        <w:div w:id="1750036203">
          <w:marLeft w:val="0"/>
          <w:marRight w:val="0"/>
          <w:marTop w:val="0"/>
          <w:marBottom w:val="0"/>
          <w:divBdr>
            <w:top w:val="none" w:sz="0" w:space="0" w:color="auto"/>
            <w:left w:val="none" w:sz="0" w:space="0" w:color="auto"/>
            <w:bottom w:val="none" w:sz="0" w:space="0" w:color="auto"/>
            <w:right w:val="none" w:sz="0" w:space="0" w:color="auto"/>
          </w:divBdr>
        </w:div>
        <w:div w:id="1750036209">
          <w:marLeft w:val="0"/>
          <w:marRight w:val="0"/>
          <w:marTop w:val="0"/>
          <w:marBottom w:val="0"/>
          <w:divBdr>
            <w:top w:val="none" w:sz="0" w:space="0" w:color="auto"/>
            <w:left w:val="none" w:sz="0" w:space="0" w:color="auto"/>
            <w:bottom w:val="none" w:sz="0" w:space="0" w:color="auto"/>
            <w:right w:val="none" w:sz="0" w:space="0" w:color="auto"/>
          </w:divBdr>
        </w:div>
        <w:div w:id="1750036219">
          <w:marLeft w:val="0"/>
          <w:marRight w:val="0"/>
          <w:marTop w:val="0"/>
          <w:marBottom w:val="0"/>
          <w:divBdr>
            <w:top w:val="none" w:sz="0" w:space="0" w:color="auto"/>
            <w:left w:val="none" w:sz="0" w:space="0" w:color="auto"/>
            <w:bottom w:val="none" w:sz="0" w:space="0" w:color="auto"/>
            <w:right w:val="none" w:sz="0" w:space="0" w:color="auto"/>
          </w:divBdr>
        </w:div>
        <w:div w:id="1750036220">
          <w:marLeft w:val="0"/>
          <w:marRight w:val="0"/>
          <w:marTop w:val="0"/>
          <w:marBottom w:val="0"/>
          <w:divBdr>
            <w:top w:val="none" w:sz="0" w:space="0" w:color="auto"/>
            <w:left w:val="none" w:sz="0" w:space="0" w:color="auto"/>
            <w:bottom w:val="none" w:sz="0" w:space="0" w:color="auto"/>
            <w:right w:val="none" w:sz="0" w:space="0" w:color="auto"/>
          </w:divBdr>
        </w:div>
        <w:div w:id="1750036228">
          <w:marLeft w:val="0"/>
          <w:marRight w:val="0"/>
          <w:marTop w:val="0"/>
          <w:marBottom w:val="0"/>
          <w:divBdr>
            <w:top w:val="none" w:sz="0" w:space="0" w:color="auto"/>
            <w:left w:val="none" w:sz="0" w:space="0" w:color="auto"/>
            <w:bottom w:val="none" w:sz="0" w:space="0" w:color="auto"/>
            <w:right w:val="none" w:sz="0" w:space="0" w:color="auto"/>
          </w:divBdr>
        </w:div>
        <w:div w:id="1750036243">
          <w:marLeft w:val="0"/>
          <w:marRight w:val="0"/>
          <w:marTop w:val="0"/>
          <w:marBottom w:val="0"/>
          <w:divBdr>
            <w:top w:val="none" w:sz="0" w:space="0" w:color="auto"/>
            <w:left w:val="none" w:sz="0" w:space="0" w:color="auto"/>
            <w:bottom w:val="none" w:sz="0" w:space="0" w:color="auto"/>
            <w:right w:val="none" w:sz="0" w:space="0" w:color="auto"/>
          </w:divBdr>
        </w:div>
        <w:div w:id="1750036244">
          <w:marLeft w:val="0"/>
          <w:marRight w:val="0"/>
          <w:marTop w:val="0"/>
          <w:marBottom w:val="0"/>
          <w:divBdr>
            <w:top w:val="none" w:sz="0" w:space="0" w:color="auto"/>
            <w:left w:val="none" w:sz="0" w:space="0" w:color="auto"/>
            <w:bottom w:val="none" w:sz="0" w:space="0" w:color="auto"/>
            <w:right w:val="none" w:sz="0" w:space="0" w:color="auto"/>
          </w:divBdr>
        </w:div>
        <w:div w:id="1750036257">
          <w:marLeft w:val="0"/>
          <w:marRight w:val="0"/>
          <w:marTop w:val="0"/>
          <w:marBottom w:val="0"/>
          <w:divBdr>
            <w:top w:val="none" w:sz="0" w:space="0" w:color="auto"/>
            <w:left w:val="none" w:sz="0" w:space="0" w:color="auto"/>
            <w:bottom w:val="none" w:sz="0" w:space="0" w:color="auto"/>
            <w:right w:val="none" w:sz="0" w:space="0" w:color="auto"/>
          </w:divBdr>
        </w:div>
        <w:div w:id="1750036261">
          <w:marLeft w:val="0"/>
          <w:marRight w:val="0"/>
          <w:marTop w:val="0"/>
          <w:marBottom w:val="0"/>
          <w:divBdr>
            <w:top w:val="none" w:sz="0" w:space="0" w:color="auto"/>
            <w:left w:val="none" w:sz="0" w:space="0" w:color="auto"/>
            <w:bottom w:val="none" w:sz="0" w:space="0" w:color="auto"/>
            <w:right w:val="none" w:sz="0" w:space="0" w:color="auto"/>
          </w:divBdr>
        </w:div>
        <w:div w:id="1750036263">
          <w:marLeft w:val="0"/>
          <w:marRight w:val="0"/>
          <w:marTop w:val="0"/>
          <w:marBottom w:val="0"/>
          <w:divBdr>
            <w:top w:val="none" w:sz="0" w:space="0" w:color="auto"/>
            <w:left w:val="none" w:sz="0" w:space="0" w:color="auto"/>
            <w:bottom w:val="none" w:sz="0" w:space="0" w:color="auto"/>
            <w:right w:val="none" w:sz="0" w:space="0" w:color="auto"/>
          </w:divBdr>
        </w:div>
        <w:div w:id="1750036264">
          <w:marLeft w:val="0"/>
          <w:marRight w:val="0"/>
          <w:marTop w:val="0"/>
          <w:marBottom w:val="0"/>
          <w:divBdr>
            <w:top w:val="none" w:sz="0" w:space="0" w:color="auto"/>
            <w:left w:val="none" w:sz="0" w:space="0" w:color="auto"/>
            <w:bottom w:val="none" w:sz="0" w:space="0" w:color="auto"/>
            <w:right w:val="none" w:sz="0" w:space="0" w:color="auto"/>
          </w:divBdr>
        </w:div>
        <w:div w:id="1750036297">
          <w:marLeft w:val="0"/>
          <w:marRight w:val="0"/>
          <w:marTop w:val="0"/>
          <w:marBottom w:val="0"/>
          <w:divBdr>
            <w:top w:val="none" w:sz="0" w:space="0" w:color="auto"/>
            <w:left w:val="none" w:sz="0" w:space="0" w:color="auto"/>
            <w:bottom w:val="none" w:sz="0" w:space="0" w:color="auto"/>
            <w:right w:val="none" w:sz="0" w:space="0" w:color="auto"/>
          </w:divBdr>
        </w:div>
        <w:div w:id="1750036300">
          <w:marLeft w:val="0"/>
          <w:marRight w:val="0"/>
          <w:marTop w:val="0"/>
          <w:marBottom w:val="0"/>
          <w:divBdr>
            <w:top w:val="none" w:sz="0" w:space="0" w:color="auto"/>
            <w:left w:val="none" w:sz="0" w:space="0" w:color="auto"/>
            <w:bottom w:val="none" w:sz="0" w:space="0" w:color="auto"/>
            <w:right w:val="none" w:sz="0" w:space="0" w:color="auto"/>
          </w:divBdr>
        </w:div>
        <w:div w:id="1750036302">
          <w:marLeft w:val="0"/>
          <w:marRight w:val="0"/>
          <w:marTop w:val="0"/>
          <w:marBottom w:val="0"/>
          <w:divBdr>
            <w:top w:val="none" w:sz="0" w:space="0" w:color="auto"/>
            <w:left w:val="none" w:sz="0" w:space="0" w:color="auto"/>
            <w:bottom w:val="none" w:sz="0" w:space="0" w:color="auto"/>
            <w:right w:val="none" w:sz="0" w:space="0" w:color="auto"/>
          </w:divBdr>
        </w:div>
        <w:div w:id="1750036350">
          <w:marLeft w:val="0"/>
          <w:marRight w:val="0"/>
          <w:marTop w:val="0"/>
          <w:marBottom w:val="0"/>
          <w:divBdr>
            <w:top w:val="none" w:sz="0" w:space="0" w:color="auto"/>
            <w:left w:val="none" w:sz="0" w:space="0" w:color="auto"/>
            <w:bottom w:val="none" w:sz="0" w:space="0" w:color="auto"/>
            <w:right w:val="none" w:sz="0" w:space="0" w:color="auto"/>
          </w:divBdr>
        </w:div>
        <w:div w:id="1750036357">
          <w:marLeft w:val="0"/>
          <w:marRight w:val="0"/>
          <w:marTop w:val="0"/>
          <w:marBottom w:val="0"/>
          <w:divBdr>
            <w:top w:val="none" w:sz="0" w:space="0" w:color="auto"/>
            <w:left w:val="none" w:sz="0" w:space="0" w:color="auto"/>
            <w:bottom w:val="none" w:sz="0" w:space="0" w:color="auto"/>
            <w:right w:val="none" w:sz="0" w:space="0" w:color="auto"/>
          </w:divBdr>
        </w:div>
        <w:div w:id="1750036388">
          <w:marLeft w:val="0"/>
          <w:marRight w:val="0"/>
          <w:marTop w:val="0"/>
          <w:marBottom w:val="0"/>
          <w:divBdr>
            <w:top w:val="none" w:sz="0" w:space="0" w:color="auto"/>
            <w:left w:val="none" w:sz="0" w:space="0" w:color="auto"/>
            <w:bottom w:val="none" w:sz="0" w:space="0" w:color="auto"/>
            <w:right w:val="none" w:sz="0" w:space="0" w:color="auto"/>
          </w:divBdr>
        </w:div>
        <w:div w:id="1750036399">
          <w:marLeft w:val="0"/>
          <w:marRight w:val="0"/>
          <w:marTop w:val="0"/>
          <w:marBottom w:val="0"/>
          <w:divBdr>
            <w:top w:val="none" w:sz="0" w:space="0" w:color="auto"/>
            <w:left w:val="none" w:sz="0" w:space="0" w:color="auto"/>
            <w:bottom w:val="none" w:sz="0" w:space="0" w:color="auto"/>
            <w:right w:val="none" w:sz="0" w:space="0" w:color="auto"/>
          </w:divBdr>
        </w:div>
        <w:div w:id="1750036404">
          <w:marLeft w:val="0"/>
          <w:marRight w:val="0"/>
          <w:marTop w:val="0"/>
          <w:marBottom w:val="0"/>
          <w:divBdr>
            <w:top w:val="none" w:sz="0" w:space="0" w:color="auto"/>
            <w:left w:val="none" w:sz="0" w:space="0" w:color="auto"/>
            <w:bottom w:val="none" w:sz="0" w:space="0" w:color="auto"/>
            <w:right w:val="none" w:sz="0" w:space="0" w:color="auto"/>
          </w:divBdr>
        </w:div>
        <w:div w:id="1750036409">
          <w:marLeft w:val="0"/>
          <w:marRight w:val="0"/>
          <w:marTop w:val="0"/>
          <w:marBottom w:val="0"/>
          <w:divBdr>
            <w:top w:val="none" w:sz="0" w:space="0" w:color="auto"/>
            <w:left w:val="none" w:sz="0" w:space="0" w:color="auto"/>
            <w:bottom w:val="none" w:sz="0" w:space="0" w:color="auto"/>
            <w:right w:val="none" w:sz="0" w:space="0" w:color="auto"/>
          </w:divBdr>
        </w:div>
        <w:div w:id="1750036411">
          <w:marLeft w:val="0"/>
          <w:marRight w:val="0"/>
          <w:marTop w:val="0"/>
          <w:marBottom w:val="0"/>
          <w:divBdr>
            <w:top w:val="none" w:sz="0" w:space="0" w:color="auto"/>
            <w:left w:val="none" w:sz="0" w:space="0" w:color="auto"/>
            <w:bottom w:val="none" w:sz="0" w:space="0" w:color="auto"/>
            <w:right w:val="none" w:sz="0" w:space="0" w:color="auto"/>
          </w:divBdr>
        </w:div>
        <w:div w:id="1750036423">
          <w:marLeft w:val="0"/>
          <w:marRight w:val="0"/>
          <w:marTop w:val="0"/>
          <w:marBottom w:val="0"/>
          <w:divBdr>
            <w:top w:val="none" w:sz="0" w:space="0" w:color="auto"/>
            <w:left w:val="none" w:sz="0" w:space="0" w:color="auto"/>
            <w:bottom w:val="none" w:sz="0" w:space="0" w:color="auto"/>
            <w:right w:val="none" w:sz="0" w:space="0" w:color="auto"/>
          </w:divBdr>
        </w:div>
        <w:div w:id="1750036424">
          <w:marLeft w:val="0"/>
          <w:marRight w:val="0"/>
          <w:marTop w:val="0"/>
          <w:marBottom w:val="0"/>
          <w:divBdr>
            <w:top w:val="none" w:sz="0" w:space="0" w:color="auto"/>
            <w:left w:val="none" w:sz="0" w:space="0" w:color="auto"/>
            <w:bottom w:val="none" w:sz="0" w:space="0" w:color="auto"/>
            <w:right w:val="none" w:sz="0" w:space="0" w:color="auto"/>
          </w:divBdr>
        </w:div>
        <w:div w:id="1750036432">
          <w:marLeft w:val="0"/>
          <w:marRight w:val="0"/>
          <w:marTop w:val="0"/>
          <w:marBottom w:val="0"/>
          <w:divBdr>
            <w:top w:val="none" w:sz="0" w:space="0" w:color="auto"/>
            <w:left w:val="none" w:sz="0" w:space="0" w:color="auto"/>
            <w:bottom w:val="none" w:sz="0" w:space="0" w:color="auto"/>
            <w:right w:val="none" w:sz="0" w:space="0" w:color="auto"/>
          </w:divBdr>
        </w:div>
        <w:div w:id="1750036452">
          <w:marLeft w:val="0"/>
          <w:marRight w:val="0"/>
          <w:marTop w:val="0"/>
          <w:marBottom w:val="0"/>
          <w:divBdr>
            <w:top w:val="none" w:sz="0" w:space="0" w:color="auto"/>
            <w:left w:val="none" w:sz="0" w:space="0" w:color="auto"/>
            <w:bottom w:val="none" w:sz="0" w:space="0" w:color="auto"/>
            <w:right w:val="none" w:sz="0" w:space="0" w:color="auto"/>
          </w:divBdr>
        </w:div>
        <w:div w:id="1750036455">
          <w:marLeft w:val="0"/>
          <w:marRight w:val="0"/>
          <w:marTop w:val="0"/>
          <w:marBottom w:val="0"/>
          <w:divBdr>
            <w:top w:val="none" w:sz="0" w:space="0" w:color="auto"/>
            <w:left w:val="none" w:sz="0" w:space="0" w:color="auto"/>
            <w:bottom w:val="none" w:sz="0" w:space="0" w:color="auto"/>
            <w:right w:val="none" w:sz="0" w:space="0" w:color="auto"/>
          </w:divBdr>
        </w:div>
        <w:div w:id="1750036465">
          <w:marLeft w:val="0"/>
          <w:marRight w:val="0"/>
          <w:marTop w:val="0"/>
          <w:marBottom w:val="0"/>
          <w:divBdr>
            <w:top w:val="none" w:sz="0" w:space="0" w:color="auto"/>
            <w:left w:val="none" w:sz="0" w:space="0" w:color="auto"/>
            <w:bottom w:val="none" w:sz="0" w:space="0" w:color="auto"/>
            <w:right w:val="none" w:sz="0" w:space="0" w:color="auto"/>
          </w:divBdr>
        </w:div>
      </w:divsChild>
    </w:div>
    <w:div w:id="1750036336">
      <w:marLeft w:val="0"/>
      <w:marRight w:val="0"/>
      <w:marTop w:val="0"/>
      <w:marBottom w:val="0"/>
      <w:divBdr>
        <w:top w:val="none" w:sz="0" w:space="0" w:color="auto"/>
        <w:left w:val="none" w:sz="0" w:space="0" w:color="auto"/>
        <w:bottom w:val="none" w:sz="0" w:space="0" w:color="auto"/>
        <w:right w:val="none" w:sz="0" w:space="0" w:color="auto"/>
      </w:divBdr>
    </w:div>
    <w:div w:id="1750036342">
      <w:marLeft w:val="0"/>
      <w:marRight w:val="0"/>
      <w:marTop w:val="0"/>
      <w:marBottom w:val="0"/>
      <w:divBdr>
        <w:top w:val="none" w:sz="0" w:space="0" w:color="auto"/>
        <w:left w:val="none" w:sz="0" w:space="0" w:color="auto"/>
        <w:bottom w:val="none" w:sz="0" w:space="0" w:color="auto"/>
        <w:right w:val="none" w:sz="0" w:space="0" w:color="auto"/>
      </w:divBdr>
      <w:divsChild>
        <w:div w:id="1750036205">
          <w:marLeft w:val="0"/>
          <w:marRight w:val="0"/>
          <w:marTop w:val="0"/>
          <w:marBottom w:val="0"/>
          <w:divBdr>
            <w:top w:val="none" w:sz="0" w:space="0" w:color="auto"/>
            <w:left w:val="none" w:sz="0" w:space="0" w:color="auto"/>
            <w:bottom w:val="none" w:sz="0" w:space="0" w:color="auto"/>
            <w:right w:val="none" w:sz="0" w:space="0" w:color="auto"/>
          </w:divBdr>
          <w:divsChild>
            <w:div w:id="17500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345">
      <w:marLeft w:val="0"/>
      <w:marRight w:val="0"/>
      <w:marTop w:val="0"/>
      <w:marBottom w:val="0"/>
      <w:divBdr>
        <w:top w:val="none" w:sz="0" w:space="0" w:color="auto"/>
        <w:left w:val="none" w:sz="0" w:space="0" w:color="auto"/>
        <w:bottom w:val="none" w:sz="0" w:space="0" w:color="auto"/>
        <w:right w:val="none" w:sz="0" w:space="0" w:color="auto"/>
      </w:divBdr>
    </w:div>
    <w:div w:id="1750036349">
      <w:marLeft w:val="0"/>
      <w:marRight w:val="0"/>
      <w:marTop w:val="0"/>
      <w:marBottom w:val="0"/>
      <w:divBdr>
        <w:top w:val="none" w:sz="0" w:space="0" w:color="auto"/>
        <w:left w:val="none" w:sz="0" w:space="0" w:color="auto"/>
        <w:bottom w:val="none" w:sz="0" w:space="0" w:color="auto"/>
        <w:right w:val="none" w:sz="0" w:space="0" w:color="auto"/>
      </w:divBdr>
      <w:divsChild>
        <w:div w:id="1750036268">
          <w:marLeft w:val="0"/>
          <w:marRight w:val="0"/>
          <w:marTop w:val="0"/>
          <w:marBottom w:val="0"/>
          <w:divBdr>
            <w:top w:val="none" w:sz="0" w:space="0" w:color="auto"/>
            <w:left w:val="none" w:sz="0" w:space="0" w:color="auto"/>
            <w:bottom w:val="none" w:sz="0" w:space="0" w:color="auto"/>
            <w:right w:val="none" w:sz="0" w:space="0" w:color="auto"/>
          </w:divBdr>
          <w:divsChild>
            <w:div w:id="1750036290">
              <w:marLeft w:val="0"/>
              <w:marRight w:val="0"/>
              <w:marTop w:val="0"/>
              <w:marBottom w:val="0"/>
              <w:divBdr>
                <w:top w:val="none" w:sz="0" w:space="0" w:color="auto"/>
                <w:left w:val="none" w:sz="0" w:space="0" w:color="auto"/>
                <w:bottom w:val="none" w:sz="0" w:space="0" w:color="auto"/>
                <w:right w:val="none" w:sz="0" w:space="0" w:color="auto"/>
              </w:divBdr>
            </w:div>
            <w:div w:id="17500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351">
      <w:marLeft w:val="0"/>
      <w:marRight w:val="0"/>
      <w:marTop w:val="0"/>
      <w:marBottom w:val="0"/>
      <w:divBdr>
        <w:top w:val="none" w:sz="0" w:space="0" w:color="auto"/>
        <w:left w:val="none" w:sz="0" w:space="0" w:color="auto"/>
        <w:bottom w:val="none" w:sz="0" w:space="0" w:color="auto"/>
        <w:right w:val="none" w:sz="0" w:space="0" w:color="auto"/>
      </w:divBdr>
    </w:div>
    <w:div w:id="1750036354">
      <w:marLeft w:val="0"/>
      <w:marRight w:val="0"/>
      <w:marTop w:val="0"/>
      <w:marBottom w:val="0"/>
      <w:divBdr>
        <w:top w:val="none" w:sz="0" w:space="0" w:color="auto"/>
        <w:left w:val="none" w:sz="0" w:space="0" w:color="auto"/>
        <w:bottom w:val="none" w:sz="0" w:space="0" w:color="auto"/>
        <w:right w:val="none" w:sz="0" w:space="0" w:color="auto"/>
      </w:divBdr>
    </w:div>
    <w:div w:id="1750036362">
      <w:marLeft w:val="0"/>
      <w:marRight w:val="0"/>
      <w:marTop w:val="0"/>
      <w:marBottom w:val="0"/>
      <w:divBdr>
        <w:top w:val="none" w:sz="0" w:space="0" w:color="auto"/>
        <w:left w:val="none" w:sz="0" w:space="0" w:color="auto"/>
        <w:bottom w:val="none" w:sz="0" w:space="0" w:color="auto"/>
        <w:right w:val="none" w:sz="0" w:space="0" w:color="auto"/>
      </w:divBdr>
    </w:div>
    <w:div w:id="1750036364">
      <w:marLeft w:val="0"/>
      <w:marRight w:val="0"/>
      <w:marTop w:val="0"/>
      <w:marBottom w:val="0"/>
      <w:divBdr>
        <w:top w:val="none" w:sz="0" w:space="0" w:color="auto"/>
        <w:left w:val="none" w:sz="0" w:space="0" w:color="auto"/>
        <w:bottom w:val="none" w:sz="0" w:space="0" w:color="auto"/>
        <w:right w:val="none" w:sz="0" w:space="0" w:color="auto"/>
      </w:divBdr>
      <w:divsChild>
        <w:div w:id="1750036475">
          <w:marLeft w:val="0"/>
          <w:marRight w:val="0"/>
          <w:marTop w:val="0"/>
          <w:marBottom w:val="0"/>
          <w:divBdr>
            <w:top w:val="none" w:sz="0" w:space="0" w:color="auto"/>
            <w:left w:val="none" w:sz="0" w:space="0" w:color="auto"/>
            <w:bottom w:val="none" w:sz="0" w:space="0" w:color="auto"/>
            <w:right w:val="none" w:sz="0" w:space="0" w:color="auto"/>
          </w:divBdr>
        </w:div>
      </w:divsChild>
    </w:div>
    <w:div w:id="1750036365">
      <w:marLeft w:val="0"/>
      <w:marRight w:val="0"/>
      <w:marTop w:val="0"/>
      <w:marBottom w:val="0"/>
      <w:divBdr>
        <w:top w:val="none" w:sz="0" w:space="0" w:color="auto"/>
        <w:left w:val="none" w:sz="0" w:space="0" w:color="auto"/>
        <w:bottom w:val="none" w:sz="0" w:space="0" w:color="auto"/>
        <w:right w:val="none" w:sz="0" w:space="0" w:color="auto"/>
      </w:divBdr>
      <w:divsChild>
        <w:div w:id="1750036217">
          <w:marLeft w:val="0"/>
          <w:marRight w:val="0"/>
          <w:marTop w:val="0"/>
          <w:marBottom w:val="0"/>
          <w:divBdr>
            <w:top w:val="none" w:sz="0" w:space="0" w:color="auto"/>
            <w:left w:val="none" w:sz="0" w:space="0" w:color="auto"/>
            <w:bottom w:val="none" w:sz="0" w:space="0" w:color="auto"/>
            <w:right w:val="none" w:sz="0" w:space="0" w:color="auto"/>
          </w:divBdr>
          <w:divsChild>
            <w:div w:id="17500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367">
      <w:marLeft w:val="0"/>
      <w:marRight w:val="0"/>
      <w:marTop w:val="0"/>
      <w:marBottom w:val="0"/>
      <w:divBdr>
        <w:top w:val="none" w:sz="0" w:space="0" w:color="auto"/>
        <w:left w:val="none" w:sz="0" w:space="0" w:color="auto"/>
        <w:bottom w:val="none" w:sz="0" w:space="0" w:color="auto"/>
        <w:right w:val="none" w:sz="0" w:space="0" w:color="auto"/>
      </w:divBdr>
    </w:div>
    <w:div w:id="1750036368">
      <w:marLeft w:val="0"/>
      <w:marRight w:val="0"/>
      <w:marTop w:val="0"/>
      <w:marBottom w:val="0"/>
      <w:divBdr>
        <w:top w:val="none" w:sz="0" w:space="0" w:color="auto"/>
        <w:left w:val="none" w:sz="0" w:space="0" w:color="auto"/>
        <w:bottom w:val="none" w:sz="0" w:space="0" w:color="auto"/>
        <w:right w:val="none" w:sz="0" w:space="0" w:color="auto"/>
      </w:divBdr>
    </w:div>
    <w:div w:id="1750036377">
      <w:marLeft w:val="0"/>
      <w:marRight w:val="0"/>
      <w:marTop w:val="0"/>
      <w:marBottom w:val="0"/>
      <w:divBdr>
        <w:top w:val="none" w:sz="0" w:space="0" w:color="auto"/>
        <w:left w:val="none" w:sz="0" w:space="0" w:color="auto"/>
        <w:bottom w:val="none" w:sz="0" w:space="0" w:color="auto"/>
        <w:right w:val="none" w:sz="0" w:space="0" w:color="auto"/>
      </w:divBdr>
    </w:div>
    <w:div w:id="1750036378">
      <w:marLeft w:val="0"/>
      <w:marRight w:val="0"/>
      <w:marTop w:val="0"/>
      <w:marBottom w:val="0"/>
      <w:divBdr>
        <w:top w:val="none" w:sz="0" w:space="0" w:color="auto"/>
        <w:left w:val="none" w:sz="0" w:space="0" w:color="auto"/>
        <w:bottom w:val="none" w:sz="0" w:space="0" w:color="auto"/>
        <w:right w:val="none" w:sz="0" w:space="0" w:color="auto"/>
      </w:divBdr>
    </w:div>
    <w:div w:id="1750036385">
      <w:marLeft w:val="0"/>
      <w:marRight w:val="0"/>
      <w:marTop w:val="0"/>
      <w:marBottom w:val="0"/>
      <w:divBdr>
        <w:top w:val="none" w:sz="0" w:space="0" w:color="auto"/>
        <w:left w:val="none" w:sz="0" w:space="0" w:color="auto"/>
        <w:bottom w:val="none" w:sz="0" w:space="0" w:color="auto"/>
        <w:right w:val="none" w:sz="0" w:space="0" w:color="auto"/>
      </w:divBdr>
      <w:divsChild>
        <w:div w:id="1750036132">
          <w:marLeft w:val="0"/>
          <w:marRight w:val="0"/>
          <w:marTop w:val="0"/>
          <w:marBottom w:val="0"/>
          <w:divBdr>
            <w:top w:val="none" w:sz="0" w:space="0" w:color="auto"/>
            <w:left w:val="none" w:sz="0" w:space="0" w:color="auto"/>
            <w:bottom w:val="none" w:sz="0" w:space="0" w:color="auto"/>
            <w:right w:val="none" w:sz="0" w:space="0" w:color="auto"/>
          </w:divBdr>
        </w:div>
        <w:div w:id="1750036148">
          <w:marLeft w:val="0"/>
          <w:marRight w:val="0"/>
          <w:marTop w:val="0"/>
          <w:marBottom w:val="0"/>
          <w:divBdr>
            <w:top w:val="none" w:sz="0" w:space="0" w:color="auto"/>
            <w:left w:val="none" w:sz="0" w:space="0" w:color="auto"/>
            <w:bottom w:val="none" w:sz="0" w:space="0" w:color="auto"/>
            <w:right w:val="none" w:sz="0" w:space="0" w:color="auto"/>
          </w:divBdr>
        </w:div>
        <w:div w:id="1750036356">
          <w:marLeft w:val="0"/>
          <w:marRight w:val="0"/>
          <w:marTop w:val="0"/>
          <w:marBottom w:val="0"/>
          <w:divBdr>
            <w:top w:val="none" w:sz="0" w:space="0" w:color="auto"/>
            <w:left w:val="none" w:sz="0" w:space="0" w:color="auto"/>
            <w:bottom w:val="none" w:sz="0" w:space="0" w:color="auto"/>
            <w:right w:val="none" w:sz="0" w:space="0" w:color="auto"/>
          </w:divBdr>
        </w:div>
        <w:div w:id="1750036479">
          <w:marLeft w:val="0"/>
          <w:marRight w:val="0"/>
          <w:marTop w:val="0"/>
          <w:marBottom w:val="0"/>
          <w:divBdr>
            <w:top w:val="none" w:sz="0" w:space="0" w:color="auto"/>
            <w:left w:val="none" w:sz="0" w:space="0" w:color="auto"/>
            <w:bottom w:val="none" w:sz="0" w:space="0" w:color="auto"/>
            <w:right w:val="none" w:sz="0" w:space="0" w:color="auto"/>
          </w:divBdr>
        </w:div>
      </w:divsChild>
    </w:div>
    <w:div w:id="1750036389">
      <w:marLeft w:val="0"/>
      <w:marRight w:val="0"/>
      <w:marTop w:val="0"/>
      <w:marBottom w:val="0"/>
      <w:divBdr>
        <w:top w:val="none" w:sz="0" w:space="0" w:color="auto"/>
        <w:left w:val="none" w:sz="0" w:space="0" w:color="auto"/>
        <w:bottom w:val="none" w:sz="0" w:space="0" w:color="auto"/>
        <w:right w:val="none" w:sz="0" w:space="0" w:color="auto"/>
      </w:divBdr>
    </w:div>
    <w:div w:id="1750036394">
      <w:marLeft w:val="0"/>
      <w:marRight w:val="0"/>
      <w:marTop w:val="0"/>
      <w:marBottom w:val="0"/>
      <w:divBdr>
        <w:top w:val="none" w:sz="0" w:space="0" w:color="auto"/>
        <w:left w:val="none" w:sz="0" w:space="0" w:color="auto"/>
        <w:bottom w:val="none" w:sz="0" w:space="0" w:color="auto"/>
        <w:right w:val="none" w:sz="0" w:space="0" w:color="auto"/>
      </w:divBdr>
    </w:div>
    <w:div w:id="1750036395">
      <w:marLeft w:val="0"/>
      <w:marRight w:val="0"/>
      <w:marTop w:val="0"/>
      <w:marBottom w:val="0"/>
      <w:divBdr>
        <w:top w:val="none" w:sz="0" w:space="0" w:color="auto"/>
        <w:left w:val="none" w:sz="0" w:space="0" w:color="auto"/>
        <w:bottom w:val="none" w:sz="0" w:space="0" w:color="auto"/>
        <w:right w:val="none" w:sz="0" w:space="0" w:color="auto"/>
      </w:divBdr>
      <w:divsChild>
        <w:div w:id="1750036129">
          <w:marLeft w:val="0"/>
          <w:marRight w:val="0"/>
          <w:marTop w:val="0"/>
          <w:marBottom w:val="0"/>
          <w:divBdr>
            <w:top w:val="none" w:sz="0" w:space="0" w:color="auto"/>
            <w:left w:val="none" w:sz="0" w:space="0" w:color="auto"/>
            <w:bottom w:val="none" w:sz="0" w:space="0" w:color="auto"/>
            <w:right w:val="none" w:sz="0" w:space="0" w:color="auto"/>
          </w:divBdr>
          <w:divsChild>
            <w:div w:id="1750036096">
              <w:marLeft w:val="0"/>
              <w:marRight w:val="0"/>
              <w:marTop w:val="0"/>
              <w:marBottom w:val="0"/>
              <w:divBdr>
                <w:top w:val="none" w:sz="0" w:space="0" w:color="auto"/>
                <w:left w:val="none" w:sz="0" w:space="0" w:color="auto"/>
                <w:bottom w:val="none" w:sz="0" w:space="0" w:color="auto"/>
                <w:right w:val="none" w:sz="0" w:space="0" w:color="auto"/>
              </w:divBdr>
            </w:div>
            <w:div w:id="1750036218">
              <w:marLeft w:val="0"/>
              <w:marRight w:val="0"/>
              <w:marTop w:val="0"/>
              <w:marBottom w:val="0"/>
              <w:divBdr>
                <w:top w:val="none" w:sz="0" w:space="0" w:color="auto"/>
                <w:left w:val="none" w:sz="0" w:space="0" w:color="auto"/>
                <w:bottom w:val="none" w:sz="0" w:space="0" w:color="auto"/>
                <w:right w:val="none" w:sz="0" w:space="0" w:color="auto"/>
              </w:divBdr>
            </w:div>
            <w:div w:id="1750036234">
              <w:marLeft w:val="0"/>
              <w:marRight w:val="0"/>
              <w:marTop w:val="0"/>
              <w:marBottom w:val="0"/>
              <w:divBdr>
                <w:top w:val="none" w:sz="0" w:space="0" w:color="auto"/>
                <w:left w:val="none" w:sz="0" w:space="0" w:color="auto"/>
                <w:bottom w:val="none" w:sz="0" w:space="0" w:color="auto"/>
                <w:right w:val="none" w:sz="0" w:space="0" w:color="auto"/>
              </w:divBdr>
            </w:div>
            <w:div w:id="17500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396">
      <w:marLeft w:val="0"/>
      <w:marRight w:val="0"/>
      <w:marTop w:val="0"/>
      <w:marBottom w:val="0"/>
      <w:divBdr>
        <w:top w:val="none" w:sz="0" w:space="0" w:color="auto"/>
        <w:left w:val="none" w:sz="0" w:space="0" w:color="auto"/>
        <w:bottom w:val="none" w:sz="0" w:space="0" w:color="auto"/>
        <w:right w:val="none" w:sz="0" w:space="0" w:color="auto"/>
      </w:divBdr>
    </w:div>
    <w:div w:id="1750036398">
      <w:marLeft w:val="0"/>
      <w:marRight w:val="0"/>
      <w:marTop w:val="0"/>
      <w:marBottom w:val="0"/>
      <w:divBdr>
        <w:top w:val="none" w:sz="0" w:space="0" w:color="auto"/>
        <w:left w:val="none" w:sz="0" w:space="0" w:color="auto"/>
        <w:bottom w:val="none" w:sz="0" w:space="0" w:color="auto"/>
        <w:right w:val="none" w:sz="0" w:space="0" w:color="auto"/>
      </w:divBdr>
      <w:divsChild>
        <w:div w:id="1750036072">
          <w:marLeft w:val="0"/>
          <w:marRight w:val="0"/>
          <w:marTop w:val="0"/>
          <w:marBottom w:val="0"/>
          <w:divBdr>
            <w:top w:val="none" w:sz="0" w:space="0" w:color="auto"/>
            <w:left w:val="none" w:sz="0" w:space="0" w:color="auto"/>
            <w:bottom w:val="none" w:sz="0" w:space="0" w:color="auto"/>
            <w:right w:val="none" w:sz="0" w:space="0" w:color="auto"/>
          </w:divBdr>
          <w:divsChild>
            <w:div w:id="17500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02">
      <w:marLeft w:val="0"/>
      <w:marRight w:val="0"/>
      <w:marTop w:val="0"/>
      <w:marBottom w:val="0"/>
      <w:divBdr>
        <w:top w:val="none" w:sz="0" w:space="0" w:color="auto"/>
        <w:left w:val="none" w:sz="0" w:space="0" w:color="auto"/>
        <w:bottom w:val="none" w:sz="0" w:space="0" w:color="auto"/>
        <w:right w:val="none" w:sz="0" w:space="0" w:color="auto"/>
      </w:divBdr>
    </w:div>
    <w:div w:id="1750036425">
      <w:marLeft w:val="0"/>
      <w:marRight w:val="0"/>
      <w:marTop w:val="0"/>
      <w:marBottom w:val="0"/>
      <w:divBdr>
        <w:top w:val="none" w:sz="0" w:space="0" w:color="auto"/>
        <w:left w:val="none" w:sz="0" w:space="0" w:color="auto"/>
        <w:bottom w:val="none" w:sz="0" w:space="0" w:color="auto"/>
        <w:right w:val="none" w:sz="0" w:space="0" w:color="auto"/>
      </w:divBdr>
      <w:divsChild>
        <w:div w:id="1750036058">
          <w:marLeft w:val="0"/>
          <w:marRight w:val="0"/>
          <w:marTop w:val="0"/>
          <w:marBottom w:val="0"/>
          <w:divBdr>
            <w:top w:val="none" w:sz="0" w:space="0" w:color="auto"/>
            <w:left w:val="none" w:sz="0" w:space="0" w:color="auto"/>
            <w:bottom w:val="none" w:sz="0" w:space="0" w:color="auto"/>
            <w:right w:val="none" w:sz="0" w:space="0" w:color="auto"/>
          </w:divBdr>
        </w:div>
        <w:div w:id="1750036124">
          <w:marLeft w:val="0"/>
          <w:marRight w:val="0"/>
          <w:marTop w:val="0"/>
          <w:marBottom w:val="0"/>
          <w:divBdr>
            <w:top w:val="none" w:sz="0" w:space="0" w:color="auto"/>
            <w:left w:val="none" w:sz="0" w:space="0" w:color="auto"/>
            <w:bottom w:val="none" w:sz="0" w:space="0" w:color="auto"/>
            <w:right w:val="none" w:sz="0" w:space="0" w:color="auto"/>
          </w:divBdr>
        </w:div>
        <w:div w:id="1750036206">
          <w:marLeft w:val="0"/>
          <w:marRight w:val="0"/>
          <w:marTop w:val="0"/>
          <w:marBottom w:val="0"/>
          <w:divBdr>
            <w:top w:val="none" w:sz="0" w:space="0" w:color="auto"/>
            <w:left w:val="none" w:sz="0" w:space="0" w:color="auto"/>
            <w:bottom w:val="none" w:sz="0" w:space="0" w:color="auto"/>
            <w:right w:val="none" w:sz="0" w:space="0" w:color="auto"/>
          </w:divBdr>
        </w:div>
        <w:div w:id="1750036213">
          <w:marLeft w:val="0"/>
          <w:marRight w:val="0"/>
          <w:marTop w:val="0"/>
          <w:marBottom w:val="0"/>
          <w:divBdr>
            <w:top w:val="none" w:sz="0" w:space="0" w:color="auto"/>
            <w:left w:val="none" w:sz="0" w:space="0" w:color="auto"/>
            <w:bottom w:val="none" w:sz="0" w:space="0" w:color="auto"/>
            <w:right w:val="none" w:sz="0" w:space="0" w:color="auto"/>
          </w:divBdr>
        </w:div>
        <w:div w:id="1750036226">
          <w:marLeft w:val="0"/>
          <w:marRight w:val="0"/>
          <w:marTop w:val="0"/>
          <w:marBottom w:val="0"/>
          <w:divBdr>
            <w:top w:val="none" w:sz="0" w:space="0" w:color="auto"/>
            <w:left w:val="none" w:sz="0" w:space="0" w:color="auto"/>
            <w:bottom w:val="none" w:sz="0" w:space="0" w:color="auto"/>
            <w:right w:val="none" w:sz="0" w:space="0" w:color="auto"/>
          </w:divBdr>
        </w:div>
        <w:div w:id="1750036441">
          <w:marLeft w:val="0"/>
          <w:marRight w:val="0"/>
          <w:marTop w:val="0"/>
          <w:marBottom w:val="0"/>
          <w:divBdr>
            <w:top w:val="none" w:sz="0" w:space="0" w:color="auto"/>
            <w:left w:val="none" w:sz="0" w:space="0" w:color="auto"/>
            <w:bottom w:val="none" w:sz="0" w:space="0" w:color="auto"/>
            <w:right w:val="none" w:sz="0" w:space="0" w:color="auto"/>
          </w:divBdr>
        </w:div>
      </w:divsChild>
    </w:div>
    <w:div w:id="1750036430">
      <w:marLeft w:val="0"/>
      <w:marRight w:val="0"/>
      <w:marTop w:val="0"/>
      <w:marBottom w:val="0"/>
      <w:divBdr>
        <w:top w:val="none" w:sz="0" w:space="0" w:color="auto"/>
        <w:left w:val="none" w:sz="0" w:space="0" w:color="auto"/>
        <w:bottom w:val="none" w:sz="0" w:space="0" w:color="auto"/>
        <w:right w:val="none" w:sz="0" w:space="0" w:color="auto"/>
      </w:divBdr>
    </w:div>
    <w:div w:id="1750036438">
      <w:marLeft w:val="0"/>
      <w:marRight w:val="0"/>
      <w:marTop w:val="0"/>
      <w:marBottom w:val="0"/>
      <w:divBdr>
        <w:top w:val="none" w:sz="0" w:space="0" w:color="auto"/>
        <w:left w:val="none" w:sz="0" w:space="0" w:color="auto"/>
        <w:bottom w:val="none" w:sz="0" w:space="0" w:color="auto"/>
        <w:right w:val="none" w:sz="0" w:space="0" w:color="auto"/>
      </w:divBdr>
    </w:div>
    <w:div w:id="1750036439">
      <w:marLeft w:val="0"/>
      <w:marRight w:val="0"/>
      <w:marTop w:val="0"/>
      <w:marBottom w:val="0"/>
      <w:divBdr>
        <w:top w:val="none" w:sz="0" w:space="0" w:color="auto"/>
        <w:left w:val="none" w:sz="0" w:space="0" w:color="auto"/>
        <w:bottom w:val="none" w:sz="0" w:space="0" w:color="auto"/>
        <w:right w:val="none" w:sz="0" w:space="0" w:color="auto"/>
      </w:divBdr>
    </w:div>
    <w:div w:id="1750036443">
      <w:marLeft w:val="0"/>
      <w:marRight w:val="0"/>
      <w:marTop w:val="0"/>
      <w:marBottom w:val="0"/>
      <w:divBdr>
        <w:top w:val="none" w:sz="0" w:space="0" w:color="auto"/>
        <w:left w:val="none" w:sz="0" w:space="0" w:color="auto"/>
        <w:bottom w:val="none" w:sz="0" w:space="0" w:color="auto"/>
        <w:right w:val="none" w:sz="0" w:space="0" w:color="auto"/>
      </w:divBdr>
      <w:divsChild>
        <w:div w:id="1750036381">
          <w:marLeft w:val="0"/>
          <w:marRight w:val="0"/>
          <w:marTop w:val="0"/>
          <w:marBottom w:val="0"/>
          <w:divBdr>
            <w:top w:val="none" w:sz="0" w:space="0" w:color="auto"/>
            <w:left w:val="none" w:sz="0" w:space="0" w:color="auto"/>
            <w:bottom w:val="none" w:sz="0" w:space="0" w:color="auto"/>
            <w:right w:val="none" w:sz="0" w:space="0" w:color="auto"/>
          </w:divBdr>
        </w:div>
      </w:divsChild>
    </w:div>
    <w:div w:id="1750036444">
      <w:marLeft w:val="0"/>
      <w:marRight w:val="0"/>
      <w:marTop w:val="0"/>
      <w:marBottom w:val="0"/>
      <w:divBdr>
        <w:top w:val="none" w:sz="0" w:space="0" w:color="auto"/>
        <w:left w:val="none" w:sz="0" w:space="0" w:color="auto"/>
        <w:bottom w:val="none" w:sz="0" w:space="0" w:color="auto"/>
        <w:right w:val="none" w:sz="0" w:space="0" w:color="auto"/>
      </w:divBdr>
    </w:div>
    <w:div w:id="1750036445">
      <w:marLeft w:val="0"/>
      <w:marRight w:val="0"/>
      <w:marTop w:val="0"/>
      <w:marBottom w:val="0"/>
      <w:divBdr>
        <w:top w:val="none" w:sz="0" w:space="0" w:color="auto"/>
        <w:left w:val="none" w:sz="0" w:space="0" w:color="auto"/>
        <w:bottom w:val="none" w:sz="0" w:space="0" w:color="auto"/>
        <w:right w:val="none" w:sz="0" w:space="0" w:color="auto"/>
      </w:divBdr>
      <w:divsChild>
        <w:div w:id="1750036071">
          <w:marLeft w:val="0"/>
          <w:marRight w:val="0"/>
          <w:marTop w:val="0"/>
          <w:marBottom w:val="0"/>
          <w:divBdr>
            <w:top w:val="none" w:sz="0" w:space="0" w:color="auto"/>
            <w:left w:val="none" w:sz="0" w:space="0" w:color="auto"/>
            <w:bottom w:val="none" w:sz="0" w:space="0" w:color="auto"/>
            <w:right w:val="none" w:sz="0" w:space="0" w:color="auto"/>
          </w:divBdr>
          <w:divsChild>
            <w:div w:id="17500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47">
      <w:marLeft w:val="0"/>
      <w:marRight w:val="0"/>
      <w:marTop w:val="0"/>
      <w:marBottom w:val="0"/>
      <w:divBdr>
        <w:top w:val="none" w:sz="0" w:space="0" w:color="auto"/>
        <w:left w:val="none" w:sz="0" w:space="0" w:color="auto"/>
        <w:bottom w:val="none" w:sz="0" w:space="0" w:color="auto"/>
        <w:right w:val="none" w:sz="0" w:space="0" w:color="auto"/>
      </w:divBdr>
    </w:div>
    <w:div w:id="1750036448">
      <w:marLeft w:val="0"/>
      <w:marRight w:val="0"/>
      <w:marTop w:val="0"/>
      <w:marBottom w:val="0"/>
      <w:divBdr>
        <w:top w:val="none" w:sz="0" w:space="0" w:color="auto"/>
        <w:left w:val="none" w:sz="0" w:space="0" w:color="auto"/>
        <w:bottom w:val="none" w:sz="0" w:space="0" w:color="auto"/>
        <w:right w:val="none" w:sz="0" w:space="0" w:color="auto"/>
      </w:divBdr>
    </w:div>
    <w:div w:id="1750036449">
      <w:marLeft w:val="0"/>
      <w:marRight w:val="0"/>
      <w:marTop w:val="0"/>
      <w:marBottom w:val="0"/>
      <w:divBdr>
        <w:top w:val="none" w:sz="0" w:space="0" w:color="auto"/>
        <w:left w:val="none" w:sz="0" w:space="0" w:color="auto"/>
        <w:bottom w:val="none" w:sz="0" w:space="0" w:color="auto"/>
        <w:right w:val="none" w:sz="0" w:space="0" w:color="auto"/>
      </w:divBdr>
      <w:divsChild>
        <w:div w:id="1750036317">
          <w:marLeft w:val="0"/>
          <w:marRight w:val="0"/>
          <w:marTop w:val="0"/>
          <w:marBottom w:val="0"/>
          <w:divBdr>
            <w:top w:val="none" w:sz="0" w:space="0" w:color="auto"/>
            <w:left w:val="none" w:sz="0" w:space="0" w:color="auto"/>
            <w:bottom w:val="none" w:sz="0" w:space="0" w:color="auto"/>
            <w:right w:val="none" w:sz="0" w:space="0" w:color="auto"/>
          </w:divBdr>
          <w:divsChild>
            <w:div w:id="1750036249">
              <w:marLeft w:val="0"/>
              <w:marRight w:val="0"/>
              <w:marTop w:val="0"/>
              <w:marBottom w:val="0"/>
              <w:divBdr>
                <w:top w:val="none" w:sz="0" w:space="0" w:color="auto"/>
                <w:left w:val="none" w:sz="0" w:space="0" w:color="auto"/>
                <w:bottom w:val="none" w:sz="0" w:space="0" w:color="auto"/>
                <w:right w:val="none" w:sz="0" w:space="0" w:color="auto"/>
              </w:divBdr>
            </w:div>
            <w:div w:id="17500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50">
      <w:marLeft w:val="0"/>
      <w:marRight w:val="0"/>
      <w:marTop w:val="0"/>
      <w:marBottom w:val="0"/>
      <w:divBdr>
        <w:top w:val="none" w:sz="0" w:space="0" w:color="auto"/>
        <w:left w:val="none" w:sz="0" w:space="0" w:color="auto"/>
        <w:bottom w:val="none" w:sz="0" w:space="0" w:color="auto"/>
        <w:right w:val="none" w:sz="0" w:space="0" w:color="auto"/>
      </w:divBdr>
    </w:div>
    <w:div w:id="1750036451">
      <w:marLeft w:val="0"/>
      <w:marRight w:val="0"/>
      <w:marTop w:val="0"/>
      <w:marBottom w:val="0"/>
      <w:divBdr>
        <w:top w:val="none" w:sz="0" w:space="0" w:color="auto"/>
        <w:left w:val="none" w:sz="0" w:space="0" w:color="auto"/>
        <w:bottom w:val="none" w:sz="0" w:space="0" w:color="auto"/>
        <w:right w:val="none" w:sz="0" w:space="0" w:color="auto"/>
      </w:divBdr>
      <w:divsChild>
        <w:div w:id="1750036150">
          <w:marLeft w:val="0"/>
          <w:marRight w:val="0"/>
          <w:marTop w:val="0"/>
          <w:marBottom w:val="0"/>
          <w:divBdr>
            <w:top w:val="none" w:sz="0" w:space="0" w:color="auto"/>
            <w:left w:val="none" w:sz="0" w:space="0" w:color="auto"/>
            <w:bottom w:val="none" w:sz="0" w:space="0" w:color="auto"/>
            <w:right w:val="none" w:sz="0" w:space="0" w:color="auto"/>
          </w:divBdr>
          <w:divsChild>
            <w:div w:id="17500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58">
      <w:marLeft w:val="0"/>
      <w:marRight w:val="0"/>
      <w:marTop w:val="0"/>
      <w:marBottom w:val="0"/>
      <w:divBdr>
        <w:top w:val="none" w:sz="0" w:space="0" w:color="auto"/>
        <w:left w:val="none" w:sz="0" w:space="0" w:color="auto"/>
        <w:bottom w:val="none" w:sz="0" w:space="0" w:color="auto"/>
        <w:right w:val="none" w:sz="0" w:space="0" w:color="auto"/>
      </w:divBdr>
      <w:divsChild>
        <w:div w:id="1750036214">
          <w:marLeft w:val="0"/>
          <w:marRight w:val="0"/>
          <w:marTop w:val="0"/>
          <w:marBottom w:val="0"/>
          <w:divBdr>
            <w:top w:val="none" w:sz="0" w:space="0" w:color="auto"/>
            <w:left w:val="none" w:sz="0" w:space="0" w:color="auto"/>
            <w:bottom w:val="none" w:sz="0" w:space="0" w:color="auto"/>
            <w:right w:val="none" w:sz="0" w:space="0" w:color="auto"/>
          </w:divBdr>
          <w:divsChild>
            <w:div w:id="17500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61">
      <w:marLeft w:val="0"/>
      <w:marRight w:val="0"/>
      <w:marTop w:val="0"/>
      <w:marBottom w:val="0"/>
      <w:divBdr>
        <w:top w:val="none" w:sz="0" w:space="0" w:color="auto"/>
        <w:left w:val="none" w:sz="0" w:space="0" w:color="auto"/>
        <w:bottom w:val="none" w:sz="0" w:space="0" w:color="auto"/>
        <w:right w:val="none" w:sz="0" w:space="0" w:color="auto"/>
      </w:divBdr>
    </w:div>
    <w:div w:id="1750036462">
      <w:marLeft w:val="0"/>
      <w:marRight w:val="0"/>
      <w:marTop w:val="0"/>
      <w:marBottom w:val="0"/>
      <w:divBdr>
        <w:top w:val="none" w:sz="0" w:space="0" w:color="auto"/>
        <w:left w:val="none" w:sz="0" w:space="0" w:color="auto"/>
        <w:bottom w:val="none" w:sz="0" w:space="0" w:color="auto"/>
        <w:right w:val="none" w:sz="0" w:space="0" w:color="auto"/>
      </w:divBdr>
      <w:divsChild>
        <w:div w:id="1750036417">
          <w:marLeft w:val="0"/>
          <w:marRight w:val="0"/>
          <w:marTop w:val="0"/>
          <w:marBottom w:val="0"/>
          <w:divBdr>
            <w:top w:val="none" w:sz="0" w:space="0" w:color="auto"/>
            <w:left w:val="none" w:sz="0" w:space="0" w:color="auto"/>
            <w:bottom w:val="none" w:sz="0" w:space="0" w:color="auto"/>
            <w:right w:val="none" w:sz="0" w:space="0" w:color="auto"/>
          </w:divBdr>
          <w:divsChild>
            <w:div w:id="1750036044">
              <w:marLeft w:val="0"/>
              <w:marRight w:val="0"/>
              <w:marTop w:val="0"/>
              <w:marBottom w:val="0"/>
              <w:divBdr>
                <w:top w:val="none" w:sz="0" w:space="0" w:color="auto"/>
                <w:left w:val="none" w:sz="0" w:space="0" w:color="auto"/>
                <w:bottom w:val="none" w:sz="0" w:space="0" w:color="auto"/>
                <w:right w:val="none" w:sz="0" w:space="0" w:color="auto"/>
              </w:divBdr>
            </w:div>
            <w:div w:id="1750036138">
              <w:marLeft w:val="0"/>
              <w:marRight w:val="0"/>
              <w:marTop w:val="0"/>
              <w:marBottom w:val="0"/>
              <w:divBdr>
                <w:top w:val="none" w:sz="0" w:space="0" w:color="auto"/>
                <w:left w:val="none" w:sz="0" w:space="0" w:color="auto"/>
                <w:bottom w:val="none" w:sz="0" w:space="0" w:color="auto"/>
                <w:right w:val="none" w:sz="0" w:space="0" w:color="auto"/>
              </w:divBdr>
            </w:div>
            <w:div w:id="1750036178">
              <w:marLeft w:val="0"/>
              <w:marRight w:val="0"/>
              <w:marTop w:val="0"/>
              <w:marBottom w:val="0"/>
              <w:divBdr>
                <w:top w:val="none" w:sz="0" w:space="0" w:color="auto"/>
                <w:left w:val="none" w:sz="0" w:space="0" w:color="auto"/>
                <w:bottom w:val="none" w:sz="0" w:space="0" w:color="auto"/>
                <w:right w:val="none" w:sz="0" w:space="0" w:color="auto"/>
              </w:divBdr>
            </w:div>
            <w:div w:id="1750036197">
              <w:marLeft w:val="0"/>
              <w:marRight w:val="0"/>
              <w:marTop w:val="0"/>
              <w:marBottom w:val="0"/>
              <w:divBdr>
                <w:top w:val="none" w:sz="0" w:space="0" w:color="auto"/>
                <w:left w:val="none" w:sz="0" w:space="0" w:color="auto"/>
                <w:bottom w:val="none" w:sz="0" w:space="0" w:color="auto"/>
                <w:right w:val="none" w:sz="0" w:space="0" w:color="auto"/>
              </w:divBdr>
            </w:div>
            <w:div w:id="1750036258">
              <w:marLeft w:val="0"/>
              <w:marRight w:val="0"/>
              <w:marTop w:val="0"/>
              <w:marBottom w:val="0"/>
              <w:divBdr>
                <w:top w:val="none" w:sz="0" w:space="0" w:color="auto"/>
                <w:left w:val="none" w:sz="0" w:space="0" w:color="auto"/>
                <w:bottom w:val="none" w:sz="0" w:space="0" w:color="auto"/>
                <w:right w:val="none" w:sz="0" w:space="0" w:color="auto"/>
              </w:divBdr>
            </w:div>
            <w:div w:id="17500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64">
      <w:marLeft w:val="0"/>
      <w:marRight w:val="0"/>
      <w:marTop w:val="0"/>
      <w:marBottom w:val="0"/>
      <w:divBdr>
        <w:top w:val="none" w:sz="0" w:space="0" w:color="auto"/>
        <w:left w:val="none" w:sz="0" w:space="0" w:color="auto"/>
        <w:bottom w:val="none" w:sz="0" w:space="0" w:color="auto"/>
        <w:right w:val="none" w:sz="0" w:space="0" w:color="auto"/>
      </w:divBdr>
    </w:div>
    <w:div w:id="1750036466">
      <w:marLeft w:val="0"/>
      <w:marRight w:val="0"/>
      <w:marTop w:val="0"/>
      <w:marBottom w:val="0"/>
      <w:divBdr>
        <w:top w:val="none" w:sz="0" w:space="0" w:color="auto"/>
        <w:left w:val="none" w:sz="0" w:space="0" w:color="auto"/>
        <w:bottom w:val="none" w:sz="0" w:space="0" w:color="auto"/>
        <w:right w:val="none" w:sz="0" w:space="0" w:color="auto"/>
      </w:divBdr>
    </w:div>
    <w:div w:id="1750036470">
      <w:marLeft w:val="0"/>
      <w:marRight w:val="0"/>
      <w:marTop w:val="0"/>
      <w:marBottom w:val="0"/>
      <w:divBdr>
        <w:top w:val="none" w:sz="0" w:space="0" w:color="auto"/>
        <w:left w:val="none" w:sz="0" w:space="0" w:color="auto"/>
        <w:bottom w:val="none" w:sz="0" w:space="0" w:color="auto"/>
        <w:right w:val="none" w:sz="0" w:space="0" w:color="auto"/>
      </w:divBdr>
      <w:divsChild>
        <w:div w:id="1750036173">
          <w:marLeft w:val="0"/>
          <w:marRight w:val="0"/>
          <w:marTop w:val="0"/>
          <w:marBottom w:val="0"/>
          <w:divBdr>
            <w:top w:val="none" w:sz="0" w:space="0" w:color="auto"/>
            <w:left w:val="none" w:sz="0" w:space="0" w:color="auto"/>
            <w:bottom w:val="none" w:sz="0" w:space="0" w:color="auto"/>
            <w:right w:val="none" w:sz="0" w:space="0" w:color="auto"/>
          </w:divBdr>
          <w:divsChild>
            <w:div w:id="1750036251">
              <w:marLeft w:val="0"/>
              <w:marRight w:val="0"/>
              <w:marTop w:val="0"/>
              <w:marBottom w:val="0"/>
              <w:divBdr>
                <w:top w:val="none" w:sz="0" w:space="0" w:color="auto"/>
                <w:left w:val="none" w:sz="0" w:space="0" w:color="auto"/>
                <w:bottom w:val="none" w:sz="0" w:space="0" w:color="auto"/>
                <w:right w:val="none" w:sz="0" w:space="0" w:color="auto"/>
              </w:divBdr>
            </w:div>
            <w:div w:id="1750036253">
              <w:marLeft w:val="0"/>
              <w:marRight w:val="0"/>
              <w:marTop w:val="0"/>
              <w:marBottom w:val="0"/>
              <w:divBdr>
                <w:top w:val="none" w:sz="0" w:space="0" w:color="auto"/>
                <w:left w:val="none" w:sz="0" w:space="0" w:color="auto"/>
                <w:bottom w:val="none" w:sz="0" w:space="0" w:color="auto"/>
                <w:right w:val="none" w:sz="0" w:space="0" w:color="auto"/>
              </w:divBdr>
            </w:div>
            <w:div w:id="1750036256">
              <w:marLeft w:val="0"/>
              <w:marRight w:val="0"/>
              <w:marTop w:val="0"/>
              <w:marBottom w:val="0"/>
              <w:divBdr>
                <w:top w:val="none" w:sz="0" w:space="0" w:color="auto"/>
                <w:left w:val="none" w:sz="0" w:space="0" w:color="auto"/>
                <w:bottom w:val="none" w:sz="0" w:space="0" w:color="auto"/>
                <w:right w:val="none" w:sz="0" w:space="0" w:color="auto"/>
              </w:divBdr>
            </w:div>
            <w:div w:id="1750036298">
              <w:marLeft w:val="0"/>
              <w:marRight w:val="0"/>
              <w:marTop w:val="0"/>
              <w:marBottom w:val="0"/>
              <w:divBdr>
                <w:top w:val="none" w:sz="0" w:space="0" w:color="auto"/>
                <w:left w:val="none" w:sz="0" w:space="0" w:color="auto"/>
                <w:bottom w:val="none" w:sz="0" w:space="0" w:color="auto"/>
                <w:right w:val="none" w:sz="0" w:space="0" w:color="auto"/>
              </w:divBdr>
            </w:div>
            <w:div w:id="1750036319">
              <w:marLeft w:val="0"/>
              <w:marRight w:val="0"/>
              <w:marTop w:val="0"/>
              <w:marBottom w:val="0"/>
              <w:divBdr>
                <w:top w:val="none" w:sz="0" w:space="0" w:color="auto"/>
                <w:left w:val="none" w:sz="0" w:space="0" w:color="auto"/>
                <w:bottom w:val="none" w:sz="0" w:space="0" w:color="auto"/>
                <w:right w:val="none" w:sz="0" w:space="0" w:color="auto"/>
              </w:divBdr>
            </w:div>
            <w:div w:id="17500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473">
      <w:marLeft w:val="0"/>
      <w:marRight w:val="0"/>
      <w:marTop w:val="0"/>
      <w:marBottom w:val="0"/>
      <w:divBdr>
        <w:top w:val="none" w:sz="0" w:space="0" w:color="auto"/>
        <w:left w:val="none" w:sz="0" w:space="0" w:color="auto"/>
        <w:bottom w:val="none" w:sz="0" w:space="0" w:color="auto"/>
        <w:right w:val="none" w:sz="0" w:space="0" w:color="auto"/>
      </w:divBdr>
    </w:div>
    <w:div w:id="1750036478">
      <w:marLeft w:val="0"/>
      <w:marRight w:val="0"/>
      <w:marTop w:val="0"/>
      <w:marBottom w:val="0"/>
      <w:divBdr>
        <w:top w:val="none" w:sz="0" w:space="0" w:color="auto"/>
        <w:left w:val="none" w:sz="0" w:space="0" w:color="auto"/>
        <w:bottom w:val="none" w:sz="0" w:space="0" w:color="auto"/>
        <w:right w:val="none" w:sz="0" w:space="0" w:color="auto"/>
      </w:divBdr>
    </w:div>
    <w:div w:id="1750036484">
      <w:marLeft w:val="0"/>
      <w:marRight w:val="0"/>
      <w:marTop w:val="0"/>
      <w:marBottom w:val="0"/>
      <w:divBdr>
        <w:top w:val="none" w:sz="0" w:space="0" w:color="auto"/>
        <w:left w:val="none" w:sz="0" w:space="0" w:color="auto"/>
        <w:bottom w:val="none" w:sz="0" w:space="0" w:color="auto"/>
        <w:right w:val="none" w:sz="0" w:space="0" w:color="auto"/>
      </w:divBdr>
      <w:divsChild>
        <w:div w:id="1750036481">
          <w:marLeft w:val="0"/>
          <w:marRight w:val="0"/>
          <w:marTop w:val="0"/>
          <w:marBottom w:val="0"/>
          <w:divBdr>
            <w:top w:val="none" w:sz="0" w:space="0" w:color="auto"/>
            <w:left w:val="none" w:sz="0" w:space="0" w:color="auto"/>
            <w:bottom w:val="none" w:sz="0" w:space="0" w:color="auto"/>
            <w:right w:val="none" w:sz="0" w:space="0" w:color="auto"/>
          </w:divBdr>
          <w:divsChild>
            <w:div w:id="1750036486">
              <w:marLeft w:val="0"/>
              <w:marRight w:val="0"/>
              <w:marTop w:val="0"/>
              <w:marBottom w:val="0"/>
              <w:divBdr>
                <w:top w:val="none" w:sz="0" w:space="0" w:color="auto"/>
                <w:left w:val="none" w:sz="0" w:space="0" w:color="auto"/>
                <w:bottom w:val="none" w:sz="0" w:space="0" w:color="auto"/>
                <w:right w:val="none" w:sz="0" w:space="0" w:color="auto"/>
              </w:divBdr>
              <w:divsChild>
                <w:div w:id="1750036482">
                  <w:marLeft w:val="0"/>
                  <w:marRight w:val="0"/>
                  <w:marTop w:val="0"/>
                  <w:marBottom w:val="0"/>
                  <w:divBdr>
                    <w:top w:val="none" w:sz="0" w:space="0" w:color="auto"/>
                    <w:left w:val="none" w:sz="0" w:space="0" w:color="auto"/>
                    <w:bottom w:val="none" w:sz="0" w:space="0" w:color="auto"/>
                    <w:right w:val="none" w:sz="0" w:space="0" w:color="auto"/>
                  </w:divBdr>
                  <w:divsChild>
                    <w:div w:id="17500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485">
      <w:marLeft w:val="0"/>
      <w:marRight w:val="0"/>
      <w:marTop w:val="0"/>
      <w:marBottom w:val="0"/>
      <w:divBdr>
        <w:top w:val="none" w:sz="0" w:space="0" w:color="auto"/>
        <w:left w:val="none" w:sz="0" w:space="0" w:color="auto"/>
        <w:bottom w:val="none" w:sz="0" w:space="0" w:color="auto"/>
        <w:right w:val="none" w:sz="0" w:space="0" w:color="auto"/>
      </w:divBdr>
    </w:div>
    <w:div w:id="1750036489">
      <w:marLeft w:val="0"/>
      <w:marRight w:val="0"/>
      <w:marTop w:val="0"/>
      <w:marBottom w:val="0"/>
      <w:divBdr>
        <w:top w:val="none" w:sz="0" w:space="0" w:color="auto"/>
        <w:left w:val="none" w:sz="0" w:space="0" w:color="auto"/>
        <w:bottom w:val="none" w:sz="0" w:space="0" w:color="auto"/>
        <w:right w:val="none" w:sz="0" w:space="0" w:color="auto"/>
      </w:divBdr>
      <w:divsChild>
        <w:div w:id="1750036497">
          <w:marLeft w:val="0"/>
          <w:marRight w:val="0"/>
          <w:marTop w:val="0"/>
          <w:marBottom w:val="0"/>
          <w:divBdr>
            <w:top w:val="none" w:sz="0" w:space="0" w:color="auto"/>
            <w:left w:val="none" w:sz="0" w:space="0" w:color="auto"/>
            <w:bottom w:val="none" w:sz="0" w:space="0" w:color="auto"/>
            <w:right w:val="none" w:sz="0" w:space="0" w:color="auto"/>
          </w:divBdr>
          <w:divsChild>
            <w:div w:id="1750036507">
              <w:marLeft w:val="0"/>
              <w:marRight w:val="0"/>
              <w:marTop w:val="0"/>
              <w:marBottom w:val="0"/>
              <w:divBdr>
                <w:top w:val="none" w:sz="0" w:space="0" w:color="auto"/>
                <w:left w:val="none" w:sz="0" w:space="0" w:color="auto"/>
                <w:bottom w:val="none" w:sz="0" w:space="0" w:color="auto"/>
                <w:right w:val="none" w:sz="0" w:space="0" w:color="auto"/>
              </w:divBdr>
              <w:divsChild>
                <w:div w:id="1750036502">
                  <w:marLeft w:val="0"/>
                  <w:marRight w:val="0"/>
                  <w:marTop w:val="0"/>
                  <w:marBottom w:val="0"/>
                  <w:divBdr>
                    <w:top w:val="none" w:sz="0" w:space="0" w:color="auto"/>
                    <w:left w:val="none" w:sz="0" w:space="0" w:color="auto"/>
                    <w:bottom w:val="none" w:sz="0" w:space="0" w:color="auto"/>
                    <w:right w:val="none" w:sz="0" w:space="0" w:color="auto"/>
                  </w:divBdr>
                  <w:divsChild>
                    <w:div w:id="1750036494">
                      <w:marLeft w:val="0"/>
                      <w:marRight w:val="0"/>
                      <w:marTop w:val="0"/>
                      <w:marBottom w:val="0"/>
                      <w:divBdr>
                        <w:top w:val="none" w:sz="0" w:space="0" w:color="auto"/>
                        <w:left w:val="none" w:sz="0" w:space="0" w:color="auto"/>
                        <w:bottom w:val="none" w:sz="0" w:space="0" w:color="auto"/>
                        <w:right w:val="none" w:sz="0" w:space="0" w:color="auto"/>
                      </w:divBdr>
                      <w:divsChild>
                        <w:div w:id="1750036501">
                          <w:marLeft w:val="0"/>
                          <w:marRight w:val="0"/>
                          <w:marTop w:val="0"/>
                          <w:marBottom w:val="0"/>
                          <w:divBdr>
                            <w:top w:val="none" w:sz="0" w:space="0" w:color="auto"/>
                            <w:left w:val="none" w:sz="0" w:space="0" w:color="auto"/>
                            <w:bottom w:val="none" w:sz="0" w:space="0" w:color="auto"/>
                            <w:right w:val="none" w:sz="0" w:space="0" w:color="auto"/>
                          </w:divBdr>
                          <w:divsChild>
                            <w:div w:id="1750036488">
                              <w:marLeft w:val="0"/>
                              <w:marRight w:val="0"/>
                              <w:marTop w:val="0"/>
                              <w:marBottom w:val="0"/>
                              <w:divBdr>
                                <w:top w:val="none" w:sz="0" w:space="0" w:color="auto"/>
                                <w:left w:val="none" w:sz="0" w:space="0" w:color="auto"/>
                                <w:bottom w:val="none" w:sz="0" w:space="0" w:color="auto"/>
                                <w:right w:val="none" w:sz="0" w:space="0" w:color="auto"/>
                              </w:divBdr>
                              <w:divsChild>
                                <w:div w:id="1750036500">
                                  <w:marLeft w:val="0"/>
                                  <w:marRight w:val="0"/>
                                  <w:marTop w:val="0"/>
                                  <w:marBottom w:val="0"/>
                                  <w:divBdr>
                                    <w:top w:val="none" w:sz="0" w:space="0" w:color="auto"/>
                                    <w:left w:val="none" w:sz="0" w:space="0" w:color="auto"/>
                                    <w:bottom w:val="none" w:sz="0" w:space="0" w:color="auto"/>
                                    <w:right w:val="none" w:sz="0" w:space="0" w:color="auto"/>
                                  </w:divBdr>
                                  <w:divsChild>
                                    <w:div w:id="1750036509">
                                      <w:marLeft w:val="0"/>
                                      <w:marRight w:val="0"/>
                                      <w:marTop w:val="0"/>
                                      <w:marBottom w:val="0"/>
                                      <w:divBdr>
                                        <w:top w:val="none" w:sz="0" w:space="0" w:color="auto"/>
                                        <w:left w:val="none" w:sz="0" w:space="0" w:color="auto"/>
                                        <w:bottom w:val="none" w:sz="0" w:space="0" w:color="auto"/>
                                        <w:right w:val="none" w:sz="0" w:space="0" w:color="auto"/>
                                      </w:divBdr>
                                      <w:divsChild>
                                        <w:div w:id="1750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36490">
      <w:marLeft w:val="0"/>
      <w:marRight w:val="0"/>
      <w:marTop w:val="0"/>
      <w:marBottom w:val="0"/>
      <w:divBdr>
        <w:top w:val="none" w:sz="0" w:space="0" w:color="auto"/>
        <w:left w:val="none" w:sz="0" w:space="0" w:color="auto"/>
        <w:bottom w:val="none" w:sz="0" w:space="0" w:color="auto"/>
        <w:right w:val="none" w:sz="0" w:space="0" w:color="auto"/>
      </w:divBdr>
      <w:divsChild>
        <w:div w:id="1750036498">
          <w:marLeft w:val="0"/>
          <w:marRight w:val="0"/>
          <w:marTop w:val="0"/>
          <w:marBottom w:val="0"/>
          <w:divBdr>
            <w:top w:val="none" w:sz="0" w:space="0" w:color="auto"/>
            <w:left w:val="none" w:sz="0" w:space="0" w:color="auto"/>
            <w:bottom w:val="none" w:sz="0" w:space="0" w:color="auto"/>
            <w:right w:val="none" w:sz="0" w:space="0" w:color="auto"/>
          </w:divBdr>
          <w:divsChild>
            <w:div w:id="1750036492">
              <w:marLeft w:val="0"/>
              <w:marRight w:val="0"/>
              <w:marTop w:val="0"/>
              <w:marBottom w:val="0"/>
              <w:divBdr>
                <w:top w:val="none" w:sz="0" w:space="0" w:color="auto"/>
                <w:left w:val="none" w:sz="0" w:space="0" w:color="auto"/>
                <w:bottom w:val="none" w:sz="0" w:space="0" w:color="auto"/>
                <w:right w:val="none" w:sz="0" w:space="0" w:color="auto"/>
              </w:divBdr>
              <w:divsChild>
                <w:div w:id="1750036508">
                  <w:marLeft w:val="0"/>
                  <w:marRight w:val="0"/>
                  <w:marTop w:val="0"/>
                  <w:marBottom w:val="0"/>
                  <w:divBdr>
                    <w:top w:val="none" w:sz="0" w:space="0" w:color="auto"/>
                    <w:left w:val="none" w:sz="0" w:space="0" w:color="auto"/>
                    <w:bottom w:val="none" w:sz="0" w:space="0" w:color="auto"/>
                    <w:right w:val="none" w:sz="0" w:space="0" w:color="auto"/>
                  </w:divBdr>
                  <w:divsChild>
                    <w:div w:id="1750036506">
                      <w:marLeft w:val="0"/>
                      <w:marRight w:val="0"/>
                      <w:marTop w:val="0"/>
                      <w:marBottom w:val="0"/>
                      <w:divBdr>
                        <w:top w:val="none" w:sz="0" w:space="0" w:color="auto"/>
                        <w:left w:val="none" w:sz="0" w:space="0" w:color="auto"/>
                        <w:bottom w:val="none" w:sz="0" w:space="0" w:color="auto"/>
                        <w:right w:val="none" w:sz="0" w:space="0" w:color="auto"/>
                      </w:divBdr>
                      <w:divsChild>
                        <w:div w:id="1750036499">
                          <w:marLeft w:val="0"/>
                          <w:marRight w:val="0"/>
                          <w:marTop w:val="0"/>
                          <w:marBottom w:val="0"/>
                          <w:divBdr>
                            <w:top w:val="none" w:sz="0" w:space="0" w:color="auto"/>
                            <w:left w:val="none" w:sz="0" w:space="0" w:color="auto"/>
                            <w:bottom w:val="none" w:sz="0" w:space="0" w:color="auto"/>
                            <w:right w:val="none" w:sz="0" w:space="0" w:color="auto"/>
                          </w:divBdr>
                          <w:divsChild>
                            <w:div w:id="17500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6496">
      <w:marLeft w:val="0"/>
      <w:marRight w:val="0"/>
      <w:marTop w:val="0"/>
      <w:marBottom w:val="0"/>
      <w:divBdr>
        <w:top w:val="none" w:sz="0" w:space="0" w:color="auto"/>
        <w:left w:val="none" w:sz="0" w:space="0" w:color="auto"/>
        <w:bottom w:val="none" w:sz="0" w:space="0" w:color="auto"/>
        <w:right w:val="none" w:sz="0" w:space="0" w:color="auto"/>
      </w:divBdr>
      <w:divsChild>
        <w:div w:id="1750036487">
          <w:marLeft w:val="0"/>
          <w:marRight w:val="0"/>
          <w:marTop w:val="0"/>
          <w:marBottom w:val="0"/>
          <w:divBdr>
            <w:top w:val="none" w:sz="0" w:space="0" w:color="auto"/>
            <w:left w:val="none" w:sz="0" w:space="0" w:color="auto"/>
            <w:bottom w:val="none" w:sz="0" w:space="0" w:color="auto"/>
            <w:right w:val="none" w:sz="0" w:space="0" w:color="auto"/>
          </w:divBdr>
          <w:divsChild>
            <w:div w:id="1750036510">
              <w:marLeft w:val="3990"/>
              <w:marRight w:val="0"/>
              <w:marTop w:val="0"/>
              <w:marBottom w:val="0"/>
              <w:divBdr>
                <w:top w:val="none" w:sz="0" w:space="0" w:color="auto"/>
                <w:left w:val="none" w:sz="0" w:space="0" w:color="auto"/>
                <w:bottom w:val="none" w:sz="0" w:space="0" w:color="auto"/>
                <w:right w:val="none" w:sz="0" w:space="0" w:color="auto"/>
              </w:divBdr>
              <w:divsChild>
                <w:div w:id="1750036503">
                  <w:marLeft w:val="0"/>
                  <w:marRight w:val="0"/>
                  <w:marTop w:val="0"/>
                  <w:marBottom w:val="0"/>
                  <w:divBdr>
                    <w:top w:val="none" w:sz="0" w:space="0" w:color="auto"/>
                    <w:left w:val="none" w:sz="0" w:space="0" w:color="auto"/>
                    <w:bottom w:val="none" w:sz="0" w:space="0" w:color="auto"/>
                    <w:right w:val="none" w:sz="0" w:space="0" w:color="auto"/>
                  </w:divBdr>
                  <w:divsChild>
                    <w:div w:id="1750036493">
                      <w:marLeft w:val="0"/>
                      <w:marRight w:val="0"/>
                      <w:marTop w:val="0"/>
                      <w:marBottom w:val="0"/>
                      <w:divBdr>
                        <w:top w:val="none" w:sz="0" w:space="0" w:color="auto"/>
                        <w:left w:val="none" w:sz="0" w:space="0" w:color="auto"/>
                        <w:bottom w:val="none" w:sz="0" w:space="0" w:color="auto"/>
                        <w:right w:val="none" w:sz="0" w:space="0" w:color="auto"/>
                      </w:divBdr>
                      <w:divsChild>
                        <w:div w:id="17500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36505">
      <w:marLeft w:val="0"/>
      <w:marRight w:val="0"/>
      <w:marTop w:val="0"/>
      <w:marBottom w:val="0"/>
      <w:divBdr>
        <w:top w:val="none" w:sz="0" w:space="0" w:color="auto"/>
        <w:left w:val="none" w:sz="0" w:space="0" w:color="auto"/>
        <w:bottom w:val="none" w:sz="0" w:space="0" w:color="auto"/>
        <w:right w:val="none" w:sz="0" w:space="0" w:color="auto"/>
      </w:divBdr>
    </w:div>
    <w:div w:id="1750036511">
      <w:marLeft w:val="0"/>
      <w:marRight w:val="0"/>
      <w:marTop w:val="0"/>
      <w:marBottom w:val="0"/>
      <w:divBdr>
        <w:top w:val="none" w:sz="0" w:space="0" w:color="auto"/>
        <w:left w:val="none" w:sz="0" w:space="0" w:color="auto"/>
        <w:bottom w:val="none" w:sz="0" w:space="0" w:color="auto"/>
        <w:right w:val="none" w:sz="0" w:space="0" w:color="auto"/>
      </w:divBdr>
    </w:div>
    <w:div w:id="1750036512">
      <w:marLeft w:val="0"/>
      <w:marRight w:val="0"/>
      <w:marTop w:val="0"/>
      <w:marBottom w:val="0"/>
      <w:divBdr>
        <w:top w:val="none" w:sz="0" w:space="0" w:color="auto"/>
        <w:left w:val="none" w:sz="0" w:space="0" w:color="auto"/>
        <w:bottom w:val="none" w:sz="0" w:space="0" w:color="auto"/>
        <w:right w:val="none" w:sz="0" w:space="0" w:color="auto"/>
      </w:divBdr>
      <w:divsChild>
        <w:div w:id="1750036513">
          <w:marLeft w:val="0"/>
          <w:marRight w:val="0"/>
          <w:marTop w:val="0"/>
          <w:marBottom w:val="0"/>
          <w:divBdr>
            <w:top w:val="none" w:sz="0" w:space="0" w:color="auto"/>
            <w:left w:val="none" w:sz="0" w:space="0" w:color="auto"/>
            <w:bottom w:val="none" w:sz="0" w:space="0" w:color="auto"/>
            <w:right w:val="none" w:sz="0" w:space="0" w:color="auto"/>
          </w:divBdr>
        </w:div>
        <w:div w:id="1750036514">
          <w:marLeft w:val="0"/>
          <w:marRight w:val="0"/>
          <w:marTop w:val="0"/>
          <w:marBottom w:val="0"/>
          <w:divBdr>
            <w:top w:val="none" w:sz="0" w:space="0" w:color="auto"/>
            <w:left w:val="none" w:sz="0" w:space="0" w:color="auto"/>
            <w:bottom w:val="none" w:sz="0" w:space="0" w:color="auto"/>
            <w:right w:val="none" w:sz="0" w:space="0" w:color="auto"/>
          </w:divBdr>
        </w:div>
        <w:div w:id="1750036515">
          <w:marLeft w:val="0"/>
          <w:marRight w:val="0"/>
          <w:marTop w:val="0"/>
          <w:marBottom w:val="0"/>
          <w:divBdr>
            <w:top w:val="none" w:sz="0" w:space="0" w:color="auto"/>
            <w:left w:val="none" w:sz="0" w:space="0" w:color="auto"/>
            <w:bottom w:val="none" w:sz="0" w:space="0" w:color="auto"/>
            <w:right w:val="none" w:sz="0" w:space="0" w:color="auto"/>
          </w:divBdr>
        </w:div>
        <w:div w:id="1750036516">
          <w:marLeft w:val="0"/>
          <w:marRight w:val="0"/>
          <w:marTop w:val="0"/>
          <w:marBottom w:val="0"/>
          <w:divBdr>
            <w:top w:val="none" w:sz="0" w:space="0" w:color="auto"/>
            <w:left w:val="none" w:sz="0" w:space="0" w:color="auto"/>
            <w:bottom w:val="none" w:sz="0" w:space="0" w:color="auto"/>
            <w:right w:val="none" w:sz="0" w:space="0" w:color="auto"/>
          </w:divBdr>
        </w:div>
      </w:divsChild>
    </w:div>
    <w:div w:id="1750036517">
      <w:marLeft w:val="0"/>
      <w:marRight w:val="0"/>
      <w:marTop w:val="0"/>
      <w:marBottom w:val="0"/>
      <w:divBdr>
        <w:top w:val="none" w:sz="0" w:space="0" w:color="auto"/>
        <w:left w:val="none" w:sz="0" w:space="0" w:color="auto"/>
        <w:bottom w:val="none" w:sz="0" w:space="0" w:color="auto"/>
        <w:right w:val="none" w:sz="0" w:space="0" w:color="auto"/>
      </w:divBdr>
    </w:div>
    <w:div w:id="1750036518">
      <w:marLeft w:val="0"/>
      <w:marRight w:val="0"/>
      <w:marTop w:val="0"/>
      <w:marBottom w:val="0"/>
      <w:divBdr>
        <w:top w:val="none" w:sz="0" w:space="0" w:color="auto"/>
        <w:left w:val="none" w:sz="0" w:space="0" w:color="auto"/>
        <w:bottom w:val="none" w:sz="0" w:space="0" w:color="auto"/>
        <w:right w:val="none" w:sz="0" w:space="0" w:color="auto"/>
      </w:divBdr>
    </w:div>
    <w:div w:id="1750036519">
      <w:marLeft w:val="0"/>
      <w:marRight w:val="0"/>
      <w:marTop w:val="0"/>
      <w:marBottom w:val="0"/>
      <w:divBdr>
        <w:top w:val="none" w:sz="0" w:space="0" w:color="auto"/>
        <w:left w:val="none" w:sz="0" w:space="0" w:color="auto"/>
        <w:bottom w:val="none" w:sz="0" w:space="0" w:color="auto"/>
        <w:right w:val="none" w:sz="0" w:space="0" w:color="auto"/>
      </w:divBdr>
    </w:div>
    <w:div w:id="1750036520">
      <w:marLeft w:val="0"/>
      <w:marRight w:val="0"/>
      <w:marTop w:val="0"/>
      <w:marBottom w:val="0"/>
      <w:divBdr>
        <w:top w:val="none" w:sz="0" w:space="0" w:color="auto"/>
        <w:left w:val="none" w:sz="0" w:space="0" w:color="auto"/>
        <w:bottom w:val="none" w:sz="0" w:space="0" w:color="auto"/>
        <w:right w:val="none" w:sz="0" w:space="0" w:color="auto"/>
      </w:divBdr>
    </w:div>
    <w:div w:id="1750036521">
      <w:marLeft w:val="0"/>
      <w:marRight w:val="0"/>
      <w:marTop w:val="0"/>
      <w:marBottom w:val="0"/>
      <w:divBdr>
        <w:top w:val="none" w:sz="0" w:space="0" w:color="auto"/>
        <w:left w:val="none" w:sz="0" w:space="0" w:color="auto"/>
        <w:bottom w:val="none" w:sz="0" w:space="0" w:color="auto"/>
        <w:right w:val="none" w:sz="0" w:space="0" w:color="auto"/>
      </w:divBdr>
    </w:div>
    <w:div w:id="1750036522">
      <w:marLeft w:val="0"/>
      <w:marRight w:val="0"/>
      <w:marTop w:val="0"/>
      <w:marBottom w:val="0"/>
      <w:divBdr>
        <w:top w:val="none" w:sz="0" w:space="0" w:color="auto"/>
        <w:left w:val="none" w:sz="0" w:space="0" w:color="auto"/>
        <w:bottom w:val="none" w:sz="0" w:space="0" w:color="auto"/>
        <w:right w:val="none" w:sz="0" w:space="0" w:color="auto"/>
      </w:divBdr>
    </w:div>
    <w:div w:id="1750036523">
      <w:marLeft w:val="0"/>
      <w:marRight w:val="0"/>
      <w:marTop w:val="0"/>
      <w:marBottom w:val="0"/>
      <w:divBdr>
        <w:top w:val="none" w:sz="0" w:space="0" w:color="auto"/>
        <w:left w:val="none" w:sz="0" w:space="0" w:color="auto"/>
        <w:bottom w:val="none" w:sz="0" w:space="0" w:color="auto"/>
        <w:right w:val="none" w:sz="0" w:space="0" w:color="auto"/>
      </w:divBdr>
    </w:div>
    <w:div w:id="1750036524">
      <w:marLeft w:val="0"/>
      <w:marRight w:val="0"/>
      <w:marTop w:val="0"/>
      <w:marBottom w:val="0"/>
      <w:divBdr>
        <w:top w:val="none" w:sz="0" w:space="0" w:color="auto"/>
        <w:left w:val="none" w:sz="0" w:space="0" w:color="auto"/>
        <w:bottom w:val="none" w:sz="0" w:space="0" w:color="auto"/>
        <w:right w:val="none" w:sz="0" w:space="0" w:color="auto"/>
      </w:divBdr>
    </w:div>
    <w:div w:id="1750036525">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 w:id="1750036527">
      <w:marLeft w:val="0"/>
      <w:marRight w:val="0"/>
      <w:marTop w:val="0"/>
      <w:marBottom w:val="0"/>
      <w:divBdr>
        <w:top w:val="none" w:sz="0" w:space="0" w:color="auto"/>
        <w:left w:val="none" w:sz="0" w:space="0" w:color="auto"/>
        <w:bottom w:val="none" w:sz="0" w:space="0" w:color="auto"/>
        <w:right w:val="none" w:sz="0" w:space="0" w:color="auto"/>
      </w:divBdr>
    </w:div>
    <w:div w:id="1750036528">
      <w:marLeft w:val="0"/>
      <w:marRight w:val="0"/>
      <w:marTop w:val="0"/>
      <w:marBottom w:val="0"/>
      <w:divBdr>
        <w:top w:val="none" w:sz="0" w:space="0" w:color="auto"/>
        <w:left w:val="none" w:sz="0" w:space="0" w:color="auto"/>
        <w:bottom w:val="none" w:sz="0" w:space="0" w:color="auto"/>
        <w:right w:val="none" w:sz="0" w:space="0" w:color="auto"/>
      </w:divBdr>
    </w:div>
    <w:div w:id="1750036529">
      <w:marLeft w:val="0"/>
      <w:marRight w:val="0"/>
      <w:marTop w:val="0"/>
      <w:marBottom w:val="0"/>
      <w:divBdr>
        <w:top w:val="none" w:sz="0" w:space="0" w:color="auto"/>
        <w:left w:val="none" w:sz="0" w:space="0" w:color="auto"/>
        <w:bottom w:val="none" w:sz="0" w:space="0" w:color="auto"/>
        <w:right w:val="none" w:sz="0" w:space="0" w:color="auto"/>
      </w:divBdr>
    </w:div>
    <w:div w:id="1750036530">
      <w:marLeft w:val="0"/>
      <w:marRight w:val="0"/>
      <w:marTop w:val="0"/>
      <w:marBottom w:val="0"/>
      <w:divBdr>
        <w:top w:val="none" w:sz="0" w:space="0" w:color="auto"/>
        <w:left w:val="none" w:sz="0" w:space="0" w:color="auto"/>
        <w:bottom w:val="none" w:sz="0" w:space="0" w:color="auto"/>
        <w:right w:val="none" w:sz="0" w:space="0" w:color="auto"/>
      </w:divBdr>
    </w:div>
    <w:div w:id="1750036531">
      <w:marLeft w:val="0"/>
      <w:marRight w:val="0"/>
      <w:marTop w:val="0"/>
      <w:marBottom w:val="0"/>
      <w:divBdr>
        <w:top w:val="none" w:sz="0" w:space="0" w:color="auto"/>
        <w:left w:val="none" w:sz="0" w:space="0" w:color="auto"/>
        <w:bottom w:val="none" w:sz="0" w:space="0" w:color="auto"/>
        <w:right w:val="none" w:sz="0" w:space="0" w:color="auto"/>
      </w:divBdr>
    </w:div>
    <w:div w:id="1750036532">
      <w:marLeft w:val="0"/>
      <w:marRight w:val="0"/>
      <w:marTop w:val="0"/>
      <w:marBottom w:val="0"/>
      <w:divBdr>
        <w:top w:val="none" w:sz="0" w:space="0" w:color="auto"/>
        <w:left w:val="none" w:sz="0" w:space="0" w:color="auto"/>
        <w:bottom w:val="none" w:sz="0" w:space="0" w:color="auto"/>
        <w:right w:val="none" w:sz="0" w:space="0" w:color="auto"/>
      </w:divBdr>
    </w:div>
    <w:div w:id="1750036533">
      <w:marLeft w:val="0"/>
      <w:marRight w:val="0"/>
      <w:marTop w:val="0"/>
      <w:marBottom w:val="0"/>
      <w:divBdr>
        <w:top w:val="none" w:sz="0" w:space="0" w:color="auto"/>
        <w:left w:val="none" w:sz="0" w:space="0" w:color="auto"/>
        <w:bottom w:val="none" w:sz="0" w:space="0" w:color="auto"/>
        <w:right w:val="none" w:sz="0" w:space="0" w:color="auto"/>
      </w:divBdr>
    </w:div>
    <w:div w:id="1750036534">
      <w:marLeft w:val="0"/>
      <w:marRight w:val="0"/>
      <w:marTop w:val="0"/>
      <w:marBottom w:val="0"/>
      <w:divBdr>
        <w:top w:val="none" w:sz="0" w:space="0" w:color="auto"/>
        <w:left w:val="none" w:sz="0" w:space="0" w:color="auto"/>
        <w:bottom w:val="none" w:sz="0" w:space="0" w:color="auto"/>
        <w:right w:val="none" w:sz="0" w:space="0" w:color="auto"/>
      </w:divBdr>
    </w:div>
    <w:div w:id="1750036535">
      <w:marLeft w:val="0"/>
      <w:marRight w:val="0"/>
      <w:marTop w:val="0"/>
      <w:marBottom w:val="0"/>
      <w:divBdr>
        <w:top w:val="none" w:sz="0" w:space="0" w:color="auto"/>
        <w:left w:val="none" w:sz="0" w:space="0" w:color="auto"/>
        <w:bottom w:val="none" w:sz="0" w:space="0" w:color="auto"/>
        <w:right w:val="none" w:sz="0" w:space="0" w:color="auto"/>
      </w:divBdr>
    </w:div>
    <w:div w:id="1750036536">
      <w:marLeft w:val="0"/>
      <w:marRight w:val="0"/>
      <w:marTop w:val="0"/>
      <w:marBottom w:val="0"/>
      <w:divBdr>
        <w:top w:val="none" w:sz="0" w:space="0" w:color="auto"/>
        <w:left w:val="none" w:sz="0" w:space="0" w:color="auto"/>
        <w:bottom w:val="none" w:sz="0" w:space="0" w:color="auto"/>
        <w:right w:val="none" w:sz="0" w:space="0" w:color="auto"/>
      </w:divBdr>
    </w:div>
    <w:div w:id="1750036537">
      <w:marLeft w:val="0"/>
      <w:marRight w:val="0"/>
      <w:marTop w:val="0"/>
      <w:marBottom w:val="0"/>
      <w:divBdr>
        <w:top w:val="none" w:sz="0" w:space="0" w:color="auto"/>
        <w:left w:val="none" w:sz="0" w:space="0" w:color="auto"/>
        <w:bottom w:val="none" w:sz="0" w:space="0" w:color="auto"/>
        <w:right w:val="none" w:sz="0" w:space="0" w:color="auto"/>
      </w:divBdr>
    </w:div>
    <w:div w:id="1750036538">
      <w:marLeft w:val="0"/>
      <w:marRight w:val="0"/>
      <w:marTop w:val="0"/>
      <w:marBottom w:val="0"/>
      <w:divBdr>
        <w:top w:val="none" w:sz="0" w:space="0" w:color="auto"/>
        <w:left w:val="none" w:sz="0" w:space="0" w:color="auto"/>
        <w:bottom w:val="none" w:sz="0" w:space="0" w:color="auto"/>
        <w:right w:val="none" w:sz="0" w:space="0" w:color="auto"/>
      </w:divBdr>
    </w:div>
    <w:div w:id="1750036539">
      <w:marLeft w:val="0"/>
      <w:marRight w:val="0"/>
      <w:marTop w:val="0"/>
      <w:marBottom w:val="0"/>
      <w:divBdr>
        <w:top w:val="none" w:sz="0" w:space="0" w:color="auto"/>
        <w:left w:val="none" w:sz="0" w:space="0" w:color="auto"/>
        <w:bottom w:val="none" w:sz="0" w:space="0" w:color="auto"/>
        <w:right w:val="none" w:sz="0" w:space="0" w:color="auto"/>
      </w:divBdr>
    </w:div>
    <w:div w:id="1750036540">
      <w:marLeft w:val="0"/>
      <w:marRight w:val="0"/>
      <w:marTop w:val="0"/>
      <w:marBottom w:val="0"/>
      <w:divBdr>
        <w:top w:val="none" w:sz="0" w:space="0" w:color="auto"/>
        <w:left w:val="none" w:sz="0" w:space="0" w:color="auto"/>
        <w:bottom w:val="none" w:sz="0" w:space="0" w:color="auto"/>
        <w:right w:val="none" w:sz="0" w:space="0" w:color="auto"/>
      </w:divBdr>
    </w:div>
    <w:div w:id="1750036541">
      <w:marLeft w:val="0"/>
      <w:marRight w:val="0"/>
      <w:marTop w:val="0"/>
      <w:marBottom w:val="0"/>
      <w:divBdr>
        <w:top w:val="none" w:sz="0" w:space="0" w:color="auto"/>
        <w:left w:val="none" w:sz="0" w:space="0" w:color="auto"/>
        <w:bottom w:val="none" w:sz="0" w:space="0" w:color="auto"/>
        <w:right w:val="none" w:sz="0" w:space="0" w:color="auto"/>
      </w:divBdr>
    </w:div>
    <w:div w:id="1750036542">
      <w:marLeft w:val="0"/>
      <w:marRight w:val="0"/>
      <w:marTop w:val="0"/>
      <w:marBottom w:val="0"/>
      <w:divBdr>
        <w:top w:val="none" w:sz="0" w:space="0" w:color="auto"/>
        <w:left w:val="none" w:sz="0" w:space="0" w:color="auto"/>
        <w:bottom w:val="none" w:sz="0" w:space="0" w:color="auto"/>
        <w:right w:val="none" w:sz="0" w:space="0" w:color="auto"/>
      </w:divBdr>
    </w:div>
    <w:div w:id="1750036543">
      <w:marLeft w:val="0"/>
      <w:marRight w:val="0"/>
      <w:marTop w:val="0"/>
      <w:marBottom w:val="0"/>
      <w:divBdr>
        <w:top w:val="none" w:sz="0" w:space="0" w:color="auto"/>
        <w:left w:val="none" w:sz="0" w:space="0" w:color="auto"/>
        <w:bottom w:val="none" w:sz="0" w:space="0" w:color="auto"/>
        <w:right w:val="none" w:sz="0" w:space="0" w:color="auto"/>
      </w:divBdr>
    </w:div>
    <w:div w:id="1750036544">
      <w:marLeft w:val="0"/>
      <w:marRight w:val="0"/>
      <w:marTop w:val="0"/>
      <w:marBottom w:val="0"/>
      <w:divBdr>
        <w:top w:val="none" w:sz="0" w:space="0" w:color="auto"/>
        <w:left w:val="none" w:sz="0" w:space="0" w:color="auto"/>
        <w:bottom w:val="none" w:sz="0" w:space="0" w:color="auto"/>
        <w:right w:val="none" w:sz="0" w:space="0" w:color="auto"/>
      </w:divBdr>
    </w:div>
    <w:div w:id="1750036545">
      <w:marLeft w:val="0"/>
      <w:marRight w:val="0"/>
      <w:marTop w:val="0"/>
      <w:marBottom w:val="0"/>
      <w:divBdr>
        <w:top w:val="none" w:sz="0" w:space="0" w:color="auto"/>
        <w:left w:val="none" w:sz="0" w:space="0" w:color="auto"/>
        <w:bottom w:val="none" w:sz="0" w:space="0" w:color="auto"/>
        <w:right w:val="none" w:sz="0" w:space="0" w:color="auto"/>
      </w:divBdr>
    </w:div>
    <w:div w:id="1750036546">
      <w:marLeft w:val="0"/>
      <w:marRight w:val="0"/>
      <w:marTop w:val="0"/>
      <w:marBottom w:val="0"/>
      <w:divBdr>
        <w:top w:val="none" w:sz="0" w:space="0" w:color="auto"/>
        <w:left w:val="none" w:sz="0" w:space="0" w:color="auto"/>
        <w:bottom w:val="none" w:sz="0" w:space="0" w:color="auto"/>
        <w:right w:val="none" w:sz="0" w:space="0" w:color="auto"/>
      </w:divBdr>
    </w:div>
    <w:div w:id="1750036547">
      <w:marLeft w:val="0"/>
      <w:marRight w:val="0"/>
      <w:marTop w:val="0"/>
      <w:marBottom w:val="0"/>
      <w:divBdr>
        <w:top w:val="none" w:sz="0" w:space="0" w:color="auto"/>
        <w:left w:val="none" w:sz="0" w:space="0" w:color="auto"/>
        <w:bottom w:val="none" w:sz="0" w:space="0" w:color="auto"/>
        <w:right w:val="none" w:sz="0" w:space="0" w:color="auto"/>
      </w:divBdr>
    </w:div>
    <w:div w:id="1750036548">
      <w:marLeft w:val="0"/>
      <w:marRight w:val="0"/>
      <w:marTop w:val="0"/>
      <w:marBottom w:val="0"/>
      <w:divBdr>
        <w:top w:val="none" w:sz="0" w:space="0" w:color="auto"/>
        <w:left w:val="none" w:sz="0" w:space="0" w:color="auto"/>
        <w:bottom w:val="none" w:sz="0" w:space="0" w:color="auto"/>
        <w:right w:val="none" w:sz="0" w:space="0" w:color="auto"/>
      </w:divBdr>
    </w:div>
    <w:div w:id="1750036549">
      <w:marLeft w:val="0"/>
      <w:marRight w:val="0"/>
      <w:marTop w:val="0"/>
      <w:marBottom w:val="0"/>
      <w:divBdr>
        <w:top w:val="none" w:sz="0" w:space="0" w:color="auto"/>
        <w:left w:val="none" w:sz="0" w:space="0" w:color="auto"/>
        <w:bottom w:val="none" w:sz="0" w:space="0" w:color="auto"/>
        <w:right w:val="none" w:sz="0" w:space="0" w:color="auto"/>
      </w:divBdr>
    </w:div>
    <w:div w:id="1750036550">
      <w:marLeft w:val="0"/>
      <w:marRight w:val="0"/>
      <w:marTop w:val="0"/>
      <w:marBottom w:val="0"/>
      <w:divBdr>
        <w:top w:val="none" w:sz="0" w:space="0" w:color="auto"/>
        <w:left w:val="none" w:sz="0" w:space="0" w:color="auto"/>
        <w:bottom w:val="none" w:sz="0" w:space="0" w:color="auto"/>
        <w:right w:val="none" w:sz="0" w:space="0" w:color="auto"/>
      </w:divBdr>
    </w:div>
    <w:div w:id="1750036551">
      <w:marLeft w:val="0"/>
      <w:marRight w:val="0"/>
      <w:marTop w:val="0"/>
      <w:marBottom w:val="0"/>
      <w:divBdr>
        <w:top w:val="none" w:sz="0" w:space="0" w:color="auto"/>
        <w:left w:val="none" w:sz="0" w:space="0" w:color="auto"/>
        <w:bottom w:val="none" w:sz="0" w:space="0" w:color="auto"/>
        <w:right w:val="none" w:sz="0" w:space="0" w:color="auto"/>
      </w:divBdr>
    </w:div>
    <w:div w:id="1750036552">
      <w:marLeft w:val="0"/>
      <w:marRight w:val="0"/>
      <w:marTop w:val="0"/>
      <w:marBottom w:val="0"/>
      <w:divBdr>
        <w:top w:val="none" w:sz="0" w:space="0" w:color="auto"/>
        <w:left w:val="none" w:sz="0" w:space="0" w:color="auto"/>
        <w:bottom w:val="none" w:sz="0" w:space="0" w:color="auto"/>
        <w:right w:val="none" w:sz="0" w:space="0" w:color="auto"/>
      </w:divBdr>
    </w:div>
    <w:div w:id="1750036553">
      <w:marLeft w:val="0"/>
      <w:marRight w:val="0"/>
      <w:marTop w:val="0"/>
      <w:marBottom w:val="0"/>
      <w:divBdr>
        <w:top w:val="none" w:sz="0" w:space="0" w:color="auto"/>
        <w:left w:val="none" w:sz="0" w:space="0" w:color="auto"/>
        <w:bottom w:val="none" w:sz="0" w:space="0" w:color="auto"/>
        <w:right w:val="none" w:sz="0" w:space="0" w:color="auto"/>
      </w:divBdr>
    </w:div>
    <w:div w:id="1750036554">
      <w:marLeft w:val="0"/>
      <w:marRight w:val="0"/>
      <w:marTop w:val="0"/>
      <w:marBottom w:val="0"/>
      <w:divBdr>
        <w:top w:val="none" w:sz="0" w:space="0" w:color="auto"/>
        <w:left w:val="none" w:sz="0" w:space="0" w:color="auto"/>
        <w:bottom w:val="none" w:sz="0" w:space="0" w:color="auto"/>
        <w:right w:val="none" w:sz="0" w:space="0" w:color="auto"/>
      </w:divBdr>
    </w:div>
    <w:div w:id="1750036555">
      <w:marLeft w:val="0"/>
      <w:marRight w:val="0"/>
      <w:marTop w:val="0"/>
      <w:marBottom w:val="0"/>
      <w:divBdr>
        <w:top w:val="none" w:sz="0" w:space="0" w:color="auto"/>
        <w:left w:val="none" w:sz="0" w:space="0" w:color="auto"/>
        <w:bottom w:val="none" w:sz="0" w:space="0" w:color="auto"/>
        <w:right w:val="none" w:sz="0" w:space="0" w:color="auto"/>
      </w:divBdr>
    </w:div>
    <w:div w:id="1750036556">
      <w:marLeft w:val="0"/>
      <w:marRight w:val="0"/>
      <w:marTop w:val="0"/>
      <w:marBottom w:val="0"/>
      <w:divBdr>
        <w:top w:val="none" w:sz="0" w:space="0" w:color="auto"/>
        <w:left w:val="none" w:sz="0" w:space="0" w:color="auto"/>
        <w:bottom w:val="none" w:sz="0" w:space="0" w:color="auto"/>
        <w:right w:val="none" w:sz="0" w:space="0" w:color="auto"/>
      </w:divBdr>
    </w:div>
    <w:div w:id="1750036557">
      <w:marLeft w:val="0"/>
      <w:marRight w:val="0"/>
      <w:marTop w:val="0"/>
      <w:marBottom w:val="0"/>
      <w:divBdr>
        <w:top w:val="none" w:sz="0" w:space="0" w:color="auto"/>
        <w:left w:val="none" w:sz="0" w:space="0" w:color="auto"/>
        <w:bottom w:val="none" w:sz="0" w:space="0" w:color="auto"/>
        <w:right w:val="none" w:sz="0" w:space="0" w:color="auto"/>
      </w:divBdr>
    </w:div>
    <w:div w:id="1750036558">
      <w:marLeft w:val="0"/>
      <w:marRight w:val="0"/>
      <w:marTop w:val="0"/>
      <w:marBottom w:val="0"/>
      <w:divBdr>
        <w:top w:val="none" w:sz="0" w:space="0" w:color="auto"/>
        <w:left w:val="none" w:sz="0" w:space="0" w:color="auto"/>
        <w:bottom w:val="none" w:sz="0" w:space="0" w:color="auto"/>
        <w:right w:val="none" w:sz="0" w:space="0" w:color="auto"/>
      </w:divBdr>
    </w:div>
    <w:div w:id="1750036559">
      <w:marLeft w:val="0"/>
      <w:marRight w:val="0"/>
      <w:marTop w:val="0"/>
      <w:marBottom w:val="0"/>
      <w:divBdr>
        <w:top w:val="none" w:sz="0" w:space="0" w:color="auto"/>
        <w:left w:val="none" w:sz="0" w:space="0" w:color="auto"/>
        <w:bottom w:val="none" w:sz="0" w:space="0" w:color="auto"/>
        <w:right w:val="none" w:sz="0" w:space="0" w:color="auto"/>
      </w:divBdr>
    </w:div>
    <w:div w:id="1750036560">
      <w:marLeft w:val="0"/>
      <w:marRight w:val="0"/>
      <w:marTop w:val="0"/>
      <w:marBottom w:val="0"/>
      <w:divBdr>
        <w:top w:val="none" w:sz="0" w:space="0" w:color="auto"/>
        <w:left w:val="none" w:sz="0" w:space="0" w:color="auto"/>
        <w:bottom w:val="none" w:sz="0" w:space="0" w:color="auto"/>
        <w:right w:val="none" w:sz="0" w:space="0" w:color="auto"/>
      </w:divBdr>
    </w:div>
    <w:div w:id="1750036561">
      <w:marLeft w:val="0"/>
      <w:marRight w:val="0"/>
      <w:marTop w:val="0"/>
      <w:marBottom w:val="0"/>
      <w:divBdr>
        <w:top w:val="none" w:sz="0" w:space="0" w:color="auto"/>
        <w:left w:val="none" w:sz="0" w:space="0" w:color="auto"/>
        <w:bottom w:val="none" w:sz="0" w:space="0" w:color="auto"/>
        <w:right w:val="none" w:sz="0" w:space="0" w:color="auto"/>
      </w:divBdr>
    </w:div>
    <w:div w:id="1750036562">
      <w:marLeft w:val="0"/>
      <w:marRight w:val="0"/>
      <w:marTop w:val="0"/>
      <w:marBottom w:val="0"/>
      <w:divBdr>
        <w:top w:val="none" w:sz="0" w:space="0" w:color="auto"/>
        <w:left w:val="none" w:sz="0" w:space="0" w:color="auto"/>
        <w:bottom w:val="none" w:sz="0" w:space="0" w:color="auto"/>
        <w:right w:val="none" w:sz="0" w:space="0" w:color="auto"/>
      </w:divBdr>
    </w:div>
    <w:div w:id="1750036563">
      <w:marLeft w:val="0"/>
      <w:marRight w:val="0"/>
      <w:marTop w:val="0"/>
      <w:marBottom w:val="0"/>
      <w:divBdr>
        <w:top w:val="none" w:sz="0" w:space="0" w:color="auto"/>
        <w:left w:val="none" w:sz="0" w:space="0" w:color="auto"/>
        <w:bottom w:val="none" w:sz="0" w:space="0" w:color="auto"/>
        <w:right w:val="none" w:sz="0" w:space="0" w:color="auto"/>
      </w:divBdr>
    </w:div>
    <w:div w:id="1750036564">
      <w:marLeft w:val="0"/>
      <w:marRight w:val="0"/>
      <w:marTop w:val="0"/>
      <w:marBottom w:val="0"/>
      <w:divBdr>
        <w:top w:val="none" w:sz="0" w:space="0" w:color="auto"/>
        <w:left w:val="none" w:sz="0" w:space="0" w:color="auto"/>
        <w:bottom w:val="none" w:sz="0" w:space="0" w:color="auto"/>
        <w:right w:val="none" w:sz="0" w:space="0" w:color="auto"/>
      </w:divBdr>
    </w:div>
    <w:div w:id="1750036565">
      <w:marLeft w:val="0"/>
      <w:marRight w:val="0"/>
      <w:marTop w:val="0"/>
      <w:marBottom w:val="0"/>
      <w:divBdr>
        <w:top w:val="none" w:sz="0" w:space="0" w:color="auto"/>
        <w:left w:val="none" w:sz="0" w:space="0" w:color="auto"/>
        <w:bottom w:val="none" w:sz="0" w:space="0" w:color="auto"/>
        <w:right w:val="none" w:sz="0" w:space="0" w:color="auto"/>
      </w:divBdr>
    </w:div>
    <w:div w:id="1750036566">
      <w:marLeft w:val="0"/>
      <w:marRight w:val="0"/>
      <w:marTop w:val="0"/>
      <w:marBottom w:val="0"/>
      <w:divBdr>
        <w:top w:val="none" w:sz="0" w:space="0" w:color="auto"/>
        <w:left w:val="none" w:sz="0" w:space="0" w:color="auto"/>
        <w:bottom w:val="none" w:sz="0" w:space="0" w:color="auto"/>
        <w:right w:val="none" w:sz="0" w:space="0" w:color="auto"/>
      </w:divBdr>
    </w:div>
    <w:div w:id="1750036567">
      <w:marLeft w:val="0"/>
      <w:marRight w:val="0"/>
      <w:marTop w:val="0"/>
      <w:marBottom w:val="0"/>
      <w:divBdr>
        <w:top w:val="none" w:sz="0" w:space="0" w:color="auto"/>
        <w:left w:val="none" w:sz="0" w:space="0" w:color="auto"/>
        <w:bottom w:val="none" w:sz="0" w:space="0" w:color="auto"/>
        <w:right w:val="none" w:sz="0" w:space="0" w:color="auto"/>
      </w:divBdr>
    </w:div>
    <w:div w:id="1750036568">
      <w:marLeft w:val="0"/>
      <w:marRight w:val="0"/>
      <w:marTop w:val="0"/>
      <w:marBottom w:val="0"/>
      <w:divBdr>
        <w:top w:val="none" w:sz="0" w:space="0" w:color="auto"/>
        <w:left w:val="none" w:sz="0" w:space="0" w:color="auto"/>
        <w:bottom w:val="none" w:sz="0" w:space="0" w:color="auto"/>
        <w:right w:val="none" w:sz="0" w:space="0" w:color="auto"/>
      </w:divBdr>
    </w:div>
    <w:div w:id="1750036569">
      <w:marLeft w:val="0"/>
      <w:marRight w:val="0"/>
      <w:marTop w:val="0"/>
      <w:marBottom w:val="0"/>
      <w:divBdr>
        <w:top w:val="none" w:sz="0" w:space="0" w:color="auto"/>
        <w:left w:val="none" w:sz="0" w:space="0" w:color="auto"/>
        <w:bottom w:val="none" w:sz="0" w:space="0" w:color="auto"/>
        <w:right w:val="none" w:sz="0" w:space="0" w:color="auto"/>
      </w:divBdr>
    </w:div>
    <w:div w:id="1750036570">
      <w:marLeft w:val="0"/>
      <w:marRight w:val="0"/>
      <w:marTop w:val="0"/>
      <w:marBottom w:val="0"/>
      <w:divBdr>
        <w:top w:val="none" w:sz="0" w:space="0" w:color="auto"/>
        <w:left w:val="none" w:sz="0" w:space="0" w:color="auto"/>
        <w:bottom w:val="none" w:sz="0" w:space="0" w:color="auto"/>
        <w:right w:val="none" w:sz="0" w:space="0" w:color="auto"/>
      </w:divBdr>
    </w:div>
    <w:div w:id="1750036571">
      <w:marLeft w:val="0"/>
      <w:marRight w:val="0"/>
      <w:marTop w:val="0"/>
      <w:marBottom w:val="0"/>
      <w:divBdr>
        <w:top w:val="none" w:sz="0" w:space="0" w:color="auto"/>
        <w:left w:val="none" w:sz="0" w:space="0" w:color="auto"/>
        <w:bottom w:val="none" w:sz="0" w:space="0" w:color="auto"/>
        <w:right w:val="none" w:sz="0" w:space="0" w:color="auto"/>
      </w:divBdr>
    </w:div>
    <w:div w:id="1750036572">
      <w:marLeft w:val="0"/>
      <w:marRight w:val="0"/>
      <w:marTop w:val="0"/>
      <w:marBottom w:val="0"/>
      <w:divBdr>
        <w:top w:val="none" w:sz="0" w:space="0" w:color="auto"/>
        <w:left w:val="none" w:sz="0" w:space="0" w:color="auto"/>
        <w:bottom w:val="none" w:sz="0" w:space="0" w:color="auto"/>
        <w:right w:val="none" w:sz="0" w:space="0" w:color="auto"/>
      </w:divBdr>
    </w:div>
    <w:div w:id="1750036573">
      <w:marLeft w:val="0"/>
      <w:marRight w:val="0"/>
      <w:marTop w:val="0"/>
      <w:marBottom w:val="0"/>
      <w:divBdr>
        <w:top w:val="none" w:sz="0" w:space="0" w:color="auto"/>
        <w:left w:val="none" w:sz="0" w:space="0" w:color="auto"/>
        <w:bottom w:val="none" w:sz="0" w:space="0" w:color="auto"/>
        <w:right w:val="none" w:sz="0" w:space="0" w:color="auto"/>
      </w:divBdr>
    </w:div>
    <w:div w:id="1750036574">
      <w:marLeft w:val="0"/>
      <w:marRight w:val="0"/>
      <w:marTop w:val="0"/>
      <w:marBottom w:val="0"/>
      <w:divBdr>
        <w:top w:val="none" w:sz="0" w:space="0" w:color="auto"/>
        <w:left w:val="none" w:sz="0" w:space="0" w:color="auto"/>
        <w:bottom w:val="none" w:sz="0" w:space="0" w:color="auto"/>
        <w:right w:val="none" w:sz="0" w:space="0" w:color="auto"/>
      </w:divBdr>
    </w:div>
    <w:div w:id="1750036575">
      <w:marLeft w:val="0"/>
      <w:marRight w:val="0"/>
      <w:marTop w:val="0"/>
      <w:marBottom w:val="0"/>
      <w:divBdr>
        <w:top w:val="none" w:sz="0" w:space="0" w:color="auto"/>
        <w:left w:val="none" w:sz="0" w:space="0" w:color="auto"/>
        <w:bottom w:val="none" w:sz="0" w:space="0" w:color="auto"/>
        <w:right w:val="none" w:sz="0" w:space="0" w:color="auto"/>
      </w:divBdr>
    </w:div>
    <w:div w:id="1750036576">
      <w:marLeft w:val="0"/>
      <w:marRight w:val="0"/>
      <w:marTop w:val="0"/>
      <w:marBottom w:val="0"/>
      <w:divBdr>
        <w:top w:val="none" w:sz="0" w:space="0" w:color="auto"/>
        <w:left w:val="none" w:sz="0" w:space="0" w:color="auto"/>
        <w:bottom w:val="none" w:sz="0" w:space="0" w:color="auto"/>
        <w:right w:val="none" w:sz="0" w:space="0" w:color="auto"/>
      </w:divBdr>
    </w:div>
    <w:div w:id="1750036577">
      <w:marLeft w:val="0"/>
      <w:marRight w:val="0"/>
      <w:marTop w:val="0"/>
      <w:marBottom w:val="0"/>
      <w:divBdr>
        <w:top w:val="none" w:sz="0" w:space="0" w:color="auto"/>
        <w:left w:val="none" w:sz="0" w:space="0" w:color="auto"/>
        <w:bottom w:val="none" w:sz="0" w:space="0" w:color="auto"/>
        <w:right w:val="none" w:sz="0" w:space="0" w:color="auto"/>
      </w:divBdr>
    </w:div>
    <w:div w:id="1750036578">
      <w:marLeft w:val="0"/>
      <w:marRight w:val="0"/>
      <w:marTop w:val="0"/>
      <w:marBottom w:val="0"/>
      <w:divBdr>
        <w:top w:val="none" w:sz="0" w:space="0" w:color="auto"/>
        <w:left w:val="none" w:sz="0" w:space="0" w:color="auto"/>
        <w:bottom w:val="none" w:sz="0" w:space="0" w:color="auto"/>
        <w:right w:val="none" w:sz="0" w:space="0" w:color="auto"/>
      </w:divBdr>
    </w:div>
    <w:div w:id="1750036579">
      <w:marLeft w:val="0"/>
      <w:marRight w:val="0"/>
      <w:marTop w:val="0"/>
      <w:marBottom w:val="0"/>
      <w:divBdr>
        <w:top w:val="none" w:sz="0" w:space="0" w:color="auto"/>
        <w:left w:val="none" w:sz="0" w:space="0" w:color="auto"/>
        <w:bottom w:val="none" w:sz="0" w:space="0" w:color="auto"/>
        <w:right w:val="none" w:sz="0" w:space="0" w:color="auto"/>
      </w:divBdr>
    </w:div>
    <w:div w:id="1750036580">
      <w:marLeft w:val="0"/>
      <w:marRight w:val="0"/>
      <w:marTop w:val="0"/>
      <w:marBottom w:val="0"/>
      <w:divBdr>
        <w:top w:val="none" w:sz="0" w:space="0" w:color="auto"/>
        <w:left w:val="none" w:sz="0" w:space="0" w:color="auto"/>
        <w:bottom w:val="none" w:sz="0" w:space="0" w:color="auto"/>
        <w:right w:val="none" w:sz="0" w:space="0" w:color="auto"/>
      </w:divBdr>
    </w:div>
    <w:div w:id="1750036581">
      <w:marLeft w:val="0"/>
      <w:marRight w:val="0"/>
      <w:marTop w:val="0"/>
      <w:marBottom w:val="0"/>
      <w:divBdr>
        <w:top w:val="none" w:sz="0" w:space="0" w:color="auto"/>
        <w:left w:val="none" w:sz="0" w:space="0" w:color="auto"/>
        <w:bottom w:val="none" w:sz="0" w:space="0" w:color="auto"/>
        <w:right w:val="none" w:sz="0" w:space="0" w:color="auto"/>
      </w:divBdr>
    </w:div>
    <w:div w:id="1750036582">
      <w:marLeft w:val="0"/>
      <w:marRight w:val="0"/>
      <w:marTop w:val="0"/>
      <w:marBottom w:val="0"/>
      <w:divBdr>
        <w:top w:val="none" w:sz="0" w:space="0" w:color="auto"/>
        <w:left w:val="none" w:sz="0" w:space="0" w:color="auto"/>
        <w:bottom w:val="none" w:sz="0" w:space="0" w:color="auto"/>
        <w:right w:val="none" w:sz="0" w:space="0" w:color="auto"/>
      </w:divBdr>
    </w:div>
    <w:div w:id="1750036583">
      <w:marLeft w:val="0"/>
      <w:marRight w:val="0"/>
      <w:marTop w:val="0"/>
      <w:marBottom w:val="0"/>
      <w:divBdr>
        <w:top w:val="none" w:sz="0" w:space="0" w:color="auto"/>
        <w:left w:val="none" w:sz="0" w:space="0" w:color="auto"/>
        <w:bottom w:val="none" w:sz="0" w:space="0" w:color="auto"/>
        <w:right w:val="none" w:sz="0" w:space="0" w:color="auto"/>
      </w:divBdr>
    </w:div>
    <w:div w:id="1750036584">
      <w:marLeft w:val="0"/>
      <w:marRight w:val="0"/>
      <w:marTop w:val="0"/>
      <w:marBottom w:val="0"/>
      <w:divBdr>
        <w:top w:val="none" w:sz="0" w:space="0" w:color="auto"/>
        <w:left w:val="none" w:sz="0" w:space="0" w:color="auto"/>
        <w:bottom w:val="none" w:sz="0" w:space="0" w:color="auto"/>
        <w:right w:val="none" w:sz="0" w:space="0" w:color="auto"/>
      </w:divBdr>
    </w:div>
    <w:div w:id="1750036585">
      <w:marLeft w:val="0"/>
      <w:marRight w:val="0"/>
      <w:marTop w:val="0"/>
      <w:marBottom w:val="0"/>
      <w:divBdr>
        <w:top w:val="none" w:sz="0" w:space="0" w:color="auto"/>
        <w:left w:val="none" w:sz="0" w:space="0" w:color="auto"/>
        <w:bottom w:val="none" w:sz="0" w:space="0" w:color="auto"/>
        <w:right w:val="none" w:sz="0" w:space="0" w:color="auto"/>
      </w:divBdr>
    </w:div>
    <w:div w:id="1750036586">
      <w:marLeft w:val="0"/>
      <w:marRight w:val="0"/>
      <w:marTop w:val="0"/>
      <w:marBottom w:val="0"/>
      <w:divBdr>
        <w:top w:val="none" w:sz="0" w:space="0" w:color="auto"/>
        <w:left w:val="none" w:sz="0" w:space="0" w:color="auto"/>
        <w:bottom w:val="none" w:sz="0" w:space="0" w:color="auto"/>
        <w:right w:val="none" w:sz="0" w:space="0" w:color="auto"/>
      </w:divBdr>
    </w:div>
    <w:div w:id="1750036587">
      <w:marLeft w:val="0"/>
      <w:marRight w:val="0"/>
      <w:marTop w:val="0"/>
      <w:marBottom w:val="0"/>
      <w:divBdr>
        <w:top w:val="none" w:sz="0" w:space="0" w:color="auto"/>
        <w:left w:val="none" w:sz="0" w:space="0" w:color="auto"/>
        <w:bottom w:val="none" w:sz="0" w:space="0" w:color="auto"/>
        <w:right w:val="none" w:sz="0" w:space="0" w:color="auto"/>
      </w:divBdr>
    </w:div>
    <w:div w:id="1750036588">
      <w:marLeft w:val="0"/>
      <w:marRight w:val="0"/>
      <w:marTop w:val="0"/>
      <w:marBottom w:val="0"/>
      <w:divBdr>
        <w:top w:val="none" w:sz="0" w:space="0" w:color="auto"/>
        <w:left w:val="none" w:sz="0" w:space="0" w:color="auto"/>
        <w:bottom w:val="none" w:sz="0" w:space="0" w:color="auto"/>
        <w:right w:val="none" w:sz="0" w:space="0" w:color="auto"/>
      </w:divBdr>
    </w:div>
    <w:div w:id="1750036589">
      <w:marLeft w:val="0"/>
      <w:marRight w:val="0"/>
      <w:marTop w:val="0"/>
      <w:marBottom w:val="0"/>
      <w:divBdr>
        <w:top w:val="none" w:sz="0" w:space="0" w:color="auto"/>
        <w:left w:val="none" w:sz="0" w:space="0" w:color="auto"/>
        <w:bottom w:val="none" w:sz="0" w:space="0" w:color="auto"/>
        <w:right w:val="none" w:sz="0" w:space="0" w:color="auto"/>
      </w:divBdr>
    </w:div>
    <w:div w:id="1750036590">
      <w:marLeft w:val="0"/>
      <w:marRight w:val="0"/>
      <w:marTop w:val="0"/>
      <w:marBottom w:val="0"/>
      <w:divBdr>
        <w:top w:val="none" w:sz="0" w:space="0" w:color="auto"/>
        <w:left w:val="none" w:sz="0" w:space="0" w:color="auto"/>
        <w:bottom w:val="none" w:sz="0" w:space="0" w:color="auto"/>
        <w:right w:val="none" w:sz="0" w:space="0" w:color="auto"/>
      </w:divBdr>
    </w:div>
    <w:div w:id="1750036591">
      <w:marLeft w:val="0"/>
      <w:marRight w:val="0"/>
      <w:marTop w:val="0"/>
      <w:marBottom w:val="0"/>
      <w:divBdr>
        <w:top w:val="none" w:sz="0" w:space="0" w:color="auto"/>
        <w:left w:val="none" w:sz="0" w:space="0" w:color="auto"/>
        <w:bottom w:val="none" w:sz="0" w:space="0" w:color="auto"/>
        <w:right w:val="none" w:sz="0" w:space="0" w:color="auto"/>
      </w:divBdr>
    </w:div>
    <w:div w:id="1750036592">
      <w:marLeft w:val="0"/>
      <w:marRight w:val="0"/>
      <w:marTop w:val="0"/>
      <w:marBottom w:val="0"/>
      <w:divBdr>
        <w:top w:val="none" w:sz="0" w:space="0" w:color="auto"/>
        <w:left w:val="none" w:sz="0" w:space="0" w:color="auto"/>
        <w:bottom w:val="none" w:sz="0" w:space="0" w:color="auto"/>
        <w:right w:val="none" w:sz="0" w:space="0" w:color="auto"/>
      </w:divBdr>
    </w:div>
    <w:div w:id="1750036593">
      <w:marLeft w:val="0"/>
      <w:marRight w:val="0"/>
      <w:marTop w:val="0"/>
      <w:marBottom w:val="0"/>
      <w:divBdr>
        <w:top w:val="none" w:sz="0" w:space="0" w:color="auto"/>
        <w:left w:val="none" w:sz="0" w:space="0" w:color="auto"/>
        <w:bottom w:val="none" w:sz="0" w:space="0" w:color="auto"/>
        <w:right w:val="none" w:sz="0" w:space="0" w:color="auto"/>
      </w:divBdr>
    </w:div>
    <w:div w:id="1750036594">
      <w:marLeft w:val="0"/>
      <w:marRight w:val="0"/>
      <w:marTop w:val="0"/>
      <w:marBottom w:val="0"/>
      <w:divBdr>
        <w:top w:val="none" w:sz="0" w:space="0" w:color="auto"/>
        <w:left w:val="none" w:sz="0" w:space="0" w:color="auto"/>
        <w:bottom w:val="none" w:sz="0" w:space="0" w:color="auto"/>
        <w:right w:val="none" w:sz="0" w:space="0" w:color="auto"/>
      </w:divBdr>
    </w:div>
    <w:div w:id="1750036595">
      <w:marLeft w:val="0"/>
      <w:marRight w:val="0"/>
      <w:marTop w:val="0"/>
      <w:marBottom w:val="0"/>
      <w:divBdr>
        <w:top w:val="none" w:sz="0" w:space="0" w:color="auto"/>
        <w:left w:val="none" w:sz="0" w:space="0" w:color="auto"/>
        <w:bottom w:val="none" w:sz="0" w:space="0" w:color="auto"/>
        <w:right w:val="none" w:sz="0" w:space="0" w:color="auto"/>
      </w:divBdr>
    </w:div>
    <w:div w:id="1750036596">
      <w:marLeft w:val="0"/>
      <w:marRight w:val="0"/>
      <w:marTop w:val="0"/>
      <w:marBottom w:val="0"/>
      <w:divBdr>
        <w:top w:val="none" w:sz="0" w:space="0" w:color="auto"/>
        <w:left w:val="none" w:sz="0" w:space="0" w:color="auto"/>
        <w:bottom w:val="none" w:sz="0" w:space="0" w:color="auto"/>
        <w:right w:val="none" w:sz="0" w:space="0" w:color="auto"/>
      </w:divBdr>
    </w:div>
    <w:div w:id="1750036597">
      <w:marLeft w:val="0"/>
      <w:marRight w:val="0"/>
      <w:marTop w:val="0"/>
      <w:marBottom w:val="0"/>
      <w:divBdr>
        <w:top w:val="none" w:sz="0" w:space="0" w:color="auto"/>
        <w:left w:val="none" w:sz="0" w:space="0" w:color="auto"/>
        <w:bottom w:val="none" w:sz="0" w:space="0" w:color="auto"/>
        <w:right w:val="none" w:sz="0" w:space="0" w:color="auto"/>
      </w:divBdr>
    </w:div>
    <w:div w:id="1750036598">
      <w:marLeft w:val="0"/>
      <w:marRight w:val="0"/>
      <w:marTop w:val="0"/>
      <w:marBottom w:val="0"/>
      <w:divBdr>
        <w:top w:val="none" w:sz="0" w:space="0" w:color="auto"/>
        <w:left w:val="none" w:sz="0" w:space="0" w:color="auto"/>
        <w:bottom w:val="none" w:sz="0" w:space="0" w:color="auto"/>
        <w:right w:val="none" w:sz="0" w:space="0" w:color="auto"/>
      </w:divBdr>
    </w:div>
    <w:div w:id="1750036599">
      <w:marLeft w:val="0"/>
      <w:marRight w:val="0"/>
      <w:marTop w:val="0"/>
      <w:marBottom w:val="0"/>
      <w:divBdr>
        <w:top w:val="none" w:sz="0" w:space="0" w:color="auto"/>
        <w:left w:val="none" w:sz="0" w:space="0" w:color="auto"/>
        <w:bottom w:val="none" w:sz="0" w:space="0" w:color="auto"/>
        <w:right w:val="none" w:sz="0" w:space="0" w:color="auto"/>
      </w:divBdr>
    </w:div>
    <w:div w:id="1750036600">
      <w:marLeft w:val="0"/>
      <w:marRight w:val="0"/>
      <w:marTop w:val="0"/>
      <w:marBottom w:val="0"/>
      <w:divBdr>
        <w:top w:val="none" w:sz="0" w:space="0" w:color="auto"/>
        <w:left w:val="none" w:sz="0" w:space="0" w:color="auto"/>
        <w:bottom w:val="none" w:sz="0" w:space="0" w:color="auto"/>
        <w:right w:val="none" w:sz="0" w:space="0" w:color="auto"/>
      </w:divBdr>
    </w:div>
    <w:div w:id="1750036601">
      <w:marLeft w:val="0"/>
      <w:marRight w:val="0"/>
      <w:marTop w:val="0"/>
      <w:marBottom w:val="0"/>
      <w:divBdr>
        <w:top w:val="none" w:sz="0" w:space="0" w:color="auto"/>
        <w:left w:val="none" w:sz="0" w:space="0" w:color="auto"/>
        <w:bottom w:val="none" w:sz="0" w:space="0" w:color="auto"/>
        <w:right w:val="none" w:sz="0" w:space="0" w:color="auto"/>
      </w:divBdr>
    </w:div>
    <w:div w:id="1750036602">
      <w:marLeft w:val="0"/>
      <w:marRight w:val="0"/>
      <w:marTop w:val="0"/>
      <w:marBottom w:val="0"/>
      <w:divBdr>
        <w:top w:val="none" w:sz="0" w:space="0" w:color="auto"/>
        <w:left w:val="none" w:sz="0" w:space="0" w:color="auto"/>
        <w:bottom w:val="none" w:sz="0" w:space="0" w:color="auto"/>
        <w:right w:val="none" w:sz="0" w:space="0" w:color="auto"/>
      </w:divBdr>
    </w:div>
    <w:div w:id="1750036603">
      <w:marLeft w:val="0"/>
      <w:marRight w:val="0"/>
      <w:marTop w:val="0"/>
      <w:marBottom w:val="0"/>
      <w:divBdr>
        <w:top w:val="none" w:sz="0" w:space="0" w:color="auto"/>
        <w:left w:val="none" w:sz="0" w:space="0" w:color="auto"/>
        <w:bottom w:val="none" w:sz="0" w:space="0" w:color="auto"/>
        <w:right w:val="none" w:sz="0" w:space="0" w:color="auto"/>
      </w:divBdr>
    </w:div>
    <w:div w:id="1750036604">
      <w:marLeft w:val="0"/>
      <w:marRight w:val="0"/>
      <w:marTop w:val="0"/>
      <w:marBottom w:val="0"/>
      <w:divBdr>
        <w:top w:val="none" w:sz="0" w:space="0" w:color="auto"/>
        <w:left w:val="none" w:sz="0" w:space="0" w:color="auto"/>
        <w:bottom w:val="none" w:sz="0" w:space="0" w:color="auto"/>
        <w:right w:val="none" w:sz="0" w:space="0" w:color="auto"/>
      </w:divBdr>
    </w:div>
    <w:div w:id="1750036605">
      <w:marLeft w:val="0"/>
      <w:marRight w:val="0"/>
      <w:marTop w:val="0"/>
      <w:marBottom w:val="0"/>
      <w:divBdr>
        <w:top w:val="none" w:sz="0" w:space="0" w:color="auto"/>
        <w:left w:val="none" w:sz="0" w:space="0" w:color="auto"/>
        <w:bottom w:val="none" w:sz="0" w:space="0" w:color="auto"/>
        <w:right w:val="none" w:sz="0" w:space="0" w:color="auto"/>
      </w:divBdr>
    </w:div>
    <w:div w:id="1750036606">
      <w:marLeft w:val="0"/>
      <w:marRight w:val="0"/>
      <w:marTop w:val="0"/>
      <w:marBottom w:val="0"/>
      <w:divBdr>
        <w:top w:val="none" w:sz="0" w:space="0" w:color="auto"/>
        <w:left w:val="none" w:sz="0" w:space="0" w:color="auto"/>
        <w:bottom w:val="none" w:sz="0" w:space="0" w:color="auto"/>
        <w:right w:val="none" w:sz="0" w:space="0" w:color="auto"/>
      </w:divBdr>
    </w:div>
    <w:div w:id="1750036607">
      <w:marLeft w:val="0"/>
      <w:marRight w:val="0"/>
      <w:marTop w:val="0"/>
      <w:marBottom w:val="0"/>
      <w:divBdr>
        <w:top w:val="none" w:sz="0" w:space="0" w:color="auto"/>
        <w:left w:val="none" w:sz="0" w:space="0" w:color="auto"/>
        <w:bottom w:val="none" w:sz="0" w:space="0" w:color="auto"/>
        <w:right w:val="none" w:sz="0" w:space="0" w:color="auto"/>
      </w:divBdr>
    </w:div>
    <w:div w:id="1750036608">
      <w:marLeft w:val="0"/>
      <w:marRight w:val="0"/>
      <w:marTop w:val="0"/>
      <w:marBottom w:val="0"/>
      <w:divBdr>
        <w:top w:val="none" w:sz="0" w:space="0" w:color="auto"/>
        <w:left w:val="none" w:sz="0" w:space="0" w:color="auto"/>
        <w:bottom w:val="none" w:sz="0" w:space="0" w:color="auto"/>
        <w:right w:val="none" w:sz="0" w:space="0" w:color="auto"/>
      </w:divBdr>
    </w:div>
    <w:div w:id="1750036609">
      <w:marLeft w:val="0"/>
      <w:marRight w:val="0"/>
      <w:marTop w:val="0"/>
      <w:marBottom w:val="0"/>
      <w:divBdr>
        <w:top w:val="none" w:sz="0" w:space="0" w:color="auto"/>
        <w:left w:val="none" w:sz="0" w:space="0" w:color="auto"/>
        <w:bottom w:val="none" w:sz="0" w:space="0" w:color="auto"/>
        <w:right w:val="none" w:sz="0" w:space="0" w:color="auto"/>
      </w:divBdr>
    </w:div>
    <w:div w:id="1750036610">
      <w:marLeft w:val="0"/>
      <w:marRight w:val="0"/>
      <w:marTop w:val="0"/>
      <w:marBottom w:val="0"/>
      <w:divBdr>
        <w:top w:val="none" w:sz="0" w:space="0" w:color="auto"/>
        <w:left w:val="none" w:sz="0" w:space="0" w:color="auto"/>
        <w:bottom w:val="none" w:sz="0" w:space="0" w:color="auto"/>
        <w:right w:val="none" w:sz="0" w:space="0" w:color="auto"/>
      </w:divBdr>
    </w:div>
    <w:div w:id="1750036611">
      <w:marLeft w:val="0"/>
      <w:marRight w:val="0"/>
      <w:marTop w:val="0"/>
      <w:marBottom w:val="0"/>
      <w:divBdr>
        <w:top w:val="none" w:sz="0" w:space="0" w:color="auto"/>
        <w:left w:val="none" w:sz="0" w:space="0" w:color="auto"/>
        <w:bottom w:val="none" w:sz="0" w:space="0" w:color="auto"/>
        <w:right w:val="none" w:sz="0" w:space="0" w:color="auto"/>
      </w:divBdr>
    </w:div>
    <w:div w:id="1750036621">
      <w:marLeft w:val="0"/>
      <w:marRight w:val="0"/>
      <w:marTop w:val="0"/>
      <w:marBottom w:val="0"/>
      <w:divBdr>
        <w:top w:val="none" w:sz="0" w:space="0" w:color="auto"/>
        <w:left w:val="none" w:sz="0" w:space="0" w:color="auto"/>
        <w:bottom w:val="none" w:sz="0" w:space="0" w:color="auto"/>
        <w:right w:val="none" w:sz="0" w:space="0" w:color="auto"/>
      </w:divBdr>
      <w:divsChild>
        <w:div w:id="1750036612">
          <w:marLeft w:val="0"/>
          <w:marRight w:val="0"/>
          <w:marTop w:val="0"/>
          <w:marBottom w:val="0"/>
          <w:divBdr>
            <w:top w:val="none" w:sz="0" w:space="0" w:color="auto"/>
            <w:left w:val="none" w:sz="0" w:space="0" w:color="auto"/>
            <w:bottom w:val="none" w:sz="0" w:space="0" w:color="auto"/>
            <w:right w:val="none" w:sz="0" w:space="0" w:color="auto"/>
          </w:divBdr>
        </w:div>
        <w:div w:id="1750036613">
          <w:marLeft w:val="0"/>
          <w:marRight w:val="0"/>
          <w:marTop w:val="0"/>
          <w:marBottom w:val="0"/>
          <w:divBdr>
            <w:top w:val="none" w:sz="0" w:space="0" w:color="auto"/>
            <w:left w:val="none" w:sz="0" w:space="0" w:color="auto"/>
            <w:bottom w:val="none" w:sz="0" w:space="0" w:color="auto"/>
            <w:right w:val="none" w:sz="0" w:space="0" w:color="auto"/>
          </w:divBdr>
        </w:div>
        <w:div w:id="1750036614">
          <w:marLeft w:val="0"/>
          <w:marRight w:val="0"/>
          <w:marTop w:val="0"/>
          <w:marBottom w:val="0"/>
          <w:divBdr>
            <w:top w:val="none" w:sz="0" w:space="0" w:color="auto"/>
            <w:left w:val="none" w:sz="0" w:space="0" w:color="auto"/>
            <w:bottom w:val="none" w:sz="0" w:space="0" w:color="auto"/>
            <w:right w:val="none" w:sz="0" w:space="0" w:color="auto"/>
          </w:divBdr>
        </w:div>
        <w:div w:id="1750036615">
          <w:marLeft w:val="0"/>
          <w:marRight w:val="0"/>
          <w:marTop w:val="0"/>
          <w:marBottom w:val="0"/>
          <w:divBdr>
            <w:top w:val="none" w:sz="0" w:space="0" w:color="auto"/>
            <w:left w:val="none" w:sz="0" w:space="0" w:color="auto"/>
            <w:bottom w:val="none" w:sz="0" w:space="0" w:color="auto"/>
            <w:right w:val="none" w:sz="0" w:space="0" w:color="auto"/>
          </w:divBdr>
        </w:div>
        <w:div w:id="1750036616">
          <w:marLeft w:val="0"/>
          <w:marRight w:val="0"/>
          <w:marTop w:val="0"/>
          <w:marBottom w:val="0"/>
          <w:divBdr>
            <w:top w:val="none" w:sz="0" w:space="0" w:color="auto"/>
            <w:left w:val="none" w:sz="0" w:space="0" w:color="auto"/>
            <w:bottom w:val="none" w:sz="0" w:space="0" w:color="auto"/>
            <w:right w:val="none" w:sz="0" w:space="0" w:color="auto"/>
          </w:divBdr>
        </w:div>
        <w:div w:id="1750036617">
          <w:marLeft w:val="0"/>
          <w:marRight w:val="0"/>
          <w:marTop w:val="0"/>
          <w:marBottom w:val="0"/>
          <w:divBdr>
            <w:top w:val="none" w:sz="0" w:space="0" w:color="auto"/>
            <w:left w:val="none" w:sz="0" w:space="0" w:color="auto"/>
            <w:bottom w:val="none" w:sz="0" w:space="0" w:color="auto"/>
            <w:right w:val="none" w:sz="0" w:space="0" w:color="auto"/>
          </w:divBdr>
        </w:div>
        <w:div w:id="1750036618">
          <w:marLeft w:val="0"/>
          <w:marRight w:val="0"/>
          <w:marTop w:val="0"/>
          <w:marBottom w:val="0"/>
          <w:divBdr>
            <w:top w:val="none" w:sz="0" w:space="0" w:color="auto"/>
            <w:left w:val="none" w:sz="0" w:space="0" w:color="auto"/>
            <w:bottom w:val="none" w:sz="0" w:space="0" w:color="auto"/>
            <w:right w:val="none" w:sz="0" w:space="0" w:color="auto"/>
          </w:divBdr>
        </w:div>
        <w:div w:id="1750036619">
          <w:marLeft w:val="0"/>
          <w:marRight w:val="0"/>
          <w:marTop w:val="0"/>
          <w:marBottom w:val="0"/>
          <w:divBdr>
            <w:top w:val="none" w:sz="0" w:space="0" w:color="auto"/>
            <w:left w:val="none" w:sz="0" w:space="0" w:color="auto"/>
            <w:bottom w:val="none" w:sz="0" w:space="0" w:color="auto"/>
            <w:right w:val="none" w:sz="0" w:space="0" w:color="auto"/>
          </w:divBdr>
        </w:div>
        <w:div w:id="1750036620">
          <w:marLeft w:val="0"/>
          <w:marRight w:val="0"/>
          <w:marTop w:val="0"/>
          <w:marBottom w:val="0"/>
          <w:divBdr>
            <w:top w:val="none" w:sz="0" w:space="0" w:color="auto"/>
            <w:left w:val="none" w:sz="0" w:space="0" w:color="auto"/>
            <w:bottom w:val="none" w:sz="0" w:space="0" w:color="auto"/>
            <w:right w:val="none" w:sz="0" w:space="0" w:color="auto"/>
          </w:divBdr>
        </w:div>
        <w:div w:id="1750036622">
          <w:marLeft w:val="0"/>
          <w:marRight w:val="0"/>
          <w:marTop w:val="0"/>
          <w:marBottom w:val="0"/>
          <w:divBdr>
            <w:top w:val="none" w:sz="0" w:space="0" w:color="auto"/>
            <w:left w:val="none" w:sz="0" w:space="0" w:color="auto"/>
            <w:bottom w:val="none" w:sz="0" w:space="0" w:color="auto"/>
            <w:right w:val="none" w:sz="0" w:space="0" w:color="auto"/>
          </w:divBdr>
        </w:div>
      </w:divsChild>
    </w:div>
    <w:div w:id="1750036625">
      <w:marLeft w:val="0"/>
      <w:marRight w:val="0"/>
      <w:marTop w:val="0"/>
      <w:marBottom w:val="0"/>
      <w:divBdr>
        <w:top w:val="none" w:sz="0" w:space="0" w:color="auto"/>
        <w:left w:val="none" w:sz="0" w:space="0" w:color="auto"/>
        <w:bottom w:val="none" w:sz="0" w:space="0" w:color="auto"/>
        <w:right w:val="none" w:sz="0" w:space="0" w:color="auto"/>
      </w:divBdr>
      <w:divsChild>
        <w:div w:id="1750036626">
          <w:marLeft w:val="0"/>
          <w:marRight w:val="0"/>
          <w:marTop w:val="0"/>
          <w:marBottom w:val="0"/>
          <w:divBdr>
            <w:top w:val="none" w:sz="0" w:space="0" w:color="auto"/>
            <w:left w:val="none" w:sz="0" w:space="0" w:color="auto"/>
            <w:bottom w:val="none" w:sz="0" w:space="0" w:color="auto"/>
            <w:right w:val="none" w:sz="0" w:space="0" w:color="auto"/>
          </w:divBdr>
          <w:divsChild>
            <w:div w:id="1750036623">
              <w:marLeft w:val="3045"/>
              <w:marRight w:val="3045"/>
              <w:marTop w:val="0"/>
              <w:marBottom w:val="0"/>
              <w:divBdr>
                <w:top w:val="none" w:sz="0" w:space="0" w:color="auto"/>
                <w:left w:val="none" w:sz="0" w:space="0" w:color="auto"/>
                <w:bottom w:val="none" w:sz="0" w:space="0" w:color="auto"/>
                <w:right w:val="none" w:sz="0" w:space="0" w:color="auto"/>
              </w:divBdr>
              <w:divsChild>
                <w:div w:id="17500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6634">
      <w:marLeft w:val="0"/>
      <w:marRight w:val="0"/>
      <w:marTop w:val="0"/>
      <w:marBottom w:val="0"/>
      <w:divBdr>
        <w:top w:val="none" w:sz="0" w:space="0" w:color="auto"/>
        <w:left w:val="none" w:sz="0" w:space="0" w:color="auto"/>
        <w:bottom w:val="none" w:sz="0" w:space="0" w:color="auto"/>
        <w:right w:val="none" w:sz="0" w:space="0" w:color="auto"/>
      </w:divBdr>
      <w:divsChild>
        <w:div w:id="1750036632">
          <w:marLeft w:val="0"/>
          <w:marRight w:val="0"/>
          <w:marTop w:val="0"/>
          <w:marBottom w:val="0"/>
          <w:divBdr>
            <w:top w:val="none" w:sz="0" w:space="0" w:color="auto"/>
            <w:left w:val="none" w:sz="0" w:space="0" w:color="auto"/>
            <w:bottom w:val="none" w:sz="0" w:space="0" w:color="auto"/>
            <w:right w:val="none" w:sz="0" w:space="0" w:color="auto"/>
          </w:divBdr>
          <w:divsChild>
            <w:div w:id="1750036627">
              <w:marLeft w:val="0"/>
              <w:marRight w:val="0"/>
              <w:marTop w:val="0"/>
              <w:marBottom w:val="0"/>
              <w:divBdr>
                <w:top w:val="none" w:sz="0" w:space="0" w:color="auto"/>
                <w:left w:val="none" w:sz="0" w:space="0" w:color="auto"/>
                <w:bottom w:val="none" w:sz="0" w:space="0" w:color="auto"/>
                <w:right w:val="none" w:sz="0" w:space="0" w:color="auto"/>
              </w:divBdr>
            </w:div>
            <w:div w:id="1750036628">
              <w:marLeft w:val="0"/>
              <w:marRight w:val="0"/>
              <w:marTop w:val="0"/>
              <w:marBottom w:val="0"/>
              <w:divBdr>
                <w:top w:val="none" w:sz="0" w:space="0" w:color="auto"/>
                <w:left w:val="none" w:sz="0" w:space="0" w:color="auto"/>
                <w:bottom w:val="none" w:sz="0" w:space="0" w:color="auto"/>
                <w:right w:val="none" w:sz="0" w:space="0" w:color="auto"/>
              </w:divBdr>
            </w:div>
            <w:div w:id="1750036629">
              <w:marLeft w:val="0"/>
              <w:marRight w:val="0"/>
              <w:marTop w:val="0"/>
              <w:marBottom w:val="0"/>
              <w:divBdr>
                <w:top w:val="none" w:sz="0" w:space="0" w:color="auto"/>
                <w:left w:val="none" w:sz="0" w:space="0" w:color="auto"/>
                <w:bottom w:val="none" w:sz="0" w:space="0" w:color="auto"/>
                <w:right w:val="none" w:sz="0" w:space="0" w:color="auto"/>
              </w:divBdr>
            </w:div>
            <w:div w:id="1750036630">
              <w:marLeft w:val="0"/>
              <w:marRight w:val="0"/>
              <w:marTop w:val="0"/>
              <w:marBottom w:val="0"/>
              <w:divBdr>
                <w:top w:val="none" w:sz="0" w:space="0" w:color="auto"/>
                <w:left w:val="none" w:sz="0" w:space="0" w:color="auto"/>
                <w:bottom w:val="none" w:sz="0" w:space="0" w:color="auto"/>
                <w:right w:val="none" w:sz="0" w:space="0" w:color="auto"/>
              </w:divBdr>
            </w:div>
            <w:div w:id="1750036631">
              <w:marLeft w:val="0"/>
              <w:marRight w:val="0"/>
              <w:marTop w:val="0"/>
              <w:marBottom w:val="0"/>
              <w:divBdr>
                <w:top w:val="none" w:sz="0" w:space="0" w:color="auto"/>
                <w:left w:val="none" w:sz="0" w:space="0" w:color="auto"/>
                <w:bottom w:val="none" w:sz="0" w:space="0" w:color="auto"/>
                <w:right w:val="none" w:sz="0" w:space="0" w:color="auto"/>
              </w:divBdr>
            </w:div>
            <w:div w:id="1750036633">
              <w:marLeft w:val="0"/>
              <w:marRight w:val="0"/>
              <w:marTop w:val="0"/>
              <w:marBottom w:val="0"/>
              <w:divBdr>
                <w:top w:val="none" w:sz="0" w:space="0" w:color="auto"/>
                <w:left w:val="none" w:sz="0" w:space="0" w:color="auto"/>
                <w:bottom w:val="none" w:sz="0" w:space="0" w:color="auto"/>
                <w:right w:val="none" w:sz="0" w:space="0" w:color="auto"/>
              </w:divBdr>
            </w:div>
            <w:div w:id="17500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636">
      <w:marLeft w:val="0"/>
      <w:marRight w:val="0"/>
      <w:marTop w:val="0"/>
      <w:marBottom w:val="0"/>
      <w:divBdr>
        <w:top w:val="none" w:sz="0" w:space="0" w:color="auto"/>
        <w:left w:val="none" w:sz="0" w:space="0" w:color="auto"/>
        <w:bottom w:val="none" w:sz="0" w:space="0" w:color="auto"/>
        <w:right w:val="none" w:sz="0" w:space="0" w:color="auto"/>
      </w:divBdr>
    </w:div>
    <w:div w:id="1750036637">
      <w:marLeft w:val="0"/>
      <w:marRight w:val="0"/>
      <w:marTop w:val="0"/>
      <w:marBottom w:val="0"/>
      <w:divBdr>
        <w:top w:val="none" w:sz="0" w:space="0" w:color="auto"/>
        <w:left w:val="none" w:sz="0" w:space="0" w:color="auto"/>
        <w:bottom w:val="none" w:sz="0" w:space="0" w:color="auto"/>
        <w:right w:val="none" w:sz="0" w:space="0" w:color="auto"/>
      </w:divBdr>
    </w:div>
    <w:div w:id="1750036638">
      <w:marLeft w:val="0"/>
      <w:marRight w:val="0"/>
      <w:marTop w:val="0"/>
      <w:marBottom w:val="0"/>
      <w:divBdr>
        <w:top w:val="none" w:sz="0" w:space="0" w:color="auto"/>
        <w:left w:val="none" w:sz="0" w:space="0" w:color="auto"/>
        <w:bottom w:val="none" w:sz="0" w:space="0" w:color="auto"/>
        <w:right w:val="none" w:sz="0" w:space="0" w:color="auto"/>
      </w:divBdr>
    </w:div>
    <w:div w:id="1750036639">
      <w:marLeft w:val="0"/>
      <w:marRight w:val="0"/>
      <w:marTop w:val="0"/>
      <w:marBottom w:val="0"/>
      <w:divBdr>
        <w:top w:val="none" w:sz="0" w:space="0" w:color="auto"/>
        <w:left w:val="none" w:sz="0" w:space="0" w:color="auto"/>
        <w:bottom w:val="none" w:sz="0" w:space="0" w:color="auto"/>
        <w:right w:val="none" w:sz="0" w:space="0" w:color="auto"/>
      </w:divBdr>
    </w:div>
    <w:div w:id="1750036640">
      <w:marLeft w:val="0"/>
      <w:marRight w:val="0"/>
      <w:marTop w:val="0"/>
      <w:marBottom w:val="0"/>
      <w:divBdr>
        <w:top w:val="none" w:sz="0" w:space="0" w:color="auto"/>
        <w:left w:val="none" w:sz="0" w:space="0" w:color="auto"/>
        <w:bottom w:val="none" w:sz="0" w:space="0" w:color="auto"/>
        <w:right w:val="none" w:sz="0" w:space="0" w:color="auto"/>
      </w:divBdr>
    </w:div>
    <w:div w:id="1750036641">
      <w:marLeft w:val="0"/>
      <w:marRight w:val="0"/>
      <w:marTop w:val="0"/>
      <w:marBottom w:val="0"/>
      <w:divBdr>
        <w:top w:val="none" w:sz="0" w:space="0" w:color="auto"/>
        <w:left w:val="none" w:sz="0" w:space="0" w:color="auto"/>
        <w:bottom w:val="none" w:sz="0" w:space="0" w:color="auto"/>
        <w:right w:val="none" w:sz="0" w:space="0" w:color="auto"/>
      </w:divBdr>
      <w:divsChild>
        <w:div w:id="1750036642">
          <w:marLeft w:val="0"/>
          <w:marRight w:val="0"/>
          <w:marTop w:val="0"/>
          <w:marBottom w:val="0"/>
          <w:divBdr>
            <w:top w:val="none" w:sz="0" w:space="0" w:color="auto"/>
            <w:left w:val="none" w:sz="0" w:space="0" w:color="auto"/>
            <w:bottom w:val="none" w:sz="0" w:space="0" w:color="auto"/>
            <w:right w:val="none" w:sz="0" w:space="0" w:color="auto"/>
          </w:divBdr>
          <w:divsChild>
            <w:div w:id="17500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645">
      <w:marLeft w:val="0"/>
      <w:marRight w:val="0"/>
      <w:marTop w:val="0"/>
      <w:marBottom w:val="0"/>
      <w:divBdr>
        <w:top w:val="none" w:sz="0" w:space="0" w:color="auto"/>
        <w:left w:val="none" w:sz="0" w:space="0" w:color="auto"/>
        <w:bottom w:val="none" w:sz="0" w:space="0" w:color="auto"/>
        <w:right w:val="none" w:sz="0" w:space="0" w:color="auto"/>
      </w:divBdr>
      <w:divsChild>
        <w:div w:id="1750036651">
          <w:marLeft w:val="0"/>
          <w:marRight w:val="0"/>
          <w:marTop w:val="0"/>
          <w:marBottom w:val="0"/>
          <w:divBdr>
            <w:top w:val="none" w:sz="0" w:space="0" w:color="auto"/>
            <w:left w:val="none" w:sz="0" w:space="0" w:color="auto"/>
            <w:bottom w:val="none" w:sz="0" w:space="0" w:color="auto"/>
            <w:right w:val="none" w:sz="0" w:space="0" w:color="auto"/>
          </w:divBdr>
        </w:div>
      </w:divsChild>
    </w:div>
    <w:div w:id="1750036648">
      <w:marLeft w:val="0"/>
      <w:marRight w:val="0"/>
      <w:marTop w:val="0"/>
      <w:marBottom w:val="0"/>
      <w:divBdr>
        <w:top w:val="none" w:sz="0" w:space="0" w:color="auto"/>
        <w:left w:val="none" w:sz="0" w:space="0" w:color="auto"/>
        <w:bottom w:val="none" w:sz="0" w:space="0" w:color="auto"/>
        <w:right w:val="none" w:sz="0" w:space="0" w:color="auto"/>
      </w:divBdr>
      <w:divsChild>
        <w:div w:id="1750036650">
          <w:marLeft w:val="0"/>
          <w:marRight w:val="0"/>
          <w:marTop w:val="0"/>
          <w:marBottom w:val="0"/>
          <w:divBdr>
            <w:top w:val="none" w:sz="0" w:space="0" w:color="auto"/>
            <w:left w:val="none" w:sz="0" w:space="0" w:color="auto"/>
            <w:bottom w:val="none" w:sz="0" w:space="0" w:color="auto"/>
            <w:right w:val="none" w:sz="0" w:space="0" w:color="auto"/>
          </w:divBdr>
          <w:divsChild>
            <w:div w:id="1750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649">
      <w:marLeft w:val="0"/>
      <w:marRight w:val="0"/>
      <w:marTop w:val="0"/>
      <w:marBottom w:val="0"/>
      <w:divBdr>
        <w:top w:val="none" w:sz="0" w:space="0" w:color="auto"/>
        <w:left w:val="none" w:sz="0" w:space="0" w:color="auto"/>
        <w:bottom w:val="none" w:sz="0" w:space="0" w:color="auto"/>
        <w:right w:val="none" w:sz="0" w:space="0" w:color="auto"/>
      </w:divBdr>
      <w:divsChild>
        <w:div w:id="1750036644">
          <w:marLeft w:val="0"/>
          <w:marRight w:val="0"/>
          <w:marTop w:val="0"/>
          <w:marBottom w:val="0"/>
          <w:divBdr>
            <w:top w:val="none" w:sz="0" w:space="0" w:color="auto"/>
            <w:left w:val="none" w:sz="0" w:space="0" w:color="auto"/>
            <w:bottom w:val="none" w:sz="0" w:space="0" w:color="auto"/>
            <w:right w:val="none" w:sz="0" w:space="0" w:color="auto"/>
          </w:divBdr>
          <w:divsChild>
            <w:div w:id="17500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653">
      <w:marLeft w:val="0"/>
      <w:marRight w:val="0"/>
      <w:marTop w:val="0"/>
      <w:marBottom w:val="0"/>
      <w:divBdr>
        <w:top w:val="none" w:sz="0" w:space="0" w:color="auto"/>
        <w:left w:val="none" w:sz="0" w:space="0" w:color="auto"/>
        <w:bottom w:val="none" w:sz="0" w:space="0" w:color="auto"/>
        <w:right w:val="none" w:sz="0" w:space="0" w:color="auto"/>
      </w:divBdr>
      <w:divsChild>
        <w:div w:id="1750036652">
          <w:marLeft w:val="0"/>
          <w:marRight w:val="0"/>
          <w:marTop w:val="0"/>
          <w:marBottom w:val="0"/>
          <w:divBdr>
            <w:top w:val="none" w:sz="0" w:space="0" w:color="auto"/>
            <w:left w:val="none" w:sz="0" w:space="0" w:color="auto"/>
            <w:bottom w:val="none" w:sz="0" w:space="0" w:color="auto"/>
            <w:right w:val="none" w:sz="0" w:space="0" w:color="auto"/>
          </w:divBdr>
          <w:divsChild>
            <w:div w:id="1750036659">
              <w:marLeft w:val="0"/>
              <w:marRight w:val="0"/>
              <w:marTop w:val="0"/>
              <w:marBottom w:val="0"/>
              <w:divBdr>
                <w:top w:val="none" w:sz="0" w:space="0" w:color="auto"/>
                <w:left w:val="none" w:sz="0" w:space="0" w:color="auto"/>
                <w:bottom w:val="none" w:sz="0" w:space="0" w:color="auto"/>
                <w:right w:val="none" w:sz="0" w:space="0" w:color="auto"/>
              </w:divBdr>
              <w:divsChild>
                <w:div w:id="17500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6655">
      <w:marLeft w:val="0"/>
      <w:marRight w:val="0"/>
      <w:marTop w:val="0"/>
      <w:marBottom w:val="0"/>
      <w:divBdr>
        <w:top w:val="none" w:sz="0" w:space="0" w:color="auto"/>
        <w:left w:val="none" w:sz="0" w:space="0" w:color="auto"/>
        <w:bottom w:val="none" w:sz="0" w:space="0" w:color="auto"/>
        <w:right w:val="none" w:sz="0" w:space="0" w:color="auto"/>
      </w:divBdr>
    </w:div>
    <w:div w:id="1750036656">
      <w:marLeft w:val="0"/>
      <w:marRight w:val="0"/>
      <w:marTop w:val="0"/>
      <w:marBottom w:val="0"/>
      <w:divBdr>
        <w:top w:val="none" w:sz="0" w:space="0" w:color="auto"/>
        <w:left w:val="none" w:sz="0" w:space="0" w:color="auto"/>
        <w:bottom w:val="none" w:sz="0" w:space="0" w:color="auto"/>
        <w:right w:val="none" w:sz="0" w:space="0" w:color="auto"/>
      </w:divBdr>
      <w:divsChild>
        <w:div w:id="1750036657">
          <w:marLeft w:val="0"/>
          <w:marRight w:val="0"/>
          <w:marTop w:val="0"/>
          <w:marBottom w:val="0"/>
          <w:divBdr>
            <w:top w:val="none" w:sz="0" w:space="0" w:color="auto"/>
            <w:left w:val="none" w:sz="0" w:space="0" w:color="auto"/>
            <w:bottom w:val="none" w:sz="0" w:space="0" w:color="auto"/>
            <w:right w:val="none" w:sz="0" w:space="0" w:color="auto"/>
          </w:divBdr>
          <w:divsChild>
            <w:div w:id="1750036658">
              <w:marLeft w:val="0"/>
              <w:marRight w:val="0"/>
              <w:marTop w:val="0"/>
              <w:marBottom w:val="0"/>
              <w:divBdr>
                <w:top w:val="none" w:sz="0" w:space="0" w:color="auto"/>
                <w:left w:val="none" w:sz="0" w:space="0" w:color="auto"/>
                <w:bottom w:val="none" w:sz="0" w:space="0" w:color="auto"/>
                <w:right w:val="none" w:sz="0" w:space="0" w:color="auto"/>
              </w:divBdr>
              <w:divsChild>
                <w:div w:id="1750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6661">
      <w:marLeft w:val="0"/>
      <w:marRight w:val="0"/>
      <w:marTop w:val="0"/>
      <w:marBottom w:val="0"/>
      <w:divBdr>
        <w:top w:val="none" w:sz="0" w:space="0" w:color="auto"/>
        <w:left w:val="none" w:sz="0" w:space="0" w:color="auto"/>
        <w:bottom w:val="none" w:sz="0" w:space="0" w:color="auto"/>
        <w:right w:val="none" w:sz="0" w:space="0" w:color="auto"/>
      </w:divBdr>
    </w:div>
    <w:div w:id="1750036665">
      <w:marLeft w:val="0"/>
      <w:marRight w:val="0"/>
      <w:marTop w:val="0"/>
      <w:marBottom w:val="0"/>
      <w:divBdr>
        <w:top w:val="none" w:sz="0" w:space="0" w:color="auto"/>
        <w:left w:val="none" w:sz="0" w:space="0" w:color="auto"/>
        <w:bottom w:val="none" w:sz="0" w:space="0" w:color="auto"/>
        <w:right w:val="none" w:sz="0" w:space="0" w:color="auto"/>
      </w:divBdr>
      <w:divsChild>
        <w:div w:id="1750036664">
          <w:marLeft w:val="547"/>
          <w:marRight w:val="0"/>
          <w:marTop w:val="144"/>
          <w:marBottom w:val="0"/>
          <w:divBdr>
            <w:top w:val="none" w:sz="0" w:space="0" w:color="auto"/>
            <w:left w:val="none" w:sz="0" w:space="0" w:color="auto"/>
            <w:bottom w:val="none" w:sz="0" w:space="0" w:color="auto"/>
            <w:right w:val="none" w:sz="0" w:space="0" w:color="auto"/>
          </w:divBdr>
        </w:div>
        <w:div w:id="1750036666">
          <w:marLeft w:val="547"/>
          <w:marRight w:val="0"/>
          <w:marTop w:val="144"/>
          <w:marBottom w:val="0"/>
          <w:divBdr>
            <w:top w:val="none" w:sz="0" w:space="0" w:color="auto"/>
            <w:left w:val="none" w:sz="0" w:space="0" w:color="auto"/>
            <w:bottom w:val="none" w:sz="0" w:space="0" w:color="auto"/>
            <w:right w:val="none" w:sz="0" w:space="0" w:color="auto"/>
          </w:divBdr>
        </w:div>
        <w:div w:id="1750036670">
          <w:marLeft w:val="547"/>
          <w:marRight w:val="0"/>
          <w:marTop w:val="144"/>
          <w:marBottom w:val="0"/>
          <w:divBdr>
            <w:top w:val="none" w:sz="0" w:space="0" w:color="auto"/>
            <w:left w:val="none" w:sz="0" w:space="0" w:color="auto"/>
            <w:bottom w:val="none" w:sz="0" w:space="0" w:color="auto"/>
            <w:right w:val="none" w:sz="0" w:space="0" w:color="auto"/>
          </w:divBdr>
        </w:div>
        <w:div w:id="1750036671">
          <w:marLeft w:val="547"/>
          <w:marRight w:val="0"/>
          <w:marTop w:val="144"/>
          <w:marBottom w:val="0"/>
          <w:divBdr>
            <w:top w:val="none" w:sz="0" w:space="0" w:color="auto"/>
            <w:left w:val="none" w:sz="0" w:space="0" w:color="auto"/>
            <w:bottom w:val="none" w:sz="0" w:space="0" w:color="auto"/>
            <w:right w:val="none" w:sz="0" w:space="0" w:color="auto"/>
          </w:divBdr>
        </w:div>
      </w:divsChild>
    </w:div>
    <w:div w:id="1750036673">
      <w:marLeft w:val="0"/>
      <w:marRight w:val="0"/>
      <w:marTop w:val="0"/>
      <w:marBottom w:val="0"/>
      <w:divBdr>
        <w:top w:val="none" w:sz="0" w:space="0" w:color="auto"/>
        <w:left w:val="none" w:sz="0" w:space="0" w:color="auto"/>
        <w:bottom w:val="none" w:sz="0" w:space="0" w:color="auto"/>
        <w:right w:val="none" w:sz="0" w:space="0" w:color="auto"/>
      </w:divBdr>
      <w:divsChild>
        <w:div w:id="1750036667">
          <w:marLeft w:val="547"/>
          <w:marRight w:val="0"/>
          <w:marTop w:val="144"/>
          <w:marBottom w:val="0"/>
          <w:divBdr>
            <w:top w:val="none" w:sz="0" w:space="0" w:color="auto"/>
            <w:left w:val="none" w:sz="0" w:space="0" w:color="auto"/>
            <w:bottom w:val="none" w:sz="0" w:space="0" w:color="auto"/>
            <w:right w:val="none" w:sz="0" w:space="0" w:color="auto"/>
          </w:divBdr>
        </w:div>
        <w:div w:id="1750036668">
          <w:marLeft w:val="547"/>
          <w:marRight w:val="0"/>
          <w:marTop w:val="144"/>
          <w:marBottom w:val="0"/>
          <w:divBdr>
            <w:top w:val="none" w:sz="0" w:space="0" w:color="auto"/>
            <w:left w:val="none" w:sz="0" w:space="0" w:color="auto"/>
            <w:bottom w:val="none" w:sz="0" w:space="0" w:color="auto"/>
            <w:right w:val="none" w:sz="0" w:space="0" w:color="auto"/>
          </w:divBdr>
        </w:div>
        <w:div w:id="1750036672">
          <w:marLeft w:val="547"/>
          <w:marRight w:val="0"/>
          <w:marTop w:val="144"/>
          <w:marBottom w:val="0"/>
          <w:divBdr>
            <w:top w:val="none" w:sz="0" w:space="0" w:color="auto"/>
            <w:left w:val="none" w:sz="0" w:space="0" w:color="auto"/>
            <w:bottom w:val="none" w:sz="0" w:space="0" w:color="auto"/>
            <w:right w:val="none" w:sz="0" w:space="0" w:color="auto"/>
          </w:divBdr>
        </w:div>
        <w:div w:id="1750036678">
          <w:marLeft w:val="547"/>
          <w:marRight w:val="0"/>
          <w:marTop w:val="144"/>
          <w:marBottom w:val="0"/>
          <w:divBdr>
            <w:top w:val="none" w:sz="0" w:space="0" w:color="auto"/>
            <w:left w:val="none" w:sz="0" w:space="0" w:color="auto"/>
            <w:bottom w:val="none" w:sz="0" w:space="0" w:color="auto"/>
            <w:right w:val="none" w:sz="0" w:space="0" w:color="auto"/>
          </w:divBdr>
        </w:div>
      </w:divsChild>
    </w:div>
    <w:div w:id="1750036674">
      <w:marLeft w:val="0"/>
      <w:marRight w:val="0"/>
      <w:marTop w:val="0"/>
      <w:marBottom w:val="0"/>
      <w:divBdr>
        <w:top w:val="none" w:sz="0" w:space="0" w:color="auto"/>
        <w:left w:val="none" w:sz="0" w:space="0" w:color="auto"/>
        <w:bottom w:val="none" w:sz="0" w:space="0" w:color="auto"/>
        <w:right w:val="none" w:sz="0" w:space="0" w:color="auto"/>
      </w:divBdr>
      <w:divsChild>
        <w:div w:id="1750036662">
          <w:marLeft w:val="547"/>
          <w:marRight w:val="0"/>
          <w:marTop w:val="144"/>
          <w:marBottom w:val="0"/>
          <w:divBdr>
            <w:top w:val="none" w:sz="0" w:space="0" w:color="auto"/>
            <w:left w:val="none" w:sz="0" w:space="0" w:color="auto"/>
            <w:bottom w:val="none" w:sz="0" w:space="0" w:color="auto"/>
            <w:right w:val="none" w:sz="0" w:space="0" w:color="auto"/>
          </w:divBdr>
        </w:div>
        <w:div w:id="1750036663">
          <w:marLeft w:val="547"/>
          <w:marRight w:val="0"/>
          <w:marTop w:val="144"/>
          <w:marBottom w:val="0"/>
          <w:divBdr>
            <w:top w:val="none" w:sz="0" w:space="0" w:color="auto"/>
            <w:left w:val="none" w:sz="0" w:space="0" w:color="auto"/>
            <w:bottom w:val="none" w:sz="0" w:space="0" w:color="auto"/>
            <w:right w:val="none" w:sz="0" w:space="0" w:color="auto"/>
          </w:divBdr>
        </w:div>
        <w:div w:id="1750036669">
          <w:marLeft w:val="547"/>
          <w:marRight w:val="0"/>
          <w:marTop w:val="144"/>
          <w:marBottom w:val="0"/>
          <w:divBdr>
            <w:top w:val="none" w:sz="0" w:space="0" w:color="auto"/>
            <w:left w:val="none" w:sz="0" w:space="0" w:color="auto"/>
            <w:bottom w:val="none" w:sz="0" w:space="0" w:color="auto"/>
            <w:right w:val="none" w:sz="0" w:space="0" w:color="auto"/>
          </w:divBdr>
        </w:div>
        <w:div w:id="1750036675">
          <w:marLeft w:val="547"/>
          <w:marRight w:val="0"/>
          <w:marTop w:val="144"/>
          <w:marBottom w:val="0"/>
          <w:divBdr>
            <w:top w:val="none" w:sz="0" w:space="0" w:color="auto"/>
            <w:left w:val="none" w:sz="0" w:space="0" w:color="auto"/>
            <w:bottom w:val="none" w:sz="0" w:space="0" w:color="auto"/>
            <w:right w:val="none" w:sz="0" w:space="0" w:color="auto"/>
          </w:divBdr>
        </w:div>
        <w:div w:id="1750036677">
          <w:marLeft w:val="547"/>
          <w:marRight w:val="0"/>
          <w:marTop w:val="144"/>
          <w:marBottom w:val="0"/>
          <w:divBdr>
            <w:top w:val="none" w:sz="0" w:space="0" w:color="auto"/>
            <w:left w:val="none" w:sz="0" w:space="0" w:color="auto"/>
            <w:bottom w:val="none" w:sz="0" w:space="0" w:color="auto"/>
            <w:right w:val="none" w:sz="0" w:space="0" w:color="auto"/>
          </w:divBdr>
        </w:div>
      </w:divsChild>
    </w:div>
    <w:div w:id="1750036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emf"/>
  <Relationship Id="rId16" Type="http://schemas.openxmlformats.org/officeDocument/2006/relationships/image" Target="media/image3.emf"/>
  <Relationship Id="rId17" Type="http://schemas.openxmlformats.org/officeDocument/2006/relationships/hyperlink" TargetMode="External" Target="http://www.massmed.org/AM/Template.cfm?Section=Research_Reports_and_Studies2&amp;TEMPLATE=/CM/ContentDisplay.cfm&amp;CONTENTID=77980"/>
  <Relationship Id="rId18" Type="http://schemas.openxmlformats.org/officeDocument/2006/relationships/hyperlink" TargetMode="External" Target="https://www.aamc.org/download/263512/data/statedata2011.pdf"/>
  <Relationship Id="rId19" Type="http://schemas.openxmlformats.org/officeDocument/2006/relationships/hyperlink" TargetMode="External" Target="http://www.acgme.org/acgmeweb/Portals/0/PFAssets/PublicationsBooks/2011-2012_ACGME_DATABOOK_DOCUMENT.pdf"/>
  <Relationship Id="rId2" Type="http://schemas.openxmlformats.org/officeDocument/2006/relationships/styles" Target="styles.xml"/>
  <Relationship Id="rId20" Type="http://schemas.openxmlformats.org/officeDocument/2006/relationships/hyperlink" TargetMode="External" Target="http://www.iom.edu/Activities/Workforce/GMEGovFinance/2012-SEP-04.aspx"/>
  <Relationship Id="rId21" Type="http://schemas.openxmlformats.org/officeDocument/2006/relationships/hyperlink" TargetMode="External" Target="http://www.iom.edu/~/media/Files/Activity%20Files/Workforce/GMEGovFinance/GoodhartPresentation.pdf"/>
  <Relationship Id="rId22" Type="http://schemas.openxmlformats.org/officeDocument/2006/relationships/hyperlink" TargetMode="External" Target="http://www.iom.edu/~/media/Files/Activity%20Files/Workforce/GMEGovFinance/HartsteinPresentation.pdf"/>
  <Relationship Id="rId23" Type="http://schemas.openxmlformats.org/officeDocument/2006/relationships/hyperlink" TargetMode="External" Target="http://www.iom.edu/~/media/Files/Activity%20Files/Workforce/GMEGovFinance/HeffronPresentation.pdf"/>
  <Relationship Id="rId24" Type="http://schemas.openxmlformats.org/officeDocument/2006/relationships/hyperlink" TargetMode="External" Target="http://www.iom.edu/~/media/Files/Activity%20Files/Workforce/GMEGovFinance/PetzelCoxPresentation.pdf"/>
  <Relationship Id="rId25" Type="http://schemas.openxmlformats.org/officeDocument/2006/relationships/hyperlink" TargetMode="External" Target="http://www.iom.edu/Activities/Workforce/GMEGovFinance/2012-DEC-19.aspx"/>
  <Relationship Id="rId26" Type="http://schemas.openxmlformats.org/officeDocument/2006/relationships/hyperlink" TargetMode="External" Target="http://www.iom.edu/~/media/Files/Activity%20Files/Workforce/GMEGovFinance/2012-DEC-19/Auerbach.pdf"/>
  <Relationship Id="rId27" Type="http://schemas.openxmlformats.org/officeDocument/2006/relationships/hyperlink" TargetMode="External" Target="http://www.iom.edu/~/media/Files/Activity%20Files/Workforce/GMEGovFinance/2012-DEC-19/Batalden.pdf"/>
  <Relationship Id="rId28" Type="http://schemas.openxmlformats.org/officeDocument/2006/relationships/hyperlink" TargetMode="External" Target="http://www.iom.edu/~/media/Files/Activity%20Files/Workforce/GMEGovFinance/2012-DEC-19/Boom.pdf"/>
  <Relationship Id="rId29" Type="http://schemas.openxmlformats.org/officeDocument/2006/relationships/hyperlink" TargetMode="External" Target="http://www.iom.edu/~/media/Files/Activity%20Files/Workforce/GMEGovFinance/2012-DEC-19/Buser-Accountability.pdf"/>
  <Relationship Id="rId3" Type="http://schemas.microsoft.com/office/2007/relationships/stylesWithEffects" Target="stylesWithEffects.xml"/>
  <Relationship Id="rId30" Type="http://schemas.openxmlformats.org/officeDocument/2006/relationships/hyperlink" TargetMode="External" Target="http://www.iom.edu/~/media/Files/Activity%20Files/Workforce/GMEGovFinance/2012-DEC-19/Buser-Costs%20and%20Financing.pdf"/>
  <Relationship Id="rId31" Type="http://schemas.openxmlformats.org/officeDocument/2006/relationships/hyperlink" TargetMode="External" Target="http://www.iom.edu/~/media/Files/Activity%20Files/Workforce/GMEGovFinance/2012-DEC-19/Busing.pdf"/>
  <Relationship Id="rId32" Type="http://schemas.openxmlformats.org/officeDocument/2006/relationships/hyperlink" TargetMode="External" Target="http://www.iom.edu/~/media/Files/Activity%20Files/Workforce/GMEGovFinance/2012-DEC-19/Dacey.pdf"/>
  <Relationship Id="rId33" Type="http://schemas.openxmlformats.org/officeDocument/2006/relationships/hyperlink" TargetMode="External" Target="http://www.iom.edu/~/media/Files/Activity%20Files/Workforce/GMEGovFinance/2012-DEC-19/Eiser.pdf"/>
  <Relationship Id="rId34" Type="http://schemas.openxmlformats.org/officeDocument/2006/relationships/hyperlink" TargetMode="External" Target="http://www.iom.edu/~/media/Files/Activity%20Files/Workforce/GMEGovFinance/2012-DEC-19/Garson.pdf"/>
  <Relationship Id="rId35" Type="http://schemas.openxmlformats.org/officeDocument/2006/relationships/hyperlink" TargetMode="External" Target="http://www.iom.edu/~/media/Files/Activity%20Files/Workforce/GMEGovFinance/2012-DEC-19/Gonzalez.pdf"/>
  <Relationship Id="rId36" Type="http://schemas.openxmlformats.org/officeDocument/2006/relationships/hyperlink" TargetMode="External" Target="http://www.iom.edu/~/media/Files/Activity%20Files/Workforce/GMEGovFinance/2012-DEC-19/Goodman.pdf"/>
  <Relationship Id="rId37" Type="http://schemas.openxmlformats.org/officeDocument/2006/relationships/hyperlink" TargetMode="External" Target="http://www.iom.edu/~/media/Files/Activity%20Files/Workforce/GMEGovFinance/2012-DEC-19/Grover.pdf"/>
  <Relationship Id="rId38" Type="http://schemas.openxmlformats.org/officeDocument/2006/relationships/hyperlink" TargetMode="External" Target="http://www.iom.edu/~/media/Files/Activity%20Files/Workforce/GMEGovFinance/2012-DEC-19/Hoyt.pdf"/>
  <Relationship Id="rId39" Type="http://schemas.openxmlformats.org/officeDocument/2006/relationships/hyperlink" TargetMode="External" Target="http://www.iom.edu/~/media/Files/Activity%20Files/Workforce/GMEGovFinance/2012-DEC-19/Johnson.pdf"/>
  <Relationship Id="rId4" Type="http://schemas.openxmlformats.org/officeDocument/2006/relationships/settings" Target="settings.xml"/>
  <Relationship Id="rId40" Type="http://schemas.openxmlformats.org/officeDocument/2006/relationships/hyperlink" TargetMode="External" Target="http://www.iom.edu/~/media/Files/Activity%20Files/Workforce/GMEGovFinance/2012-DEC-19/Kaufman.pdf"/>
  <Relationship Id="rId41" Type="http://schemas.openxmlformats.org/officeDocument/2006/relationships/hyperlink" TargetMode="External" Target="http://www.iom.edu/~/media/Files/Activity%20Files/Workforce/GMEGovFinance/2012-DEC-19/Nasca.pdf"/>
  <Relationship Id="rId42" Type="http://schemas.openxmlformats.org/officeDocument/2006/relationships/hyperlink" TargetMode="External" Target="http://www.iom.edu/~/media/Files/Activity%20Files/Workforce/GMEGovFinance/2012-DEC-19/Pauwels.pdf"/>
  <Relationship Id="rId43" Type="http://schemas.openxmlformats.org/officeDocument/2006/relationships/hyperlink" TargetMode="External" Target="http://www.iom.edu/~/media/Files/Activity%20Files/Workforce/GMEGovFinance/2012-DEC-19/Reines.pdf"/>
  <Relationship Id="rId44" Type="http://schemas.openxmlformats.org/officeDocument/2006/relationships/hyperlink" TargetMode="External" Target="http://www.iom.edu/~/media/Files/Activity%20Files/Workforce/GMEGovFinance/2012-DEC-19/Ricketts.pdf"/>
  <Relationship Id="rId45" Type="http://schemas.openxmlformats.org/officeDocument/2006/relationships/hyperlink" TargetMode="External" Target="http://www.iom.edu/~/media/Files/Activity%20Files/Workforce/GMEGovFinance/2012-DEC-19/Sandy.pdf"/>
  <Relationship Id="rId46" Type="http://schemas.openxmlformats.org/officeDocument/2006/relationships/hyperlink" TargetMode="External" Target="http://www.iom.edu/~/media/Files/Activity%20Files/Workforce/GMEGovFinance/2012-DEC-19/Squire.pdf"/>
  <Relationship Id="rId47" Type="http://schemas.openxmlformats.org/officeDocument/2006/relationships/hyperlink" TargetMode="External" Target="http://www.iom.edu/~/media/Files/Activity%20Files/Workforce/GMEGovFinance/2012-DEC-19/Thibault.pdf"/>
  <Relationship Id="rId48" Type="http://schemas.openxmlformats.org/officeDocument/2006/relationships/hyperlink" TargetMode="External" Target="http://www.iom.edu/~/media/Files/Activity%20Files/Workforce/GMEGovFinance/2012-DEC-19/Thomas-Hemak.pdf"/>
  <Relationship Id="rId49" Type="http://schemas.openxmlformats.org/officeDocument/2006/relationships/header" Target="header4.xml"/>
  <Relationship Id="rId5" Type="http://schemas.openxmlformats.org/officeDocument/2006/relationships/webSettings" Target="webSettings.xml"/>
  <Relationship Id="rId50" Type="http://schemas.openxmlformats.org/officeDocument/2006/relationships/header" Target="header5.xml"/>
  <Relationship Id="rId51" Type="http://schemas.openxmlformats.org/officeDocument/2006/relationships/header" Target="header6.xml"/>
  <Relationship Id="rId52" Type="http://schemas.openxmlformats.org/officeDocument/2006/relationships/fontTable" Target="fontTable.xml"/>
  <Relationship Id="rId53"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acponline.org/advocacy/where_we_stand/policy/gme_policy.pdf"/>
  <Relationship Id="rId10" Type="http://schemas.openxmlformats.org/officeDocument/2006/relationships/hyperlink" TargetMode="External" Target="http://bhpr.hrsa.gov/childrenshospitalgme/pdf/paymentdata2011.pdf"/>
  <Relationship Id="rId11" Type="http://schemas.openxmlformats.org/officeDocument/2006/relationships/hyperlink" TargetMode="External" Target="http://bhpr.hrsa.gov/grants/teachinghealthcenters/thcgme2011.pdf"/>
  <Relationship Id="rId12" Type="http://schemas.openxmlformats.org/officeDocument/2006/relationships/hyperlink" TargetMode="External" Target="http://www.medpac.gov/documents/Jun10_EntireReport.pdf"/>
  <Relationship Id="rId13" Type="http://schemas.openxmlformats.org/officeDocument/2006/relationships/hyperlink" TargetMode="External" Target="http://www.fiscalcommission.gov/sites/fiscalcommission.gov/files/documents/TheMomentofTruth12_1_2010.pdf"/>
  <Relationship Id="rId14" Type="http://schemas.openxmlformats.org/officeDocument/2006/relationships/hyperlink" TargetMode="External" Target="http://www.iom.edu/Activities/Workforce/GMEGovFinance.aspx"/>
  <Relationship Id="rId15" Type="http://schemas.openxmlformats.org/officeDocument/2006/relationships/hyperlink" TargetMode="External" Target="http://bhpr.hrsa.gov/healthworkforce/reports/physwfissues.pdf"/>
  <Relationship Id="rId16" Type="http://schemas.openxmlformats.org/officeDocument/2006/relationships/hyperlink" TargetMode="External" Target="https://www.aamc.org/download/312786/data/2012stipendsurveyreportfinal.pdf"/>
  <Relationship Id="rId17" Type="http://schemas.openxmlformats.org/officeDocument/2006/relationships/hyperlink" TargetMode="External" Target="https://www.aamc.org/download/335878/data/gmeone-pager.pdf"/>
  <Relationship Id="rId18" Type="http://schemas.openxmlformats.org/officeDocument/2006/relationships/hyperlink" TargetMode="External" Target="https://members.aamc.org/eweb/upload/Medicaid%20Graduate%20Medical%20Education%20Payments%20A%2050-State%20Survey.pdf"/>
  <Relationship Id="rId19" Type="http://schemas.openxmlformats.org/officeDocument/2006/relationships/hyperlink" TargetMode="External" Target="http://www.health.ny.gov/professionals/doctors/graduate_medical_education/reports/docs/09-2011_eighth_report_and_policy_recommendations.pdf"/>
  <Relationship Id="rId2" Type="http://schemas.openxmlformats.org/officeDocument/2006/relationships/hyperlink" TargetMode="External" Target="http://www.nrmp.org/res_match/"/>
  <Relationship Id="rId3" Type="http://schemas.openxmlformats.org/officeDocument/2006/relationships/hyperlink" TargetMode="External" Target="http://www.nrmp.org/data/resultsanddata2012.pdf"/>
  <Relationship Id="rId4" Type="http://schemas.openxmlformats.org/officeDocument/2006/relationships/hyperlink" TargetMode="External" Target="http://www.nrmp.org/data/resultsbystate2012.pdf"/>
  <Relationship Id="rId5" Type="http://schemas.openxmlformats.org/officeDocument/2006/relationships/hyperlink" TargetMode="External" Target="https://www.aamc.org/advocacy/gme/71152/gme_gme0001.html"/>
  <Relationship Id="rId6" Type="http://schemas.openxmlformats.org/officeDocument/2006/relationships/hyperlink" TargetMode="External" Target="http://www.graham-center.org/online/graham/home/tools-resources/data-tables/dt001-gme-2007.html"/>
  <Relationship Id="rId7" Type="http://schemas.openxmlformats.org/officeDocument/2006/relationships/hyperlink" TargetMode="External" Target="http://www.cms.gov/Research-Statistics-Data-and-Systems/Files-for-Order/CostReports/Hospital-2010-form.html"/>
  <Relationship Id="rId8" Type="http://schemas.openxmlformats.org/officeDocument/2006/relationships/hyperlink" TargetMode="External" Target="http://www.cms.gov/Research-Statistics-Data-and-Systems/Files-for-Order/CostReports/Hospital-2010-form.html"/>
  <Relationship Id="rId9" Type="http://schemas.openxmlformats.org/officeDocument/2006/relationships/hyperlink" TargetMode="External" Target="http://bhpr.hrsa.gov/childrenshospitalgme/index.html"/>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_rels/header5.xml.rels><?xml version="1.0" encoding="UTF-8"?>

<Relationships xmlns="http://schemas.openxmlformats.org/package/2006/relationships">
  <Relationship Id="rId1" Type="http://schemas.openxmlformats.org/officeDocument/2006/relationships/image" Target="media/image1.png"/>
</Relationships>

</file>

<file path=word/_rels/header6.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44</Pages>
  <Words>13212</Words>
  <Characters>75310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88346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2013-08-08T18:03:00Z</dcterms:created>
  <dc:creator>betsy.l.verrill</dc:creator>
  <lastModifiedBy>Hwang, Ann (EHS)</lastModifiedBy>
  <lastPrinted>2013-08-13T13:26:00Z</lastPrinted>
  <dcterms:modified xsi:type="dcterms:W3CDTF">2013-08-13T18:10:00Z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0x0101005E867B22286FE3489FB71AB9909095BB</vt:lpwstr>
  </property>
</Properties>
</file>