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520AF" w14:textId="77777777" w:rsidR="00C15ED1" w:rsidRDefault="00C15ED1">
      <w:pPr>
        <w:jc w:val="center"/>
        <w:rPr>
          <w:rFonts w:ascii="Arial"/>
          <w:sz w:val="14"/>
        </w:rPr>
        <w:sectPr w:rsidR="00C15ED1" w:rsidSect="00713D41">
          <w:footerReference w:type="default" r:id="rId8"/>
          <w:type w:val="continuous"/>
          <w:pgSz w:w="12240" w:h="15840"/>
          <w:pgMar w:top="560" w:right="260" w:bottom="1260" w:left="640" w:header="0" w:footer="1063" w:gutter="0"/>
          <w:pgNumType w:start="1"/>
          <w:cols w:num="3" w:space="720" w:equalWidth="0">
            <w:col w:w="1958" w:space="582"/>
            <w:col w:w="6226" w:space="39"/>
            <w:col w:w="2535"/>
          </w:cols>
        </w:sectPr>
      </w:pPr>
    </w:p>
    <w:p w14:paraId="5DFAD731" w14:textId="77777777" w:rsidR="00AE7757" w:rsidRDefault="00AE7757" w:rsidP="00AE7757">
      <w:pPr>
        <w:rPr>
          <w:rFonts w:ascii="Arial" w:hAnsi="Arial"/>
          <w:sz w:val="36"/>
        </w:rPr>
      </w:pPr>
      <w:r>
        <w:rPr>
          <w:rFonts w:ascii="LinePrinter" w:hAnsi="LinePrinter"/>
          <w:noProof/>
        </w:rPr>
        <w:drawing>
          <wp:inline distT="0" distB="0" distL="0" distR="0" wp14:anchorId="6DB47895" wp14:editId="3F82E477">
            <wp:extent cx="791110" cy="943790"/>
            <wp:effectExtent l="0" t="0" r="9525" b="8890"/>
            <wp:docPr id="933996720" name="Picture 933996720" descr="State Seal for the State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tate Seal for the State of Massachusett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061" cy="95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  <w:t>The Commonwealth of Massachusetts</w:t>
      </w:r>
    </w:p>
    <w:p w14:paraId="7B1E4E6F" w14:textId="77777777" w:rsidR="00AE7757" w:rsidRDefault="00AE7757" w:rsidP="00AE7757">
      <w:pPr>
        <w:pStyle w:val="ExecOffice"/>
        <w:framePr w:w="0" w:hSpace="0" w:wrap="auto" w:vAnchor="margin" w:hAnchor="text" w:xAlign="left" w:yAlign="inline"/>
      </w:pPr>
      <w:r>
        <w:t>Executive Office of Health and Human Services</w:t>
      </w:r>
    </w:p>
    <w:p w14:paraId="54B3FE25" w14:textId="77777777" w:rsidR="00AE7757" w:rsidRDefault="00AE7757" w:rsidP="00AE7757">
      <w:pPr>
        <w:pStyle w:val="ExecOffice"/>
        <w:framePr w:w="0" w:hSpace="0" w:wrap="auto" w:vAnchor="margin" w:hAnchor="text" w:xAlign="left" w:yAlign="inline"/>
      </w:pPr>
      <w:r>
        <w:t>Department of Public Health</w:t>
      </w:r>
    </w:p>
    <w:p w14:paraId="1829BB2B" w14:textId="77777777" w:rsidR="00AE7757" w:rsidRDefault="00AE7757" w:rsidP="00AE7757">
      <w:pPr>
        <w:pStyle w:val="ExecOffice"/>
        <w:framePr w:w="0" w:hSpace="0" w:wrap="auto" w:vAnchor="margin" w:hAnchor="text" w:xAlign="left" w:yAlign="inline"/>
      </w:pPr>
      <w:r>
        <w:t>250 Washington Street, Boston, MA 02108-4619</w:t>
      </w:r>
    </w:p>
    <w:p w14:paraId="13FE1F6A" w14:textId="77777777" w:rsidR="00AE7757" w:rsidRDefault="00AE7757" w:rsidP="00AE7757">
      <w:pPr>
        <w:ind w:right="2340"/>
        <w:contextualSpacing/>
        <w:rPr>
          <w:rFonts w:ascii="Arial Rounded MT Bold" w:hAnsi="Arial Rounded MT Bold"/>
          <w:sz w:val="16"/>
        </w:rPr>
        <w:sectPr w:rsidR="00AE7757" w:rsidSect="00713D41">
          <w:headerReference w:type="even" r:id="rId10"/>
          <w:footerReference w:type="default" r:id="rId11"/>
          <w:headerReference w:type="first" r:id="rId12"/>
          <w:type w:val="continuous"/>
          <w:pgSz w:w="12240" w:h="15840"/>
          <w:pgMar w:top="540" w:right="260" w:bottom="1260" w:left="640" w:header="0" w:footer="1061" w:gutter="0"/>
          <w:cols w:space="720"/>
        </w:sectPr>
      </w:pPr>
    </w:p>
    <w:p w14:paraId="1707E13A" w14:textId="77777777" w:rsidR="00AE7757" w:rsidRPr="001D6D5B" w:rsidRDefault="00AE7757" w:rsidP="00AE7757">
      <w:pPr>
        <w:ind w:right="2340" w:firstLine="720"/>
        <w:contextualSpacing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MAURA T. HEALEY</w:t>
      </w:r>
    </w:p>
    <w:p w14:paraId="24583EFF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right="2340"/>
        <w:rPr>
          <w:sz w:val="14"/>
          <w:szCs w:val="18"/>
        </w:rPr>
      </w:pPr>
      <w:r w:rsidRPr="001D6D5B">
        <w:rPr>
          <w:sz w:val="14"/>
          <w:szCs w:val="18"/>
        </w:rPr>
        <w:t>Governor</w:t>
      </w:r>
    </w:p>
    <w:p w14:paraId="687576B4" w14:textId="77777777" w:rsidR="00AE7757" w:rsidRPr="001D6D5B" w:rsidRDefault="00AE7757" w:rsidP="00AE7757">
      <w:pPr>
        <w:ind w:right="2340"/>
        <w:contextualSpacing/>
        <w:jc w:val="center"/>
        <w:rPr>
          <w:sz w:val="14"/>
          <w:szCs w:val="18"/>
        </w:rPr>
      </w:pPr>
    </w:p>
    <w:p w14:paraId="7D57CED3" w14:textId="77777777" w:rsidR="00AE7757" w:rsidRPr="001D6D5B" w:rsidRDefault="00AE7757" w:rsidP="00AE7757">
      <w:pPr>
        <w:ind w:right="225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KIMBERLEY DRISCOLL</w:t>
      </w:r>
    </w:p>
    <w:p w14:paraId="2CA66306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right="2340"/>
        <w:rPr>
          <w:rFonts w:ascii="Calibri" w:hAnsi="Calibri" w:cs="Calibri"/>
          <w:sz w:val="14"/>
          <w:szCs w:val="22"/>
        </w:rPr>
      </w:pPr>
      <w:r w:rsidRPr="001D6D5B">
        <w:rPr>
          <w:sz w:val="14"/>
          <w:szCs w:val="18"/>
        </w:rPr>
        <w:t>Lieutenant Governor</w:t>
      </w:r>
    </w:p>
    <w:p w14:paraId="0631A617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9BD69B7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328D7583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right="2340"/>
        <w:jc w:val="left"/>
        <w:rPr>
          <w:sz w:val="14"/>
          <w:szCs w:val="18"/>
        </w:rPr>
      </w:pPr>
    </w:p>
    <w:p w14:paraId="77E1E8DF" w14:textId="77777777" w:rsidR="00AE7757" w:rsidRDefault="00AE7757" w:rsidP="00AE7757">
      <w:pPr>
        <w:ind w:left="1980"/>
        <w:contextualSpacing/>
        <w:jc w:val="center"/>
        <w:rPr>
          <w:rFonts w:ascii="Arial Rounded MT Bold" w:hAnsi="Arial Rounded MT Bold"/>
          <w:sz w:val="16"/>
        </w:rPr>
      </w:pPr>
    </w:p>
    <w:p w14:paraId="30AF9B63" w14:textId="77777777" w:rsidR="00AE7757" w:rsidRPr="001D6D5B" w:rsidRDefault="00AE7757" w:rsidP="00AE7757">
      <w:pPr>
        <w:ind w:left="1980"/>
        <w:contextualSpacing/>
        <w:jc w:val="center"/>
        <w:rPr>
          <w:rFonts w:ascii="Arial Rounded MT Bold" w:hAnsi="Arial Rounded MT Bold"/>
          <w:sz w:val="16"/>
        </w:rPr>
      </w:pPr>
      <w:r w:rsidRPr="001D6D5B">
        <w:rPr>
          <w:rFonts w:ascii="Arial Rounded MT Bold" w:hAnsi="Arial Rounded MT Bold"/>
          <w:sz w:val="16"/>
        </w:rPr>
        <w:t>KATHLEEN E. WALSH</w:t>
      </w:r>
    </w:p>
    <w:p w14:paraId="5BE8FFDA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  <w:r w:rsidRPr="001D6D5B">
        <w:rPr>
          <w:sz w:val="14"/>
          <w:szCs w:val="18"/>
        </w:rPr>
        <w:t>Secretary</w:t>
      </w:r>
    </w:p>
    <w:p w14:paraId="14AC34B3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left="1980"/>
        <w:rPr>
          <w:sz w:val="14"/>
          <w:szCs w:val="18"/>
        </w:rPr>
      </w:pPr>
    </w:p>
    <w:p w14:paraId="2D6E7D16" w14:textId="77777777" w:rsidR="00AE7757" w:rsidRPr="001D6D5B" w:rsidRDefault="00AE7757" w:rsidP="00AE7757">
      <w:pPr>
        <w:pStyle w:val="Weld"/>
        <w:framePr w:hSpace="0" w:wrap="auto" w:vAnchor="margin" w:hAnchor="text" w:xAlign="left" w:yAlign="inline"/>
        <w:ind w:left="1980"/>
        <w:rPr>
          <w:sz w:val="12"/>
          <w:szCs w:val="16"/>
        </w:rPr>
      </w:pPr>
      <w:r w:rsidRPr="001D6D5B">
        <w:rPr>
          <w:sz w:val="12"/>
          <w:szCs w:val="16"/>
        </w:rPr>
        <w:t>ROBERT GOLDSTEIN, MD, PhD</w:t>
      </w:r>
    </w:p>
    <w:p w14:paraId="02C18877" w14:textId="77777777" w:rsidR="00AE7757" w:rsidRPr="00C2477D" w:rsidRDefault="00AE7757" w:rsidP="00AE7757">
      <w:pPr>
        <w:pStyle w:val="Weld"/>
        <w:framePr w:hSpace="0" w:wrap="auto" w:vAnchor="margin" w:hAnchor="text" w:xAlign="left" w:yAlign="inline"/>
        <w:ind w:left="1980"/>
      </w:pPr>
      <w:r w:rsidRPr="001D6D5B">
        <w:rPr>
          <w:sz w:val="14"/>
          <w:szCs w:val="12"/>
        </w:rPr>
        <w:t>Commissioner</w:t>
      </w:r>
    </w:p>
    <w:p w14:paraId="559CFE0B" w14:textId="77777777" w:rsidR="00AE7757" w:rsidRDefault="00AE7757" w:rsidP="00AE775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</w:p>
    <w:p w14:paraId="02CACA6A" w14:textId="77777777" w:rsidR="00AE7757" w:rsidRDefault="00AE7757" w:rsidP="00AE7757">
      <w:pPr>
        <w:pStyle w:val="Governor"/>
        <w:framePr w:hSpace="0" w:wrap="auto" w:vAnchor="margin" w:hAnchor="text" w:xAlign="left" w:yAlign="inline"/>
        <w:spacing w:after="0"/>
        <w:ind w:left="1980"/>
        <w:rPr>
          <w:rFonts w:ascii="Arial" w:hAnsi="Arial" w:cs="Arial"/>
          <w:b/>
          <w:szCs w:val="14"/>
        </w:rPr>
      </w:pPr>
      <w:r w:rsidRPr="004813AC">
        <w:rPr>
          <w:rFonts w:ascii="Arial" w:hAnsi="Arial" w:cs="Arial"/>
          <w:b/>
          <w:szCs w:val="14"/>
        </w:rPr>
        <w:t>Tel: 617-624-6000</w:t>
      </w:r>
    </w:p>
    <w:p w14:paraId="38C3E387" w14:textId="77777777" w:rsidR="00AE7757" w:rsidRPr="00A763BA" w:rsidRDefault="004F60AF" w:rsidP="00AE7757">
      <w:pPr>
        <w:pStyle w:val="Governor"/>
        <w:framePr w:hSpace="0" w:wrap="auto" w:vAnchor="margin" w:hAnchor="text" w:xAlign="left" w:yAlign="inline"/>
        <w:spacing w:after="0"/>
        <w:ind w:left="1980"/>
        <w:rPr>
          <w:sz w:val="16"/>
        </w:rPr>
      </w:pPr>
      <w:hyperlink r:id="rId13" w:history="1">
        <w:r w:rsidR="00AE7757" w:rsidRPr="00A51A30">
          <w:rPr>
            <w:rStyle w:val="Hyperlink"/>
            <w:rFonts w:ascii="Arial" w:hAnsi="Arial" w:cs="Arial"/>
            <w:b/>
            <w:szCs w:val="14"/>
            <w:lang w:val="fr-FR"/>
          </w:rPr>
          <w:t>www.mass.gov/dph</w:t>
        </w:r>
      </w:hyperlink>
    </w:p>
    <w:p w14:paraId="4DFC9387" w14:textId="77777777" w:rsidR="00AE7757" w:rsidRDefault="00AE7757" w:rsidP="00AE7757">
      <w:pPr>
        <w:rPr>
          <w:szCs w:val="24"/>
        </w:rPr>
        <w:sectPr w:rsidR="00AE7757" w:rsidSect="00713D41">
          <w:type w:val="continuous"/>
          <w:pgSz w:w="12240" w:h="15840"/>
          <w:pgMar w:top="1380" w:right="260" w:bottom="1260" w:left="640" w:header="0" w:footer="1061" w:gutter="0"/>
          <w:cols w:num="2" w:space="720"/>
        </w:sectPr>
      </w:pPr>
    </w:p>
    <w:p w14:paraId="1460733F" w14:textId="77777777" w:rsidR="00A659B0" w:rsidRDefault="00A659B0" w:rsidP="00A659B0">
      <w:pPr>
        <w:rPr>
          <w:rFonts w:asciiTheme="minorHAnsi" w:hAnsiTheme="minorHAnsi" w:cstheme="minorHAnsi"/>
          <w:szCs w:val="24"/>
        </w:rPr>
      </w:pPr>
      <w:bookmarkStart w:id="0" w:name="_Hlk165475533"/>
      <w:r>
        <w:rPr>
          <w:rFonts w:asciiTheme="minorHAnsi" w:hAnsiTheme="minorHAnsi" w:cstheme="minorHAnsi"/>
          <w:szCs w:val="24"/>
        </w:rPr>
        <w:t>May 6, 2024</w:t>
      </w:r>
    </w:p>
    <w:bookmarkEnd w:id="0"/>
    <w:p w14:paraId="5331EFEF" w14:textId="77777777" w:rsidR="00A659B0" w:rsidRDefault="00A659B0" w:rsidP="00A659B0">
      <w:pPr>
        <w:rPr>
          <w:rFonts w:asciiTheme="minorHAnsi" w:hAnsiTheme="minorHAnsi" w:cstheme="minorHAnsi"/>
          <w:szCs w:val="24"/>
        </w:rPr>
      </w:pPr>
    </w:p>
    <w:p w14:paraId="3DCE7892" w14:textId="77777777" w:rsidR="00A659B0" w:rsidRPr="00773970" w:rsidRDefault="00A659B0" w:rsidP="00A659B0">
      <w:pPr>
        <w:rPr>
          <w:rFonts w:asciiTheme="minorHAnsi" w:hAnsiTheme="minorHAnsi" w:cstheme="minorHAnsi"/>
          <w:szCs w:val="24"/>
        </w:rPr>
      </w:pPr>
      <w:r w:rsidRPr="00773970">
        <w:rPr>
          <w:rFonts w:asciiTheme="minorHAnsi" w:hAnsiTheme="minorHAnsi" w:cstheme="minorHAnsi"/>
          <w:szCs w:val="24"/>
        </w:rPr>
        <w:t>Crystal</w:t>
      </w:r>
      <w:r w:rsidRPr="00773970">
        <w:rPr>
          <w:rFonts w:asciiTheme="minorHAnsi" w:hAnsiTheme="minorHAnsi" w:cstheme="minorHAnsi"/>
          <w:spacing w:val="-15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Bloom,</w:t>
      </w:r>
      <w:r w:rsidRPr="00773970">
        <w:rPr>
          <w:rFonts w:asciiTheme="minorHAnsi" w:hAnsiTheme="minorHAnsi" w:cstheme="minorHAnsi"/>
          <w:spacing w:val="-15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 xml:space="preserve">Partner </w:t>
      </w:r>
    </w:p>
    <w:p w14:paraId="34F43D3A" w14:textId="77777777" w:rsidR="00A659B0" w:rsidRPr="00773970" w:rsidRDefault="00A659B0" w:rsidP="00A659B0">
      <w:pPr>
        <w:rPr>
          <w:rFonts w:asciiTheme="minorHAnsi" w:hAnsiTheme="minorHAnsi" w:cstheme="minorHAnsi"/>
          <w:szCs w:val="24"/>
        </w:rPr>
      </w:pPr>
      <w:r w:rsidRPr="00773970">
        <w:rPr>
          <w:rFonts w:asciiTheme="minorHAnsi" w:hAnsiTheme="minorHAnsi" w:cstheme="minorHAnsi"/>
          <w:szCs w:val="24"/>
        </w:rPr>
        <w:t>Husch Blackwell LLP</w:t>
      </w:r>
    </w:p>
    <w:p w14:paraId="18DD98CA" w14:textId="77777777" w:rsidR="00A659B0" w:rsidRPr="00773970" w:rsidRDefault="00A659B0" w:rsidP="00A659B0">
      <w:pPr>
        <w:rPr>
          <w:rFonts w:asciiTheme="minorHAnsi" w:hAnsiTheme="minorHAnsi" w:cstheme="minorHAnsi"/>
          <w:szCs w:val="24"/>
        </w:rPr>
      </w:pPr>
      <w:r w:rsidRPr="00773970">
        <w:rPr>
          <w:rFonts w:asciiTheme="minorHAnsi" w:hAnsiTheme="minorHAnsi" w:cstheme="minorHAnsi"/>
          <w:szCs w:val="24"/>
        </w:rPr>
        <w:t>One</w:t>
      </w:r>
      <w:r w:rsidRPr="00773970">
        <w:rPr>
          <w:rFonts w:asciiTheme="minorHAnsi" w:hAnsiTheme="minorHAnsi" w:cstheme="minorHAnsi"/>
          <w:spacing w:val="-10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Beacon</w:t>
      </w:r>
      <w:r w:rsidRPr="00773970">
        <w:rPr>
          <w:rFonts w:asciiTheme="minorHAnsi" w:hAnsiTheme="minorHAnsi" w:cstheme="minorHAnsi"/>
          <w:spacing w:val="-10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Street,</w:t>
      </w:r>
      <w:r w:rsidRPr="00773970">
        <w:rPr>
          <w:rFonts w:asciiTheme="minorHAnsi" w:hAnsiTheme="minorHAnsi" w:cstheme="minorHAnsi"/>
          <w:spacing w:val="-10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Suite</w:t>
      </w:r>
      <w:r w:rsidRPr="00773970">
        <w:rPr>
          <w:rFonts w:asciiTheme="minorHAnsi" w:hAnsiTheme="minorHAnsi" w:cstheme="minorHAnsi"/>
          <w:spacing w:val="-10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 xml:space="preserve">1320 </w:t>
      </w:r>
    </w:p>
    <w:p w14:paraId="083B3223" w14:textId="77777777" w:rsidR="00A659B0" w:rsidRPr="00773970" w:rsidRDefault="00A659B0" w:rsidP="00A659B0">
      <w:pPr>
        <w:rPr>
          <w:rFonts w:asciiTheme="minorHAnsi" w:hAnsiTheme="minorHAnsi" w:cstheme="minorHAnsi"/>
          <w:szCs w:val="24"/>
        </w:rPr>
      </w:pPr>
      <w:r w:rsidRPr="00773970">
        <w:rPr>
          <w:rFonts w:asciiTheme="minorHAnsi" w:hAnsiTheme="minorHAnsi" w:cstheme="minorHAnsi"/>
          <w:szCs w:val="24"/>
        </w:rPr>
        <w:t>Boston, MA 02108-3106</w:t>
      </w:r>
    </w:p>
    <w:p w14:paraId="61FF1765" w14:textId="77777777" w:rsidR="00A659B0" w:rsidRPr="00773970" w:rsidRDefault="00A659B0" w:rsidP="00A659B0">
      <w:pPr>
        <w:rPr>
          <w:rFonts w:asciiTheme="minorHAnsi" w:hAnsiTheme="minorHAnsi" w:cstheme="minorHAnsi"/>
          <w:szCs w:val="24"/>
        </w:rPr>
      </w:pPr>
    </w:p>
    <w:p w14:paraId="12315DC1" w14:textId="77777777" w:rsidR="00A659B0" w:rsidRPr="00773970" w:rsidRDefault="00A659B0" w:rsidP="00A659B0">
      <w:pPr>
        <w:rPr>
          <w:rFonts w:asciiTheme="minorHAnsi" w:hAnsiTheme="minorHAnsi" w:cstheme="minorHAnsi"/>
          <w:sz w:val="13"/>
          <w:szCs w:val="24"/>
        </w:rPr>
      </w:pPr>
      <w:r w:rsidRPr="00773970">
        <w:rPr>
          <w:rFonts w:asciiTheme="minorHAnsi" w:hAnsiTheme="minorHAnsi" w:cstheme="minorHAnsi"/>
          <w:szCs w:val="24"/>
        </w:rPr>
        <w:t>VIA</w:t>
      </w:r>
      <w:r w:rsidRPr="00773970">
        <w:rPr>
          <w:rFonts w:asciiTheme="minorHAnsi" w:hAnsiTheme="minorHAnsi" w:cstheme="minorHAnsi"/>
          <w:spacing w:val="-3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electronic</w:t>
      </w:r>
      <w:r w:rsidRPr="00773970">
        <w:rPr>
          <w:rFonts w:asciiTheme="minorHAnsi" w:hAnsiTheme="minorHAnsi" w:cstheme="minorHAnsi"/>
          <w:spacing w:val="-3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mail:</w:t>
      </w:r>
      <w:r w:rsidRPr="00773970">
        <w:rPr>
          <w:rFonts w:asciiTheme="minorHAnsi" w:hAnsiTheme="minorHAnsi" w:cstheme="minorHAnsi"/>
          <w:spacing w:val="-2"/>
          <w:szCs w:val="24"/>
        </w:rPr>
        <w:t xml:space="preserve"> </w:t>
      </w:r>
      <w:hyperlink r:id="rId14">
        <w:r w:rsidRPr="00773970">
          <w:rPr>
            <w:rFonts w:asciiTheme="minorHAnsi" w:hAnsiTheme="minorHAnsi" w:cstheme="minorHAnsi"/>
            <w:color w:val="0000FF"/>
            <w:spacing w:val="-2"/>
            <w:szCs w:val="24"/>
            <w:u w:val="single" w:color="0000FF"/>
          </w:rPr>
          <w:t>Crystal.Bloom@huschblackwell.com</w:t>
        </w:r>
      </w:hyperlink>
    </w:p>
    <w:p w14:paraId="0AE66359" w14:textId="77777777" w:rsidR="00A659B0" w:rsidRPr="00773970" w:rsidRDefault="00A659B0" w:rsidP="00A659B0">
      <w:pPr>
        <w:spacing w:before="2"/>
        <w:rPr>
          <w:rFonts w:asciiTheme="minorHAnsi" w:hAnsiTheme="minorHAnsi" w:cstheme="minorHAnsi"/>
          <w:b/>
          <w:sz w:val="16"/>
          <w:szCs w:val="24"/>
        </w:rPr>
      </w:pPr>
    </w:p>
    <w:p w14:paraId="437E0395" w14:textId="77777777" w:rsidR="00A659B0" w:rsidRPr="001C24F8" w:rsidRDefault="00A659B0" w:rsidP="00A659B0">
      <w:pPr>
        <w:spacing w:before="90"/>
        <w:rPr>
          <w:rFonts w:asciiTheme="minorHAnsi" w:hAnsiTheme="minorHAnsi" w:cstheme="minorHAnsi"/>
          <w:szCs w:val="24"/>
        </w:rPr>
      </w:pPr>
      <w:r w:rsidRPr="00773970">
        <w:rPr>
          <w:rFonts w:asciiTheme="minorHAnsi" w:hAnsiTheme="minorHAnsi" w:cstheme="minorHAnsi"/>
          <w:szCs w:val="24"/>
        </w:rPr>
        <w:t>RE:</w:t>
      </w:r>
      <w:r w:rsidRPr="00773970">
        <w:rPr>
          <w:rFonts w:asciiTheme="minorHAnsi" w:hAnsiTheme="minorHAnsi" w:cstheme="minorHAnsi"/>
          <w:spacing w:val="-5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Notice</w:t>
      </w:r>
      <w:r w:rsidRPr="00773970">
        <w:rPr>
          <w:rFonts w:asciiTheme="minorHAnsi" w:hAnsiTheme="minorHAnsi" w:cstheme="minorHAnsi"/>
          <w:spacing w:val="-6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of</w:t>
      </w:r>
      <w:r w:rsidRPr="00773970">
        <w:rPr>
          <w:rFonts w:asciiTheme="minorHAnsi" w:hAnsiTheme="minorHAnsi" w:cstheme="minorHAnsi"/>
          <w:spacing w:val="-6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Transfer</w:t>
      </w:r>
      <w:r w:rsidRPr="00773970">
        <w:rPr>
          <w:rFonts w:asciiTheme="minorHAnsi" w:hAnsiTheme="minorHAnsi" w:cstheme="minorHAnsi"/>
          <w:spacing w:val="-6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of</w:t>
      </w:r>
      <w:r w:rsidRPr="00773970">
        <w:rPr>
          <w:rFonts w:asciiTheme="minorHAnsi" w:hAnsiTheme="minorHAnsi" w:cstheme="minorHAnsi"/>
          <w:spacing w:val="-6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Site</w:t>
      </w:r>
      <w:r w:rsidRPr="00773970">
        <w:rPr>
          <w:rFonts w:asciiTheme="minorHAnsi" w:hAnsiTheme="minorHAnsi" w:cstheme="minorHAnsi"/>
          <w:spacing w:val="-6"/>
          <w:szCs w:val="24"/>
        </w:rPr>
        <w:t xml:space="preserve"> </w:t>
      </w:r>
      <w:r w:rsidRPr="001C24F8">
        <w:rPr>
          <w:rFonts w:asciiTheme="minorHAnsi" w:hAnsiTheme="minorHAnsi" w:cstheme="minorHAnsi"/>
          <w:spacing w:val="-6"/>
          <w:szCs w:val="24"/>
        </w:rPr>
        <w:t xml:space="preserve">Request </w:t>
      </w:r>
      <w:r>
        <w:rPr>
          <w:rFonts w:asciiTheme="minorHAnsi" w:hAnsiTheme="minorHAnsi" w:cstheme="minorHAnsi"/>
          <w:spacing w:val="-6"/>
          <w:szCs w:val="24"/>
        </w:rPr>
        <w:t xml:space="preserve">at Sturdy Memorial Hospital </w:t>
      </w:r>
      <w:r w:rsidRPr="001C24F8">
        <w:rPr>
          <w:rFonts w:asciiTheme="minorHAnsi" w:hAnsiTheme="minorHAnsi" w:cstheme="minorHAnsi"/>
          <w:b/>
          <w:bCs/>
          <w:spacing w:val="-6"/>
          <w:szCs w:val="24"/>
        </w:rPr>
        <w:t># SMH-24031214-TS</w:t>
      </w:r>
    </w:p>
    <w:p w14:paraId="545C3216" w14:textId="77777777" w:rsidR="00A659B0" w:rsidRDefault="00A659B0" w:rsidP="00A659B0">
      <w:pPr>
        <w:spacing w:before="90"/>
        <w:rPr>
          <w:rFonts w:asciiTheme="minorHAnsi" w:hAnsiTheme="minorHAnsi" w:cstheme="minorHAnsi"/>
          <w:szCs w:val="24"/>
        </w:rPr>
      </w:pPr>
    </w:p>
    <w:p w14:paraId="6FFA505A" w14:textId="77777777" w:rsidR="00A659B0" w:rsidRDefault="00A659B0" w:rsidP="00A659B0">
      <w:pPr>
        <w:spacing w:before="90"/>
        <w:rPr>
          <w:rFonts w:asciiTheme="minorHAnsi" w:hAnsiTheme="minorHAnsi" w:cstheme="minorHAnsi"/>
          <w:szCs w:val="24"/>
        </w:rPr>
      </w:pPr>
      <w:r w:rsidRPr="00773970">
        <w:rPr>
          <w:rFonts w:asciiTheme="minorHAnsi" w:hAnsiTheme="minorHAnsi" w:cstheme="minorHAnsi"/>
          <w:szCs w:val="24"/>
        </w:rPr>
        <w:t>Dear Attorney Bloom,</w:t>
      </w:r>
    </w:p>
    <w:p w14:paraId="70E98F25" w14:textId="77777777" w:rsidR="00A659B0" w:rsidRDefault="00A659B0" w:rsidP="00A659B0">
      <w:pPr>
        <w:rPr>
          <w:rFonts w:asciiTheme="minorHAnsi" w:hAnsiTheme="minorHAnsi" w:cstheme="minorHAnsi"/>
          <w:szCs w:val="24"/>
        </w:rPr>
      </w:pPr>
    </w:p>
    <w:p w14:paraId="4B25616C" w14:textId="77777777" w:rsidR="00A659B0" w:rsidRPr="00773970" w:rsidRDefault="00A659B0" w:rsidP="00A659B0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</w:t>
      </w:r>
      <w:r w:rsidRPr="00773970">
        <w:rPr>
          <w:rFonts w:asciiTheme="minorHAnsi" w:hAnsiTheme="minorHAnsi" w:cstheme="minorHAnsi"/>
          <w:szCs w:val="24"/>
        </w:rPr>
        <w:t>e are in receipt of the above-referenced Notice and its accompanying attachments, dated</w:t>
      </w:r>
      <w:r w:rsidRPr="001C24F8">
        <w:rPr>
          <w:rFonts w:asciiTheme="minorHAnsi" w:hAnsiTheme="minorHAnsi" w:cstheme="minorHAnsi"/>
          <w:szCs w:val="24"/>
        </w:rPr>
        <w:t xml:space="preserve"> April 10, 2024</w:t>
      </w:r>
      <w:r w:rsidRPr="00773970">
        <w:rPr>
          <w:rFonts w:asciiTheme="minorHAnsi" w:hAnsiTheme="minorHAnsi" w:cstheme="minorHAnsi"/>
          <w:szCs w:val="24"/>
        </w:rPr>
        <w:t xml:space="preserve">, wherein </w:t>
      </w:r>
      <w:r w:rsidRPr="001C24F8">
        <w:rPr>
          <w:rFonts w:asciiTheme="minorHAnsi" w:hAnsiTheme="minorHAnsi" w:cstheme="minorHAnsi"/>
          <w:szCs w:val="24"/>
        </w:rPr>
        <w:t>Sturdy Memorial Hospital (“Sturdy”)</w:t>
      </w:r>
      <w:r>
        <w:rPr>
          <w:rFonts w:asciiTheme="minorHAnsi" w:hAnsiTheme="minorHAnsi" w:cstheme="minorHAnsi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provided notice to the Department of Public Health (</w:t>
      </w:r>
      <w:r>
        <w:rPr>
          <w:rFonts w:asciiTheme="minorHAnsi" w:hAnsiTheme="minorHAnsi" w:cstheme="minorHAnsi"/>
          <w:szCs w:val="24"/>
        </w:rPr>
        <w:t>“</w:t>
      </w:r>
      <w:r w:rsidRPr="00773970">
        <w:rPr>
          <w:rFonts w:asciiTheme="minorHAnsi" w:hAnsiTheme="minorHAnsi" w:cstheme="minorHAnsi"/>
          <w:szCs w:val="24"/>
        </w:rPr>
        <w:t>the Department</w:t>
      </w:r>
      <w:r>
        <w:rPr>
          <w:rFonts w:asciiTheme="minorHAnsi" w:hAnsiTheme="minorHAnsi" w:cstheme="minorHAnsi"/>
          <w:szCs w:val="24"/>
        </w:rPr>
        <w:t>”</w:t>
      </w:r>
      <w:r w:rsidRPr="00773970">
        <w:rPr>
          <w:rFonts w:asciiTheme="minorHAnsi" w:hAnsiTheme="minorHAnsi" w:cstheme="minorHAnsi"/>
          <w:szCs w:val="24"/>
        </w:rPr>
        <w:t xml:space="preserve">) in accordance with 105 CMR 100.745 for a proposed </w:t>
      </w:r>
      <w:r>
        <w:rPr>
          <w:rFonts w:asciiTheme="minorHAnsi" w:hAnsiTheme="minorHAnsi" w:cstheme="minorHAnsi"/>
          <w:szCs w:val="24"/>
        </w:rPr>
        <w:t>T</w:t>
      </w:r>
      <w:r w:rsidRPr="00773970">
        <w:rPr>
          <w:rFonts w:asciiTheme="minorHAnsi" w:hAnsiTheme="minorHAnsi" w:cstheme="minorHAnsi"/>
          <w:szCs w:val="24"/>
        </w:rPr>
        <w:t xml:space="preserve">ransfer of </w:t>
      </w:r>
      <w:r>
        <w:rPr>
          <w:rFonts w:asciiTheme="minorHAnsi" w:hAnsiTheme="minorHAnsi" w:cstheme="minorHAnsi"/>
          <w:szCs w:val="24"/>
        </w:rPr>
        <w:t>S</w:t>
      </w:r>
      <w:r w:rsidRPr="00773970">
        <w:rPr>
          <w:rFonts w:asciiTheme="minorHAnsi" w:hAnsiTheme="minorHAnsi" w:cstheme="minorHAnsi"/>
          <w:szCs w:val="24"/>
        </w:rPr>
        <w:t xml:space="preserve">ite of </w:t>
      </w:r>
      <w:r w:rsidRPr="001C24F8">
        <w:rPr>
          <w:rFonts w:asciiTheme="minorHAnsi" w:hAnsiTheme="minorHAnsi" w:cstheme="minorHAnsi"/>
          <w:szCs w:val="24"/>
        </w:rPr>
        <w:t xml:space="preserve">one </w:t>
      </w:r>
      <w:r w:rsidRPr="00773970">
        <w:rPr>
          <w:rFonts w:asciiTheme="minorHAnsi" w:hAnsiTheme="minorHAnsi" w:cstheme="minorHAnsi"/>
          <w:szCs w:val="24"/>
        </w:rPr>
        <w:t>outpatient</w:t>
      </w:r>
      <w:r w:rsidRPr="00773970">
        <w:rPr>
          <w:rFonts w:asciiTheme="minorHAnsi" w:hAnsiTheme="minorHAnsi" w:cstheme="minorHAnsi"/>
          <w:spacing w:val="-3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procedure</w:t>
      </w:r>
      <w:r w:rsidRPr="00773970">
        <w:rPr>
          <w:rFonts w:asciiTheme="minorHAnsi" w:hAnsiTheme="minorHAnsi" w:cstheme="minorHAnsi"/>
          <w:spacing w:val="-4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room</w:t>
      </w:r>
      <w:r w:rsidRPr="00773970">
        <w:rPr>
          <w:rFonts w:asciiTheme="minorHAnsi" w:hAnsiTheme="minorHAnsi" w:cstheme="minorHAnsi"/>
          <w:spacing w:val="-3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>from</w:t>
      </w:r>
      <w:r w:rsidRPr="001C24F8">
        <w:rPr>
          <w:rFonts w:asciiTheme="minorHAnsi" w:hAnsiTheme="minorHAnsi" w:cstheme="minorHAnsi"/>
          <w:szCs w:val="24"/>
        </w:rPr>
        <w:t xml:space="preserve"> a satellite location, </w:t>
      </w:r>
      <w:r w:rsidRPr="00773970">
        <w:rPr>
          <w:rFonts w:asciiTheme="minorHAnsi" w:hAnsiTheme="minorHAnsi" w:cstheme="minorHAnsi"/>
          <w:szCs w:val="24"/>
        </w:rPr>
        <w:t>the</w:t>
      </w:r>
      <w:r w:rsidRPr="001C24F8">
        <w:rPr>
          <w:rFonts w:asciiTheme="minorHAnsi" w:hAnsiTheme="minorHAnsi" w:cstheme="minorHAnsi"/>
          <w:sz w:val="20"/>
        </w:rPr>
        <w:t xml:space="preserve"> </w:t>
      </w:r>
      <w:r w:rsidRPr="001C24F8">
        <w:rPr>
          <w:rFonts w:asciiTheme="minorHAnsi" w:hAnsiTheme="minorHAnsi" w:cstheme="minorHAnsi"/>
          <w:szCs w:val="24"/>
        </w:rPr>
        <w:t>Mansfield Health Center</w:t>
      </w:r>
      <w:r>
        <w:rPr>
          <w:rFonts w:asciiTheme="minorHAnsi" w:hAnsiTheme="minorHAnsi" w:cstheme="minorHAnsi"/>
          <w:szCs w:val="24"/>
        </w:rPr>
        <w:t xml:space="preserve">, </w:t>
      </w:r>
      <w:r w:rsidRPr="004D2C32">
        <w:rPr>
          <w:rFonts w:asciiTheme="minorHAnsi" w:hAnsiTheme="minorHAnsi" w:cstheme="minorHAnsi"/>
          <w:szCs w:val="24"/>
        </w:rPr>
        <w:t>200 Copeland Drive</w:t>
      </w:r>
      <w:r>
        <w:rPr>
          <w:rFonts w:asciiTheme="minorHAnsi" w:hAnsiTheme="minorHAnsi" w:cstheme="minorHAnsi"/>
          <w:szCs w:val="24"/>
        </w:rPr>
        <w:t>,</w:t>
      </w:r>
      <w:r w:rsidRPr="001C24F8">
        <w:rPr>
          <w:rFonts w:asciiTheme="minorHAnsi" w:hAnsiTheme="minorHAnsi" w:cstheme="minorHAnsi"/>
          <w:szCs w:val="24"/>
        </w:rPr>
        <w:t xml:space="preserve"> Mansfield, MA</w:t>
      </w:r>
      <w:r>
        <w:rPr>
          <w:rFonts w:asciiTheme="minorHAnsi" w:hAnsiTheme="minorHAnsi" w:cstheme="minorHAnsi"/>
          <w:szCs w:val="24"/>
        </w:rPr>
        <w:t>,</w:t>
      </w:r>
      <w:r w:rsidRPr="00773970">
        <w:rPr>
          <w:rFonts w:asciiTheme="minorHAnsi" w:hAnsiTheme="minorHAnsi" w:cstheme="minorHAnsi"/>
          <w:spacing w:val="-4"/>
          <w:szCs w:val="24"/>
        </w:rPr>
        <w:t xml:space="preserve"> </w:t>
      </w:r>
      <w:r w:rsidRPr="00773970">
        <w:rPr>
          <w:rFonts w:asciiTheme="minorHAnsi" w:hAnsiTheme="minorHAnsi" w:cstheme="minorHAnsi"/>
          <w:szCs w:val="24"/>
        </w:rPr>
        <w:t xml:space="preserve">to </w:t>
      </w:r>
      <w:r w:rsidRPr="001C24F8">
        <w:rPr>
          <w:rFonts w:asciiTheme="minorHAnsi" w:hAnsiTheme="minorHAnsi" w:cstheme="minorHAnsi"/>
          <w:szCs w:val="24"/>
        </w:rPr>
        <w:t>the main campus of Sturdy Memorial Hospital</w:t>
      </w:r>
      <w:r>
        <w:rPr>
          <w:rFonts w:asciiTheme="minorHAnsi" w:hAnsiTheme="minorHAnsi" w:cstheme="minorHAnsi"/>
          <w:szCs w:val="24"/>
        </w:rPr>
        <w:t xml:space="preserve">, </w:t>
      </w:r>
      <w:r w:rsidRPr="004D2C32">
        <w:rPr>
          <w:rFonts w:asciiTheme="minorHAnsi" w:hAnsiTheme="minorHAnsi" w:cstheme="minorHAnsi"/>
          <w:szCs w:val="24"/>
        </w:rPr>
        <w:t>211 Park Street</w:t>
      </w:r>
      <w:r w:rsidRPr="001C24F8">
        <w:rPr>
          <w:rFonts w:asciiTheme="minorHAnsi" w:hAnsiTheme="minorHAnsi" w:cstheme="minorHAnsi"/>
          <w:szCs w:val="24"/>
        </w:rPr>
        <w:t xml:space="preserve"> Attleborough, MA </w:t>
      </w:r>
      <w:r w:rsidRPr="00773970">
        <w:rPr>
          <w:rFonts w:asciiTheme="minorHAnsi" w:hAnsiTheme="minorHAnsi" w:cstheme="minorHAnsi"/>
          <w:szCs w:val="24"/>
        </w:rPr>
        <w:t>as described below.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7417441F" w14:textId="77777777" w:rsidR="00A659B0" w:rsidRPr="00773970" w:rsidRDefault="00A659B0" w:rsidP="00A659B0">
      <w:pPr>
        <w:spacing w:before="8"/>
        <w:rPr>
          <w:sz w:val="18"/>
          <w:szCs w:val="18"/>
        </w:rPr>
      </w:pPr>
    </w:p>
    <w:p w14:paraId="3B9D5BF0" w14:textId="77777777" w:rsidR="00A659B0" w:rsidRPr="00773970" w:rsidRDefault="00A659B0" w:rsidP="00A659B0">
      <w:pPr>
        <w:spacing w:before="1"/>
        <w:outlineLvl w:val="0"/>
        <w:rPr>
          <w:rFonts w:asciiTheme="minorHAnsi" w:hAnsiTheme="minorHAnsi" w:cstheme="minorHAnsi"/>
          <w:b/>
          <w:bCs/>
          <w:szCs w:val="24"/>
        </w:rPr>
      </w:pPr>
      <w:r w:rsidRPr="00773970">
        <w:rPr>
          <w:rFonts w:asciiTheme="minorHAnsi" w:hAnsiTheme="minorHAnsi" w:cstheme="minorHAnsi"/>
          <w:b/>
          <w:bCs/>
          <w:szCs w:val="24"/>
        </w:rPr>
        <w:t>Reason</w:t>
      </w:r>
      <w:r w:rsidRPr="00773970">
        <w:rPr>
          <w:rFonts w:asciiTheme="minorHAnsi" w:hAnsiTheme="minorHAnsi" w:cstheme="minorHAnsi"/>
          <w:b/>
          <w:bCs/>
          <w:spacing w:val="-2"/>
          <w:szCs w:val="24"/>
        </w:rPr>
        <w:t xml:space="preserve"> </w:t>
      </w:r>
      <w:r w:rsidRPr="00773970">
        <w:rPr>
          <w:rFonts w:asciiTheme="minorHAnsi" w:hAnsiTheme="minorHAnsi" w:cstheme="minorHAnsi"/>
          <w:b/>
          <w:bCs/>
          <w:szCs w:val="24"/>
        </w:rPr>
        <w:t>for</w:t>
      </w:r>
      <w:r w:rsidRPr="00773970">
        <w:rPr>
          <w:rFonts w:asciiTheme="minorHAnsi" w:hAnsiTheme="minorHAnsi" w:cstheme="minorHAnsi"/>
          <w:b/>
          <w:bCs/>
          <w:spacing w:val="-2"/>
          <w:szCs w:val="24"/>
        </w:rPr>
        <w:t xml:space="preserve"> Request</w:t>
      </w:r>
    </w:p>
    <w:p w14:paraId="1EDCD7A3" w14:textId="77777777" w:rsidR="00A659B0" w:rsidRDefault="00A659B0" w:rsidP="00A659B0">
      <w:pPr>
        <w:rPr>
          <w:rFonts w:asciiTheme="minorHAnsi" w:hAnsiTheme="minorHAnsi" w:cstheme="minorHAnsi"/>
          <w:szCs w:val="24"/>
        </w:rPr>
      </w:pPr>
    </w:p>
    <w:p w14:paraId="19494CB4" w14:textId="77777777" w:rsidR="00A659B0" w:rsidRDefault="00A659B0" w:rsidP="00A659B0">
      <w:pPr>
        <w:rPr>
          <w:szCs w:val="24"/>
        </w:rPr>
      </w:pPr>
      <w:r w:rsidRPr="004D2C32">
        <w:rPr>
          <w:rFonts w:asciiTheme="minorHAnsi" w:hAnsiTheme="minorHAnsi" w:cstheme="minorHAnsi"/>
          <w:szCs w:val="24"/>
        </w:rPr>
        <w:t>The Proposed Transfer is being sought to maintain timely access to</w:t>
      </w:r>
      <w:r>
        <w:rPr>
          <w:rFonts w:asciiTheme="minorHAnsi" w:hAnsiTheme="minorHAnsi" w:cstheme="minorHAnsi"/>
          <w:szCs w:val="24"/>
        </w:rPr>
        <w:t xml:space="preserve"> </w:t>
      </w:r>
      <w:r w:rsidRPr="004D2C32">
        <w:rPr>
          <w:rFonts w:asciiTheme="minorHAnsi" w:hAnsiTheme="minorHAnsi" w:cstheme="minorHAnsi"/>
          <w:szCs w:val="24"/>
        </w:rPr>
        <w:t>outpatient pain management services for the Applicant’s Patient Panel</w:t>
      </w:r>
      <w:r>
        <w:rPr>
          <w:rFonts w:asciiTheme="minorHAnsi" w:hAnsiTheme="minorHAnsi" w:cstheme="minorHAnsi"/>
          <w:szCs w:val="24"/>
        </w:rPr>
        <w:t xml:space="preserve"> in Sturdy</w:t>
      </w:r>
      <w:r w:rsidRPr="00215812">
        <w:rPr>
          <w:rFonts w:asciiTheme="minorHAnsi" w:hAnsiTheme="minorHAnsi" w:cstheme="minorHAnsi"/>
          <w:szCs w:val="24"/>
        </w:rPr>
        <w:t>’s newly</w:t>
      </w:r>
      <w:r w:rsidRPr="00C05174">
        <w:rPr>
          <w:rFonts w:asciiTheme="minorHAnsi" w:hAnsiTheme="minorHAnsi" w:cstheme="minorHAnsi"/>
          <w:szCs w:val="24"/>
        </w:rPr>
        <w:t xml:space="preserve"> </w:t>
      </w:r>
      <w:r w:rsidRPr="00215812">
        <w:rPr>
          <w:rFonts w:asciiTheme="minorHAnsi" w:hAnsiTheme="minorHAnsi" w:cstheme="minorHAnsi"/>
          <w:szCs w:val="24"/>
        </w:rPr>
        <w:t>constructed pain management service (“Service)”. The building which will house the</w:t>
      </w:r>
      <w:r w:rsidRPr="00C05174">
        <w:rPr>
          <w:rFonts w:asciiTheme="minorHAnsi" w:hAnsiTheme="minorHAnsi" w:cstheme="minorHAnsi"/>
          <w:szCs w:val="24"/>
        </w:rPr>
        <w:t xml:space="preserve"> </w:t>
      </w:r>
      <w:r w:rsidRPr="00215812">
        <w:rPr>
          <w:rFonts w:asciiTheme="minorHAnsi" w:hAnsiTheme="minorHAnsi" w:cstheme="minorHAnsi"/>
          <w:szCs w:val="24"/>
        </w:rPr>
        <w:t>Service is expected to open for patient care Summer 2025.</w:t>
      </w:r>
    </w:p>
    <w:p w14:paraId="2C10499E" w14:textId="77777777" w:rsidR="00A659B0" w:rsidRDefault="00A659B0" w:rsidP="00A659B0">
      <w:pPr>
        <w:rPr>
          <w:szCs w:val="24"/>
        </w:rPr>
      </w:pPr>
    </w:p>
    <w:p w14:paraId="07E4FD08" w14:textId="77777777" w:rsidR="00A659B0" w:rsidRPr="00842772" w:rsidRDefault="00A659B0" w:rsidP="00A659B0">
      <w:pPr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>In compliance with the requirements set forth at 105 C.M.R. 100.745(D) the Applicant provided</w:t>
      </w:r>
    </w:p>
    <w:p w14:paraId="76CBCC15" w14:textId="77777777" w:rsidR="00A659B0" w:rsidRDefault="00A659B0" w:rsidP="00A659B0">
      <w:pPr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>the following information relative to the transfer of site request:</w:t>
      </w:r>
    </w:p>
    <w:p w14:paraId="036139F8" w14:textId="77777777" w:rsidR="00A659B0" w:rsidRPr="00842772" w:rsidRDefault="00A659B0" w:rsidP="00A659B0">
      <w:pPr>
        <w:rPr>
          <w:rFonts w:asciiTheme="minorHAnsi" w:hAnsiTheme="minorHAnsi" w:cstheme="minorHAnsi"/>
          <w:szCs w:val="24"/>
        </w:rPr>
      </w:pPr>
    </w:p>
    <w:p w14:paraId="43F987C8" w14:textId="77777777" w:rsidR="00A659B0" w:rsidRDefault="00A659B0" w:rsidP="00A659B0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 xml:space="preserve">Gross Square Feet (“GSF”). </w:t>
      </w:r>
    </w:p>
    <w:p w14:paraId="56DACF55" w14:textId="77777777" w:rsidR="00A659B0" w:rsidRPr="00842772" w:rsidRDefault="00A659B0" w:rsidP="00A659B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 xml:space="preserve">The current procedure room at the Satellite is 100 GSF. </w:t>
      </w:r>
    </w:p>
    <w:p w14:paraId="2350DB41" w14:textId="77777777" w:rsidR="00A659B0" w:rsidRDefault="00A659B0" w:rsidP="00A659B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>The</w:t>
      </w:r>
      <w:r>
        <w:rPr>
          <w:rFonts w:asciiTheme="minorHAnsi" w:hAnsiTheme="minorHAnsi" w:cstheme="minorHAnsi"/>
          <w:szCs w:val="24"/>
        </w:rPr>
        <w:t xml:space="preserve"> </w:t>
      </w:r>
      <w:r w:rsidRPr="00842772">
        <w:rPr>
          <w:rFonts w:asciiTheme="minorHAnsi" w:hAnsiTheme="minorHAnsi" w:cstheme="minorHAnsi"/>
          <w:szCs w:val="24"/>
        </w:rPr>
        <w:t>proposed procedure room to be located at Sturdy will be 244 GSF.</w:t>
      </w:r>
    </w:p>
    <w:p w14:paraId="6FF80B40" w14:textId="77777777" w:rsidR="00A659B0" w:rsidRDefault="00A659B0" w:rsidP="00A659B0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Procedure Room/OR in the transferred site will be 1.44% larger than the one at the satellite.</w:t>
      </w:r>
    </w:p>
    <w:p w14:paraId="19D490C3" w14:textId="77777777" w:rsidR="00A659B0" w:rsidRPr="001B70B1" w:rsidRDefault="00A659B0" w:rsidP="00A659B0">
      <w:pPr>
        <w:ind w:left="720"/>
        <w:rPr>
          <w:rFonts w:asciiTheme="minorHAnsi" w:hAnsiTheme="minorHAnsi" w:cstheme="minorHAnsi"/>
          <w:szCs w:val="24"/>
        </w:rPr>
      </w:pPr>
    </w:p>
    <w:p w14:paraId="0AC23BB8" w14:textId="77777777" w:rsidR="00A659B0" w:rsidRDefault="00A659B0" w:rsidP="00A659B0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lastRenderedPageBreak/>
        <w:t xml:space="preserve">Primary Service Area </w:t>
      </w:r>
      <w:r>
        <w:rPr>
          <w:rFonts w:asciiTheme="minorHAnsi" w:hAnsiTheme="minorHAnsi" w:cstheme="minorHAnsi"/>
          <w:szCs w:val="24"/>
        </w:rPr>
        <w:t xml:space="preserve">(“PSA”) </w:t>
      </w:r>
      <w:r w:rsidRPr="00842772">
        <w:rPr>
          <w:rFonts w:asciiTheme="minorHAnsi" w:hAnsiTheme="minorHAnsi" w:cstheme="minorHAnsi"/>
          <w:szCs w:val="24"/>
        </w:rPr>
        <w:t>Towns Served</w:t>
      </w:r>
    </w:p>
    <w:p w14:paraId="5879C222" w14:textId="77777777" w:rsidR="00A659B0" w:rsidRPr="00842772" w:rsidRDefault="00A659B0" w:rsidP="00A659B0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 xml:space="preserve">The Primary Service Area towns served by Sturdy are Attleboro, North Attleboro, Norton, Mansfield, and Plainville. </w:t>
      </w:r>
    </w:p>
    <w:p w14:paraId="52196658" w14:textId="77777777" w:rsidR="00A659B0" w:rsidRDefault="00A659B0" w:rsidP="00A659B0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 xml:space="preserve">The Primary Service Area towns served by the Satellite are Attleboro, North Attleboro, </w:t>
      </w:r>
      <w:r>
        <w:rPr>
          <w:rFonts w:asciiTheme="minorHAnsi" w:hAnsiTheme="minorHAnsi" w:cstheme="minorHAnsi"/>
          <w:szCs w:val="24"/>
        </w:rPr>
        <w:t xml:space="preserve">Norton, </w:t>
      </w:r>
      <w:r w:rsidRPr="00842772">
        <w:rPr>
          <w:rFonts w:asciiTheme="minorHAnsi" w:hAnsiTheme="minorHAnsi" w:cstheme="minorHAnsi"/>
          <w:szCs w:val="24"/>
        </w:rPr>
        <w:t>Mansfield, Taunton</w:t>
      </w:r>
    </w:p>
    <w:p w14:paraId="33782F90" w14:textId="77777777" w:rsidR="00A659B0" w:rsidRDefault="00A659B0" w:rsidP="00A659B0">
      <w:pPr>
        <w:pStyle w:val="ListParagraph"/>
        <w:numPr>
          <w:ilvl w:val="0"/>
          <w:numId w:val="4"/>
        </w:numPr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towns in the PSA are the same except for the last two, Plainville and Taunton.</w:t>
      </w:r>
    </w:p>
    <w:p w14:paraId="24C568E0" w14:textId="77777777" w:rsidR="00A659B0" w:rsidRPr="00842772" w:rsidRDefault="00A659B0" w:rsidP="00A659B0">
      <w:pPr>
        <w:pStyle w:val="ListParagraph"/>
        <w:ind w:left="1080"/>
        <w:rPr>
          <w:rFonts w:asciiTheme="minorHAnsi" w:hAnsiTheme="minorHAnsi" w:cstheme="minorHAnsi"/>
          <w:szCs w:val="24"/>
        </w:rPr>
      </w:pPr>
    </w:p>
    <w:p w14:paraId="445530BE" w14:textId="77777777" w:rsidR="00A659B0" w:rsidRPr="00842772" w:rsidRDefault="00A659B0" w:rsidP="00A659B0">
      <w:pPr>
        <w:pStyle w:val="ListParagraph"/>
        <w:numPr>
          <w:ilvl w:val="0"/>
          <w:numId w:val="2"/>
        </w:numPr>
        <w:contextualSpacing/>
        <w:rPr>
          <w:b/>
          <w:bCs/>
          <w:szCs w:val="24"/>
        </w:rPr>
      </w:pPr>
      <w:r w:rsidRPr="00842772">
        <w:rPr>
          <w:rFonts w:asciiTheme="minorHAnsi" w:hAnsiTheme="minorHAnsi" w:cstheme="minorHAnsi"/>
          <w:szCs w:val="24"/>
        </w:rPr>
        <w:t>Patient Population Demographics.</w:t>
      </w:r>
    </w:p>
    <w:p w14:paraId="133BBAEC" w14:textId="77777777" w:rsidR="00A659B0" w:rsidRPr="00842772" w:rsidRDefault="00A659B0" w:rsidP="00A659B0">
      <w:pPr>
        <w:pStyle w:val="ListParagraph"/>
        <w:rPr>
          <w:b/>
          <w:bCs/>
          <w:szCs w:val="24"/>
        </w:rPr>
      </w:pPr>
    </w:p>
    <w:p w14:paraId="757EB7AA" w14:textId="77777777" w:rsidR="00A659B0" w:rsidRDefault="00A659B0" w:rsidP="00A659B0">
      <w:pPr>
        <w:ind w:left="431"/>
        <w:rPr>
          <w:rFonts w:asciiTheme="minorHAnsi" w:hAnsiTheme="minorHAnsi" w:cstheme="minorHAnsi"/>
          <w:szCs w:val="24"/>
        </w:rPr>
      </w:pPr>
      <w:r w:rsidRPr="00842772">
        <w:rPr>
          <w:rFonts w:asciiTheme="minorHAnsi" w:hAnsiTheme="minorHAnsi" w:cstheme="minorHAnsi"/>
          <w:szCs w:val="24"/>
        </w:rPr>
        <w:t xml:space="preserve">The table </w:t>
      </w:r>
      <w:r>
        <w:rPr>
          <w:rFonts w:asciiTheme="minorHAnsi" w:hAnsiTheme="minorHAnsi" w:cstheme="minorHAnsi"/>
          <w:szCs w:val="24"/>
        </w:rPr>
        <w:t xml:space="preserve">below </w:t>
      </w:r>
      <w:r w:rsidRPr="00842772">
        <w:rPr>
          <w:rFonts w:asciiTheme="minorHAnsi" w:hAnsiTheme="minorHAnsi" w:cstheme="minorHAnsi"/>
          <w:szCs w:val="24"/>
        </w:rPr>
        <w:t xml:space="preserve">provides the demographic data </w:t>
      </w:r>
      <w:r>
        <w:rPr>
          <w:rFonts w:asciiTheme="minorHAnsi" w:hAnsiTheme="minorHAnsi" w:cstheme="minorHAnsi"/>
          <w:szCs w:val="24"/>
        </w:rPr>
        <w:t xml:space="preserve">for </w:t>
      </w:r>
      <w:r w:rsidRPr="00842772">
        <w:rPr>
          <w:rFonts w:asciiTheme="minorHAnsi" w:hAnsiTheme="minorHAnsi" w:cstheme="minorHAnsi"/>
          <w:szCs w:val="24"/>
        </w:rPr>
        <w:t>the FY2023 patient populations served</w:t>
      </w:r>
      <w:r w:rsidRPr="00AD147C">
        <w:rPr>
          <w:rFonts w:asciiTheme="minorHAnsi" w:hAnsiTheme="minorHAnsi" w:cstheme="minorHAnsi"/>
          <w:szCs w:val="24"/>
        </w:rPr>
        <w:t xml:space="preserve"> </w:t>
      </w:r>
      <w:r w:rsidRPr="00842772">
        <w:rPr>
          <w:rFonts w:asciiTheme="minorHAnsi" w:hAnsiTheme="minorHAnsi" w:cstheme="minorHAnsi"/>
          <w:szCs w:val="24"/>
        </w:rPr>
        <w:t>by the procedure room in Mansfield that Sturdy seeks to transfer and by the existing pain</w:t>
      </w:r>
      <w:r w:rsidRPr="00AD147C">
        <w:rPr>
          <w:rFonts w:asciiTheme="minorHAnsi" w:hAnsiTheme="minorHAnsi" w:cstheme="minorHAnsi"/>
          <w:szCs w:val="24"/>
        </w:rPr>
        <w:t xml:space="preserve"> management clinic located at Sturdy’s main campus.</w:t>
      </w:r>
      <w:r>
        <w:rPr>
          <w:rFonts w:asciiTheme="minorHAnsi" w:hAnsiTheme="minorHAnsi" w:cstheme="minorHAnsi"/>
          <w:szCs w:val="24"/>
        </w:rPr>
        <w:t xml:space="preserve"> There is little variation among the two sites except between the gender cohort by site. </w:t>
      </w:r>
    </w:p>
    <w:p w14:paraId="1958DCFC" w14:textId="77777777" w:rsidR="00A659B0" w:rsidRDefault="00A659B0" w:rsidP="00A659B0">
      <w:pPr>
        <w:ind w:left="71"/>
        <w:rPr>
          <w:rFonts w:asciiTheme="minorHAnsi" w:hAnsiTheme="minorHAnsi" w:cstheme="minorHAnsi"/>
          <w:szCs w:val="24"/>
        </w:rPr>
      </w:pPr>
    </w:p>
    <w:tbl>
      <w:tblPr>
        <w:tblW w:w="8163" w:type="dxa"/>
        <w:jc w:val="center"/>
        <w:tblLook w:val="04A0" w:firstRow="1" w:lastRow="0" w:firstColumn="1" w:lastColumn="0" w:noHBand="0" w:noVBand="1"/>
      </w:tblPr>
      <w:tblGrid>
        <w:gridCol w:w="2780"/>
        <w:gridCol w:w="1320"/>
        <w:gridCol w:w="1044"/>
        <w:gridCol w:w="1980"/>
        <w:gridCol w:w="1039"/>
      </w:tblGrid>
      <w:tr w:rsidR="00A659B0" w:rsidRPr="00416AF1" w14:paraId="460763F8" w14:textId="77777777" w:rsidTr="002255A3">
        <w:trPr>
          <w:trHeight w:val="870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F9FF"/>
            <w:noWrap/>
            <w:vAlign w:val="center"/>
            <w:hideMark/>
          </w:tcPr>
          <w:p w14:paraId="01227C81" w14:textId="77777777" w:rsidR="00A659B0" w:rsidRPr="00416AF1" w:rsidRDefault="00A659B0" w:rsidP="002255A3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Demographic Profile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9FF"/>
            <w:vAlign w:val="center"/>
            <w:hideMark/>
          </w:tcPr>
          <w:p w14:paraId="230F02E2" w14:textId="77777777" w:rsidR="00A659B0" w:rsidRPr="00416AF1" w:rsidRDefault="00A659B0" w:rsidP="002255A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Satellite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9FF"/>
            <w:vAlign w:val="center"/>
            <w:hideMark/>
          </w:tcPr>
          <w:p w14:paraId="11EE5D6A" w14:textId="77777777" w:rsidR="00A659B0" w:rsidRPr="00416AF1" w:rsidRDefault="00A659B0" w:rsidP="002255A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%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9FF"/>
            <w:vAlign w:val="center"/>
            <w:hideMark/>
          </w:tcPr>
          <w:p w14:paraId="00826B2A" w14:textId="77777777" w:rsidR="00A659B0" w:rsidRPr="00416AF1" w:rsidRDefault="00A659B0" w:rsidP="002255A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Existing Pain Management</w:t>
            </w: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br/>
              <w:t>Service</w:t>
            </w:r>
            <w:r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at the Hospital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F9FF"/>
            <w:vAlign w:val="center"/>
            <w:hideMark/>
          </w:tcPr>
          <w:p w14:paraId="2655D635" w14:textId="77777777" w:rsidR="00A659B0" w:rsidRPr="00416AF1" w:rsidRDefault="00A659B0" w:rsidP="002255A3">
            <w:pPr>
              <w:jc w:val="center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%</w:t>
            </w:r>
          </w:p>
        </w:tc>
      </w:tr>
      <w:tr w:rsidR="00A659B0" w:rsidRPr="00416AF1" w14:paraId="2A121D32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EAFA" w14:textId="77777777" w:rsidR="00A659B0" w:rsidRPr="00416AF1" w:rsidRDefault="00A659B0" w:rsidP="002255A3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Age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300B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EAD1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F15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2339" w14:textId="77777777" w:rsidR="00A659B0" w:rsidRPr="00416AF1" w:rsidRDefault="00A659B0" w:rsidP="002255A3">
            <w:pPr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659B0" w:rsidRPr="00416AF1" w14:paraId="4E0AD019" w14:textId="77777777" w:rsidTr="002255A3">
        <w:trPr>
          <w:trHeight w:val="341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D8B0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0-18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3A363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   -  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09CB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A244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&lt;11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C54D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</w:tr>
      <w:tr w:rsidR="00A659B0" w:rsidRPr="00416AF1" w14:paraId="0C2624E1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209B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19-45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5A5C3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386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004F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16.1%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9A1B5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   249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4969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13.7%</w:t>
            </w:r>
          </w:p>
        </w:tc>
      </w:tr>
      <w:tr w:rsidR="00A659B0" w:rsidRPr="00416AF1" w14:paraId="1D177F3F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7626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46 - 65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E624C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999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FD4A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41.6%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C724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776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7FF4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42.8%</w:t>
            </w:r>
          </w:p>
        </w:tc>
      </w:tr>
      <w:tr w:rsidR="00A659B0" w:rsidRPr="00416AF1" w14:paraId="51942BE9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51EE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65+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8DA39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1,015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907A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42.3%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B7501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   787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9BA7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43.4%</w:t>
            </w:r>
          </w:p>
        </w:tc>
      </w:tr>
      <w:tr w:rsidR="00A659B0" w:rsidRPr="00416AF1" w14:paraId="3C8B44AD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5661B" w14:textId="77777777" w:rsidR="00A659B0" w:rsidRPr="00416AF1" w:rsidRDefault="00A659B0" w:rsidP="002255A3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Gender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F932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AF68" w14:textId="77777777" w:rsidR="00A659B0" w:rsidRPr="00416AF1" w:rsidRDefault="00A659B0" w:rsidP="002255A3">
            <w:pPr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041E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EDCD8" w14:textId="77777777" w:rsidR="00A659B0" w:rsidRPr="00416AF1" w:rsidRDefault="00A659B0" w:rsidP="002255A3">
            <w:pPr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659B0" w:rsidRPr="00416AF1" w14:paraId="6F5F4997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68494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Male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F28A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664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D6AA1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27.7%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07BCD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737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5519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40.7%</w:t>
            </w:r>
          </w:p>
        </w:tc>
      </w:tr>
      <w:tr w:rsidR="00A659B0" w:rsidRPr="00416AF1" w14:paraId="73E2303F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17D3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Female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B7C6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1,736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CA4B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72.3%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9543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1,075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ED80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59.3%</w:t>
            </w:r>
          </w:p>
        </w:tc>
      </w:tr>
      <w:tr w:rsidR="00A659B0" w:rsidRPr="00416AF1" w14:paraId="22C0B5AA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DEB1" w14:textId="77777777" w:rsidR="00A659B0" w:rsidRPr="00416AF1" w:rsidRDefault="00A659B0" w:rsidP="002255A3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Race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053E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64D" w14:textId="77777777" w:rsidR="00A659B0" w:rsidRPr="00416AF1" w:rsidRDefault="00A659B0" w:rsidP="002255A3">
            <w:pPr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1FC73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EB7DF" w14:textId="77777777" w:rsidR="00A659B0" w:rsidRPr="00416AF1" w:rsidRDefault="00A659B0" w:rsidP="002255A3">
            <w:pPr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659B0" w:rsidRPr="00416AF1" w14:paraId="2DC2CF88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F174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Black or African American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FE9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56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6AF48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2.3%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3B7D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49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1E8C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2.7%</w:t>
            </w:r>
          </w:p>
        </w:tc>
      </w:tr>
      <w:tr w:rsidR="00A659B0" w:rsidRPr="00416AF1" w14:paraId="27105EAB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52C0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Other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4806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35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D177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1.5%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A069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     13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E8B6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0.7%</w:t>
            </w:r>
          </w:p>
        </w:tc>
      </w:tr>
      <w:tr w:rsidR="00A659B0" w:rsidRPr="00416AF1" w14:paraId="71230BE3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83B6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Asian/Asian Indian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C2CC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43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ED23D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1.8%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46EF6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28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B67F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1.5%</w:t>
            </w:r>
          </w:p>
        </w:tc>
      </w:tr>
      <w:tr w:rsidR="00A659B0" w:rsidRPr="00416AF1" w14:paraId="559F5796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BF6ED" w14:textId="77777777" w:rsidR="00A659B0" w:rsidRPr="00416AF1" w:rsidRDefault="00A659B0" w:rsidP="002255A3">
            <w:pPr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>White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DEDA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2,266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3B98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94.4%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10D5D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color w:val="000000"/>
                <w:szCs w:val="24"/>
              </w:rPr>
              <w:t xml:space="preserve">               1,721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65C7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95.0%</w:t>
            </w:r>
          </w:p>
        </w:tc>
      </w:tr>
      <w:tr w:rsidR="00A659B0" w:rsidRPr="00416AF1" w14:paraId="474608EB" w14:textId="77777777" w:rsidTr="002255A3">
        <w:trPr>
          <w:trHeight w:val="310"/>
          <w:jc w:val="center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C98" w14:textId="77777777" w:rsidR="00A659B0" w:rsidRPr="00416AF1" w:rsidRDefault="00A659B0" w:rsidP="002255A3">
            <w:pPr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>Total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2AA8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2,400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6E42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100.0%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C44D" w14:textId="77777777" w:rsidR="00A659B0" w:rsidRPr="00416AF1" w:rsidRDefault="00A659B0" w:rsidP="002255A3">
            <w:pPr>
              <w:jc w:val="right"/>
              <w:rPr>
                <w:rFonts w:ascii="Calibri" w:hAnsi="Calibri" w:cs="Calibri"/>
                <w:b/>
                <w:bCs/>
                <w:color w:val="000000"/>
                <w:szCs w:val="24"/>
              </w:rPr>
            </w:pPr>
            <w:r w:rsidRPr="00416AF1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              1,812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8E26" w14:textId="77777777" w:rsidR="00A659B0" w:rsidRPr="00416AF1" w:rsidRDefault="00A659B0" w:rsidP="002255A3">
            <w:pPr>
              <w:jc w:val="right"/>
              <w:rPr>
                <w:rFonts w:ascii="Aptos Narrow" w:hAnsi="Aptos Narrow"/>
                <w:color w:val="000000"/>
              </w:rPr>
            </w:pPr>
            <w:r w:rsidRPr="00416AF1">
              <w:rPr>
                <w:rFonts w:ascii="Aptos Narrow" w:hAnsi="Aptos Narrow"/>
                <w:color w:val="000000"/>
              </w:rPr>
              <w:t>100.0%</w:t>
            </w:r>
          </w:p>
        </w:tc>
      </w:tr>
    </w:tbl>
    <w:p w14:paraId="64D0F34A" w14:textId="77777777" w:rsidR="00A659B0" w:rsidRDefault="00A659B0" w:rsidP="00A659B0">
      <w:pPr>
        <w:ind w:left="71"/>
        <w:rPr>
          <w:rFonts w:asciiTheme="minorHAnsi" w:hAnsiTheme="minorHAnsi" w:cstheme="minorHAnsi"/>
          <w:szCs w:val="24"/>
        </w:rPr>
      </w:pPr>
    </w:p>
    <w:p w14:paraId="3F124882" w14:textId="77777777" w:rsidR="00A659B0" w:rsidRPr="00416AF1" w:rsidRDefault="00A659B0" w:rsidP="00A659B0">
      <w:pPr>
        <w:pStyle w:val="ListParagraph"/>
        <w:numPr>
          <w:ilvl w:val="0"/>
          <w:numId w:val="2"/>
        </w:numPr>
        <w:ind w:left="502"/>
        <w:contextualSpacing/>
        <w:rPr>
          <w:rFonts w:asciiTheme="minorHAnsi" w:hAnsiTheme="minorHAnsi" w:cstheme="minorHAnsi"/>
          <w:szCs w:val="24"/>
        </w:rPr>
      </w:pPr>
      <w:r w:rsidRPr="00416AF1">
        <w:rPr>
          <w:rFonts w:asciiTheme="minorHAnsi" w:hAnsiTheme="minorHAnsi" w:cstheme="minorHAnsi"/>
          <w:szCs w:val="24"/>
        </w:rPr>
        <w:t>Patient Access</w:t>
      </w:r>
    </w:p>
    <w:p w14:paraId="3B7468E9" w14:textId="77777777" w:rsidR="00A659B0" w:rsidRDefault="00A659B0" w:rsidP="00A659B0">
      <w:pPr>
        <w:ind w:left="502"/>
        <w:rPr>
          <w:rFonts w:asciiTheme="minorHAnsi" w:hAnsiTheme="minorHAnsi" w:cstheme="minorHAnsi"/>
          <w:szCs w:val="24"/>
        </w:rPr>
      </w:pPr>
      <w:r w:rsidRPr="00AD147C">
        <w:rPr>
          <w:rFonts w:asciiTheme="minorHAnsi" w:hAnsiTheme="minorHAnsi" w:cstheme="minorHAnsi"/>
          <w:szCs w:val="24"/>
        </w:rPr>
        <w:t xml:space="preserve">By relocating the Hospital’s </w:t>
      </w:r>
      <w:r>
        <w:rPr>
          <w:rFonts w:asciiTheme="minorHAnsi" w:hAnsiTheme="minorHAnsi" w:cstheme="minorHAnsi"/>
          <w:szCs w:val="24"/>
        </w:rPr>
        <w:t>“</w:t>
      </w:r>
      <w:r w:rsidRPr="00AD147C">
        <w:rPr>
          <w:rFonts w:asciiTheme="minorHAnsi" w:hAnsiTheme="minorHAnsi" w:cstheme="minorHAnsi"/>
          <w:szCs w:val="24"/>
        </w:rPr>
        <w:t>right to operate</w:t>
      </w:r>
      <w:r>
        <w:rPr>
          <w:rFonts w:asciiTheme="minorHAnsi" w:hAnsiTheme="minorHAnsi" w:cstheme="minorHAnsi"/>
          <w:szCs w:val="24"/>
        </w:rPr>
        <w:t>”</w:t>
      </w:r>
      <w:r w:rsidRPr="00AD147C">
        <w:rPr>
          <w:rFonts w:asciiTheme="minorHAnsi" w:hAnsiTheme="minorHAnsi" w:cstheme="minorHAnsi"/>
          <w:szCs w:val="24"/>
        </w:rPr>
        <w:t xml:space="preserve"> the procedure room </w:t>
      </w:r>
      <w:r>
        <w:rPr>
          <w:rFonts w:asciiTheme="minorHAnsi" w:hAnsiTheme="minorHAnsi" w:cstheme="minorHAnsi"/>
          <w:szCs w:val="24"/>
        </w:rPr>
        <w:t xml:space="preserve">from the Satellite </w:t>
      </w:r>
      <w:r w:rsidRPr="00AD147C">
        <w:rPr>
          <w:rFonts w:asciiTheme="minorHAnsi" w:hAnsiTheme="minorHAnsi" w:cstheme="minorHAnsi"/>
          <w:szCs w:val="24"/>
        </w:rPr>
        <w:t xml:space="preserve">to </w:t>
      </w:r>
      <w:r>
        <w:rPr>
          <w:rFonts w:asciiTheme="minorHAnsi" w:hAnsiTheme="minorHAnsi" w:cstheme="minorHAnsi"/>
          <w:szCs w:val="24"/>
        </w:rPr>
        <w:t xml:space="preserve">the Hospital, </w:t>
      </w:r>
      <w:r w:rsidRPr="00AD147C">
        <w:rPr>
          <w:rFonts w:asciiTheme="minorHAnsi" w:hAnsiTheme="minorHAnsi" w:cstheme="minorHAnsi"/>
          <w:szCs w:val="24"/>
        </w:rPr>
        <w:t xml:space="preserve">for the provision of pain management services, </w:t>
      </w:r>
      <w:r>
        <w:rPr>
          <w:rFonts w:asciiTheme="minorHAnsi" w:hAnsiTheme="minorHAnsi" w:cstheme="minorHAnsi"/>
          <w:szCs w:val="24"/>
        </w:rPr>
        <w:t>the service w</w:t>
      </w:r>
      <w:r w:rsidRPr="00AD147C">
        <w:rPr>
          <w:rFonts w:asciiTheme="minorHAnsi" w:hAnsiTheme="minorHAnsi" w:cstheme="minorHAnsi"/>
          <w:szCs w:val="24"/>
        </w:rPr>
        <w:t>ill improve</w:t>
      </w:r>
      <w:r w:rsidRPr="00691A2D">
        <w:rPr>
          <w:rFonts w:asciiTheme="minorHAnsi" w:hAnsiTheme="minorHAnsi" w:cstheme="minorHAnsi"/>
          <w:szCs w:val="24"/>
        </w:rPr>
        <w:t xml:space="preserve"> timely </w:t>
      </w:r>
      <w:r w:rsidRPr="00AD147C">
        <w:rPr>
          <w:rFonts w:asciiTheme="minorHAnsi" w:hAnsiTheme="minorHAnsi" w:cstheme="minorHAnsi"/>
          <w:szCs w:val="24"/>
        </w:rPr>
        <w:t>access to pain management services for its Patient Panel and the</w:t>
      </w:r>
      <w:r w:rsidRPr="00691A2D">
        <w:rPr>
          <w:rFonts w:asciiTheme="minorHAnsi" w:hAnsiTheme="minorHAnsi" w:cstheme="minorHAnsi"/>
          <w:szCs w:val="24"/>
        </w:rPr>
        <w:t xml:space="preserve"> Service Area</w:t>
      </w:r>
      <w:r>
        <w:rPr>
          <w:rFonts w:asciiTheme="minorHAnsi" w:hAnsiTheme="minorHAnsi" w:cstheme="minorHAnsi"/>
          <w:szCs w:val="24"/>
        </w:rPr>
        <w:t xml:space="preserve"> </w:t>
      </w:r>
      <w:bookmarkStart w:id="1" w:name="_Hlk165475475"/>
      <w:r>
        <w:rPr>
          <w:rFonts w:asciiTheme="minorHAnsi" w:hAnsiTheme="minorHAnsi" w:cstheme="minorHAnsi"/>
          <w:szCs w:val="24"/>
        </w:rPr>
        <w:t xml:space="preserve">Population providing </w:t>
      </w:r>
      <w:r w:rsidRPr="00B6673A">
        <w:rPr>
          <w:rFonts w:asciiTheme="minorHAnsi" w:hAnsiTheme="minorHAnsi" w:cstheme="minorHAnsi"/>
          <w:szCs w:val="24"/>
        </w:rPr>
        <w:t>quicker pain relief and increase</w:t>
      </w:r>
      <w:r>
        <w:rPr>
          <w:rFonts w:asciiTheme="minorHAnsi" w:hAnsiTheme="minorHAnsi" w:cstheme="minorHAnsi"/>
          <w:szCs w:val="24"/>
        </w:rPr>
        <w:t>d</w:t>
      </w:r>
      <w:r w:rsidRPr="00B6673A">
        <w:rPr>
          <w:rFonts w:asciiTheme="minorHAnsi" w:hAnsiTheme="minorHAnsi" w:cstheme="minorHAnsi"/>
          <w:szCs w:val="24"/>
        </w:rPr>
        <w:t xml:space="preserve"> patient satisfaction</w:t>
      </w:r>
      <w:r>
        <w:rPr>
          <w:rFonts w:asciiTheme="minorHAnsi" w:hAnsiTheme="minorHAnsi" w:cstheme="minorHAnsi"/>
          <w:szCs w:val="24"/>
        </w:rPr>
        <w:t xml:space="preserve">. </w:t>
      </w:r>
      <w:r w:rsidRPr="00B6673A">
        <w:rPr>
          <w:rFonts w:asciiTheme="minorHAnsi" w:hAnsiTheme="minorHAnsi" w:cstheme="minorHAnsi"/>
          <w:szCs w:val="24"/>
        </w:rPr>
        <w:t xml:space="preserve">The current wait times are 3-4 weeks. </w:t>
      </w:r>
      <w:bookmarkEnd w:id="1"/>
      <w:r w:rsidRPr="00AD147C">
        <w:rPr>
          <w:rFonts w:asciiTheme="minorHAnsi" w:hAnsiTheme="minorHAnsi" w:cstheme="minorHAnsi"/>
          <w:szCs w:val="24"/>
        </w:rPr>
        <w:t>The Hospital currently has one</w:t>
      </w:r>
      <w:r w:rsidRPr="00691A2D">
        <w:rPr>
          <w:rFonts w:asciiTheme="minorHAnsi" w:hAnsiTheme="minorHAnsi" w:cstheme="minorHAnsi"/>
          <w:szCs w:val="24"/>
        </w:rPr>
        <w:t xml:space="preserve"> </w:t>
      </w:r>
      <w:r w:rsidRPr="00AD147C">
        <w:rPr>
          <w:rFonts w:asciiTheme="minorHAnsi" w:hAnsiTheme="minorHAnsi" w:cstheme="minorHAnsi"/>
          <w:szCs w:val="24"/>
        </w:rPr>
        <w:t>procedure room to provide patients with pain management services. The second procedure room</w:t>
      </w:r>
      <w:r>
        <w:rPr>
          <w:rFonts w:asciiTheme="minorHAnsi" w:hAnsiTheme="minorHAnsi" w:cstheme="minorHAnsi"/>
          <w:szCs w:val="24"/>
        </w:rPr>
        <w:t xml:space="preserve"> at the Hospital</w:t>
      </w:r>
      <w:r w:rsidRPr="00AD147C">
        <w:rPr>
          <w:rFonts w:asciiTheme="minorHAnsi" w:hAnsiTheme="minorHAnsi" w:cstheme="minorHAnsi"/>
          <w:szCs w:val="24"/>
        </w:rPr>
        <w:t xml:space="preserve"> will allow Sturdy to better manage wait</w:t>
      </w:r>
      <w:r w:rsidRPr="00691A2D">
        <w:rPr>
          <w:rFonts w:asciiTheme="minorHAnsi" w:hAnsiTheme="minorHAnsi" w:cstheme="minorHAnsi"/>
          <w:szCs w:val="24"/>
        </w:rPr>
        <w:t xml:space="preserve"> </w:t>
      </w:r>
      <w:r w:rsidRPr="00AD147C">
        <w:rPr>
          <w:rFonts w:asciiTheme="minorHAnsi" w:hAnsiTheme="minorHAnsi" w:cstheme="minorHAnsi"/>
          <w:szCs w:val="24"/>
        </w:rPr>
        <w:t xml:space="preserve">times by reducing the amount of time between cases </w:t>
      </w:r>
      <w:proofErr w:type="gramStart"/>
      <w:r w:rsidRPr="00AD147C">
        <w:rPr>
          <w:rFonts w:asciiTheme="minorHAnsi" w:hAnsiTheme="minorHAnsi" w:cstheme="minorHAnsi"/>
          <w:szCs w:val="24"/>
        </w:rPr>
        <w:t>as a result of</w:t>
      </w:r>
      <w:proofErr w:type="gramEnd"/>
      <w:r w:rsidRPr="00AD147C">
        <w:rPr>
          <w:rFonts w:asciiTheme="minorHAnsi" w:hAnsiTheme="minorHAnsi" w:cstheme="minorHAnsi"/>
          <w:szCs w:val="24"/>
        </w:rPr>
        <w:t xml:space="preserve"> cleaning and turnover.</w:t>
      </w:r>
      <w:r w:rsidRPr="00691A2D">
        <w:rPr>
          <w:rFonts w:asciiTheme="minorHAnsi" w:hAnsiTheme="minorHAnsi" w:cstheme="minorHAnsi"/>
          <w:szCs w:val="24"/>
        </w:rPr>
        <w:t xml:space="preserve"> </w:t>
      </w:r>
      <w:r w:rsidRPr="00AD147C">
        <w:rPr>
          <w:rFonts w:asciiTheme="minorHAnsi" w:hAnsiTheme="minorHAnsi" w:cstheme="minorHAnsi"/>
          <w:szCs w:val="24"/>
        </w:rPr>
        <w:t>This more efficient use of clinical staffing is expected to reduce patient wait times, in turn</w:t>
      </w:r>
      <w:r w:rsidRPr="00691A2D">
        <w:rPr>
          <w:rFonts w:asciiTheme="minorHAnsi" w:hAnsiTheme="minorHAnsi" w:cstheme="minorHAnsi"/>
          <w:szCs w:val="24"/>
        </w:rPr>
        <w:t xml:space="preserve"> </w:t>
      </w:r>
      <w:r w:rsidRPr="00AD147C">
        <w:rPr>
          <w:rFonts w:asciiTheme="minorHAnsi" w:hAnsiTheme="minorHAnsi" w:cstheme="minorHAnsi"/>
          <w:szCs w:val="24"/>
        </w:rPr>
        <w:t>allowing a modest increase in overall procedure volume</w:t>
      </w:r>
      <w:r>
        <w:rPr>
          <w:rFonts w:asciiTheme="minorHAnsi" w:hAnsiTheme="minorHAnsi" w:cstheme="minorHAnsi"/>
          <w:szCs w:val="24"/>
        </w:rPr>
        <w:t xml:space="preserve"> and patients served</w:t>
      </w:r>
      <w:r w:rsidRPr="00AD147C">
        <w:rPr>
          <w:rFonts w:asciiTheme="minorHAnsi" w:hAnsiTheme="minorHAnsi" w:cstheme="minorHAnsi"/>
          <w:szCs w:val="24"/>
        </w:rPr>
        <w:t>.</w:t>
      </w:r>
      <w:r>
        <w:rPr>
          <w:rStyle w:val="FootnoteReference"/>
          <w:rFonts w:asciiTheme="minorHAnsi" w:hAnsiTheme="minorHAnsi" w:cstheme="minorHAnsi"/>
          <w:szCs w:val="24"/>
        </w:rPr>
        <w:footnoteReference w:id="1"/>
      </w:r>
    </w:p>
    <w:p w14:paraId="7BE989A2" w14:textId="77777777" w:rsidR="00A659B0" w:rsidRPr="00AD147C" w:rsidRDefault="00A659B0" w:rsidP="00A659B0">
      <w:pPr>
        <w:rPr>
          <w:sz w:val="26"/>
          <w:szCs w:val="24"/>
        </w:rPr>
      </w:pPr>
    </w:p>
    <w:p w14:paraId="495207A2" w14:textId="77777777" w:rsidR="00A659B0" w:rsidRPr="00416AF1" w:rsidRDefault="00A659B0" w:rsidP="00A659B0">
      <w:pPr>
        <w:pStyle w:val="ListParagraph"/>
        <w:numPr>
          <w:ilvl w:val="0"/>
          <w:numId w:val="2"/>
        </w:numPr>
        <w:ind w:left="450" w:hanging="450"/>
        <w:contextualSpacing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 w:rsidRPr="00416AF1">
        <w:rPr>
          <w:rFonts w:asciiTheme="minorHAnsi" w:hAnsiTheme="minorHAnsi" w:cstheme="minorHAnsi"/>
          <w:szCs w:val="24"/>
        </w:rPr>
        <w:t xml:space="preserve">mpact </w:t>
      </w:r>
      <w:r>
        <w:rPr>
          <w:rFonts w:asciiTheme="minorHAnsi" w:hAnsiTheme="minorHAnsi" w:cstheme="minorHAnsi"/>
          <w:szCs w:val="24"/>
        </w:rPr>
        <w:t>on P</w:t>
      </w:r>
      <w:r w:rsidRPr="00416AF1">
        <w:rPr>
          <w:rFonts w:asciiTheme="minorHAnsi" w:hAnsiTheme="minorHAnsi" w:cstheme="minorHAnsi"/>
          <w:szCs w:val="24"/>
        </w:rPr>
        <w:t>rice</w:t>
      </w:r>
      <w:r>
        <w:rPr>
          <w:rFonts w:asciiTheme="minorHAnsi" w:hAnsiTheme="minorHAnsi" w:cstheme="minorHAnsi"/>
          <w:szCs w:val="24"/>
        </w:rPr>
        <w:t xml:space="preserve"> -</w:t>
      </w:r>
      <w:r w:rsidRPr="00416AF1">
        <w:rPr>
          <w:rFonts w:asciiTheme="minorHAnsi" w:hAnsiTheme="minorHAnsi" w:cstheme="minorHAnsi"/>
          <w:szCs w:val="24"/>
        </w:rPr>
        <w:t xml:space="preserve"> There will be no change in contracts or in payor reimbursement for the pain management services provided at Sturdy </w:t>
      </w:r>
      <w:proofErr w:type="gramStart"/>
      <w:r w:rsidRPr="00416AF1">
        <w:rPr>
          <w:rFonts w:asciiTheme="minorHAnsi" w:hAnsiTheme="minorHAnsi" w:cstheme="minorHAnsi"/>
          <w:szCs w:val="24"/>
        </w:rPr>
        <w:t>as a result of</w:t>
      </w:r>
      <w:proofErr w:type="gramEnd"/>
      <w:r w:rsidRPr="00416AF1">
        <w:rPr>
          <w:rFonts w:asciiTheme="minorHAnsi" w:hAnsiTheme="minorHAnsi" w:cstheme="minorHAnsi"/>
          <w:szCs w:val="24"/>
        </w:rPr>
        <w:t xml:space="preserve"> the Proposed Transfer</w:t>
      </w:r>
      <w:r>
        <w:rPr>
          <w:rFonts w:asciiTheme="minorHAnsi" w:hAnsiTheme="minorHAnsi" w:cstheme="minorHAnsi"/>
          <w:szCs w:val="24"/>
        </w:rPr>
        <w:t xml:space="preserve"> of Site.</w:t>
      </w:r>
    </w:p>
    <w:p w14:paraId="6AFBAE63" w14:textId="77777777" w:rsidR="00A659B0" w:rsidRPr="00AD147C" w:rsidRDefault="00A659B0" w:rsidP="00A659B0">
      <w:pPr>
        <w:rPr>
          <w:sz w:val="26"/>
          <w:szCs w:val="24"/>
        </w:rPr>
      </w:pPr>
    </w:p>
    <w:p w14:paraId="545DF251" w14:textId="77777777" w:rsidR="00A659B0" w:rsidRPr="00F842F9" w:rsidRDefault="00A659B0" w:rsidP="00A659B0">
      <w:pPr>
        <w:pStyle w:val="ListParagraph"/>
        <w:numPr>
          <w:ilvl w:val="0"/>
          <w:numId w:val="2"/>
        </w:numPr>
        <w:ind w:left="360"/>
        <w:contextualSpacing/>
        <w:rPr>
          <w:rFonts w:asciiTheme="minorHAnsi" w:hAnsiTheme="minorHAnsi" w:cstheme="minorHAnsi"/>
          <w:szCs w:val="24"/>
        </w:rPr>
      </w:pPr>
      <w:bookmarkStart w:id="2" w:name="_Hlk165475296"/>
      <w:r>
        <w:rPr>
          <w:rFonts w:asciiTheme="minorHAnsi" w:hAnsiTheme="minorHAnsi" w:cstheme="minorHAnsi"/>
          <w:szCs w:val="24"/>
        </w:rPr>
        <w:t>Sturdy asserts that t</w:t>
      </w:r>
      <w:r w:rsidRPr="00B6673A">
        <w:rPr>
          <w:rFonts w:asciiTheme="minorHAnsi" w:hAnsiTheme="minorHAnsi" w:cstheme="minorHAnsi"/>
          <w:szCs w:val="24"/>
        </w:rPr>
        <w:t>he transfer of the right to operate one procedure room will have neutral or positive impact on TME</w:t>
      </w:r>
      <w:r>
        <w:rPr>
          <w:rFonts w:asciiTheme="minorHAnsi" w:hAnsiTheme="minorHAnsi" w:cstheme="minorHAnsi"/>
          <w:szCs w:val="24"/>
        </w:rPr>
        <w:t xml:space="preserve"> because,</w:t>
      </w:r>
      <w:r w:rsidRPr="00F842F9">
        <w:rPr>
          <w:rFonts w:asciiTheme="minorHAnsi" w:hAnsiTheme="minorHAnsi" w:cstheme="minorHAnsi"/>
          <w:szCs w:val="24"/>
        </w:rPr>
        <w:t xml:space="preserve"> the existing procedure room </w:t>
      </w:r>
      <w:r>
        <w:rPr>
          <w:rFonts w:asciiTheme="minorHAnsi" w:hAnsiTheme="minorHAnsi" w:cstheme="minorHAnsi"/>
          <w:szCs w:val="24"/>
        </w:rPr>
        <w:t xml:space="preserve">at the Mansfield satellite </w:t>
      </w:r>
      <w:r w:rsidRPr="00F842F9">
        <w:rPr>
          <w:rFonts w:asciiTheme="minorHAnsi" w:hAnsiTheme="minorHAnsi" w:cstheme="minorHAnsi"/>
          <w:szCs w:val="24"/>
        </w:rPr>
        <w:t>will be converted to a physician practic</w:t>
      </w:r>
      <w:r>
        <w:rPr>
          <w:rFonts w:asciiTheme="minorHAnsi" w:hAnsiTheme="minorHAnsi" w:cstheme="minorHAnsi"/>
          <w:szCs w:val="24"/>
        </w:rPr>
        <w:t>e, and as such</w:t>
      </w:r>
      <w:r w:rsidRPr="00F842F9">
        <w:rPr>
          <w:rFonts w:asciiTheme="minorHAnsi" w:hAnsiTheme="minorHAnsi" w:cstheme="minorHAnsi"/>
          <w:szCs w:val="24"/>
        </w:rPr>
        <w:t xml:space="preserve"> reimbursement will decrease by approximately 14%</w:t>
      </w:r>
      <w:r>
        <w:rPr>
          <w:rFonts w:asciiTheme="minorHAnsi" w:hAnsiTheme="minorHAnsi" w:cstheme="minorHAnsi"/>
          <w:szCs w:val="24"/>
        </w:rPr>
        <w:t>. This will counterbalance the small increases associated with the new room which as described in #4 above will use resources more efficiently.</w:t>
      </w:r>
    </w:p>
    <w:bookmarkEnd w:id="2"/>
    <w:p w14:paraId="3325EC10" w14:textId="77777777" w:rsidR="00A659B0" w:rsidRDefault="00A659B0" w:rsidP="00A659B0">
      <w:pPr>
        <w:pStyle w:val="ListParagraph"/>
        <w:ind w:left="360"/>
        <w:rPr>
          <w:rFonts w:asciiTheme="minorHAnsi" w:hAnsiTheme="minorHAnsi" w:cstheme="minorHAnsi"/>
          <w:szCs w:val="24"/>
        </w:rPr>
      </w:pPr>
    </w:p>
    <w:p w14:paraId="50DDE519" w14:textId="77777777" w:rsidR="00A659B0" w:rsidRPr="00982DAA" w:rsidRDefault="00A659B0" w:rsidP="00A659B0">
      <w:pPr>
        <w:pStyle w:val="ListParagraph"/>
        <w:rPr>
          <w:rFonts w:asciiTheme="minorHAnsi" w:hAnsiTheme="minorHAnsi" w:cstheme="minorHAnsi"/>
          <w:szCs w:val="24"/>
        </w:rPr>
      </w:pPr>
    </w:p>
    <w:p w14:paraId="6BAACE44" w14:textId="77777777" w:rsidR="00A659B0" w:rsidRDefault="00A659B0" w:rsidP="004F60AF">
      <w:pPr>
        <w:pStyle w:val="ListParagraph"/>
        <w:ind w:left="0" w:firstLine="0"/>
        <w:rPr>
          <w:rFonts w:asciiTheme="minorHAnsi" w:hAnsiTheme="minorHAnsi" w:cstheme="minorHAnsi"/>
          <w:b/>
          <w:bCs/>
          <w:szCs w:val="24"/>
        </w:rPr>
      </w:pPr>
      <w:r w:rsidRPr="00A937F8">
        <w:rPr>
          <w:rFonts w:asciiTheme="minorHAnsi" w:hAnsiTheme="minorHAnsi" w:cstheme="minorHAnsi"/>
          <w:b/>
          <w:bCs/>
          <w:szCs w:val="24"/>
        </w:rPr>
        <w:t>FINDINGS</w:t>
      </w:r>
    </w:p>
    <w:p w14:paraId="12B7ECE9" w14:textId="77777777" w:rsidR="00A659B0" w:rsidRDefault="00A659B0" w:rsidP="004F60AF">
      <w:pPr>
        <w:pStyle w:val="ListParagraph"/>
        <w:ind w:left="0" w:firstLine="0"/>
        <w:rPr>
          <w:rFonts w:asciiTheme="minorHAnsi" w:hAnsiTheme="minorHAnsi" w:cstheme="minorHAnsi"/>
          <w:b/>
          <w:bCs/>
          <w:szCs w:val="24"/>
        </w:rPr>
      </w:pPr>
    </w:p>
    <w:p w14:paraId="350850D5" w14:textId="77777777" w:rsidR="00A659B0" w:rsidRDefault="00A659B0" w:rsidP="004F60AF">
      <w:pPr>
        <w:pStyle w:val="ListParagraph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Department finds that </w:t>
      </w:r>
      <w:r w:rsidRPr="00A937F8">
        <w:rPr>
          <w:rFonts w:asciiTheme="minorHAnsi" w:hAnsiTheme="minorHAnsi" w:cstheme="minorHAnsi"/>
          <w:szCs w:val="24"/>
        </w:rPr>
        <w:t xml:space="preserve">Sturdy has </w:t>
      </w:r>
      <w:r>
        <w:rPr>
          <w:rFonts w:asciiTheme="minorHAnsi" w:hAnsiTheme="minorHAnsi" w:cstheme="minorHAnsi"/>
          <w:szCs w:val="24"/>
        </w:rPr>
        <w:t xml:space="preserve">provided the Department with the information required in 105 CMR 100.745(D). Based on a review of the </w:t>
      </w:r>
      <w:r w:rsidRPr="00A937F8">
        <w:rPr>
          <w:rFonts w:asciiTheme="minorHAnsi" w:hAnsiTheme="minorHAnsi" w:cstheme="minorHAnsi"/>
          <w:szCs w:val="24"/>
        </w:rPr>
        <w:t xml:space="preserve">Notice and </w:t>
      </w:r>
      <w:r>
        <w:rPr>
          <w:rFonts w:asciiTheme="minorHAnsi" w:hAnsiTheme="minorHAnsi" w:cstheme="minorHAnsi"/>
          <w:szCs w:val="24"/>
        </w:rPr>
        <w:t xml:space="preserve">supporting materials, the Department finds that this transaction does not require a </w:t>
      </w:r>
      <w:proofErr w:type="spellStart"/>
      <w:r>
        <w:rPr>
          <w:rFonts w:asciiTheme="minorHAnsi" w:hAnsiTheme="minorHAnsi" w:cstheme="minorHAnsi"/>
          <w:szCs w:val="24"/>
        </w:rPr>
        <w:t>DoN</w:t>
      </w:r>
      <w:proofErr w:type="spellEnd"/>
      <w:r>
        <w:rPr>
          <w:rFonts w:asciiTheme="minorHAnsi" w:hAnsiTheme="minorHAnsi" w:cstheme="minorHAnsi"/>
          <w:szCs w:val="24"/>
        </w:rPr>
        <w:t xml:space="preserve"> either as a Substantial Capital Expenditure or Substantial Change in Service, </w:t>
      </w:r>
      <w:r w:rsidRPr="00A937F8">
        <w:rPr>
          <w:rFonts w:asciiTheme="minorHAnsi" w:hAnsiTheme="minorHAnsi" w:cstheme="minorHAnsi"/>
          <w:szCs w:val="24"/>
        </w:rPr>
        <w:t>pursuant to 105 CMR 100.715</w:t>
      </w:r>
      <w:r>
        <w:rPr>
          <w:rFonts w:asciiTheme="minorHAnsi" w:hAnsiTheme="minorHAnsi" w:cstheme="minorHAnsi"/>
          <w:szCs w:val="24"/>
        </w:rPr>
        <w:t xml:space="preserve">, and that Sturdy may move forward with the proposed changes at the designated locations. </w:t>
      </w:r>
    </w:p>
    <w:p w14:paraId="1B11B8F9" w14:textId="77777777" w:rsidR="00A659B0" w:rsidRDefault="00A659B0" w:rsidP="00A659B0">
      <w:pPr>
        <w:pStyle w:val="ListParagraph"/>
        <w:ind w:left="360"/>
        <w:rPr>
          <w:b/>
          <w:bCs/>
        </w:rPr>
      </w:pPr>
    </w:p>
    <w:p w14:paraId="11F1E7C6" w14:textId="77777777" w:rsidR="00A659B0" w:rsidRDefault="00A659B0" w:rsidP="00A659B0">
      <w:pPr>
        <w:spacing w:before="207"/>
        <w:rPr>
          <w:rFonts w:ascii="Calibri" w:hAnsi="Calibri" w:cs="Calibri"/>
          <w:szCs w:val="24"/>
        </w:rPr>
      </w:pPr>
      <w:r w:rsidRPr="001F1564">
        <w:rPr>
          <w:rFonts w:ascii="Calibri" w:hAnsi="Calibri" w:cs="Calibri"/>
          <w:szCs w:val="24"/>
        </w:rPr>
        <w:t xml:space="preserve">Sincerely, </w:t>
      </w:r>
    </w:p>
    <w:p w14:paraId="320B4283" w14:textId="77777777" w:rsidR="004F60AF" w:rsidRDefault="004F60AF" w:rsidP="00A659B0">
      <w:pPr>
        <w:spacing w:before="207"/>
        <w:rPr>
          <w:rFonts w:ascii="Calibri" w:hAnsi="Calibri" w:cs="Calibri"/>
          <w:szCs w:val="24"/>
        </w:rPr>
      </w:pPr>
    </w:p>
    <w:p w14:paraId="1C925E9D" w14:textId="038D19C6" w:rsidR="004F60AF" w:rsidRPr="001F1564" w:rsidRDefault="004F60AF" w:rsidP="00A659B0">
      <w:pPr>
        <w:spacing w:before="207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[signature on file]</w:t>
      </w:r>
    </w:p>
    <w:p w14:paraId="08555D11" w14:textId="77777777" w:rsidR="00A659B0" w:rsidRPr="001F1564" w:rsidRDefault="00A659B0" w:rsidP="00A659B0">
      <w:pPr>
        <w:spacing w:before="207"/>
        <w:rPr>
          <w:rFonts w:ascii="Calibri" w:hAnsi="Calibri" w:cs="Calibri"/>
          <w:szCs w:val="24"/>
        </w:rPr>
      </w:pPr>
    </w:p>
    <w:p w14:paraId="4DE00940" w14:textId="77777777" w:rsidR="00A659B0" w:rsidRPr="001F1564" w:rsidRDefault="00A659B0" w:rsidP="00A659B0">
      <w:pPr>
        <w:spacing w:before="207"/>
        <w:rPr>
          <w:rFonts w:ascii="Calibri" w:hAnsi="Calibri" w:cs="Calibri"/>
          <w:szCs w:val="24"/>
        </w:rPr>
      </w:pPr>
      <w:r w:rsidRPr="001F1564">
        <w:rPr>
          <w:rFonts w:ascii="Calibri" w:hAnsi="Calibri" w:cs="Calibri"/>
          <w:szCs w:val="24"/>
        </w:rPr>
        <w:t>Robert</w:t>
      </w:r>
      <w:r w:rsidRPr="001F1564">
        <w:rPr>
          <w:rFonts w:ascii="Calibri" w:hAnsi="Calibri" w:cs="Calibri"/>
          <w:spacing w:val="-2"/>
          <w:szCs w:val="24"/>
        </w:rPr>
        <w:t xml:space="preserve"> </w:t>
      </w:r>
      <w:r w:rsidRPr="001F1564">
        <w:rPr>
          <w:rFonts w:ascii="Calibri" w:hAnsi="Calibri" w:cs="Calibri"/>
          <w:szCs w:val="24"/>
        </w:rPr>
        <w:t>Goldstein,</w:t>
      </w:r>
      <w:r w:rsidRPr="001F1564">
        <w:rPr>
          <w:rFonts w:ascii="Calibri" w:hAnsi="Calibri" w:cs="Calibri"/>
          <w:spacing w:val="-2"/>
          <w:szCs w:val="24"/>
        </w:rPr>
        <w:t xml:space="preserve"> </w:t>
      </w:r>
      <w:r w:rsidRPr="001F1564">
        <w:rPr>
          <w:rFonts w:ascii="Calibri" w:hAnsi="Calibri" w:cs="Calibri"/>
          <w:szCs w:val="24"/>
        </w:rPr>
        <w:t>MD,</w:t>
      </w:r>
      <w:r w:rsidRPr="001F1564">
        <w:rPr>
          <w:rFonts w:ascii="Calibri" w:hAnsi="Calibri" w:cs="Calibri"/>
          <w:spacing w:val="-1"/>
          <w:szCs w:val="24"/>
        </w:rPr>
        <w:t xml:space="preserve"> </w:t>
      </w:r>
      <w:r w:rsidRPr="001F1564">
        <w:rPr>
          <w:rFonts w:ascii="Calibri" w:hAnsi="Calibri" w:cs="Calibri"/>
          <w:spacing w:val="-5"/>
          <w:szCs w:val="24"/>
        </w:rPr>
        <w:t>PhD</w:t>
      </w:r>
    </w:p>
    <w:p w14:paraId="26CFBF4F" w14:textId="77777777" w:rsidR="00A659B0" w:rsidRPr="001F1564" w:rsidRDefault="00A659B0" w:rsidP="00A659B0">
      <w:pPr>
        <w:rPr>
          <w:rFonts w:ascii="Calibri" w:hAnsi="Calibri" w:cs="Calibri"/>
          <w:szCs w:val="24"/>
        </w:rPr>
      </w:pPr>
      <w:r w:rsidRPr="001F1564">
        <w:rPr>
          <w:rFonts w:ascii="Calibri" w:hAnsi="Calibri" w:cs="Calibri"/>
          <w:szCs w:val="24"/>
        </w:rPr>
        <w:t>Commissioner,</w:t>
      </w:r>
      <w:r w:rsidRPr="001F1564">
        <w:rPr>
          <w:rFonts w:ascii="Calibri" w:hAnsi="Calibri" w:cs="Calibri"/>
          <w:spacing w:val="-6"/>
          <w:szCs w:val="24"/>
        </w:rPr>
        <w:t xml:space="preserve"> </w:t>
      </w:r>
      <w:r w:rsidRPr="001F1564">
        <w:rPr>
          <w:rFonts w:ascii="Calibri" w:hAnsi="Calibri" w:cs="Calibri"/>
          <w:szCs w:val="24"/>
        </w:rPr>
        <w:t>Massachusetts</w:t>
      </w:r>
      <w:r w:rsidRPr="001F1564">
        <w:rPr>
          <w:rFonts w:ascii="Calibri" w:hAnsi="Calibri" w:cs="Calibri"/>
          <w:spacing w:val="-3"/>
          <w:szCs w:val="24"/>
        </w:rPr>
        <w:t xml:space="preserve"> </w:t>
      </w:r>
      <w:r w:rsidRPr="001F1564">
        <w:rPr>
          <w:rFonts w:ascii="Calibri" w:hAnsi="Calibri" w:cs="Calibri"/>
          <w:szCs w:val="24"/>
        </w:rPr>
        <w:t>Department</w:t>
      </w:r>
      <w:r w:rsidRPr="001F1564">
        <w:rPr>
          <w:rFonts w:ascii="Calibri" w:hAnsi="Calibri" w:cs="Calibri"/>
          <w:spacing w:val="-3"/>
          <w:szCs w:val="24"/>
        </w:rPr>
        <w:t xml:space="preserve"> </w:t>
      </w:r>
      <w:r w:rsidRPr="001F1564">
        <w:rPr>
          <w:rFonts w:ascii="Calibri" w:hAnsi="Calibri" w:cs="Calibri"/>
          <w:szCs w:val="24"/>
        </w:rPr>
        <w:t>of</w:t>
      </w:r>
      <w:r w:rsidRPr="001F1564">
        <w:rPr>
          <w:rFonts w:ascii="Calibri" w:hAnsi="Calibri" w:cs="Calibri"/>
          <w:spacing w:val="-3"/>
          <w:szCs w:val="24"/>
        </w:rPr>
        <w:t xml:space="preserve"> </w:t>
      </w:r>
      <w:r w:rsidRPr="001F1564">
        <w:rPr>
          <w:rFonts w:ascii="Calibri" w:hAnsi="Calibri" w:cs="Calibri"/>
          <w:szCs w:val="24"/>
        </w:rPr>
        <w:t>Public</w:t>
      </w:r>
      <w:r w:rsidRPr="001F1564">
        <w:rPr>
          <w:rFonts w:ascii="Calibri" w:hAnsi="Calibri" w:cs="Calibri"/>
          <w:spacing w:val="-3"/>
          <w:szCs w:val="24"/>
        </w:rPr>
        <w:t xml:space="preserve"> </w:t>
      </w:r>
      <w:r w:rsidRPr="001F1564">
        <w:rPr>
          <w:rFonts w:ascii="Calibri" w:hAnsi="Calibri" w:cs="Calibri"/>
          <w:spacing w:val="-2"/>
          <w:szCs w:val="24"/>
        </w:rPr>
        <w:t>Health</w:t>
      </w:r>
    </w:p>
    <w:p w14:paraId="0AEAF220" w14:textId="77777777" w:rsidR="00A659B0" w:rsidRPr="00A937F8" w:rsidRDefault="00A659B0" w:rsidP="00A659B0">
      <w:pPr>
        <w:pStyle w:val="ListParagraph"/>
        <w:ind w:left="360"/>
        <w:rPr>
          <w:b/>
          <w:bCs/>
        </w:rPr>
      </w:pPr>
    </w:p>
    <w:p w14:paraId="47D521B2" w14:textId="2EAA2D2D" w:rsidR="00C15ED1" w:rsidRDefault="00C15ED1" w:rsidP="00A659B0">
      <w:pPr>
        <w:pStyle w:val="BodyText"/>
        <w:ind w:left="800"/>
      </w:pPr>
    </w:p>
    <w:sectPr w:rsidR="00C15ED1" w:rsidSect="004E6B56">
      <w:type w:val="continuous"/>
      <w:pgSz w:w="12240" w:h="15840"/>
      <w:pgMar w:top="1440" w:right="1440" w:bottom="540" w:left="1440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223403" w14:textId="77777777" w:rsidR="00713D41" w:rsidRDefault="00713D41">
      <w:r>
        <w:separator/>
      </w:r>
    </w:p>
  </w:endnote>
  <w:endnote w:type="continuationSeparator" w:id="0">
    <w:p w14:paraId="2B85D55F" w14:textId="77777777" w:rsidR="00713D41" w:rsidRDefault="0071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521BD" w14:textId="77777777" w:rsidR="00C15ED1" w:rsidRDefault="004F60A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05216" behindDoc="1" locked="0" layoutInCell="1" allowOverlap="1" wp14:anchorId="47D521BE" wp14:editId="47D521BF">
              <wp:simplePos x="0" y="0"/>
              <wp:positionH relativeFrom="page">
                <wp:posOffset>3810000</wp:posOffset>
              </wp:positionH>
              <wp:positionV relativeFrom="page">
                <wp:posOffset>9243906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521C0" w14:textId="77777777" w:rsidR="00C15ED1" w:rsidRDefault="004F60A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D521B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pt;margin-top:727.85pt;width:13pt;height:15.3pt;z-index:-1601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KY4viTgAAAA&#10;DQEAAA8AAABkcnMvZG93bnJldi54bWxMj8FOwzAQRO9I/IO1SNyoTaGmhDhVheBUCZGGA0cndhOr&#10;8TrEbhv+vtsTHHdmNPsmX02+Z0c7RhdQwf1MALPYBOOwVfBVvd8tgcWk0eg+oFXwayOsiuurXGcm&#10;nLC0x21qGZVgzLSCLqUh4zw2nfU6zsJgkbxdGL1OdI4tN6M+Ubnv+VwIyb12SB86PdjXzjb77cEr&#10;WH9j+eZ+PurPcle6qnoWuJF7pW5vpvULsGSn9BeGCz6hQ0FMdTigiaxXIIWgLYmMx8XiCRhF5FyS&#10;VF+kpXwAXuT8/4riDAAA//8DAFBLAQItABQABgAIAAAAIQC2gziS/gAAAOEBAAATAAAAAAAAAAAA&#10;AAAAAAAAAABbQ29udGVudF9UeXBlc10ueG1sUEsBAi0AFAAGAAgAAAAhADj9If/WAAAAlAEAAAsA&#10;AAAAAAAAAAAAAAAALwEAAF9yZWxzLy5yZWxzUEsBAi0AFAAGAAgAAAAhALniIgSSAQAAGgMAAA4A&#10;AAAAAAAAAAAAAAAALgIAAGRycy9lMm9Eb2MueG1sUEsBAi0AFAAGAAgAAAAhAKY4viTgAAAADQEA&#10;AA8AAAAAAAAAAAAAAAAA7AMAAGRycy9kb3ducmV2LnhtbFBLBQYAAAAABAAEAPMAAAD5BAAAAAA=&#10;" filled="f" stroked="f">
              <v:textbox inset="0,0,0,0">
                <w:txbxContent>
                  <w:p w14:paraId="47D521C0" w14:textId="77777777" w:rsidR="00C15ED1" w:rsidRDefault="004F60AF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56942" w14:textId="2681B7C2" w:rsidR="00AE7757" w:rsidRDefault="00AE7757">
    <w:pPr>
      <w:pStyle w:val="Footer"/>
      <w:jc w:val="center"/>
    </w:pPr>
  </w:p>
  <w:p w14:paraId="5913E224" w14:textId="77777777" w:rsidR="00AE7757" w:rsidRDefault="00AE77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E0B0F" w14:textId="77777777" w:rsidR="00713D41" w:rsidRDefault="00713D41" w:rsidP="0040052B">
      <w:pPr>
        <w:ind w:firstLine="720"/>
      </w:pPr>
      <w:r>
        <w:separator/>
      </w:r>
    </w:p>
  </w:footnote>
  <w:footnote w:type="continuationSeparator" w:id="0">
    <w:p w14:paraId="460E2B6B" w14:textId="77777777" w:rsidR="00713D41" w:rsidRDefault="00713D41">
      <w:r>
        <w:continuationSeparator/>
      </w:r>
    </w:p>
  </w:footnote>
  <w:footnote w:id="1">
    <w:p w14:paraId="1D1D4AFE" w14:textId="11BD4511" w:rsidR="00A659B0" w:rsidRPr="004E6B56" w:rsidRDefault="00A659B0" w:rsidP="004E6B56">
      <w:pPr>
        <w:pStyle w:val="FootnoteText"/>
        <w:ind w:left="540"/>
        <w:rPr>
          <w:rFonts w:ascii="Calibri" w:hAnsi="Calibri" w:cs="Calibri"/>
          <w:sz w:val="18"/>
          <w:szCs w:val="18"/>
        </w:rPr>
      </w:pPr>
      <w:r w:rsidRPr="00CA42ED">
        <w:rPr>
          <w:rStyle w:val="FootnoteReference"/>
          <w:rFonts w:ascii="Calibri" w:hAnsi="Calibri" w:cs="Calibri"/>
          <w:sz w:val="18"/>
          <w:szCs w:val="18"/>
        </w:rPr>
        <w:footnoteRef/>
      </w:r>
      <w:r w:rsidRPr="00CA42ED">
        <w:rPr>
          <w:rFonts w:ascii="Calibri" w:hAnsi="Calibri" w:cs="Calibri"/>
          <w:sz w:val="18"/>
          <w:szCs w:val="18"/>
        </w:rPr>
        <w:t xml:space="preserve"> The procedure room at the Satellite is currently used for rheumatology procedures. Upon</w:t>
      </w:r>
      <w:r w:rsidR="004E6B56">
        <w:rPr>
          <w:rFonts w:ascii="Calibri" w:hAnsi="Calibri" w:cs="Calibri"/>
          <w:sz w:val="18"/>
          <w:szCs w:val="18"/>
        </w:rPr>
        <w:t xml:space="preserve"> </w:t>
      </w:r>
      <w:r w:rsidRPr="00CA42ED">
        <w:rPr>
          <w:rFonts w:ascii="Calibri" w:hAnsi="Calibri" w:cs="Calibri"/>
          <w:sz w:val="18"/>
          <w:szCs w:val="18"/>
        </w:rPr>
        <w:t xml:space="preserve">relocation of the “right to operate” the procedure room, patients will continue to have access to rheumatology </w:t>
      </w:r>
      <w:r w:rsidRPr="004E6B56">
        <w:rPr>
          <w:rFonts w:ascii="Calibri" w:hAnsi="Calibri" w:cs="Calibri"/>
          <w:sz w:val="18"/>
          <w:szCs w:val="18"/>
        </w:rPr>
        <w:t xml:space="preserve">procedures in Mansfield; the existing space will be occupied by a physician practice that will provide the same rheumatology procedures and the space will be transitioned off Sturdy’s hospital’s license. </w:t>
      </w:r>
    </w:p>
    <w:p w14:paraId="07D2B2F1" w14:textId="77777777" w:rsidR="00A659B0" w:rsidRDefault="00A659B0" w:rsidP="00A659B0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D2FC1" w14:textId="77777777" w:rsidR="00AE7757" w:rsidRDefault="004F60AF">
    <w:pPr>
      <w:pStyle w:val="Header"/>
    </w:pPr>
    <w:r>
      <w:rPr>
        <w:noProof/>
      </w:rPr>
      <w:pict w14:anchorId="1B83784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60" o:spid="_x0000_s1025" type="#_x0000_t136" style="position:absolute;margin-left:0;margin-top:0;width:507.6pt;height:203pt;rotation:315;z-index:-16009216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36F4" w14:textId="77777777" w:rsidR="00AE7757" w:rsidRDefault="004F60AF">
    <w:pPr>
      <w:pStyle w:val="Header"/>
    </w:pPr>
    <w:r>
      <w:rPr>
        <w:noProof/>
      </w:rPr>
      <w:pict w14:anchorId="1DAA2D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15359" o:spid="_x0000_s1026" type="#_x0000_t136" style="position:absolute;margin-left:0;margin-top:0;width:507.6pt;height:203pt;rotation:315;z-index:-16008192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97EFE"/>
    <w:multiLevelType w:val="hybridMultilevel"/>
    <w:tmpl w:val="DD4E9C46"/>
    <w:lvl w:ilvl="0" w:tplc="0409000F">
      <w:start w:val="1"/>
      <w:numFmt w:val="decimal"/>
      <w:lvlText w:val="%1."/>
      <w:lvlJc w:val="left"/>
      <w:pPr>
        <w:ind w:left="4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1" w:hanging="360"/>
      </w:pPr>
    </w:lvl>
    <w:lvl w:ilvl="2" w:tplc="0409001B" w:tentative="1">
      <w:start w:val="1"/>
      <w:numFmt w:val="lowerRoman"/>
      <w:lvlText w:val="%3."/>
      <w:lvlJc w:val="right"/>
      <w:pPr>
        <w:ind w:left="1871" w:hanging="180"/>
      </w:pPr>
    </w:lvl>
    <w:lvl w:ilvl="3" w:tplc="0409000F" w:tentative="1">
      <w:start w:val="1"/>
      <w:numFmt w:val="decimal"/>
      <w:lvlText w:val="%4."/>
      <w:lvlJc w:val="left"/>
      <w:pPr>
        <w:ind w:left="2591" w:hanging="360"/>
      </w:pPr>
    </w:lvl>
    <w:lvl w:ilvl="4" w:tplc="04090019" w:tentative="1">
      <w:start w:val="1"/>
      <w:numFmt w:val="lowerLetter"/>
      <w:lvlText w:val="%5."/>
      <w:lvlJc w:val="left"/>
      <w:pPr>
        <w:ind w:left="3311" w:hanging="360"/>
      </w:pPr>
    </w:lvl>
    <w:lvl w:ilvl="5" w:tplc="0409001B" w:tentative="1">
      <w:start w:val="1"/>
      <w:numFmt w:val="lowerRoman"/>
      <w:lvlText w:val="%6."/>
      <w:lvlJc w:val="right"/>
      <w:pPr>
        <w:ind w:left="4031" w:hanging="180"/>
      </w:pPr>
    </w:lvl>
    <w:lvl w:ilvl="6" w:tplc="0409000F" w:tentative="1">
      <w:start w:val="1"/>
      <w:numFmt w:val="decimal"/>
      <w:lvlText w:val="%7."/>
      <w:lvlJc w:val="left"/>
      <w:pPr>
        <w:ind w:left="4751" w:hanging="360"/>
      </w:pPr>
    </w:lvl>
    <w:lvl w:ilvl="7" w:tplc="04090019" w:tentative="1">
      <w:start w:val="1"/>
      <w:numFmt w:val="lowerLetter"/>
      <w:lvlText w:val="%8."/>
      <w:lvlJc w:val="left"/>
      <w:pPr>
        <w:ind w:left="5471" w:hanging="360"/>
      </w:pPr>
    </w:lvl>
    <w:lvl w:ilvl="8" w:tplc="0409001B" w:tentative="1">
      <w:start w:val="1"/>
      <w:numFmt w:val="lowerRoman"/>
      <w:lvlText w:val="%9."/>
      <w:lvlJc w:val="right"/>
      <w:pPr>
        <w:ind w:left="6191" w:hanging="180"/>
      </w:pPr>
    </w:lvl>
  </w:abstractNum>
  <w:abstractNum w:abstractNumId="1" w15:restartNumberingAfterBreak="0">
    <w:nsid w:val="559219FD"/>
    <w:multiLevelType w:val="hybridMultilevel"/>
    <w:tmpl w:val="900ED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4F54C6"/>
    <w:multiLevelType w:val="hybridMultilevel"/>
    <w:tmpl w:val="0D2CA96A"/>
    <w:lvl w:ilvl="0" w:tplc="CA8E34BA">
      <w:start w:val="1"/>
      <w:numFmt w:val="decimal"/>
      <w:lvlText w:val="%1."/>
      <w:lvlJc w:val="left"/>
      <w:pPr>
        <w:ind w:left="1071" w:hanging="272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0C9E7750">
      <w:numFmt w:val="bullet"/>
      <w:lvlText w:val="•"/>
      <w:lvlJc w:val="left"/>
      <w:pPr>
        <w:ind w:left="2106" w:hanging="272"/>
      </w:pPr>
      <w:rPr>
        <w:rFonts w:hint="default"/>
        <w:lang w:val="en-US" w:eastAsia="en-US" w:bidi="ar-SA"/>
      </w:rPr>
    </w:lvl>
    <w:lvl w:ilvl="2" w:tplc="DCE84ECC">
      <w:numFmt w:val="bullet"/>
      <w:lvlText w:val="•"/>
      <w:lvlJc w:val="left"/>
      <w:pPr>
        <w:ind w:left="3132" w:hanging="272"/>
      </w:pPr>
      <w:rPr>
        <w:rFonts w:hint="default"/>
        <w:lang w:val="en-US" w:eastAsia="en-US" w:bidi="ar-SA"/>
      </w:rPr>
    </w:lvl>
    <w:lvl w:ilvl="3" w:tplc="507C2C10">
      <w:numFmt w:val="bullet"/>
      <w:lvlText w:val="•"/>
      <w:lvlJc w:val="left"/>
      <w:pPr>
        <w:ind w:left="4158" w:hanging="272"/>
      </w:pPr>
      <w:rPr>
        <w:rFonts w:hint="default"/>
        <w:lang w:val="en-US" w:eastAsia="en-US" w:bidi="ar-SA"/>
      </w:rPr>
    </w:lvl>
    <w:lvl w:ilvl="4" w:tplc="E59AE31E">
      <w:numFmt w:val="bullet"/>
      <w:lvlText w:val="•"/>
      <w:lvlJc w:val="left"/>
      <w:pPr>
        <w:ind w:left="5184" w:hanging="272"/>
      </w:pPr>
      <w:rPr>
        <w:rFonts w:hint="default"/>
        <w:lang w:val="en-US" w:eastAsia="en-US" w:bidi="ar-SA"/>
      </w:rPr>
    </w:lvl>
    <w:lvl w:ilvl="5" w:tplc="B046F270">
      <w:numFmt w:val="bullet"/>
      <w:lvlText w:val="•"/>
      <w:lvlJc w:val="left"/>
      <w:pPr>
        <w:ind w:left="6210" w:hanging="272"/>
      </w:pPr>
      <w:rPr>
        <w:rFonts w:hint="default"/>
        <w:lang w:val="en-US" w:eastAsia="en-US" w:bidi="ar-SA"/>
      </w:rPr>
    </w:lvl>
    <w:lvl w:ilvl="6" w:tplc="5CBCF110">
      <w:numFmt w:val="bullet"/>
      <w:lvlText w:val="•"/>
      <w:lvlJc w:val="left"/>
      <w:pPr>
        <w:ind w:left="7236" w:hanging="272"/>
      </w:pPr>
      <w:rPr>
        <w:rFonts w:hint="default"/>
        <w:lang w:val="en-US" w:eastAsia="en-US" w:bidi="ar-SA"/>
      </w:rPr>
    </w:lvl>
    <w:lvl w:ilvl="7" w:tplc="72B88FDE">
      <w:numFmt w:val="bullet"/>
      <w:lvlText w:val="•"/>
      <w:lvlJc w:val="left"/>
      <w:pPr>
        <w:ind w:left="8262" w:hanging="272"/>
      </w:pPr>
      <w:rPr>
        <w:rFonts w:hint="default"/>
        <w:lang w:val="en-US" w:eastAsia="en-US" w:bidi="ar-SA"/>
      </w:rPr>
    </w:lvl>
    <w:lvl w:ilvl="8" w:tplc="C78610E8">
      <w:numFmt w:val="bullet"/>
      <w:lvlText w:val="•"/>
      <w:lvlJc w:val="left"/>
      <w:pPr>
        <w:ind w:left="9288" w:hanging="272"/>
      </w:pPr>
      <w:rPr>
        <w:rFonts w:hint="default"/>
        <w:lang w:val="en-US" w:eastAsia="en-US" w:bidi="ar-SA"/>
      </w:rPr>
    </w:lvl>
  </w:abstractNum>
  <w:abstractNum w:abstractNumId="3" w15:restartNumberingAfterBreak="0">
    <w:nsid w:val="5B367F3F"/>
    <w:multiLevelType w:val="hybridMultilevel"/>
    <w:tmpl w:val="54A481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0672614">
    <w:abstractNumId w:val="2"/>
  </w:num>
  <w:num w:numId="2" w16cid:durableId="67925808">
    <w:abstractNumId w:val="0"/>
  </w:num>
  <w:num w:numId="3" w16cid:durableId="1569535784">
    <w:abstractNumId w:val="3"/>
  </w:num>
  <w:num w:numId="4" w16cid:durableId="563953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ED1"/>
    <w:rsid w:val="000B1F91"/>
    <w:rsid w:val="000E4EF0"/>
    <w:rsid w:val="00191100"/>
    <w:rsid w:val="00200EF9"/>
    <w:rsid w:val="00277D27"/>
    <w:rsid w:val="003F0B5F"/>
    <w:rsid w:val="0040052B"/>
    <w:rsid w:val="004E6B56"/>
    <w:rsid w:val="004F60AF"/>
    <w:rsid w:val="006B14EE"/>
    <w:rsid w:val="00713D41"/>
    <w:rsid w:val="00835E7E"/>
    <w:rsid w:val="00915E1A"/>
    <w:rsid w:val="00A659B0"/>
    <w:rsid w:val="00AE7757"/>
    <w:rsid w:val="00B83E8B"/>
    <w:rsid w:val="00C15ED1"/>
    <w:rsid w:val="00C37BB3"/>
    <w:rsid w:val="00CA42ED"/>
    <w:rsid w:val="00D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52096"/>
  <w15:docId w15:val="{AC437B98-9BF9-4AB4-885A-90B4CC69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160" w:hanging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48" w:line="414" w:lineRule="exact"/>
      <w:ind w:left="103"/>
      <w:jc w:val="center"/>
    </w:pPr>
    <w:rPr>
      <w:rFonts w:ascii="Arial" w:eastAsia="Arial" w:hAnsi="Arial" w:cs="Arial"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160" w:hanging="360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7"/>
    </w:pPr>
  </w:style>
  <w:style w:type="paragraph" w:customStyle="1" w:styleId="ExecOffice">
    <w:name w:val="Exec Office"/>
    <w:basedOn w:val="Normal"/>
    <w:rsid w:val="00AE7757"/>
    <w:pPr>
      <w:framePr w:w="6927" w:hSpace="187" w:wrap="notBeside" w:vAnchor="text" w:hAnchor="page" w:x="3594" w:y="1"/>
      <w:widowControl/>
      <w:autoSpaceDE/>
      <w:autoSpaceDN/>
      <w:jc w:val="center"/>
    </w:pPr>
    <w:rPr>
      <w:rFonts w:ascii="Arial" w:hAnsi="Arial"/>
      <w:sz w:val="28"/>
      <w:szCs w:val="20"/>
    </w:rPr>
  </w:style>
  <w:style w:type="paragraph" w:customStyle="1" w:styleId="Weld">
    <w:name w:val="Weld"/>
    <w:basedOn w:val="Normal"/>
    <w:rsid w:val="00AE7757"/>
    <w:pPr>
      <w:framePr w:hSpace="187" w:wrap="notBeside" w:vAnchor="text" w:hAnchor="page" w:x="546" w:y="141"/>
      <w:widowControl/>
      <w:autoSpaceDE/>
      <w:autoSpaceDN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AE7757"/>
    <w:pPr>
      <w:framePr w:hSpace="187" w:wrap="notBeside" w:vAnchor="text" w:hAnchor="page" w:x="546" w:y="141"/>
      <w:widowControl/>
      <w:autoSpaceDE/>
      <w:autoSpaceDN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styleId="Hyperlink">
    <w:name w:val="Hyperlink"/>
    <w:rsid w:val="00AE7757"/>
    <w:rPr>
      <w:color w:val="0000FF"/>
      <w:u w:val="single"/>
    </w:rPr>
  </w:style>
  <w:style w:type="paragraph" w:styleId="Header">
    <w:name w:val="header"/>
    <w:basedOn w:val="Normal"/>
    <w:link w:val="HeaderChar"/>
    <w:rsid w:val="00AE7757"/>
    <w:pPr>
      <w:widowControl/>
      <w:tabs>
        <w:tab w:val="center" w:pos="4680"/>
        <w:tab w:val="right" w:pos="9360"/>
      </w:tabs>
      <w:autoSpaceDE/>
      <w:autoSpaceDN/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AE775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E7757"/>
    <w:pPr>
      <w:widowControl/>
      <w:tabs>
        <w:tab w:val="center" w:pos="4680"/>
        <w:tab w:val="right" w:pos="9360"/>
      </w:tabs>
      <w:autoSpaceDE/>
      <w:autoSpaceDN/>
    </w:pPr>
    <w:rPr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AE7757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unhideWhenUsed/>
    <w:rsid w:val="004005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0052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005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ass.gov/dp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rystal.Bloom@huschblackwel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76FD4-A109-4412-AB09-0100226D3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791</Words>
  <Characters>4510</Characters>
  <Application>Microsoft Office Word</Application>
  <DocSecurity>0</DocSecurity>
  <Lines>37</Lines>
  <Paragraphs>10</Paragraphs>
  <ScaleCrop>false</ScaleCrop>
  <Company>Commonwealth of Massachusetts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 Marshall</dc:creator>
  <cp:lastModifiedBy>Marks, Brett (DPH)</cp:lastModifiedBy>
  <cp:revision>17</cp:revision>
  <dcterms:created xsi:type="dcterms:W3CDTF">2024-03-21T12:19:00Z</dcterms:created>
  <dcterms:modified xsi:type="dcterms:W3CDTF">2024-06-28T12:31:00Z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2024-03-21T00:00:00Z</vt:filetime>
  </property>
  <property fmtid="{D5CDD505-2E9C-101B-9397-08002B2CF9AE}" pid="5" name="Producer">
    <vt:lpwstr>Adobe PDF Library 23.8.246</vt:lpwstr>
  </property>
  <property fmtid="{D5CDD505-2E9C-101B-9397-08002B2CF9AE}" pid="6" name="SourceModified">
    <vt:lpwstr/>
  </property>
</Properties>
</file>