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D2" w:rsidRDefault="00F164D2" w:rsidP="00690A85">
      <w:pPr>
        <w:autoSpaceDE w:val="0"/>
        <w:autoSpaceDN w:val="0"/>
        <w:adjustRightInd w:val="0"/>
        <w:spacing w:after="0" w:line="240" w:lineRule="auto"/>
        <w:jc w:val="center"/>
        <w:rPr>
          <w:rFonts w:ascii="Courier New" w:hAnsi="Courier New" w:cs="Courier New"/>
          <w:b/>
          <w:bCs/>
          <w:sz w:val="24"/>
          <w:szCs w:val="24"/>
        </w:rPr>
      </w:pPr>
      <w:bookmarkStart w:id="0" w:name="_GoBack"/>
      <w:bookmarkEnd w:id="0"/>
      <w:r>
        <w:rPr>
          <w:rFonts w:ascii="Courier New" w:hAnsi="Courier New" w:cs="Courier New"/>
          <w:b/>
          <w:bCs/>
          <w:sz w:val="24"/>
          <w:szCs w:val="24"/>
        </w:rPr>
        <w:t>COMMONWEALTH OF MASSACHUSETTS</w:t>
      </w:r>
    </w:p>
    <w:p w:rsidR="00F164D2" w:rsidRDefault="00F164D2" w:rsidP="00690A85">
      <w:pPr>
        <w:autoSpaceDE w:val="0"/>
        <w:autoSpaceDN w:val="0"/>
        <w:adjustRightInd w:val="0"/>
        <w:spacing w:after="0" w:line="240" w:lineRule="auto"/>
        <w:jc w:val="center"/>
        <w:rPr>
          <w:rFonts w:ascii="Courier New" w:hAnsi="Courier New" w:cs="Courier New"/>
          <w:b/>
          <w:bCs/>
          <w:sz w:val="24"/>
          <w:szCs w:val="24"/>
        </w:rPr>
      </w:pPr>
    </w:p>
    <w:p w:rsidR="00F164D2" w:rsidRDefault="00F164D2" w:rsidP="00690A85">
      <w:pPr>
        <w:autoSpaceDE w:val="0"/>
        <w:autoSpaceDN w:val="0"/>
        <w:adjustRightInd w:val="0"/>
        <w:spacing w:after="0" w:line="240" w:lineRule="auto"/>
        <w:jc w:val="center"/>
        <w:rPr>
          <w:rFonts w:ascii="Courier New" w:hAnsi="Courier New" w:cs="Courier New"/>
          <w:b/>
          <w:bCs/>
          <w:sz w:val="24"/>
          <w:szCs w:val="24"/>
        </w:rPr>
      </w:pPr>
      <w:r>
        <w:rPr>
          <w:rFonts w:ascii="Courier New" w:hAnsi="Courier New" w:cs="Courier New"/>
          <w:b/>
          <w:bCs/>
          <w:sz w:val="24"/>
          <w:szCs w:val="24"/>
        </w:rPr>
        <w:t>APPELLATE TAX BOARD</w:t>
      </w:r>
    </w:p>
    <w:p w:rsidR="00F164D2" w:rsidRDefault="00F164D2" w:rsidP="00F164D2">
      <w:pPr>
        <w:autoSpaceDE w:val="0"/>
        <w:autoSpaceDN w:val="0"/>
        <w:adjustRightInd w:val="0"/>
        <w:spacing w:after="0" w:line="240" w:lineRule="auto"/>
        <w:jc w:val="center"/>
        <w:rPr>
          <w:rFonts w:ascii="Courier New" w:hAnsi="Courier New" w:cs="Courier New"/>
          <w:b/>
          <w:bCs/>
          <w:sz w:val="24"/>
          <w:szCs w:val="24"/>
        </w:rPr>
      </w:pPr>
    </w:p>
    <w:p w:rsidR="00F164D2" w:rsidRDefault="00F164D2" w:rsidP="00F164D2">
      <w:pPr>
        <w:autoSpaceDE w:val="0"/>
        <w:autoSpaceDN w:val="0"/>
        <w:adjustRightInd w:val="0"/>
        <w:spacing w:after="0" w:line="240" w:lineRule="auto"/>
        <w:jc w:val="center"/>
        <w:rPr>
          <w:rFonts w:ascii="Courier New" w:hAnsi="Courier New" w:cs="Courier New"/>
          <w:b/>
          <w:bCs/>
          <w:sz w:val="24"/>
          <w:szCs w:val="24"/>
        </w:rPr>
      </w:pPr>
    </w:p>
    <w:p w:rsidR="00E70F96" w:rsidRDefault="002611D9" w:rsidP="00F164D2">
      <w:pPr>
        <w:autoSpaceDE w:val="0"/>
        <w:autoSpaceDN w:val="0"/>
        <w:adjustRightInd w:val="0"/>
        <w:spacing w:after="0" w:line="240" w:lineRule="auto"/>
        <w:jc w:val="both"/>
        <w:rPr>
          <w:rFonts w:ascii="Courier New" w:hAnsi="Courier New" w:cs="Courier New"/>
          <w:b/>
          <w:bCs/>
          <w:sz w:val="24"/>
          <w:szCs w:val="24"/>
        </w:rPr>
      </w:pPr>
      <w:r>
        <w:rPr>
          <w:rFonts w:ascii="Courier New" w:hAnsi="Courier New" w:cs="Courier New"/>
          <w:b/>
          <w:bCs/>
          <w:sz w:val="24"/>
          <w:szCs w:val="24"/>
        </w:rPr>
        <w:t>FIRSTLIGHT HYDRO GENERATING</w:t>
      </w:r>
      <w:r w:rsidR="00E70F96">
        <w:rPr>
          <w:rFonts w:ascii="Courier New" w:hAnsi="Courier New" w:cs="Courier New"/>
          <w:b/>
          <w:bCs/>
          <w:sz w:val="24"/>
          <w:szCs w:val="24"/>
        </w:rPr>
        <w:tab/>
      </w:r>
      <w:r>
        <w:rPr>
          <w:rFonts w:ascii="Courier New" w:hAnsi="Courier New" w:cs="Courier New"/>
          <w:b/>
          <w:bCs/>
          <w:sz w:val="24"/>
          <w:szCs w:val="24"/>
        </w:rPr>
        <w:t xml:space="preserve"> </w:t>
      </w:r>
      <w:r w:rsidR="00DE0251">
        <w:rPr>
          <w:rFonts w:ascii="Courier New" w:hAnsi="Courier New" w:cs="Courier New"/>
          <w:b/>
          <w:bCs/>
          <w:sz w:val="24"/>
          <w:szCs w:val="24"/>
        </w:rPr>
        <w:t>  </w:t>
      </w:r>
      <w:r w:rsidR="00F164D2">
        <w:rPr>
          <w:rFonts w:ascii="Courier New" w:hAnsi="Courier New" w:cs="Courier New"/>
          <w:b/>
          <w:bCs/>
          <w:sz w:val="24"/>
          <w:szCs w:val="24"/>
        </w:rPr>
        <w:t>v.</w:t>
      </w:r>
      <w:r>
        <w:rPr>
          <w:rFonts w:ascii="Courier New" w:hAnsi="Courier New" w:cs="Courier New"/>
          <w:b/>
          <w:bCs/>
          <w:sz w:val="24"/>
          <w:szCs w:val="24"/>
        </w:rPr>
        <w:tab/>
        <w:t xml:space="preserve">  </w:t>
      </w:r>
      <w:r w:rsidR="003E4C35">
        <w:rPr>
          <w:rFonts w:ascii="Courier New" w:hAnsi="Courier New" w:cs="Courier New"/>
          <w:b/>
          <w:bCs/>
          <w:sz w:val="24"/>
          <w:szCs w:val="24"/>
        </w:rPr>
        <w:t xml:space="preserve">  </w:t>
      </w:r>
      <w:r w:rsidR="00F164D2">
        <w:rPr>
          <w:rFonts w:ascii="Courier New" w:hAnsi="Courier New" w:cs="Courier New"/>
          <w:b/>
          <w:bCs/>
          <w:sz w:val="24"/>
          <w:szCs w:val="24"/>
        </w:rPr>
        <w:t>BOARD</w:t>
      </w:r>
      <w:r w:rsidR="00E70F96">
        <w:rPr>
          <w:rFonts w:ascii="Courier New" w:hAnsi="Courier New" w:cs="Courier New"/>
          <w:b/>
          <w:bCs/>
          <w:sz w:val="24"/>
          <w:szCs w:val="24"/>
        </w:rPr>
        <w:t>S</w:t>
      </w:r>
      <w:r w:rsidR="00F164D2">
        <w:rPr>
          <w:rFonts w:ascii="Courier New" w:hAnsi="Courier New" w:cs="Courier New"/>
          <w:b/>
          <w:bCs/>
          <w:sz w:val="24"/>
          <w:szCs w:val="24"/>
        </w:rPr>
        <w:t xml:space="preserve"> OF ASSESSORS </w:t>
      </w:r>
    </w:p>
    <w:p w:rsidR="00F164D2" w:rsidRDefault="002611D9" w:rsidP="00DE0251">
      <w:p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bCs/>
          <w:sz w:val="24"/>
          <w:szCs w:val="24"/>
        </w:rPr>
        <w:t>COMPANY</w:t>
      </w:r>
      <w:r w:rsidR="00E70F96">
        <w:rPr>
          <w:rFonts w:ascii="Courier New" w:hAnsi="Courier New" w:cs="Courier New"/>
          <w:b/>
          <w:bCs/>
          <w:sz w:val="24"/>
          <w:szCs w:val="24"/>
        </w:rPr>
        <w:tab/>
      </w:r>
      <w:r w:rsidR="00E70F96">
        <w:rPr>
          <w:rFonts w:ascii="Courier New" w:hAnsi="Courier New" w:cs="Courier New"/>
          <w:b/>
          <w:bCs/>
          <w:sz w:val="24"/>
          <w:szCs w:val="24"/>
        </w:rPr>
        <w:tab/>
      </w:r>
      <w:r w:rsidR="00E70F96">
        <w:rPr>
          <w:rFonts w:ascii="Courier New" w:hAnsi="Courier New" w:cs="Courier New"/>
          <w:b/>
          <w:bCs/>
          <w:sz w:val="24"/>
          <w:szCs w:val="24"/>
        </w:rPr>
        <w:tab/>
      </w:r>
      <w:r w:rsidR="00E70F96">
        <w:rPr>
          <w:rFonts w:ascii="Courier New" w:hAnsi="Courier New" w:cs="Courier New"/>
          <w:b/>
          <w:bCs/>
          <w:sz w:val="24"/>
          <w:szCs w:val="24"/>
        </w:rPr>
        <w:tab/>
      </w:r>
      <w:r w:rsidR="00E70F96">
        <w:rPr>
          <w:rFonts w:ascii="Courier New" w:hAnsi="Courier New" w:cs="Courier New"/>
          <w:b/>
          <w:bCs/>
          <w:sz w:val="24"/>
          <w:szCs w:val="24"/>
        </w:rPr>
        <w:tab/>
      </w:r>
      <w:r w:rsidR="00E70F96">
        <w:rPr>
          <w:rFonts w:ascii="Courier New" w:hAnsi="Courier New" w:cs="Courier New"/>
          <w:b/>
          <w:bCs/>
          <w:sz w:val="24"/>
          <w:szCs w:val="24"/>
        </w:rPr>
        <w:tab/>
      </w:r>
      <w:r>
        <w:rPr>
          <w:rFonts w:ascii="Courier New" w:hAnsi="Courier New" w:cs="Courier New"/>
          <w:b/>
          <w:bCs/>
          <w:sz w:val="24"/>
          <w:szCs w:val="24"/>
        </w:rPr>
        <w:t xml:space="preserve">       </w:t>
      </w:r>
      <w:r w:rsidR="003E4C35">
        <w:rPr>
          <w:rFonts w:ascii="Courier New" w:hAnsi="Courier New" w:cs="Courier New"/>
          <w:b/>
          <w:bCs/>
          <w:sz w:val="24"/>
          <w:szCs w:val="24"/>
        </w:rPr>
        <w:t xml:space="preserve">  </w:t>
      </w:r>
      <w:r w:rsidR="00F164D2">
        <w:rPr>
          <w:rFonts w:ascii="Courier New" w:hAnsi="Courier New" w:cs="Courier New"/>
          <w:b/>
          <w:bCs/>
          <w:sz w:val="24"/>
          <w:szCs w:val="24"/>
        </w:rPr>
        <w:t xml:space="preserve">OF </w:t>
      </w:r>
      <w:r w:rsidR="00E70F96">
        <w:rPr>
          <w:rFonts w:ascii="Courier New" w:hAnsi="Courier New" w:cs="Courier New"/>
          <w:b/>
          <w:bCs/>
          <w:sz w:val="24"/>
          <w:szCs w:val="24"/>
        </w:rPr>
        <w:t>MONTAGUE &amp; GILL</w:t>
      </w:r>
      <w:r w:rsidR="00F164D2">
        <w:rPr>
          <w:rFonts w:ascii="Courier New" w:hAnsi="Courier New" w:cs="Courier New"/>
          <w:b/>
          <w:bCs/>
          <w:sz w:val="24"/>
          <w:szCs w:val="24"/>
        </w:rPr>
        <w:t xml:space="preserve"> </w:t>
      </w:r>
    </w:p>
    <w:p w:rsidR="00F164D2" w:rsidRDefault="00F164D2" w:rsidP="00F164D2">
      <w:pPr>
        <w:autoSpaceDE w:val="0"/>
        <w:autoSpaceDN w:val="0"/>
        <w:adjustRightInd w:val="0"/>
        <w:spacing w:after="0" w:line="240" w:lineRule="auto"/>
        <w:rPr>
          <w:rFonts w:ascii="Courier New" w:hAnsi="Courier New" w:cs="Courier New"/>
          <w:sz w:val="24"/>
          <w:szCs w:val="24"/>
        </w:rPr>
      </w:pPr>
    </w:p>
    <w:p w:rsidR="00F164D2" w:rsidRDefault="00582A46" w:rsidP="00F164D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Docket Nos. </w:t>
      </w:r>
      <w:r w:rsidR="00BD683B">
        <w:rPr>
          <w:rFonts w:ascii="Courier New" w:hAnsi="Courier New" w:cs="Courier New"/>
          <w:sz w:val="24"/>
          <w:szCs w:val="24"/>
        </w:rPr>
        <w:t>F</w:t>
      </w:r>
      <w:r w:rsidR="00DA02C0">
        <w:rPr>
          <w:rFonts w:ascii="Courier New" w:hAnsi="Courier New" w:cs="Courier New"/>
          <w:sz w:val="24"/>
          <w:szCs w:val="24"/>
        </w:rPr>
        <w:t>325471</w:t>
      </w:r>
      <w:r w:rsidR="008D0701">
        <w:rPr>
          <w:rFonts w:ascii="Courier New" w:hAnsi="Courier New" w:cs="Courier New"/>
          <w:sz w:val="24"/>
          <w:szCs w:val="24"/>
        </w:rPr>
        <w:t>-</w:t>
      </w:r>
      <w:r w:rsidR="00DA02C0">
        <w:rPr>
          <w:rFonts w:ascii="Courier New" w:hAnsi="Courier New" w:cs="Courier New"/>
          <w:sz w:val="24"/>
          <w:szCs w:val="24"/>
        </w:rPr>
        <w:t>74</w:t>
      </w:r>
      <w:r w:rsidR="00F164D2">
        <w:rPr>
          <w:rFonts w:ascii="Courier New" w:hAnsi="Courier New" w:cs="Courier New"/>
          <w:sz w:val="24"/>
          <w:szCs w:val="24"/>
        </w:rPr>
        <w:tab/>
      </w:r>
      <w:r w:rsidR="00F164D2">
        <w:rPr>
          <w:rFonts w:ascii="Courier New" w:hAnsi="Courier New" w:cs="Courier New"/>
          <w:sz w:val="24"/>
          <w:szCs w:val="24"/>
        </w:rPr>
        <w:tab/>
        <w:t xml:space="preserve">   </w:t>
      </w:r>
      <w:r w:rsidR="00DA02C0">
        <w:rPr>
          <w:rFonts w:ascii="Courier New" w:hAnsi="Courier New" w:cs="Courier New"/>
          <w:sz w:val="24"/>
          <w:szCs w:val="24"/>
        </w:rPr>
        <w:tab/>
        <w:t xml:space="preserve"> </w:t>
      </w:r>
      <w:r w:rsidR="008D0701">
        <w:rPr>
          <w:rFonts w:ascii="Courier New" w:hAnsi="Courier New" w:cs="Courier New"/>
          <w:sz w:val="24"/>
          <w:szCs w:val="24"/>
        </w:rPr>
        <w:t xml:space="preserve">    </w:t>
      </w:r>
      <w:r w:rsidR="00F164D2">
        <w:rPr>
          <w:rFonts w:ascii="Courier New" w:hAnsi="Courier New" w:cs="Courier New"/>
          <w:sz w:val="24"/>
          <w:szCs w:val="24"/>
        </w:rPr>
        <w:t> </w:t>
      </w:r>
      <w:r w:rsidR="003E4C35">
        <w:rPr>
          <w:rFonts w:ascii="Courier New" w:hAnsi="Courier New" w:cs="Courier New"/>
          <w:sz w:val="24"/>
          <w:szCs w:val="24"/>
        </w:rPr>
        <w:t xml:space="preserve">   </w:t>
      </w:r>
      <w:r w:rsidR="00F164D2">
        <w:rPr>
          <w:rFonts w:ascii="Courier New" w:hAnsi="Courier New" w:cs="Courier New"/>
          <w:sz w:val="24"/>
          <w:szCs w:val="24"/>
        </w:rPr>
        <w:t>Promulgated:</w:t>
      </w:r>
    </w:p>
    <w:p w:rsidR="00DE0251" w:rsidRDefault="00F164D2" w:rsidP="00F164D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sidR="00DE0251">
        <w:rPr>
          <w:rFonts w:ascii="Courier New" w:hAnsi="Courier New" w:cs="Courier New"/>
          <w:sz w:val="24"/>
          <w:szCs w:val="24"/>
        </w:rPr>
        <w:tab/>
      </w:r>
      <w:r w:rsidR="00DE0251">
        <w:rPr>
          <w:rFonts w:ascii="Courier New" w:hAnsi="Courier New" w:cs="Courier New"/>
          <w:sz w:val="24"/>
          <w:szCs w:val="24"/>
        </w:rPr>
        <w:tab/>
      </w:r>
      <w:r w:rsidR="00DE0251">
        <w:rPr>
          <w:rFonts w:ascii="Courier New" w:hAnsi="Courier New" w:cs="Courier New"/>
          <w:sz w:val="24"/>
          <w:szCs w:val="24"/>
        </w:rPr>
        <w:tab/>
      </w:r>
      <w:r w:rsidR="00DE0251">
        <w:rPr>
          <w:rFonts w:ascii="Courier New" w:hAnsi="Courier New" w:cs="Courier New"/>
          <w:sz w:val="24"/>
          <w:szCs w:val="24"/>
        </w:rPr>
        <w:tab/>
      </w:r>
      <w:r w:rsidR="00DE0251">
        <w:rPr>
          <w:rFonts w:ascii="Courier New" w:hAnsi="Courier New" w:cs="Courier New"/>
          <w:sz w:val="24"/>
          <w:szCs w:val="24"/>
        </w:rPr>
        <w:tab/>
        <w:t xml:space="preserve">         </w:t>
      </w:r>
      <w:r w:rsidR="001D012A">
        <w:rPr>
          <w:rFonts w:ascii="Courier New" w:hAnsi="Courier New" w:cs="Courier New"/>
          <w:sz w:val="24"/>
          <w:szCs w:val="24"/>
        </w:rPr>
        <w:t>December 10, 2018</w:t>
      </w:r>
    </w:p>
    <w:p w:rsidR="00DE0251" w:rsidRDefault="00DE0251" w:rsidP="00F164D2">
      <w:pPr>
        <w:autoSpaceDE w:val="0"/>
        <w:autoSpaceDN w:val="0"/>
        <w:adjustRightInd w:val="0"/>
        <w:spacing w:after="0" w:line="240" w:lineRule="auto"/>
        <w:rPr>
          <w:rFonts w:ascii="Courier New" w:hAnsi="Courier New" w:cs="Courier New"/>
          <w:sz w:val="24"/>
          <w:szCs w:val="24"/>
        </w:rPr>
      </w:pPr>
    </w:p>
    <w:p w:rsidR="00F164D2" w:rsidRDefault="00F164D2" w:rsidP="00F164D2">
      <w:pPr>
        <w:autoSpaceDE w:val="0"/>
        <w:autoSpaceDN w:val="0"/>
        <w:adjustRightInd w:val="0"/>
        <w:spacing w:after="0" w:line="240" w:lineRule="auto"/>
        <w:rPr>
          <w:rFonts w:ascii="Courier New" w:hAnsi="Courier New" w:cs="Courier New"/>
          <w:sz w:val="24"/>
          <w:szCs w:val="24"/>
        </w:rPr>
      </w:pPr>
    </w:p>
    <w:p w:rsidR="00F164D2" w:rsidRDefault="00F164D2" w:rsidP="00F164D2">
      <w:pPr>
        <w:autoSpaceDE w:val="0"/>
        <w:autoSpaceDN w:val="0"/>
        <w:adjustRightInd w:val="0"/>
        <w:spacing w:after="0" w:line="480" w:lineRule="auto"/>
        <w:jc w:val="both"/>
        <w:rPr>
          <w:rFonts w:ascii="Courier New" w:hAnsi="Courier New" w:cs="Courier New"/>
          <w:sz w:val="24"/>
          <w:szCs w:val="24"/>
        </w:rPr>
      </w:pPr>
      <w:r>
        <w:rPr>
          <w:rFonts w:ascii="Courier New" w:hAnsi="Courier New" w:cs="Courier New"/>
          <w:sz w:val="24"/>
          <w:szCs w:val="24"/>
        </w:rPr>
        <w:tab/>
        <w:t>These are appeals under the formal procedure, pursuant to   G.L. c. 58A, § 7 and G.L. c. 59, §§ 64 and 65, from the refusal of the Board</w:t>
      </w:r>
      <w:r w:rsidR="00582A46">
        <w:rPr>
          <w:rFonts w:ascii="Courier New" w:hAnsi="Courier New" w:cs="Courier New"/>
          <w:sz w:val="24"/>
          <w:szCs w:val="24"/>
        </w:rPr>
        <w:t>s</w:t>
      </w:r>
      <w:r>
        <w:rPr>
          <w:rFonts w:ascii="Courier New" w:hAnsi="Courier New" w:cs="Courier New"/>
          <w:sz w:val="24"/>
          <w:szCs w:val="24"/>
        </w:rPr>
        <w:t xml:space="preserve"> of </w:t>
      </w:r>
      <w:r w:rsidR="00F209D2">
        <w:rPr>
          <w:rFonts w:ascii="Courier New" w:hAnsi="Courier New" w:cs="Courier New"/>
          <w:sz w:val="24"/>
          <w:szCs w:val="24"/>
        </w:rPr>
        <w:t>Assessors of the towns of Montague and Gill</w:t>
      </w:r>
      <w:r w:rsidR="001C31AB">
        <w:rPr>
          <w:rFonts w:ascii="Courier New" w:hAnsi="Courier New" w:cs="Courier New"/>
          <w:sz w:val="24"/>
          <w:szCs w:val="24"/>
        </w:rPr>
        <w:t xml:space="preserve"> </w:t>
      </w:r>
      <w:r w:rsidR="004906D6">
        <w:rPr>
          <w:rFonts w:ascii="Courier New" w:hAnsi="Courier New" w:cs="Courier New"/>
          <w:sz w:val="24"/>
          <w:szCs w:val="24"/>
        </w:rPr>
        <w:t>(</w:t>
      </w:r>
      <w:r>
        <w:rPr>
          <w:rFonts w:ascii="Courier New" w:hAnsi="Courier New" w:cs="Courier New"/>
          <w:sz w:val="24"/>
          <w:szCs w:val="24"/>
        </w:rPr>
        <w:t>“assessors” or “appellee</w:t>
      </w:r>
      <w:r w:rsidR="009872B7">
        <w:rPr>
          <w:rFonts w:ascii="Courier New" w:hAnsi="Courier New" w:cs="Courier New"/>
          <w:sz w:val="24"/>
          <w:szCs w:val="24"/>
        </w:rPr>
        <w:t>s</w:t>
      </w:r>
      <w:r>
        <w:rPr>
          <w:rFonts w:ascii="Courier New" w:hAnsi="Courier New" w:cs="Courier New"/>
          <w:sz w:val="24"/>
          <w:szCs w:val="24"/>
        </w:rPr>
        <w:t xml:space="preserve">”) to abate taxes on certain personal </w:t>
      </w:r>
      <w:r w:rsidR="00F209D2">
        <w:rPr>
          <w:rFonts w:ascii="Courier New" w:hAnsi="Courier New" w:cs="Courier New"/>
          <w:sz w:val="24"/>
          <w:szCs w:val="24"/>
        </w:rPr>
        <w:t xml:space="preserve">and real property located in those towns </w:t>
      </w:r>
      <w:r>
        <w:rPr>
          <w:rFonts w:ascii="Courier New" w:hAnsi="Courier New" w:cs="Courier New"/>
          <w:sz w:val="24"/>
          <w:szCs w:val="24"/>
        </w:rPr>
        <w:t>owned by and a</w:t>
      </w:r>
      <w:r w:rsidR="000E664B">
        <w:rPr>
          <w:rFonts w:ascii="Courier New" w:hAnsi="Courier New" w:cs="Courier New"/>
          <w:sz w:val="24"/>
          <w:szCs w:val="24"/>
        </w:rPr>
        <w:t>ssessed to Firstlight Hydro Generating Company</w:t>
      </w:r>
      <w:r w:rsidR="00953C0E">
        <w:rPr>
          <w:rFonts w:ascii="Courier New" w:hAnsi="Courier New" w:cs="Courier New"/>
          <w:sz w:val="24"/>
          <w:szCs w:val="24"/>
        </w:rPr>
        <w:t xml:space="preserve"> </w:t>
      </w:r>
      <w:r w:rsidR="004906D6">
        <w:rPr>
          <w:rFonts w:ascii="Courier New" w:hAnsi="Courier New" w:cs="Courier New"/>
          <w:sz w:val="24"/>
          <w:szCs w:val="24"/>
        </w:rPr>
        <w:t>(</w:t>
      </w:r>
      <w:r w:rsidR="00F209D2">
        <w:rPr>
          <w:rFonts w:ascii="Courier New" w:hAnsi="Courier New" w:cs="Courier New"/>
          <w:sz w:val="24"/>
          <w:szCs w:val="24"/>
        </w:rPr>
        <w:t>“appellant” or “</w:t>
      </w:r>
      <w:r w:rsidR="000D31D0">
        <w:rPr>
          <w:rFonts w:ascii="Courier New" w:hAnsi="Courier New" w:cs="Courier New"/>
          <w:sz w:val="24"/>
          <w:szCs w:val="24"/>
        </w:rPr>
        <w:t>Firstlight Hydro</w:t>
      </w:r>
      <w:r>
        <w:rPr>
          <w:rFonts w:ascii="Courier New" w:hAnsi="Courier New" w:cs="Courier New"/>
          <w:sz w:val="24"/>
          <w:szCs w:val="24"/>
        </w:rPr>
        <w:t>”) unde</w:t>
      </w:r>
      <w:r w:rsidR="00953C0E">
        <w:rPr>
          <w:rFonts w:ascii="Courier New" w:hAnsi="Courier New" w:cs="Courier New"/>
          <w:sz w:val="24"/>
          <w:szCs w:val="24"/>
        </w:rPr>
        <w:t xml:space="preserve">r G.L. c. 59, §§ 11, 18, and 38 </w:t>
      </w:r>
      <w:r w:rsidR="000A464E">
        <w:rPr>
          <w:rFonts w:ascii="Courier New" w:hAnsi="Courier New" w:cs="Courier New"/>
          <w:sz w:val="24"/>
          <w:szCs w:val="24"/>
        </w:rPr>
        <w:t xml:space="preserve">for fiscal year 2014 (“fiscal year at issue”).  </w:t>
      </w:r>
    </w:p>
    <w:p w:rsidR="00F164D2" w:rsidRDefault="00F164D2" w:rsidP="00F164D2">
      <w:pPr>
        <w:autoSpaceDE w:val="0"/>
        <w:autoSpaceDN w:val="0"/>
        <w:adjustRightInd w:val="0"/>
        <w:spacing w:after="0" w:line="480" w:lineRule="auto"/>
        <w:jc w:val="both"/>
        <w:rPr>
          <w:rFonts w:ascii="Courier New" w:hAnsi="Courier New" w:cs="Courier New"/>
          <w:sz w:val="24"/>
          <w:szCs w:val="24"/>
        </w:rPr>
      </w:pPr>
      <w:r>
        <w:rPr>
          <w:rFonts w:ascii="Courier New" w:hAnsi="Courier New" w:cs="Courier New"/>
          <w:sz w:val="24"/>
          <w:szCs w:val="24"/>
        </w:rPr>
        <w:tab/>
        <w:t xml:space="preserve">Chairman Hammond heard these appeals.  Commissioners Scharaffa, Rose, Chmielinski, and </w:t>
      </w:r>
      <w:r w:rsidR="00305CF2">
        <w:rPr>
          <w:rFonts w:ascii="Courier New" w:hAnsi="Courier New" w:cs="Courier New"/>
          <w:sz w:val="24"/>
          <w:szCs w:val="24"/>
        </w:rPr>
        <w:t>Good joined him in the decision</w:t>
      </w:r>
      <w:r>
        <w:rPr>
          <w:rFonts w:ascii="Courier New" w:hAnsi="Courier New" w:cs="Courier New"/>
          <w:sz w:val="24"/>
          <w:szCs w:val="24"/>
        </w:rPr>
        <w:t xml:space="preserve"> for the appellee</w:t>
      </w:r>
      <w:r w:rsidR="009872B7">
        <w:rPr>
          <w:rFonts w:ascii="Courier New" w:hAnsi="Courier New" w:cs="Courier New"/>
          <w:sz w:val="24"/>
          <w:szCs w:val="24"/>
        </w:rPr>
        <w:t>s</w:t>
      </w:r>
      <w:r>
        <w:rPr>
          <w:rFonts w:ascii="Courier New" w:hAnsi="Courier New" w:cs="Courier New"/>
          <w:sz w:val="24"/>
          <w:szCs w:val="24"/>
        </w:rPr>
        <w:t xml:space="preserve">.  </w:t>
      </w:r>
    </w:p>
    <w:p w:rsidR="00F164D2" w:rsidRDefault="00F164D2" w:rsidP="001C31AB">
      <w:pPr>
        <w:autoSpaceDE w:val="0"/>
        <w:autoSpaceDN w:val="0"/>
        <w:adjustRightInd w:val="0"/>
        <w:spacing w:after="0" w:line="480" w:lineRule="auto"/>
        <w:ind w:firstLine="720"/>
        <w:jc w:val="both"/>
        <w:rPr>
          <w:rFonts w:ascii="Courier New" w:hAnsi="Courier New" w:cs="Courier New"/>
          <w:sz w:val="24"/>
          <w:szCs w:val="24"/>
        </w:rPr>
      </w:pPr>
      <w:r>
        <w:rPr>
          <w:rFonts w:ascii="Courier New" w:hAnsi="Courier New" w:cs="Courier New"/>
          <w:sz w:val="24"/>
          <w:szCs w:val="24"/>
        </w:rPr>
        <w:t>These findings of fact and report are promulgated pursuant to the appellant’s request under G.L. c. 58A, § 13 and 831 CMR 1.32.</w:t>
      </w:r>
    </w:p>
    <w:p w:rsidR="00DE0251" w:rsidRDefault="00DE0251" w:rsidP="001C31AB">
      <w:pPr>
        <w:autoSpaceDE w:val="0"/>
        <w:autoSpaceDN w:val="0"/>
        <w:adjustRightInd w:val="0"/>
        <w:spacing w:after="0" w:line="480" w:lineRule="auto"/>
        <w:ind w:firstLine="720"/>
        <w:jc w:val="both"/>
        <w:rPr>
          <w:rFonts w:ascii="Courier New" w:hAnsi="Courier New" w:cs="Courier New"/>
          <w:sz w:val="24"/>
          <w:szCs w:val="24"/>
        </w:rPr>
      </w:pPr>
    </w:p>
    <w:p w:rsidR="00F164D2" w:rsidRDefault="00F164D2" w:rsidP="00F164D2">
      <w:p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i/>
          <w:iCs/>
          <w:sz w:val="24"/>
          <w:szCs w:val="24"/>
        </w:rPr>
        <w:t xml:space="preserve">Daniel J. Finnegan, </w:t>
      </w:r>
      <w:r>
        <w:rPr>
          <w:rFonts w:ascii="Courier New" w:hAnsi="Courier New" w:cs="Courier New"/>
          <w:sz w:val="24"/>
          <w:szCs w:val="24"/>
        </w:rPr>
        <w:t xml:space="preserve">Esq. and </w:t>
      </w:r>
      <w:r>
        <w:rPr>
          <w:rFonts w:ascii="Courier New" w:hAnsi="Courier New" w:cs="Courier New"/>
          <w:i/>
          <w:iCs/>
          <w:sz w:val="24"/>
          <w:szCs w:val="24"/>
        </w:rPr>
        <w:t xml:space="preserve">Michael D. Roundy, </w:t>
      </w:r>
      <w:r>
        <w:rPr>
          <w:rFonts w:ascii="Courier New" w:hAnsi="Courier New" w:cs="Courier New"/>
          <w:sz w:val="24"/>
          <w:szCs w:val="24"/>
        </w:rPr>
        <w:t>Esq. for the appellant.</w:t>
      </w:r>
    </w:p>
    <w:p w:rsidR="00F164D2" w:rsidRDefault="00F164D2" w:rsidP="00F164D2">
      <w:pPr>
        <w:autoSpaceDE w:val="0"/>
        <w:autoSpaceDN w:val="0"/>
        <w:adjustRightInd w:val="0"/>
        <w:spacing w:after="0" w:line="240" w:lineRule="auto"/>
        <w:jc w:val="both"/>
        <w:rPr>
          <w:rFonts w:ascii="Courier New" w:hAnsi="Courier New" w:cs="Courier New"/>
          <w:sz w:val="24"/>
          <w:szCs w:val="24"/>
        </w:rPr>
      </w:pPr>
    </w:p>
    <w:p w:rsidR="00F164D2" w:rsidRDefault="00F164D2" w:rsidP="00F164D2">
      <w:p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ab/>
      </w:r>
      <w:r w:rsidR="00EF0841">
        <w:rPr>
          <w:rFonts w:ascii="Courier New" w:hAnsi="Courier New" w:cs="Courier New"/>
          <w:i/>
          <w:iCs/>
          <w:sz w:val="24"/>
          <w:szCs w:val="24"/>
        </w:rPr>
        <w:t>Ellen M. Hutchinson</w:t>
      </w:r>
      <w:r>
        <w:rPr>
          <w:rFonts w:ascii="Courier New" w:hAnsi="Courier New" w:cs="Courier New"/>
          <w:i/>
          <w:iCs/>
          <w:sz w:val="24"/>
          <w:szCs w:val="24"/>
        </w:rPr>
        <w:t xml:space="preserve">, </w:t>
      </w:r>
      <w:r>
        <w:rPr>
          <w:rFonts w:ascii="Courier New" w:hAnsi="Courier New" w:cs="Courier New"/>
          <w:sz w:val="24"/>
          <w:szCs w:val="24"/>
        </w:rPr>
        <w:t xml:space="preserve">Esq. and </w:t>
      </w:r>
      <w:r w:rsidR="00EF0841" w:rsidRPr="00EF0841">
        <w:rPr>
          <w:rFonts w:ascii="Courier New" w:hAnsi="Courier New" w:cs="Courier New"/>
          <w:i/>
          <w:iCs/>
          <w:sz w:val="24"/>
          <w:szCs w:val="24"/>
        </w:rPr>
        <w:t>Karen Tonelli</w:t>
      </w:r>
      <w:r w:rsidR="00EF0841">
        <w:rPr>
          <w:rFonts w:ascii="Courier New" w:hAnsi="Courier New" w:cs="Courier New"/>
          <w:iCs/>
          <w:sz w:val="24"/>
          <w:szCs w:val="24"/>
        </w:rPr>
        <w:t xml:space="preserve">, </w:t>
      </w:r>
      <w:r w:rsidR="00D95EAB">
        <w:rPr>
          <w:rFonts w:ascii="Courier New" w:hAnsi="Courier New" w:cs="Courier New"/>
          <w:iCs/>
          <w:sz w:val="24"/>
          <w:szCs w:val="24"/>
        </w:rPr>
        <w:t>a</w:t>
      </w:r>
      <w:r w:rsidR="00EF0841">
        <w:rPr>
          <w:rFonts w:ascii="Courier New" w:hAnsi="Courier New" w:cs="Courier New"/>
          <w:iCs/>
          <w:sz w:val="24"/>
          <w:szCs w:val="24"/>
        </w:rPr>
        <w:t>ssessor,</w:t>
      </w:r>
      <w:r>
        <w:rPr>
          <w:rFonts w:ascii="Courier New" w:hAnsi="Courier New" w:cs="Courier New"/>
          <w:sz w:val="24"/>
          <w:szCs w:val="24"/>
        </w:rPr>
        <w:t xml:space="preserve"> for the appellee</w:t>
      </w:r>
      <w:r w:rsidR="002450C1">
        <w:rPr>
          <w:rFonts w:ascii="Courier New" w:hAnsi="Courier New" w:cs="Courier New"/>
          <w:sz w:val="24"/>
          <w:szCs w:val="24"/>
        </w:rPr>
        <w:t>s</w:t>
      </w:r>
      <w:r>
        <w:rPr>
          <w:rFonts w:ascii="Courier New" w:hAnsi="Courier New" w:cs="Courier New"/>
          <w:sz w:val="24"/>
          <w:szCs w:val="24"/>
        </w:rPr>
        <w:t>.</w:t>
      </w:r>
    </w:p>
    <w:p w:rsidR="00F164D2" w:rsidRDefault="00F164D2" w:rsidP="00690A85">
      <w:pPr>
        <w:autoSpaceDE w:val="0"/>
        <w:autoSpaceDN w:val="0"/>
        <w:adjustRightInd w:val="0"/>
        <w:spacing w:after="0" w:line="240" w:lineRule="auto"/>
        <w:jc w:val="center"/>
        <w:rPr>
          <w:rFonts w:ascii="Courier New" w:hAnsi="Courier New" w:cs="Courier New"/>
          <w:b/>
          <w:bCs/>
          <w:sz w:val="24"/>
          <w:szCs w:val="24"/>
        </w:rPr>
      </w:pPr>
      <w:r>
        <w:rPr>
          <w:rFonts w:ascii="Courier New" w:hAnsi="Courier New" w:cs="Courier New"/>
          <w:b/>
          <w:bCs/>
          <w:sz w:val="24"/>
          <w:szCs w:val="24"/>
        </w:rPr>
        <w:br w:type="page"/>
      </w:r>
      <w:r>
        <w:rPr>
          <w:rFonts w:ascii="Courier New" w:hAnsi="Courier New" w:cs="Courier New"/>
          <w:b/>
          <w:bCs/>
          <w:sz w:val="24"/>
          <w:szCs w:val="24"/>
        </w:rPr>
        <w:lastRenderedPageBreak/>
        <w:t>FINDINGS OF FACT AND REPORT</w:t>
      </w:r>
    </w:p>
    <w:p w:rsidR="00F164D2" w:rsidRDefault="00F164D2" w:rsidP="00F164D2">
      <w:pPr>
        <w:autoSpaceDE w:val="0"/>
        <w:autoSpaceDN w:val="0"/>
        <w:adjustRightInd w:val="0"/>
        <w:spacing w:after="0" w:line="240" w:lineRule="auto"/>
        <w:jc w:val="center"/>
        <w:rPr>
          <w:rFonts w:ascii="Courier New" w:hAnsi="Courier New" w:cs="Courier New"/>
          <w:sz w:val="24"/>
          <w:szCs w:val="24"/>
        </w:rPr>
      </w:pPr>
    </w:p>
    <w:p w:rsidR="00DB3DDB" w:rsidRDefault="008D0701" w:rsidP="00A76A5D">
      <w:pPr>
        <w:spacing w:line="480" w:lineRule="auto"/>
        <w:contextualSpacing/>
        <w:jc w:val="both"/>
        <w:rPr>
          <w:rFonts w:ascii="Courier New" w:hAnsi="Courier New" w:cs="Courier New"/>
          <w:sz w:val="24"/>
          <w:szCs w:val="24"/>
        </w:rPr>
      </w:pPr>
      <w:r>
        <w:rPr>
          <w:rFonts w:ascii="Courier New" w:hAnsi="Courier New" w:cs="Courier New"/>
          <w:sz w:val="24"/>
          <w:szCs w:val="24"/>
        </w:rPr>
        <w:tab/>
      </w:r>
      <w:r w:rsidR="004E2737">
        <w:rPr>
          <w:rFonts w:ascii="Courier New" w:hAnsi="Courier New" w:cs="Courier New"/>
          <w:sz w:val="24"/>
          <w:szCs w:val="24"/>
        </w:rPr>
        <w:t xml:space="preserve">The hearing of these appeals spanned three days and featured a </w:t>
      </w:r>
      <w:r w:rsidR="00EB353B">
        <w:rPr>
          <w:rFonts w:ascii="Courier New" w:hAnsi="Courier New" w:cs="Courier New"/>
          <w:sz w:val="24"/>
          <w:szCs w:val="24"/>
        </w:rPr>
        <w:t xml:space="preserve">documentary record, </w:t>
      </w:r>
      <w:r w:rsidR="004E2737">
        <w:rPr>
          <w:rFonts w:ascii="Courier New" w:hAnsi="Courier New" w:cs="Courier New"/>
          <w:sz w:val="24"/>
          <w:szCs w:val="24"/>
        </w:rPr>
        <w:t>Statements of Agreed Facts</w:t>
      </w:r>
      <w:r w:rsidR="00EB353B">
        <w:rPr>
          <w:rFonts w:ascii="Courier New" w:hAnsi="Courier New" w:cs="Courier New"/>
          <w:sz w:val="24"/>
          <w:szCs w:val="24"/>
        </w:rPr>
        <w:t>,</w:t>
      </w:r>
      <w:r w:rsidR="004E2737">
        <w:rPr>
          <w:rFonts w:ascii="Courier New" w:hAnsi="Courier New" w:cs="Courier New"/>
          <w:sz w:val="24"/>
          <w:szCs w:val="24"/>
        </w:rPr>
        <w:t xml:space="preserve"> </w:t>
      </w:r>
      <w:r w:rsidR="00690A85">
        <w:rPr>
          <w:rFonts w:ascii="Courier New" w:hAnsi="Courier New" w:cs="Courier New"/>
          <w:sz w:val="24"/>
          <w:szCs w:val="24"/>
        </w:rPr>
        <w:t xml:space="preserve">and </w:t>
      </w:r>
      <w:r w:rsidR="00EB353B">
        <w:rPr>
          <w:rFonts w:ascii="Courier New" w:hAnsi="Courier New" w:cs="Courier New"/>
          <w:sz w:val="24"/>
          <w:szCs w:val="24"/>
        </w:rPr>
        <w:t xml:space="preserve">the testimony of </w:t>
      </w:r>
      <w:r w:rsidR="00D95EAB">
        <w:rPr>
          <w:rFonts w:ascii="Courier New" w:hAnsi="Courier New" w:cs="Courier New"/>
          <w:sz w:val="24"/>
          <w:szCs w:val="24"/>
        </w:rPr>
        <w:t>several</w:t>
      </w:r>
      <w:r w:rsidR="00EB353B">
        <w:rPr>
          <w:rFonts w:ascii="Courier New" w:hAnsi="Courier New" w:cs="Courier New"/>
          <w:sz w:val="24"/>
          <w:szCs w:val="24"/>
        </w:rPr>
        <w:t xml:space="preserve"> witnesses</w:t>
      </w:r>
      <w:r w:rsidR="00D95EAB">
        <w:rPr>
          <w:rFonts w:ascii="Courier New" w:hAnsi="Courier New" w:cs="Courier New"/>
          <w:sz w:val="24"/>
          <w:szCs w:val="24"/>
        </w:rPr>
        <w:t xml:space="preserve">, including </w:t>
      </w:r>
      <w:r w:rsidR="00EB353B">
        <w:rPr>
          <w:rFonts w:ascii="Courier New" w:hAnsi="Courier New" w:cs="Courier New"/>
          <w:sz w:val="24"/>
          <w:szCs w:val="24"/>
        </w:rPr>
        <w:t>John Shue, Vice President of the appellant’s parent company</w:t>
      </w:r>
      <w:r w:rsidR="00D95EAB">
        <w:rPr>
          <w:rFonts w:ascii="Courier New" w:hAnsi="Courier New" w:cs="Courier New"/>
          <w:sz w:val="24"/>
          <w:szCs w:val="24"/>
        </w:rPr>
        <w:t>, and</w:t>
      </w:r>
      <w:r w:rsidR="00EB353B">
        <w:rPr>
          <w:rFonts w:ascii="Courier New" w:hAnsi="Courier New" w:cs="Courier New"/>
          <w:sz w:val="24"/>
          <w:szCs w:val="24"/>
        </w:rPr>
        <w:t xml:space="preserve"> Ann Bulkley, the appellant’s valuation expert.  Based on the record in its totality, </w:t>
      </w:r>
      <w:r>
        <w:rPr>
          <w:rFonts w:ascii="Courier New" w:hAnsi="Courier New" w:cs="Courier New"/>
          <w:sz w:val="24"/>
          <w:szCs w:val="24"/>
        </w:rPr>
        <w:t>the Appellate Tax Board (“Board”) made the following findings of fact.</w:t>
      </w:r>
      <w:r w:rsidR="00BF5427">
        <w:rPr>
          <w:rStyle w:val="FootnoteReference"/>
          <w:rFonts w:ascii="Courier New" w:hAnsi="Courier New" w:cs="Courier New"/>
          <w:sz w:val="24"/>
          <w:szCs w:val="24"/>
        </w:rPr>
        <w:footnoteReference w:id="1"/>
      </w:r>
    </w:p>
    <w:p w:rsidR="00F41DAB" w:rsidRDefault="000A464E" w:rsidP="00A76A5D">
      <w:pPr>
        <w:spacing w:line="480" w:lineRule="auto"/>
        <w:contextualSpacing/>
        <w:jc w:val="both"/>
        <w:rPr>
          <w:rFonts w:ascii="Courier New" w:hAnsi="Courier New" w:cs="Courier New"/>
          <w:sz w:val="24"/>
          <w:szCs w:val="24"/>
        </w:rPr>
      </w:pPr>
      <w:r>
        <w:rPr>
          <w:rFonts w:ascii="Courier New" w:hAnsi="Courier New" w:cs="Courier New"/>
          <w:sz w:val="24"/>
          <w:szCs w:val="24"/>
        </w:rPr>
        <w:tab/>
        <w:t xml:space="preserve">On January 1, 2013, the relevant assessment date for the fiscal year at issue, the appellant was the assessed owner of </w:t>
      </w:r>
      <w:r w:rsidR="003F3075">
        <w:rPr>
          <w:rFonts w:ascii="Courier New" w:hAnsi="Courier New" w:cs="Courier New"/>
          <w:sz w:val="24"/>
          <w:szCs w:val="24"/>
        </w:rPr>
        <w:t>certain real an</w:t>
      </w:r>
      <w:r w:rsidR="009D2CE1">
        <w:rPr>
          <w:rFonts w:ascii="Courier New" w:hAnsi="Courier New" w:cs="Courier New"/>
          <w:sz w:val="24"/>
          <w:szCs w:val="24"/>
        </w:rPr>
        <w:t>d personal property comprising two hydroelectric generating facilities, known as Cabot Station and Turners Falls</w:t>
      </w:r>
      <w:r w:rsidR="004611E4">
        <w:rPr>
          <w:rFonts w:ascii="Courier New" w:hAnsi="Courier New" w:cs="Courier New"/>
          <w:sz w:val="24"/>
          <w:szCs w:val="24"/>
        </w:rPr>
        <w:t xml:space="preserve"> Station</w:t>
      </w:r>
      <w:r w:rsidR="009D2CE1">
        <w:rPr>
          <w:rFonts w:ascii="Courier New" w:hAnsi="Courier New" w:cs="Courier New"/>
          <w:sz w:val="24"/>
          <w:szCs w:val="24"/>
        </w:rPr>
        <w:t>, l</w:t>
      </w:r>
      <w:r w:rsidR="00124018">
        <w:rPr>
          <w:rFonts w:ascii="Courier New" w:hAnsi="Courier New" w:cs="Courier New"/>
          <w:sz w:val="24"/>
          <w:szCs w:val="24"/>
        </w:rPr>
        <w:t xml:space="preserve">ocated in the towns of </w:t>
      </w:r>
      <w:r w:rsidR="009D2CE1">
        <w:rPr>
          <w:rFonts w:ascii="Courier New" w:hAnsi="Courier New" w:cs="Courier New"/>
          <w:sz w:val="24"/>
          <w:szCs w:val="24"/>
        </w:rPr>
        <w:t>Montague</w:t>
      </w:r>
      <w:r w:rsidR="00124018">
        <w:rPr>
          <w:rFonts w:ascii="Courier New" w:hAnsi="Courier New" w:cs="Courier New"/>
          <w:sz w:val="24"/>
          <w:szCs w:val="24"/>
        </w:rPr>
        <w:t xml:space="preserve"> and Gill</w:t>
      </w:r>
      <w:r w:rsidR="00432A13">
        <w:rPr>
          <w:rFonts w:ascii="Courier New" w:hAnsi="Courier New" w:cs="Courier New"/>
          <w:sz w:val="24"/>
          <w:szCs w:val="24"/>
        </w:rPr>
        <w:t xml:space="preserve"> (collectively, “</w:t>
      </w:r>
      <w:r w:rsidR="002450C1">
        <w:rPr>
          <w:rFonts w:ascii="Courier New" w:hAnsi="Courier New" w:cs="Courier New"/>
          <w:sz w:val="24"/>
          <w:szCs w:val="24"/>
        </w:rPr>
        <w:t>facilities”)</w:t>
      </w:r>
      <w:r w:rsidR="007A1108">
        <w:rPr>
          <w:rFonts w:ascii="Courier New" w:hAnsi="Courier New" w:cs="Courier New"/>
          <w:sz w:val="24"/>
          <w:szCs w:val="24"/>
        </w:rPr>
        <w:t xml:space="preserve">.  </w:t>
      </w:r>
      <w:r w:rsidR="00B5601A">
        <w:rPr>
          <w:rFonts w:ascii="Courier New" w:hAnsi="Courier New" w:cs="Courier New"/>
          <w:sz w:val="24"/>
          <w:szCs w:val="24"/>
        </w:rPr>
        <w:t xml:space="preserve">While the facilities are comprised of </w:t>
      </w:r>
      <w:r w:rsidR="007A1108">
        <w:rPr>
          <w:rFonts w:ascii="Courier New" w:hAnsi="Courier New" w:cs="Courier New"/>
          <w:sz w:val="24"/>
          <w:szCs w:val="24"/>
        </w:rPr>
        <w:t>numerous ite</w:t>
      </w:r>
      <w:r w:rsidR="001C31AB">
        <w:rPr>
          <w:rFonts w:ascii="Courier New" w:hAnsi="Courier New" w:cs="Courier New"/>
          <w:sz w:val="24"/>
          <w:szCs w:val="24"/>
        </w:rPr>
        <w:t>ms of personal property and include several</w:t>
      </w:r>
      <w:r w:rsidR="007A1108">
        <w:rPr>
          <w:rFonts w:ascii="Courier New" w:hAnsi="Courier New" w:cs="Courier New"/>
          <w:sz w:val="24"/>
          <w:szCs w:val="24"/>
        </w:rPr>
        <w:t xml:space="preserve"> parcels</w:t>
      </w:r>
      <w:r w:rsidR="001C31AB">
        <w:rPr>
          <w:rFonts w:ascii="Courier New" w:hAnsi="Courier New" w:cs="Courier New"/>
          <w:sz w:val="24"/>
          <w:szCs w:val="24"/>
        </w:rPr>
        <w:t xml:space="preserve"> of real property</w:t>
      </w:r>
      <w:r w:rsidR="007A1108">
        <w:rPr>
          <w:rFonts w:ascii="Courier New" w:hAnsi="Courier New" w:cs="Courier New"/>
          <w:sz w:val="24"/>
          <w:szCs w:val="24"/>
        </w:rPr>
        <w:t xml:space="preserve">, only three parcels of real property and one personal property account are the subject of these appeals.  </w:t>
      </w:r>
      <w:r w:rsidR="00036FF1">
        <w:rPr>
          <w:rFonts w:ascii="Courier New" w:hAnsi="Courier New" w:cs="Courier New"/>
          <w:sz w:val="24"/>
          <w:szCs w:val="24"/>
        </w:rPr>
        <w:t>The real and p</w:t>
      </w:r>
      <w:r w:rsidR="00D03219">
        <w:rPr>
          <w:rFonts w:ascii="Courier New" w:hAnsi="Courier New" w:cs="Courier New"/>
          <w:sz w:val="24"/>
          <w:szCs w:val="24"/>
        </w:rPr>
        <w:t xml:space="preserve">ersonal property at issue </w:t>
      </w:r>
      <w:r w:rsidR="00036FF1">
        <w:rPr>
          <w:rFonts w:ascii="Courier New" w:hAnsi="Courier New" w:cs="Courier New"/>
          <w:sz w:val="24"/>
          <w:szCs w:val="24"/>
        </w:rPr>
        <w:t>will hereinaf</w:t>
      </w:r>
      <w:r w:rsidR="00D03219">
        <w:rPr>
          <w:rFonts w:ascii="Courier New" w:hAnsi="Courier New" w:cs="Courier New"/>
          <w:sz w:val="24"/>
          <w:szCs w:val="24"/>
        </w:rPr>
        <w:t xml:space="preserve">ter be referred to </w:t>
      </w:r>
      <w:r w:rsidR="00036FF1">
        <w:rPr>
          <w:rFonts w:ascii="Courier New" w:hAnsi="Courier New" w:cs="Courier New"/>
          <w:sz w:val="24"/>
          <w:szCs w:val="24"/>
        </w:rPr>
        <w:t xml:space="preserve">as the “subject property.”  </w:t>
      </w:r>
      <w:r w:rsidR="007A1108">
        <w:rPr>
          <w:rFonts w:ascii="Courier New" w:hAnsi="Courier New" w:cs="Courier New"/>
          <w:sz w:val="24"/>
          <w:szCs w:val="24"/>
        </w:rPr>
        <w:t>Relevan</w:t>
      </w:r>
      <w:r w:rsidR="00FA3141">
        <w:rPr>
          <w:rFonts w:ascii="Courier New" w:hAnsi="Courier New" w:cs="Courier New"/>
          <w:sz w:val="24"/>
          <w:szCs w:val="24"/>
        </w:rPr>
        <w:t xml:space="preserve">t assessment </w:t>
      </w:r>
      <w:r w:rsidR="007A1108">
        <w:rPr>
          <w:rFonts w:ascii="Courier New" w:hAnsi="Courier New" w:cs="Courier New"/>
          <w:sz w:val="24"/>
          <w:szCs w:val="24"/>
        </w:rPr>
        <w:t>inf</w:t>
      </w:r>
      <w:r w:rsidR="00036FF1">
        <w:rPr>
          <w:rFonts w:ascii="Courier New" w:hAnsi="Courier New" w:cs="Courier New"/>
          <w:sz w:val="24"/>
          <w:szCs w:val="24"/>
        </w:rPr>
        <w:t xml:space="preserve">ormation for the subject property is summarized in the following table.  </w:t>
      </w:r>
    </w:p>
    <w:p w:rsidR="00C20A0A" w:rsidRDefault="00C20A0A" w:rsidP="00A76A5D">
      <w:pPr>
        <w:spacing w:line="480" w:lineRule="auto"/>
        <w:contextualSpacing/>
        <w:jc w:val="both"/>
        <w:rPr>
          <w:rFonts w:ascii="Courier New" w:hAnsi="Courier New" w:cs="Courier New"/>
          <w:sz w:val="24"/>
          <w:szCs w:val="24"/>
        </w:rPr>
      </w:pPr>
    </w:p>
    <w:p w:rsidR="00C20A0A" w:rsidRDefault="00C20A0A" w:rsidP="00A76A5D">
      <w:pPr>
        <w:spacing w:line="480" w:lineRule="auto"/>
        <w:contextualSpacing/>
        <w:rPr>
          <w:rFonts w:ascii="Courier New" w:hAnsi="Courier New" w:cs="Courier New"/>
          <w:sz w:val="24"/>
          <w:szCs w:val="24"/>
        </w:rPr>
      </w:pPr>
    </w:p>
    <w:tbl>
      <w:tblPr>
        <w:tblStyle w:val="TableGrid"/>
        <w:tblW w:w="5000" w:type="pct"/>
        <w:tblLook w:val="04A0" w:firstRow="1" w:lastRow="0" w:firstColumn="1" w:lastColumn="0" w:noHBand="0" w:noVBand="1"/>
      </w:tblPr>
      <w:tblGrid>
        <w:gridCol w:w="1297"/>
        <w:gridCol w:w="2315"/>
        <w:gridCol w:w="1892"/>
        <w:gridCol w:w="1931"/>
        <w:gridCol w:w="2141"/>
      </w:tblGrid>
      <w:tr w:rsidR="00176CAF" w:rsidTr="00DE0251">
        <w:trPr>
          <w:trHeight w:val="1007"/>
        </w:trPr>
        <w:tc>
          <w:tcPr>
            <w:tcW w:w="677" w:type="pct"/>
          </w:tcPr>
          <w:p w:rsidR="00176CAF" w:rsidRPr="002F49EF" w:rsidRDefault="00176CAF" w:rsidP="00A76A5D">
            <w:pPr>
              <w:spacing w:line="240" w:lineRule="auto"/>
              <w:contextualSpacing/>
              <w:jc w:val="right"/>
              <w:rPr>
                <w:rFonts w:ascii="Courier New" w:hAnsi="Courier New" w:cs="Courier New"/>
                <w:b/>
                <w:sz w:val="20"/>
                <w:szCs w:val="20"/>
              </w:rPr>
            </w:pPr>
            <w:r w:rsidRPr="002F49EF">
              <w:rPr>
                <w:rFonts w:ascii="Courier New" w:hAnsi="Courier New" w:cs="Courier New"/>
                <w:b/>
                <w:sz w:val="20"/>
                <w:szCs w:val="20"/>
              </w:rPr>
              <w:t>Docket No.</w:t>
            </w:r>
          </w:p>
        </w:tc>
        <w:tc>
          <w:tcPr>
            <w:tcW w:w="1209" w:type="pct"/>
          </w:tcPr>
          <w:p w:rsidR="00176CAF" w:rsidRPr="002F49EF" w:rsidRDefault="00176CAF" w:rsidP="00A76A5D">
            <w:pPr>
              <w:spacing w:line="240" w:lineRule="auto"/>
              <w:contextualSpacing/>
              <w:jc w:val="right"/>
              <w:rPr>
                <w:rFonts w:ascii="Courier New" w:hAnsi="Courier New" w:cs="Courier New"/>
                <w:b/>
                <w:sz w:val="20"/>
                <w:szCs w:val="20"/>
              </w:rPr>
            </w:pPr>
            <w:r w:rsidRPr="002F49EF">
              <w:rPr>
                <w:rFonts w:ascii="Courier New" w:hAnsi="Courier New" w:cs="Courier New"/>
                <w:b/>
                <w:sz w:val="20"/>
                <w:szCs w:val="20"/>
              </w:rPr>
              <w:t>Location</w:t>
            </w:r>
          </w:p>
        </w:tc>
        <w:tc>
          <w:tcPr>
            <w:tcW w:w="988" w:type="pct"/>
          </w:tcPr>
          <w:p w:rsidR="00176CAF" w:rsidRPr="002F49EF" w:rsidRDefault="002646E0" w:rsidP="00A76A5D">
            <w:pPr>
              <w:spacing w:line="240" w:lineRule="auto"/>
              <w:contextualSpacing/>
              <w:jc w:val="right"/>
              <w:rPr>
                <w:rFonts w:ascii="Courier New" w:hAnsi="Courier New" w:cs="Courier New"/>
                <w:b/>
                <w:sz w:val="20"/>
                <w:szCs w:val="20"/>
              </w:rPr>
            </w:pPr>
            <w:r>
              <w:rPr>
                <w:rFonts w:ascii="Courier New" w:hAnsi="Courier New" w:cs="Courier New"/>
                <w:b/>
                <w:sz w:val="20"/>
                <w:szCs w:val="20"/>
              </w:rPr>
              <w:t>Assessed V</w:t>
            </w:r>
            <w:r w:rsidR="00176CAF" w:rsidRPr="002F49EF">
              <w:rPr>
                <w:rFonts w:ascii="Courier New" w:hAnsi="Courier New" w:cs="Courier New"/>
                <w:b/>
                <w:sz w:val="20"/>
                <w:szCs w:val="20"/>
              </w:rPr>
              <w:t>alue</w:t>
            </w:r>
          </w:p>
          <w:p w:rsidR="00176CAF" w:rsidRPr="002F49EF" w:rsidRDefault="00176CAF" w:rsidP="00A76A5D">
            <w:pPr>
              <w:spacing w:line="240" w:lineRule="auto"/>
              <w:contextualSpacing/>
              <w:jc w:val="right"/>
              <w:rPr>
                <w:rFonts w:ascii="Courier New" w:hAnsi="Courier New" w:cs="Courier New"/>
                <w:b/>
                <w:sz w:val="20"/>
                <w:szCs w:val="20"/>
              </w:rPr>
            </w:pPr>
          </w:p>
        </w:tc>
        <w:tc>
          <w:tcPr>
            <w:tcW w:w="1008" w:type="pct"/>
          </w:tcPr>
          <w:p w:rsidR="00176CAF" w:rsidRPr="002F49EF" w:rsidRDefault="00176CAF" w:rsidP="00A76A5D">
            <w:pPr>
              <w:spacing w:line="240" w:lineRule="auto"/>
              <w:contextualSpacing/>
              <w:jc w:val="right"/>
              <w:rPr>
                <w:rFonts w:ascii="Courier New" w:hAnsi="Courier New" w:cs="Courier New"/>
                <w:b/>
                <w:sz w:val="20"/>
                <w:szCs w:val="20"/>
              </w:rPr>
            </w:pPr>
            <w:r w:rsidRPr="002F49EF">
              <w:rPr>
                <w:rFonts w:ascii="Courier New" w:hAnsi="Courier New" w:cs="Courier New"/>
                <w:b/>
                <w:sz w:val="20"/>
                <w:szCs w:val="20"/>
              </w:rPr>
              <w:t>Tax/$1,000</w:t>
            </w:r>
            <w:r w:rsidR="001B613C">
              <w:rPr>
                <w:rFonts w:ascii="Courier New" w:hAnsi="Courier New" w:cs="Courier New"/>
                <w:b/>
                <w:sz w:val="20"/>
                <w:szCs w:val="20"/>
              </w:rPr>
              <w:t xml:space="preserve"> and Fire District Tax</w:t>
            </w:r>
            <w:r w:rsidR="001B613C">
              <w:rPr>
                <w:rStyle w:val="FootnoteReference"/>
                <w:rFonts w:ascii="Courier New" w:hAnsi="Courier New" w:cs="Courier New"/>
                <w:b/>
                <w:sz w:val="20"/>
                <w:szCs w:val="20"/>
              </w:rPr>
              <w:footnoteReference w:id="2"/>
            </w:r>
          </w:p>
          <w:p w:rsidR="00176CAF" w:rsidRPr="002F49EF" w:rsidRDefault="00176CAF" w:rsidP="00A76A5D">
            <w:pPr>
              <w:spacing w:line="240" w:lineRule="auto"/>
              <w:contextualSpacing/>
              <w:jc w:val="right"/>
              <w:rPr>
                <w:rFonts w:ascii="Courier New" w:hAnsi="Courier New" w:cs="Courier New"/>
                <w:b/>
                <w:sz w:val="20"/>
                <w:szCs w:val="20"/>
              </w:rPr>
            </w:pPr>
          </w:p>
        </w:tc>
        <w:tc>
          <w:tcPr>
            <w:tcW w:w="1118" w:type="pct"/>
          </w:tcPr>
          <w:p w:rsidR="00176CAF" w:rsidRPr="002F49EF" w:rsidRDefault="00D03219" w:rsidP="00A76A5D">
            <w:pPr>
              <w:spacing w:line="240" w:lineRule="auto"/>
              <w:contextualSpacing/>
              <w:jc w:val="right"/>
              <w:rPr>
                <w:rFonts w:ascii="Courier New" w:hAnsi="Courier New" w:cs="Courier New"/>
                <w:b/>
                <w:sz w:val="20"/>
                <w:szCs w:val="20"/>
              </w:rPr>
            </w:pPr>
            <w:r>
              <w:rPr>
                <w:rFonts w:ascii="Courier New" w:hAnsi="Courier New" w:cs="Courier New"/>
                <w:b/>
                <w:sz w:val="20"/>
                <w:szCs w:val="20"/>
              </w:rPr>
              <w:t xml:space="preserve"> </w:t>
            </w:r>
            <w:r w:rsidR="006B7FE7" w:rsidRPr="002F49EF">
              <w:rPr>
                <w:rFonts w:ascii="Courier New" w:hAnsi="Courier New" w:cs="Courier New"/>
                <w:b/>
                <w:sz w:val="20"/>
                <w:szCs w:val="20"/>
              </w:rPr>
              <w:t>Total Tax</w:t>
            </w:r>
          </w:p>
        </w:tc>
      </w:tr>
      <w:tr w:rsidR="00176CAF" w:rsidTr="00DE0251">
        <w:tc>
          <w:tcPr>
            <w:tcW w:w="677" w:type="pct"/>
          </w:tcPr>
          <w:p w:rsidR="00176CAF" w:rsidRPr="002F49EF" w:rsidRDefault="00DE42AA"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F325471</w:t>
            </w:r>
          </w:p>
        </w:tc>
        <w:tc>
          <w:tcPr>
            <w:tcW w:w="1209" w:type="pct"/>
          </w:tcPr>
          <w:p w:rsidR="00176CAF" w:rsidRPr="002F49EF" w:rsidRDefault="006B7FE7"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15 Cabot Street</w:t>
            </w:r>
            <w:r w:rsidR="003A0893">
              <w:rPr>
                <w:rFonts w:ascii="Courier New" w:hAnsi="Courier New" w:cs="Courier New"/>
                <w:sz w:val="20"/>
                <w:szCs w:val="20"/>
              </w:rPr>
              <w:t>, Montague</w:t>
            </w:r>
          </w:p>
        </w:tc>
        <w:tc>
          <w:tcPr>
            <w:tcW w:w="988" w:type="pct"/>
          </w:tcPr>
          <w:p w:rsidR="00176CAF" w:rsidRPr="002F49EF" w:rsidRDefault="00AF07D6"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 xml:space="preserve"> </w:t>
            </w:r>
            <w:r w:rsidR="006B7FE7" w:rsidRPr="002F49EF">
              <w:rPr>
                <w:rFonts w:ascii="Courier New" w:hAnsi="Courier New" w:cs="Courier New"/>
                <w:sz w:val="20"/>
                <w:szCs w:val="20"/>
              </w:rPr>
              <w:t>$91,800,290</w:t>
            </w:r>
          </w:p>
        </w:tc>
        <w:tc>
          <w:tcPr>
            <w:tcW w:w="1008" w:type="pct"/>
          </w:tcPr>
          <w:p w:rsidR="00176CAF" w:rsidRPr="002F49EF" w:rsidRDefault="00815BE0"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$28.95</w:t>
            </w:r>
          </w:p>
        </w:tc>
        <w:tc>
          <w:tcPr>
            <w:tcW w:w="1118" w:type="pct"/>
          </w:tcPr>
          <w:p w:rsidR="00176CAF" w:rsidRPr="002F49EF" w:rsidRDefault="00815BE0"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$2,657,618.40</w:t>
            </w:r>
          </w:p>
        </w:tc>
      </w:tr>
      <w:tr w:rsidR="00176CAF" w:rsidTr="00DE0251">
        <w:tc>
          <w:tcPr>
            <w:tcW w:w="677" w:type="pct"/>
          </w:tcPr>
          <w:p w:rsidR="00176CAF" w:rsidRPr="002F49EF" w:rsidRDefault="00DE42AA"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F325472</w:t>
            </w:r>
          </w:p>
        </w:tc>
        <w:tc>
          <w:tcPr>
            <w:tcW w:w="1209" w:type="pct"/>
          </w:tcPr>
          <w:p w:rsidR="00176CAF" w:rsidRPr="002F49EF" w:rsidRDefault="00815BE0"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Personal Property- Montague</w:t>
            </w:r>
          </w:p>
        </w:tc>
        <w:tc>
          <w:tcPr>
            <w:tcW w:w="988" w:type="pct"/>
          </w:tcPr>
          <w:p w:rsidR="00176CAF" w:rsidRPr="002F49EF" w:rsidRDefault="00AF07D6"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 xml:space="preserve"> </w:t>
            </w:r>
            <w:r w:rsidR="00815BE0" w:rsidRPr="002F49EF">
              <w:rPr>
                <w:rFonts w:ascii="Courier New" w:hAnsi="Courier New" w:cs="Courier New"/>
                <w:sz w:val="20"/>
                <w:szCs w:val="20"/>
              </w:rPr>
              <w:t>$15,840,800</w:t>
            </w:r>
          </w:p>
        </w:tc>
        <w:tc>
          <w:tcPr>
            <w:tcW w:w="1008" w:type="pct"/>
          </w:tcPr>
          <w:p w:rsidR="00176CAF" w:rsidRPr="002F49EF" w:rsidRDefault="00815BE0"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$28.95</w:t>
            </w:r>
          </w:p>
        </w:tc>
        <w:tc>
          <w:tcPr>
            <w:tcW w:w="1118" w:type="pct"/>
          </w:tcPr>
          <w:p w:rsidR="00176CAF" w:rsidRPr="002F49EF" w:rsidRDefault="0084156A"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 xml:space="preserve">  </w:t>
            </w:r>
            <w:r w:rsidR="00815BE0" w:rsidRPr="002F49EF">
              <w:rPr>
                <w:rFonts w:ascii="Courier New" w:hAnsi="Courier New" w:cs="Courier New"/>
                <w:sz w:val="20"/>
                <w:szCs w:val="20"/>
              </w:rPr>
              <w:t>$458,591.16</w:t>
            </w:r>
          </w:p>
        </w:tc>
      </w:tr>
      <w:tr w:rsidR="00176CAF" w:rsidTr="00DE0251">
        <w:tc>
          <w:tcPr>
            <w:tcW w:w="677" w:type="pct"/>
          </w:tcPr>
          <w:p w:rsidR="00176CAF" w:rsidRPr="002F49EF" w:rsidRDefault="00F41DAB"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F325473</w:t>
            </w:r>
          </w:p>
        </w:tc>
        <w:tc>
          <w:tcPr>
            <w:tcW w:w="1209" w:type="pct"/>
          </w:tcPr>
          <w:p w:rsidR="00176CAF" w:rsidRPr="002F49EF" w:rsidRDefault="003A0893"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0 Riverview Drive, Gill</w:t>
            </w:r>
          </w:p>
        </w:tc>
        <w:tc>
          <w:tcPr>
            <w:tcW w:w="988" w:type="pct"/>
          </w:tcPr>
          <w:p w:rsidR="00176CAF" w:rsidRPr="002F49EF" w:rsidRDefault="00AF07D6"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 xml:space="preserve"> </w:t>
            </w:r>
            <w:r w:rsidR="003A0893">
              <w:rPr>
                <w:rFonts w:ascii="Courier New" w:hAnsi="Courier New" w:cs="Courier New"/>
                <w:sz w:val="20"/>
                <w:szCs w:val="20"/>
              </w:rPr>
              <w:t>$12,672,700</w:t>
            </w:r>
          </w:p>
        </w:tc>
        <w:tc>
          <w:tcPr>
            <w:tcW w:w="1008" w:type="pct"/>
          </w:tcPr>
          <w:p w:rsidR="00176CAF" w:rsidRPr="002F49EF" w:rsidRDefault="003A0893"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$16.78</w:t>
            </w:r>
          </w:p>
        </w:tc>
        <w:tc>
          <w:tcPr>
            <w:tcW w:w="1118" w:type="pct"/>
          </w:tcPr>
          <w:p w:rsidR="00176CAF" w:rsidRPr="002F49EF" w:rsidRDefault="0084156A"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 xml:space="preserve">  </w:t>
            </w:r>
            <w:r w:rsidR="003A0893">
              <w:rPr>
                <w:rFonts w:ascii="Courier New" w:hAnsi="Courier New" w:cs="Courier New"/>
                <w:sz w:val="20"/>
                <w:szCs w:val="20"/>
              </w:rPr>
              <w:t>$212,647.91</w:t>
            </w:r>
          </w:p>
        </w:tc>
      </w:tr>
      <w:tr w:rsidR="00F41DAB" w:rsidTr="00DE0251">
        <w:tc>
          <w:tcPr>
            <w:tcW w:w="677" w:type="pct"/>
          </w:tcPr>
          <w:p w:rsidR="00F41DAB" w:rsidRPr="002F49EF" w:rsidRDefault="00F41DAB" w:rsidP="00A76A5D">
            <w:pPr>
              <w:spacing w:line="240" w:lineRule="auto"/>
              <w:contextualSpacing/>
              <w:jc w:val="right"/>
              <w:rPr>
                <w:rFonts w:ascii="Courier New" w:hAnsi="Courier New" w:cs="Courier New"/>
                <w:sz w:val="20"/>
                <w:szCs w:val="20"/>
              </w:rPr>
            </w:pPr>
            <w:r w:rsidRPr="002F49EF">
              <w:rPr>
                <w:rFonts w:ascii="Courier New" w:hAnsi="Courier New" w:cs="Courier New"/>
                <w:sz w:val="20"/>
                <w:szCs w:val="20"/>
              </w:rPr>
              <w:t>F325474</w:t>
            </w:r>
          </w:p>
        </w:tc>
        <w:tc>
          <w:tcPr>
            <w:tcW w:w="1209" w:type="pct"/>
          </w:tcPr>
          <w:p w:rsidR="00F41DAB" w:rsidRPr="002F49EF" w:rsidRDefault="003C52C6"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26 Power Street, Montague</w:t>
            </w:r>
          </w:p>
        </w:tc>
        <w:tc>
          <w:tcPr>
            <w:tcW w:w="988" w:type="pct"/>
          </w:tcPr>
          <w:p w:rsidR="00F41DAB" w:rsidRPr="002F49EF" w:rsidRDefault="00AF07D6"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 xml:space="preserve">  </w:t>
            </w:r>
            <w:r w:rsidR="0084156A">
              <w:rPr>
                <w:rFonts w:ascii="Courier New" w:hAnsi="Courier New" w:cs="Courier New"/>
                <w:sz w:val="20"/>
                <w:szCs w:val="20"/>
              </w:rPr>
              <w:t>$6,542,513</w:t>
            </w:r>
          </w:p>
        </w:tc>
        <w:tc>
          <w:tcPr>
            <w:tcW w:w="1008" w:type="pct"/>
          </w:tcPr>
          <w:p w:rsidR="00F41DAB" w:rsidRPr="002F49EF" w:rsidRDefault="0084156A"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$28.95</w:t>
            </w:r>
          </w:p>
        </w:tc>
        <w:tc>
          <w:tcPr>
            <w:tcW w:w="1118" w:type="pct"/>
          </w:tcPr>
          <w:p w:rsidR="00F41DAB" w:rsidRPr="002F49EF" w:rsidRDefault="00C20A0A" w:rsidP="00A76A5D">
            <w:pPr>
              <w:spacing w:line="240" w:lineRule="auto"/>
              <w:contextualSpacing/>
              <w:jc w:val="right"/>
              <w:rPr>
                <w:rFonts w:ascii="Courier New" w:hAnsi="Courier New" w:cs="Courier New"/>
                <w:sz w:val="20"/>
                <w:szCs w:val="20"/>
              </w:rPr>
            </w:pPr>
            <w:r>
              <w:rPr>
                <w:rFonts w:ascii="Courier New" w:hAnsi="Courier New" w:cs="Courier New"/>
                <w:sz w:val="20"/>
                <w:szCs w:val="20"/>
              </w:rPr>
              <w:t xml:space="preserve">  </w:t>
            </w:r>
            <w:r w:rsidR="0084156A">
              <w:rPr>
                <w:rFonts w:ascii="Courier New" w:hAnsi="Courier New" w:cs="Courier New"/>
                <w:sz w:val="20"/>
                <w:szCs w:val="20"/>
              </w:rPr>
              <w:t>$189,405.75</w:t>
            </w:r>
          </w:p>
        </w:tc>
      </w:tr>
      <w:tr w:rsidR="00AF07D6" w:rsidRPr="003A70F8" w:rsidTr="00DE0251">
        <w:tc>
          <w:tcPr>
            <w:tcW w:w="677" w:type="pct"/>
          </w:tcPr>
          <w:p w:rsidR="00AF07D6" w:rsidRPr="003A70F8" w:rsidRDefault="00626775" w:rsidP="00A76A5D">
            <w:pPr>
              <w:spacing w:line="240" w:lineRule="auto"/>
              <w:contextualSpacing/>
              <w:jc w:val="right"/>
              <w:rPr>
                <w:rFonts w:ascii="Courier New" w:hAnsi="Courier New" w:cs="Courier New"/>
                <w:b/>
                <w:sz w:val="20"/>
                <w:szCs w:val="20"/>
              </w:rPr>
            </w:pPr>
            <w:r w:rsidRPr="003A70F8">
              <w:rPr>
                <w:rFonts w:ascii="Courier New" w:hAnsi="Courier New" w:cs="Courier New"/>
                <w:b/>
                <w:sz w:val="20"/>
                <w:szCs w:val="20"/>
              </w:rPr>
              <w:t>Total</w:t>
            </w:r>
          </w:p>
        </w:tc>
        <w:tc>
          <w:tcPr>
            <w:tcW w:w="1209" w:type="pct"/>
          </w:tcPr>
          <w:p w:rsidR="00AF07D6" w:rsidRPr="003A70F8" w:rsidRDefault="00AF07D6" w:rsidP="00A76A5D">
            <w:pPr>
              <w:spacing w:line="240" w:lineRule="auto"/>
              <w:contextualSpacing/>
              <w:jc w:val="right"/>
              <w:rPr>
                <w:rFonts w:ascii="Courier New" w:hAnsi="Courier New" w:cs="Courier New"/>
                <w:b/>
                <w:sz w:val="20"/>
                <w:szCs w:val="20"/>
              </w:rPr>
            </w:pPr>
          </w:p>
        </w:tc>
        <w:tc>
          <w:tcPr>
            <w:tcW w:w="988" w:type="pct"/>
          </w:tcPr>
          <w:p w:rsidR="00AF07D6" w:rsidRPr="003A70F8" w:rsidRDefault="00AF07D6" w:rsidP="00A76A5D">
            <w:pPr>
              <w:spacing w:line="240" w:lineRule="auto"/>
              <w:contextualSpacing/>
              <w:jc w:val="right"/>
              <w:rPr>
                <w:rFonts w:ascii="Courier New" w:hAnsi="Courier New" w:cs="Courier New"/>
                <w:b/>
                <w:sz w:val="20"/>
                <w:szCs w:val="20"/>
              </w:rPr>
            </w:pPr>
            <w:r w:rsidRPr="003A70F8">
              <w:rPr>
                <w:rFonts w:ascii="Courier New" w:hAnsi="Courier New" w:cs="Courier New"/>
                <w:b/>
                <w:sz w:val="20"/>
                <w:szCs w:val="20"/>
              </w:rPr>
              <w:t>$126,856,303</w:t>
            </w:r>
          </w:p>
        </w:tc>
        <w:tc>
          <w:tcPr>
            <w:tcW w:w="1008" w:type="pct"/>
          </w:tcPr>
          <w:p w:rsidR="00AF07D6" w:rsidRPr="003A70F8" w:rsidRDefault="00AF07D6" w:rsidP="00A76A5D">
            <w:pPr>
              <w:spacing w:line="240" w:lineRule="auto"/>
              <w:contextualSpacing/>
              <w:jc w:val="right"/>
              <w:rPr>
                <w:rFonts w:ascii="Courier New" w:hAnsi="Courier New" w:cs="Courier New"/>
                <w:b/>
                <w:sz w:val="20"/>
                <w:szCs w:val="20"/>
              </w:rPr>
            </w:pPr>
          </w:p>
        </w:tc>
        <w:tc>
          <w:tcPr>
            <w:tcW w:w="1118" w:type="pct"/>
          </w:tcPr>
          <w:p w:rsidR="00AF07D6" w:rsidRPr="003A70F8" w:rsidRDefault="00AF07D6" w:rsidP="00A76A5D">
            <w:pPr>
              <w:spacing w:line="240" w:lineRule="auto"/>
              <w:contextualSpacing/>
              <w:jc w:val="right"/>
              <w:rPr>
                <w:rFonts w:ascii="Courier New" w:hAnsi="Courier New" w:cs="Courier New"/>
                <w:b/>
                <w:sz w:val="20"/>
                <w:szCs w:val="20"/>
              </w:rPr>
            </w:pPr>
          </w:p>
        </w:tc>
      </w:tr>
    </w:tbl>
    <w:p w:rsidR="00176CAF" w:rsidRPr="003A70F8" w:rsidRDefault="00176CAF" w:rsidP="00A76A5D">
      <w:pPr>
        <w:spacing w:line="240" w:lineRule="auto"/>
        <w:contextualSpacing/>
        <w:jc w:val="both"/>
        <w:rPr>
          <w:rFonts w:ascii="Courier New" w:hAnsi="Courier New" w:cs="Courier New"/>
          <w:b/>
          <w:sz w:val="24"/>
          <w:szCs w:val="24"/>
        </w:rPr>
      </w:pPr>
    </w:p>
    <w:p w:rsidR="00F94A62" w:rsidRDefault="00036FF1" w:rsidP="00A76A5D">
      <w:pPr>
        <w:spacing w:line="480" w:lineRule="auto"/>
        <w:contextualSpacing/>
        <w:jc w:val="both"/>
        <w:rPr>
          <w:rFonts w:ascii="Courier New" w:hAnsi="Courier New" w:cs="Courier New"/>
          <w:sz w:val="24"/>
          <w:szCs w:val="24"/>
        </w:rPr>
      </w:pPr>
      <w:r>
        <w:rPr>
          <w:rFonts w:ascii="Courier New" w:hAnsi="Courier New" w:cs="Courier New"/>
          <w:sz w:val="24"/>
          <w:szCs w:val="24"/>
        </w:rPr>
        <w:tab/>
        <w:t>The appellant timely paid the taxes assessed for the subject property in full, without i</w:t>
      </w:r>
      <w:r w:rsidR="00E64110">
        <w:rPr>
          <w:rFonts w:ascii="Courier New" w:hAnsi="Courier New" w:cs="Courier New"/>
          <w:sz w:val="24"/>
          <w:szCs w:val="24"/>
        </w:rPr>
        <w:t>ncurring interest. On April 29, 2014, the appellant timely filed Applications for Abatement with the assessors for the subject property, and those abatement requests were denied by vot</w:t>
      </w:r>
      <w:r w:rsidR="004D2366">
        <w:rPr>
          <w:rFonts w:ascii="Courier New" w:hAnsi="Courier New" w:cs="Courier New"/>
          <w:sz w:val="24"/>
          <w:szCs w:val="24"/>
        </w:rPr>
        <w:t xml:space="preserve">e of the assessors </w:t>
      </w:r>
      <w:r w:rsidR="00E64110">
        <w:rPr>
          <w:rFonts w:ascii="Courier New" w:hAnsi="Courier New" w:cs="Courier New"/>
          <w:sz w:val="24"/>
          <w:szCs w:val="24"/>
        </w:rPr>
        <w:t xml:space="preserve">on July 28, 2014.  The appellant timely filed appeals with the Board on October 15, 2014.  Based on the foregoing facts, the Board found that it had jurisdiction to hear and decide these appeals.  </w:t>
      </w:r>
    </w:p>
    <w:p w:rsidR="0031753A" w:rsidRDefault="00C44E73" w:rsidP="00A76A5D">
      <w:pPr>
        <w:pStyle w:val="ListParagraph"/>
        <w:numPr>
          <w:ilvl w:val="0"/>
          <w:numId w:val="2"/>
        </w:numPr>
        <w:spacing w:line="480" w:lineRule="auto"/>
        <w:jc w:val="both"/>
        <w:rPr>
          <w:rFonts w:ascii="Courier New" w:hAnsi="Courier New" w:cs="Courier New"/>
          <w:b/>
          <w:sz w:val="24"/>
          <w:szCs w:val="24"/>
        </w:rPr>
      </w:pPr>
      <w:r>
        <w:rPr>
          <w:rFonts w:ascii="Courier New" w:hAnsi="Courier New" w:cs="Courier New"/>
          <w:b/>
          <w:sz w:val="24"/>
          <w:szCs w:val="24"/>
        </w:rPr>
        <w:t>The Subject Property and Firstlight Hydro’s Operations</w:t>
      </w:r>
    </w:p>
    <w:p w:rsidR="009134C3" w:rsidRDefault="001A35FE"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facilities are loca</w:t>
      </w:r>
      <w:r w:rsidR="00A8563C">
        <w:rPr>
          <w:rFonts w:ascii="Courier New" w:hAnsi="Courier New" w:cs="Courier New"/>
          <w:sz w:val="24"/>
          <w:szCs w:val="24"/>
        </w:rPr>
        <w:t>ted along the Connecticut River in the towns of Montague and Gill.  In Montague, the facilities are situated on 548 acres</w:t>
      </w:r>
      <w:r w:rsidR="004611E4">
        <w:rPr>
          <w:rFonts w:ascii="Courier New" w:hAnsi="Courier New" w:cs="Courier New"/>
          <w:sz w:val="24"/>
          <w:szCs w:val="24"/>
        </w:rPr>
        <w:t xml:space="preserve"> </w:t>
      </w:r>
      <w:r w:rsidR="00A8563C">
        <w:rPr>
          <w:rFonts w:ascii="Courier New" w:hAnsi="Courier New" w:cs="Courier New"/>
          <w:sz w:val="24"/>
          <w:szCs w:val="24"/>
        </w:rPr>
        <w:t xml:space="preserve">and in Gill they are situated on 337 acres.  </w:t>
      </w:r>
      <w:r w:rsidR="00080EC5">
        <w:rPr>
          <w:rFonts w:ascii="Courier New" w:hAnsi="Courier New" w:cs="Courier New"/>
          <w:sz w:val="24"/>
          <w:szCs w:val="24"/>
        </w:rPr>
        <w:t xml:space="preserve">Both facilities have several turbines, along with </w:t>
      </w:r>
      <w:r w:rsidR="00080EC5">
        <w:rPr>
          <w:rFonts w:ascii="Courier New" w:hAnsi="Courier New" w:cs="Courier New"/>
          <w:sz w:val="24"/>
          <w:szCs w:val="24"/>
        </w:rPr>
        <w:lastRenderedPageBreak/>
        <w:t xml:space="preserve">generators and other equipment.  The </w:t>
      </w:r>
      <w:r w:rsidR="004611E4">
        <w:rPr>
          <w:rFonts w:ascii="Courier New" w:hAnsi="Courier New" w:cs="Courier New"/>
          <w:sz w:val="24"/>
          <w:szCs w:val="24"/>
        </w:rPr>
        <w:t>Turner</w:t>
      </w:r>
      <w:r w:rsidR="00080EC5">
        <w:rPr>
          <w:rFonts w:ascii="Courier New" w:hAnsi="Courier New" w:cs="Courier New"/>
          <w:sz w:val="24"/>
          <w:szCs w:val="24"/>
        </w:rPr>
        <w:t>s Fall</w:t>
      </w:r>
      <w:r w:rsidR="00E2317F">
        <w:rPr>
          <w:rFonts w:ascii="Courier New" w:hAnsi="Courier New" w:cs="Courier New"/>
          <w:sz w:val="24"/>
          <w:szCs w:val="24"/>
        </w:rPr>
        <w:t>s</w:t>
      </w:r>
      <w:r w:rsidR="00080EC5">
        <w:rPr>
          <w:rFonts w:ascii="Courier New" w:hAnsi="Courier New" w:cs="Courier New"/>
          <w:sz w:val="24"/>
          <w:szCs w:val="24"/>
        </w:rPr>
        <w:t xml:space="preserve"> Station has </w:t>
      </w:r>
      <w:r w:rsidR="00900801">
        <w:rPr>
          <w:rFonts w:ascii="Courier New" w:hAnsi="Courier New" w:cs="Courier New"/>
          <w:sz w:val="24"/>
          <w:szCs w:val="24"/>
        </w:rPr>
        <w:t>a total generating capacity of 6.4</w:t>
      </w:r>
      <w:r w:rsidR="00E2317F">
        <w:rPr>
          <w:rFonts w:ascii="Courier New" w:hAnsi="Courier New" w:cs="Courier New"/>
          <w:sz w:val="24"/>
          <w:szCs w:val="24"/>
        </w:rPr>
        <w:t xml:space="preserve"> megawatts.  Cabot S</w:t>
      </w:r>
      <w:r w:rsidR="00080EC5">
        <w:rPr>
          <w:rFonts w:ascii="Courier New" w:hAnsi="Courier New" w:cs="Courier New"/>
          <w:sz w:val="24"/>
          <w:szCs w:val="24"/>
        </w:rPr>
        <w:t xml:space="preserve">tation has </w:t>
      </w:r>
      <w:r w:rsidR="00900801">
        <w:rPr>
          <w:rFonts w:ascii="Courier New" w:hAnsi="Courier New" w:cs="Courier New"/>
          <w:sz w:val="24"/>
          <w:szCs w:val="24"/>
        </w:rPr>
        <w:t xml:space="preserve">a total generating capacity of 61.8 megawatts.  Both facilities were placed into service in the early </w:t>
      </w:r>
      <w:r w:rsidR="00E80D9B">
        <w:rPr>
          <w:rFonts w:ascii="Courier New" w:hAnsi="Courier New" w:cs="Courier New"/>
          <w:sz w:val="24"/>
          <w:szCs w:val="24"/>
        </w:rPr>
        <w:t xml:space="preserve">1900s, but both have been deactivated and refurbished at various times since then.  </w:t>
      </w:r>
      <w:r w:rsidR="007920A4">
        <w:rPr>
          <w:rFonts w:ascii="Courier New" w:hAnsi="Courier New" w:cs="Courier New"/>
          <w:sz w:val="24"/>
          <w:szCs w:val="24"/>
        </w:rPr>
        <w:t xml:space="preserve">During the period relevant to these appeals, Cabot Station was in operation </w:t>
      </w:r>
      <w:r w:rsidR="00690A85">
        <w:rPr>
          <w:rFonts w:ascii="Courier New" w:hAnsi="Courier New" w:cs="Courier New"/>
          <w:sz w:val="24"/>
          <w:szCs w:val="24"/>
        </w:rPr>
        <w:t>twenty-four</w:t>
      </w:r>
      <w:r w:rsidR="007920A4">
        <w:rPr>
          <w:rFonts w:ascii="Courier New" w:hAnsi="Courier New" w:cs="Courier New"/>
          <w:sz w:val="24"/>
          <w:szCs w:val="24"/>
        </w:rPr>
        <w:t xml:space="preserve"> hours a day, seven days a week, though not always at maximum capacity, while </w:t>
      </w:r>
      <w:r w:rsidR="00F03264">
        <w:rPr>
          <w:rFonts w:ascii="Courier New" w:hAnsi="Courier New" w:cs="Courier New"/>
          <w:sz w:val="24"/>
          <w:szCs w:val="24"/>
        </w:rPr>
        <w:t xml:space="preserve">the </w:t>
      </w:r>
      <w:r w:rsidR="007920A4">
        <w:rPr>
          <w:rFonts w:ascii="Courier New" w:hAnsi="Courier New" w:cs="Courier New"/>
          <w:sz w:val="24"/>
          <w:szCs w:val="24"/>
        </w:rPr>
        <w:t xml:space="preserve">Turners Falls </w:t>
      </w:r>
      <w:r w:rsidR="00F03264">
        <w:rPr>
          <w:rFonts w:ascii="Courier New" w:hAnsi="Courier New" w:cs="Courier New"/>
          <w:sz w:val="24"/>
          <w:szCs w:val="24"/>
        </w:rPr>
        <w:t xml:space="preserve">Station </w:t>
      </w:r>
      <w:r w:rsidR="007920A4">
        <w:rPr>
          <w:rFonts w:ascii="Courier New" w:hAnsi="Courier New" w:cs="Courier New"/>
          <w:sz w:val="24"/>
          <w:szCs w:val="24"/>
        </w:rPr>
        <w:t xml:space="preserve">ran when there was enough </w:t>
      </w:r>
      <w:r w:rsidR="00626775">
        <w:rPr>
          <w:rFonts w:ascii="Courier New" w:hAnsi="Courier New" w:cs="Courier New"/>
          <w:sz w:val="24"/>
          <w:szCs w:val="24"/>
        </w:rPr>
        <w:t xml:space="preserve">river </w:t>
      </w:r>
      <w:r w:rsidR="007920A4">
        <w:rPr>
          <w:rFonts w:ascii="Courier New" w:hAnsi="Courier New" w:cs="Courier New"/>
          <w:sz w:val="24"/>
          <w:szCs w:val="24"/>
        </w:rPr>
        <w:t xml:space="preserve">flow.  </w:t>
      </w:r>
    </w:p>
    <w:p w:rsidR="00AC38CC" w:rsidRDefault="005E7266"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Firstlight Hydro is a “merchant generator,” meaning that it </w:t>
      </w:r>
      <w:r w:rsidR="00354878">
        <w:rPr>
          <w:rFonts w:ascii="Courier New" w:hAnsi="Courier New" w:cs="Courier New"/>
          <w:sz w:val="24"/>
          <w:szCs w:val="24"/>
        </w:rPr>
        <w:t xml:space="preserve">does not have a contract or power purchase agreement for the energy it produces and it </w:t>
      </w:r>
      <w:r>
        <w:rPr>
          <w:rFonts w:ascii="Courier New" w:hAnsi="Courier New" w:cs="Courier New"/>
          <w:sz w:val="24"/>
          <w:szCs w:val="24"/>
        </w:rPr>
        <w:t>is n</w:t>
      </w:r>
      <w:r w:rsidR="00354878">
        <w:rPr>
          <w:rFonts w:ascii="Courier New" w:hAnsi="Courier New" w:cs="Courier New"/>
          <w:sz w:val="24"/>
          <w:szCs w:val="24"/>
        </w:rPr>
        <w:t xml:space="preserve">ot a rate-regulated utility, but </w:t>
      </w:r>
      <w:r>
        <w:rPr>
          <w:rFonts w:ascii="Courier New" w:hAnsi="Courier New" w:cs="Courier New"/>
          <w:sz w:val="24"/>
          <w:szCs w:val="24"/>
        </w:rPr>
        <w:t xml:space="preserve">instead </w:t>
      </w:r>
      <w:r w:rsidR="00354878">
        <w:rPr>
          <w:rFonts w:ascii="Courier New" w:hAnsi="Courier New" w:cs="Courier New"/>
          <w:sz w:val="24"/>
          <w:szCs w:val="24"/>
        </w:rPr>
        <w:t xml:space="preserve">it </w:t>
      </w:r>
      <w:r>
        <w:rPr>
          <w:rFonts w:ascii="Courier New" w:hAnsi="Courier New" w:cs="Courier New"/>
          <w:sz w:val="24"/>
          <w:szCs w:val="24"/>
        </w:rPr>
        <w:t xml:space="preserve">participates in an open market to sell the power that it generates.  </w:t>
      </w:r>
      <w:r w:rsidR="005161A9">
        <w:rPr>
          <w:rFonts w:ascii="Courier New" w:hAnsi="Courier New" w:cs="Courier New"/>
          <w:sz w:val="24"/>
          <w:szCs w:val="24"/>
        </w:rPr>
        <w:t>John Shue, who is</w:t>
      </w:r>
      <w:r w:rsidR="00E2317F">
        <w:rPr>
          <w:rFonts w:ascii="Courier New" w:hAnsi="Courier New" w:cs="Courier New"/>
          <w:sz w:val="24"/>
          <w:szCs w:val="24"/>
        </w:rPr>
        <w:t xml:space="preserve"> the Vice President of </w:t>
      </w:r>
      <w:r w:rsidR="00AC38CC">
        <w:rPr>
          <w:rFonts w:ascii="Courier New" w:hAnsi="Courier New" w:cs="Courier New"/>
          <w:sz w:val="24"/>
          <w:szCs w:val="24"/>
        </w:rPr>
        <w:t>the appellant’s parent company, testified at the hearing about the market in which the appellant oper</w:t>
      </w:r>
      <w:r w:rsidR="00233295">
        <w:rPr>
          <w:rFonts w:ascii="Courier New" w:hAnsi="Courier New" w:cs="Courier New"/>
          <w:sz w:val="24"/>
          <w:szCs w:val="24"/>
        </w:rPr>
        <w:t xml:space="preserve">ates and the various ways </w:t>
      </w:r>
      <w:r w:rsidR="00AC38CC">
        <w:rPr>
          <w:rFonts w:ascii="Courier New" w:hAnsi="Courier New" w:cs="Courier New"/>
          <w:sz w:val="24"/>
          <w:szCs w:val="24"/>
        </w:rPr>
        <w:t xml:space="preserve">it generates revenue.  </w:t>
      </w:r>
    </w:p>
    <w:p w:rsidR="00DE7CF1" w:rsidRDefault="00AC38CC"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Shue explained that ISO New England (“ISO</w:t>
      </w:r>
      <w:r w:rsidR="00A814B5">
        <w:rPr>
          <w:rFonts w:ascii="Courier New" w:hAnsi="Courier New" w:cs="Courier New"/>
          <w:sz w:val="24"/>
          <w:szCs w:val="24"/>
        </w:rPr>
        <w:t>-NE</w:t>
      </w:r>
      <w:r>
        <w:rPr>
          <w:rFonts w:ascii="Courier New" w:hAnsi="Courier New" w:cs="Courier New"/>
          <w:sz w:val="24"/>
          <w:szCs w:val="24"/>
        </w:rPr>
        <w:t xml:space="preserve">”) </w:t>
      </w:r>
      <w:r w:rsidR="0087266C">
        <w:rPr>
          <w:rFonts w:ascii="Courier New" w:hAnsi="Courier New" w:cs="Courier New"/>
          <w:sz w:val="24"/>
          <w:szCs w:val="24"/>
        </w:rPr>
        <w:t xml:space="preserve">is the system operator </w:t>
      </w:r>
      <w:r>
        <w:rPr>
          <w:rFonts w:ascii="Courier New" w:hAnsi="Courier New" w:cs="Courier New"/>
          <w:sz w:val="24"/>
          <w:szCs w:val="24"/>
        </w:rPr>
        <w:t>responsible for ensuring adequate supply of electricity</w:t>
      </w:r>
      <w:r w:rsidR="0087266C">
        <w:rPr>
          <w:rFonts w:ascii="Courier New" w:hAnsi="Courier New" w:cs="Courier New"/>
          <w:sz w:val="24"/>
          <w:szCs w:val="24"/>
        </w:rPr>
        <w:t xml:space="preserve"> to the grid.  As the </w:t>
      </w:r>
      <w:r>
        <w:rPr>
          <w:rFonts w:ascii="Courier New" w:hAnsi="Courier New" w:cs="Courier New"/>
          <w:sz w:val="24"/>
          <w:szCs w:val="24"/>
        </w:rPr>
        <w:t>operator of the grid, ISO</w:t>
      </w:r>
      <w:r w:rsidR="00A814B5">
        <w:rPr>
          <w:rFonts w:ascii="Courier New" w:hAnsi="Courier New" w:cs="Courier New"/>
          <w:sz w:val="24"/>
          <w:szCs w:val="24"/>
        </w:rPr>
        <w:t>-NE</w:t>
      </w:r>
      <w:r w:rsidR="00F70660">
        <w:rPr>
          <w:rFonts w:ascii="Courier New" w:hAnsi="Courier New" w:cs="Courier New"/>
          <w:sz w:val="24"/>
          <w:szCs w:val="24"/>
        </w:rPr>
        <w:t xml:space="preserve"> effectively runs the marketplace for energy regionally. One o</w:t>
      </w:r>
      <w:r w:rsidR="0087266C">
        <w:rPr>
          <w:rFonts w:ascii="Courier New" w:hAnsi="Courier New" w:cs="Courier New"/>
          <w:sz w:val="24"/>
          <w:szCs w:val="24"/>
        </w:rPr>
        <w:t xml:space="preserve">f the </w:t>
      </w:r>
      <w:r w:rsidR="00F70660">
        <w:rPr>
          <w:rFonts w:ascii="Courier New" w:hAnsi="Courier New" w:cs="Courier New"/>
          <w:sz w:val="24"/>
          <w:szCs w:val="24"/>
        </w:rPr>
        <w:t>mechanisms used by ISO</w:t>
      </w:r>
      <w:r w:rsidR="00A814B5">
        <w:rPr>
          <w:rFonts w:ascii="Courier New" w:hAnsi="Courier New" w:cs="Courier New"/>
          <w:sz w:val="24"/>
          <w:szCs w:val="24"/>
        </w:rPr>
        <w:t>-NE</w:t>
      </w:r>
      <w:r w:rsidR="00F70660">
        <w:rPr>
          <w:rFonts w:ascii="Courier New" w:hAnsi="Courier New" w:cs="Courier New"/>
          <w:sz w:val="24"/>
          <w:szCs w:val="24"/>
        </w:rPr>
        <w:t xml:space="preserve"> in which the appellant par</w:t>
      </w:r>
      <w:r w:rsidR="0079003A">
        <w:rPr>
          <w:rFonts w:ascii="Courier New" w:hAnsi="Courier New" w:cs="Courier New"/>
          <w:sz w:val="24"/>
          <w:szCs w:val="24"/>
        </w:rPr>
        <w:t>ticipates is called the forward-</w:t>
      </w:r>
      <w:r w:rsidR="00F70660">
        <w:rPr>
          <w:rFonts w:ascii="Courier New" w:hAnsi="Courier New" w:cs="Courier New"/>
          <w:sz w:val="24"/>
          <w:szCs w:val="24"/>
        </w:rPr>
        <w:t xml:space="preserve">capacity market, which is basically an </w:t>
      </w:r>
      <w:r w:rsidR="0087266C">
        <w:rPr>
          <w:rFonts w:ascii="Courier New" w:hAnsi="Courier New" w:cs="Courier New"/>
          <w:sz w:val="24"/>
          <w:szCs w:val="24"/>
        </w:rPr>
        <w:t xml:space="preserve">annual </w:t>
      </w:r>
      <w:r w:rsidR="00F70660">
        <w:rPr>
          <w:rFonts w:ascii="Courier New" w:hAnsi="Courier New" w:cs="Courier New"/>
          <w:sz w:val="24"/>
          <w:szCs w:val="24"/>
        </w:rPr>
        <w:t xml:space="preserve">auction.  </w:t>
      </w:r>
      <w:r w:rsidR="0087266C">
        <w:rPr>
          <w:rFonts w:ascii="Courier New" w:hAnsi="Courier New" w:cs="Courier New"/>
          <w:sz w:val="24"/>
          <w:szCs w:val="24"/>
        </w:rPr>
        <w:t>ISO</w:t>
      </w:r>
      <w:r w:rsidR="00A814B5">
        <w:rPr>
          <w:rFonts w:ascii="Courier New" w:hAnsi="Courier New" w:cs="Courier New"/>
          <w:sz w:val="24"/>
          <w:szCs w:val="24"/>
        </w:rPr>
        <w:t>-NE</w:t>
      </w:r>
      <w:r w:rsidR="003A3850">
        <w:rPr>
          <w:rFonts w:ascii="Courier New" w:hAnsi="Courier New" w:cs="Courier New"/>
          <w:sz w:val="24"/>
          <w:szCs w:val="24"/>
        </w:rPr>
        <w:t xml:space="preserve"> determines a market price, </w:t>
      </w:r>
      <w:r w:rsidR="0087266C">
        <w:rPr>
          <w:rFonts w:ascii="Courier New" w:hAnsi="Courier New" w:cs="Courier New"/>
          <w:sz w:val="24"/>
          <w:szCs w:val="24"/>
        </w:rPr>
        <w:lastRenderedPageBreak/>
        <w:t xml:space="preserve">and </w:t>
      </w:r>
      <w:r w:rsidR="00626775">
        <w:rPr>
          <w:rFonts w:ascii="Courier New" w:hAnsi="Courier New" w:cs="Courier New"/>
          <w:sz w:val="24"/>
          <w:szCs w:val="24"/>
        </w:rPr>
        <w:t>the merchan</w:t>
      </w:r>
      <w:r w:rsidR="00953C0E">
        <w:rPr>
          <w:rFonts w:ascii="Courier New" w:hAnsi="Courier New" w:cs="Courier New"/>
          <w:sz w:val="24"/>
          <w:szCs w:val="24"/>
        </w:rPr>
        <w:t>t-</w:t>
      </w:r>
      <w:r w:rsidR="00626775">
        <w:rPr>
          <w:rFonts w:ascii="Courier New" w:hAnsi="Courier New" w:cs="Courier New"/>
          <w:sz w:val="24"/>
          <w:szCs w:val="24"/>
        </w:rPr>
        <w:t xml:space="preserve">generator </w:t>
      </w:r>
      <w:r w:rsidR="0087266C">
        <w:rPr>
          <w:rFonts w:ascii="Courier New" w:hAnsi="Courier New" w:cs="Courier New"/>
          <w:sz w:val="24"/>
          <w:szCs w:val="24"/>
        </w:rPr>
        <w:t>participant</w:t>
      </w:r>
      <w:r w:rsidR="00626775">
        <w:rPr>
          <w:rFonts w:ascii="Courier New" w:hAnsi="Courier New" w:cs="Courier New"/>
          <w:sz w:val="24"/>
          <w:szCs w:val="24"/>
        </w:rPr>
        <w:t xml:space="preserve">s </w:t>
      </w:r>
      <w:r w:rsidR="0087266C">
        <w:rPr>
          <w:rFonts w:ascii="Courier New" w:hAnsi="Courier New" w:cs="Courier New"/>
          <w:sz w:val="24"/>
          <w:szCs w:val="24"/>
        </w:rPr>
        <w:t xml:space="preserve">decide if they can participate in the market at that price.  If many participants bid, the price is lowered until participants drop out, and the remaining </w:t>
      </w:r>
      <w:r w:rsidR="00D44BF6">
        <w:rPr>
          <w:rFonts w:ascii="Courier New" w:hAnsi="Courier New" w:cs="Courier New"/>
          <w:sz w:val="24"/>
          <w:szCs w:val="24"/>
        </w:rPr>
        <w:t xml:space="preserve">bidder or bidders </w:t>
      </w:r>
      <w:r w:rsidR="0087266C">
        <w:rPr>
          <w:rFonts w:ascii="Courier New" w:hAnsi="Courier New" w:cs="Courier New"/>
          <w:sz w:val="24"/>
          <w:szCs w:val="24"/>
        </w:rPr>
        <w:t xml:space="preserve">get the job.  </w:t>
      </w:r>
    </w:p>
    <w:p w:rsidR="00DE7CF1" w:rsidRDefault="0087266C"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Shue described two similar </w:t>
      </w:r>
      <w:r w:rsidR="0079003A">
        <w:rPr>
          <w:rFonts w:ascii="Courier New" w:hAnsi="Courier New" w:cs="Courier New"/>
          <w:sz w:val="24"/>
          <w:szCs w:val="24"/>
        </w:rPr>
        <w:t xml:space="preserve">auction-like mechanisms </w:t>
      </w:r>
      <w:r>
        <w:rPr>
          <w:rFonts w:ascii="Courier New" w:hAnsi="Courier New" w:cs="Courier New"/>
          <w:sz w:val="24"/>
          <w:szCs w:val="24"/>
        </w:rPr>
        <w:t xml:space="preserve">in which the appellant participates, called the day-ahead market and the real-time market.  </w:t>
      </w:r>
      <w:r w:rsidR="00DE7CF1">
        <w:rPr>
          <w:rFonts w:ascii="Courier New" w:hAnsi="Courier New" w:cs="Courier New"/>
          <w:sz w:val="24"/>
          <w:szCs w:val="24"/>
        </w:rPr>
        <w:t>As implied by their names, those auctions involve faster turn-around periods</w:t>
      </w:r>
      <w:r w:rsidR="00E2317F">
        <w:rPr>
          <w:rFonts w:ascii="Courier New" w:hAnsi="Courier New" w:cs="Courier New"/>
          <w:sz w:val="24"/>
          <w:szCs w:val="24"/>
        </w:rPr>
        <w:t xml:space="preserve"> than the forward-capacity market</w:t>
      </w:r>
      <w:r w:rsidR="00DE7CF1">
        <w:rPr>
          <w:rFonts w:ascii="Courier New" w:hAnsi="Courier New" w:cs="Courier New"/>
          <w:sz w:val="24"/>
          <w:szCs w:val="24"/>
        </w:rPr>
        <w:t xml:space="preserve">.  To participate in them, </w:t>
      </w:r>
      <w:r w:rsidR="00D44BF6">
        <w:rPr>
          <w:rFonts w:ascii="Courier New" w:hAnsi="Courier New" w:cs="Courier New"/>
          <w:sz w:val="24"/>
          <w:szCs w:val="24"/>
        </w:rPr>
        <w:t>the app</w:t>
      </w:r>
      <w:r w:rsidR="00B912E6">
        <w:rPr>
          <w:rFonts w:ascii="Courier New" w:hAnsi="Courier New" w:cs="Courier New"/>
          <w:sz w:val="24"/>
          <w:szCs w:val="24"/>
        </w:rPr>
        <w:t>ellant must assess</w:t>
      </w:r>
      <w:r w:rsidR="00D44BF6">
        <w:rPr>
          <w:rFonts w:ascii="Courier New" w:hAnsi="Courier New" w:cs="Courier New"/>
          <w:sz w:val="24"/>
          <w:szCs w:val="24"/>
        </w:rPr>
        <w:t xml:space="preserve"> its generation capacity based on</w:t>
      </w:r>
      <w:r w:rsidR="00DE7CF1">
        <w:rPr>
          <w:rFonts w:ascii="Courier New" w:hAnsi="Courier New" w:cs="Courier New"/>
          <w:sz w:val="24"/>
          <w:szCs w:val="24"/>
        </w:rPr>
        <w:t xml:space="preserve"> current </w:t>
      </w:r>
      <w:r w:rsidR="00953C0E">
        <w:rPr>
          <w:rFonts w:ascii="Courier New" w:hAnsi="Courier New" w:cs="Courier New"/>
          <w:sz w:val="24"/>
          <w:szCs w:val="24"/>
        </w:rPr>
        <w:t>river-</w:t>
      </w:r>
      <w:r w:rsidR="00DE7CF1">
        <w:rPr>
          <w:rFonts w:ascii="Courier New" w:hAnsi="Courier New" w:cs="Courier New"/>
          <w:sz w:val="24"/>
          <w:szCs w:val="24"/>
        </w:rPr>
        <w:t xml:space="preserve">water flows.  If it determines that it has adequate generation capacity, the appellant will bid in the real-time and day-ahead markets.  </w:t>
      </w:r>
      <w:r w:rsidR="00353009">
        <w:rPr>
          <w:rFonts w:ascii="Courier New" w:hAnsi="Courier New" w:cs="Courier New"/>
          <w:sz w:val="24"/>
          <w:szCs w:val="24"/>
        </w:rPr>
        <w:t xml:space="preserve">The difficulty of predicting capacity was apparent from the record.  As generation at the subject property is substantially dependent on rainfall and other weather patterns, </w:t>
      </w:r>
      <w:r w:rsidR="00626775">
        <w:rPr>
          <w:rFonts w:ascii="Courier New" w:hAnsi="Courier New" w:cs="Courier New"/>
          <w:sz w:val="24"/>
          <w:szCs w:val="24"/>
        </w:rPr>
        <w:t xml:space="preserve">generation </w:t>
      </w:r>
      <w:r w:rsidR="00353009">
        <w:rPr>
          <w:rFonts w:ascii="Courier New" w:hAnsi="Courier New" w:cs="Courier New"/>
          <w:sz w:val="24"/>
          <w:szCs w:val="24"/>
        </w:rPr>
        <w:t xml:space="preserve">capacity is subject to fluctuations beyond the appellant’s control. For example, the record showed that there was a tremendous spike in capacity during 2011, due to the impact of Hurricane Irene.  </w:t>
      </w:r>
    </w:p>
    <w:p w:rsidR="00DE7CF1" w:rsidRDefault="00DE7CF1"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last revenue-producing mechanism</w:t>
      </w:r>
      <w:r w:rsidR="00233295">
        <w:rPr>
          <w:rFonts w:ascii="Courier New" w:hAnsi="Courier New" w:cs="Courier New"/>
          <w:sz w:val="24"/>
          <w:szCs w:val="24"/>
        </w:rPr>
        <w:t xml:space="preserve"> for the appellant is </w:t>
      </w:r>
      <w:r>
        <w:rPr>
          <w:rFonts w:ascii="Courier New" w:hAnsi="Courier New" w:cs="Courier New"/>
          <w:sz w:val="24"/>
          <w:szCs w:val="24"/>
        </w:rPr>
        <w:t>ancillary services.</w:t>
      </w:r>
      <w:r w:rsidR="00233295">
        <w:rPr>
          <w:rStyle w:val="FootnoteReference"/>
          <w:rFonts w:ascii="Courier New" w:hAnsi="Courier New" w:cs="Courier New"/>
          <w:sz w:val="24"/>
          <w:szCs w:val="24"/>
        </w:rPr>
        <w:footnoteReference w:id="3"/>
      </w:r>
      <w:r w:rsidR="00233295">
        <w:rPr>
          <w:rFonts w:ascii="Courier New" w:hAnsi="Courier New" w:cs="Courier New"/>
          <w:sz w:val="24"/>
          <w:szCs w:val="24"/>
        </w:rPr>
        <w:t xml:space="preserve">  </w:t>
      </w:r>
      <w:r>
        <w:rPr>
          <w:rFonts w:ascii="Courier New" w:hAnsi="Courier New" w:cs="Courier New"/>
          <w:sz w:val="24"/>
          <w:szCs w:val="24"/>
        </w:rPr>
        <w:t>Mr. Shue described these as “other services that power plants can provide,” and those services include voltage support, r</w:t>
      </w:r>
      <w:r w:rsidR="00233295">
        <w:rPr>
          <w:rFonts w:ascii="Courier New" w:hAnsi="Courier New" w:cs="Courier New"/>
          <w:sz w:val="24"/>
          <w:szCs w:val="24"/>
        </w:rPr>
        <w:t xml:space="preserve">egulation, and something known as </w:t>
      </w:r>
      <w:r>
        <w:rPr>
          <w:rFonts w:ascii="Courier New" w:hAnsi="Courier New" w:cs="Courier New"/>
          <w:sz w:val="24"/>
          <w:szCs w:val="24"/>
        </w:rPr>
        <w:t>black</w:t>
      </w:r>
      <w:r w:rsidR="00233295">
        <w:rPr>
          <w:rFonts w:ascii="Courier New" w:hAnsi="Courier New" w:cs="Courier New"/>
          <w:sz w:val="24"/>
          <w:szCs w:val="24"/>
        </w:rPr>
        <w:t>-</w:t>
      </w:r>
      <w:r>
        <w:rPr>
          <w:rFonts w:ascii="Courier New" w:hAnsi="Courier New" w:cs="Courier New"/>
          <w:sz w:val="24"/>
          <w:szCs w:val="24"/>
        </w:rPr>
        <w:t xml:space="preserve">start </w:t>
      </w:r>
      <w:r>
        <w:rPr>
          <w:rFonts w:ascii="Courier New" w:hAnsi="Courier New" w:cs="Courier New"/>
          <w:sz w:val="24"/>
          <w:szCs w:val="24"/>
        </w:rPr>
        <w:lastRenderedPageBreak/>
        <w:t>capability, which is necessary to get a</w:t>
      </w:r>
      <w:r w:rsidR="000707E9">
        <w:rPr>
          <w:rFonts w:ascii="Courier New" w:hAnsi="Courier New" w:cs="Courier New"/>
          <w:sz w:val="24"/>
          <w:szCs w:val="24"/>
        </w:rPr>
        <w:t xml:space="preserve"> power plant back on</w:t>
      </w:r>
      <w:r>
        <w:rPr>
          <w:rFonts w:ascii="Courier New" w:hAnsi="Courier New" w:cs="Courier New"/>
          <w:sz w:val="24"/>
          <w:szCs w:val="24"/>
        </w:rPr>
        <w:t xml:space="preserve">line after a system outage.  </w:t>
      </w:r>
      <w:r w:rsidR="00B912E6">
        <w:rPr>
          <w:rFonts w:ascii="Courier New" w:hAnsi="Courier New" w:cs="Courier New"/>
          <w:sz w:val="24"/>
          <w:szCs w:val="24"/>
        </w:rPr>
        <w:t>Payment for ancillary services is a flat fee and it is made by ISO</w:t>
      </w:r>
      <w:r w:rsidR="00A814B5">
        <w:rPr>
          <w:rFonts w:ascii="Courier New" w:hAnsi="Courier New" w:cs="Courier New"/>
          <w:sz w:val="24"/>
          <w:szCs w:val="24"/>
        </w:rPr>
        <w:t>-NE</w:t>
      </w:r>
      <w:r w:rsidR="00233295">
        <w:rPr>
          <w:rFonts w:ascii="Courier New" w:hAnsi="Courier New" w:cs="Courier New"/>
          <w:sz w:val="24"/>
          <w:szCs w:val="24"/>
        </w:rPr>
        <w:t>.</w:t>
      </w:r>
      <w:r w:rsidR="000707E9">
        <w:rPr>
          <w:rFonts w:ascii="Courier New" w:hAnsi="Courier New" w:cs="Courier New"/>
          <w:sz w:val="24"/>
          <w:szCs w:val="24"/>
        </w:rPr>
        <w:t xml:space="preserve"> </w:t>
      </w:r>
    </w:p>
    <w:p w:rsidR="00DB6030" w:rsidRDefault="000707E9"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Shue additionally testified to the expense side of the appellant’s fiscal operations.  </w:t>
      </w:r>
      <w:r w:rsidR="002270F6">
        <w:rPr>
          <w:rFonts w:ascii="Courier New" w:hAnsi="Courier New" w:cs="Courier New"/>
          <w:sz w:val="24"/>
          <w:szCs w:val="24"/>
        </w:rPr>
        <w:t>As an entity regulated by the Federal Energy Regula</w:t>
      </w:r>
      <w:r w:rsidR="003E3E40">
        <w:rPr>
          <w:rFonts w:ascii="Courier New" w:hAnsi="Courier New" w:cs="Courier New"/>
          <w:sz w:val="24"/>
          <w:szCs w:val="24"/>
        </w:rPr>
        <w:t>tory Commission (“FERC”)</w:t>
      </w:r>
      <w:r w:rsidR="002270F6">
        <w:rPr>
          <w:rFonts w:ascii="Courier New" w:hAnsi="Courier New" w:cs="Courier New"/>
          <w:sz w:val="24"/>
          <w:szCs w:val="24"/>
        </w:rPr>
        <w:t>, the appellant must meet a number of requirements to</w:t>
      </w:r>
      <w:r w:rsidR="00DB6030">
        <w:rPr>
          <w:rFonts w:ascii="Courier New" w:hAnsi="Courier New" w:cs="Courier New"/>
          <w:sz w:val="24"/>
          <w:szCs w:val="24"/>
        </w:rPr>
        <w:t xml:space="preserve"> maintain its license from FERC.</w:t>
      </w:r>
      <w:r w:rsidR="002270F6">
        <w:rPr>
          <w:rFonts w:ascii="Courier New" w:hAnsi="Courier New" w:cs="Courier New"/>
          <w:sz w:val="24"/>
          <w:szCs w:val="24"/>
        </w:rPr>
        <w:t xml:space="preserve">  For example, the appellant is required to build and maintain improvements, known as fish ladders, that allow fish passage through</w:t>
      </w:r>
      <w:r w:rsidR="0008664E">
        <w:rPr>
          <w:rFonts w:ascii="Courier New" w:hAnsi="Courier New" w:cs="Courier New"/>
          <w:sz w:val="24"/>
          <w:szCs w:val="24"/>
        </w:rPr>
        <w:t>out the Connec</w:t>
      </w:r>
      <w:r w:rsidR="0076149C">
        <w:rPr>
          <w:rFonts w:ascii="Courier New" w:hAnsi="Courier New" w:cs="Courier New"/>
          <w:sz w:val="24"/>
          <w:szCs w:val="24"/>
        </w:rPr>
        <w:t>ticut River in spite of the dam</w:t>
      </w:r>
      <w:r w:rsidR="0008664E">
        <w:rPr>
          <w:rFonts w:ascii="Courier New" w:hAnsi="Courier New" w:cs="Courier New"/>
          <w:sz w:val="24"/>
          <w:szCs w:val="24"/>
        </w:rPr>
        <w:t>s, turbines, and other infrastructure owned by the appellant.</w:t>
      </w:r>
      <w:r w:rsidR="003E3E40">
        <w:rPr>
          <w:rFonts w:ascii="Courier New" w:hAnsi="Courier New" w:cs="Courier New"/>
          <w:sz w:val="24"/>
          <w:szCs w:val="24"/>
        </w:rPr>
        <w:t xml:space="preserve"> </w:t>
      </w:r>
    </w:p>
    <w:p w:rsidR="00EA6C97" w:rsidRDefault="003E3E40" w:rsidP="00A76A5D">
      <w:pPr>
        <w:spacing w:line="480" w:lineRule="auto"/>
        <w:ind w:firstLine="360"/>
        <w:contextualSpacing/>
        <w:jc w:val="both"/>
        <w:rPr>
          <w:rFonts w:ascii="Courier New" w:hAnsi="Courier New" w:cs="Courier New"/>
          <w:sz w:val="24"/>
          <w:szCs w:val="24"/>
        </w:rPr>
      </w:pPr>
      <w:r>
        <w:rPr>
          <w:rFonts w:ascii="Courier New" w:hAnsi="Courier New" w:cs="Courier New"/>
          <w:sz w:val="24"/>
          <w:szCs w:val="24"/>
        </w:rPr>
        <w:t xml:space="preserve"> </w:t>
      </w:r>
      <w:r w:rsidR="00DB6030">
        <w:rPr>
          <w:rFonts w:ascii="Courier New" w:hAnsi="Courier New" w:cs="Courier New"/>
          <w:sz w:val="24"/>
          <w:szCs w:val="24"/>
        </w:rPr>
        <w:t xml:space="preserve">The subject property’s current FERC license was set to expire in 2018, and Mr. Shue testified that the appellant began preparing for the re-licensing process during 2011-2012. </w:t>
      </w:r>
      <w:r>
        <w:rPr>
          <w:rFonts w:ascii="Courier New" w:hAnsi="Courier New" w:cs="Courier New"/>
          <w:sz w:val="24"/>
          <w:szCs w:val="24"/>
        </w:rPr>
        <w:t>He</w:t>
      </w:r>
      <w:r w:rsidR="00893590">
        <w:rPr>
          <w:rFonts w:ascii="Courier New" w:hAnsi="Courier New" w:cs="Courier New"/>
          <w:sz w:val="24"/>
          <w:szCs w:val="24"/>
        </w:rPr>
        <w:t xml:space="preserve"> stated that</w:t>
      </w:r>
      <w:r>
        <w:rPr>
          <w:rFonts w:ascii="Courier New" w:hAnsi="Courier New" w:cs="Courier New"/>
          <w:sz w:val="24"/>
          <w:szCs w:val="24"/>
        </w:rPr>
        <w:t xml:space="preserve"> </w:t>
      </w:r>
      <w:r w:rsidR="009C5909">
        <w:rPr>
          <w:rFonts w:ascii="Courier New" w:hAnsi="Courier New" w:cs="Courier New"/>
          <w:sz w:val="24"/>
          <w:szCs w:val="24"/>
        </w:rPr>
        <w:t>its</w:t>
      </w:r>
      <w:r>
        <w:rPr>
          <w:rFonts w:ascii="Courier New" w:hAnsi="Courier New" w:cs="Courier New"/>
          <w:sz w:val="24"/>
          <w:szCs w:val="24"/>
        </w:rPr>
        <w:t xml:space="preserve"> original estimate</w:t>
      </w:r>
      <w:r w:rsidR="00893590">
        <w:rPr>
          <w:rFonts w:ascii="Courier New" w:hAnsi="Courier New" w:cs="Courier New"/>
          <w:sz w:val="24"/>
          <w:szCs w:val="24"/>
        </w:rPr>
        <w:t xml:space="preserve"> for the expense</w:t>
      </w:r>
      <w:r w:rsidR="00DB6030">
        <w:rPr>
          <w:rFonts w:ascii="Courier New" w:hAnsi="Courier New" w:cs="Courier New"/>
          <w:sz w:val="24"/>
          <w:szCs w:val="24"/>
        </w:rPr>
        <w:t xml:space="preserve"> associated with </w:t>
      </w:r>
      <w:r w:rsidR="00893590">
        <w:rPr>
          <w:rFonts w:ascii="Courier New" w:hAnsi="Courier New" w:cs="Courier New"/>
          <w:sz w:val="24"/>
          <w:szCs w:val="24"/>
        </w:rPr>
        <w:t>re-licensing was $18</w:t>
      </w:r>
      <w:r w:rsidR="00953C0E">
        <w:rPr>
          <w:rFonts w:ascii="Courier New" w:hAnsi="Courier New" w:cs="Courier New"/>
          <w:sz w:val="24"/>
          <w:szCs w:val="24"/>
        </w:rPr>
        <w:t xml:space="preserve"> million.  By 2017, that figure</w:t>
      </w:r>
      <w:r w:rsidR="00893590">
        <w:rPr>
          <w:rFonts w:ascii="Courier New" w:hAnsi="Courier New" w:cs="Courier New"/>
          <w:sz w:val="24"/>
          <w:szCs w:val="24"/>
        </w:rPr>
        <w:t xml:space="preserve"> had increased to $24 million.  </w:t>
      </w:r>
      <w:r w:rsidR="003A6467">
        <w:rPr>
          <w:rFonts w:ascii="Courier New" w:hAnsi="Courier New" w:cs="Courier New"/>
          <w:sz w:val="24"/>
          <w:szCs w:val="24"/>
        </w:rPr>
        <w:t xml:space="preserve">Mr. Shue also testified that property taxes are the facilities’ single largest expense. </w:t>
      </w:r>
    </w:p>
    <w:p w:rsidR="0093178B" w:rsidRDefault="0093178B"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Shue testified to some of the changes and challenges facing the electricity industry </w:t>
      </w:r>
      <w:r w:rsidR="00233295">
        <w:rPr>
          <w:rFonts w:ascii="Courier New" w:hAnsi="Courier New" w:cs="Courier New"/>
          <w:sz w:val="24"/>
          <w:szCs w:val="24"/>
        </w:rPr>
        <w:t>in general and ISO-NE in particular</w:t>
      </w:r>
      <w:r>
        <w:rPr>
          <w:rFonts w:ascii="Courier New" w:hAnsi="Courier New" w:cs="Courier New"/>
          <w:sz w:val="24"/>
          <w:szCs w:val="24"/>
        </w:rPr>
        <w:t xml:space="preserve"> in its mission to ensure adequate electricity supply.  Mr. Shue testified that, for example, between 2002 and 2013, there was a tremendous increase in the reliance on natural gas for the production of electricity. </w:t>
      </w:r>
      <w:r w:rsidR="00626775">
        <w:rPr>
          <w:rFonts w:ascii="Courier New" w:hAnsi="Courier New" w:cs="Courier New"/>
          <w:sz w:val="24"/>
          <w:szCs w:val="24"/>
        </w:rPr>
        <w:t xml:space="preserve"> This reliance in turn </w:t>
      </w:r>
      <w:r w:rsidR="00626775">
        <w:rPr>
          <w:rFonts w:ascii="Courier New" w:hAnsi="Courier New" w:cs="Courier New"/>
          <w:sz w:val="24"/>
          <w:szCs w:val="24"/>
        </w:rPr>
        <w:lastRenderedPageBreak/>
        <w:t xml:space="preserve">affects </w:t>
      </w:r>
      <w:r>
        <w:rPr>
          <w:rFonts w:ascii="Courier New" w:hAnsi="Courier New" w:cs="Courier New"/>
          <w:sz w:val="24"/>
          <w:szCs w:val="24"/>
        </w:rPr>
        <w:t>elec</w:t>
      </w:r>
      <w:r w:rsidR="005161A9">
        <w:rPr>
          <w:rFonts w:ascii="Courier New" w:hAnsi="Courier New" w:cs="Courier New"/>
          <w:sz w:val="24"/>
          <w:szCs w:val="24"/>
        </w:rPr>
        <w:t>tricity prices, as producers have</w:t>
      </w:r>
      <w:r>
        <w:rPr>
          <w:rFonts w:ascii="Courier New" w:hAnsi="Courier New" w:cs="Courier New"/>
          <w:sz w:val="24"/>
          <w:szCs w:val="24"/>
        </w:rPr>
        <w:t xml:space="preserve"> to compete with consumers of natural gas for home-heating purposes during the winter months.  </w:t>
      </w:r>
    </w:p>
    <w:p w:rsidR="00F94A62" w:rsidRPr="00DE7CF1" w:rsidRDefault="0093178B" w:rsidP="00DF047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Shue also discussed the impact of government regulation and the changing landscape of energy resources on the electricity industry.  For example, with stricter emissions controls being implemented by the Environmental Protection Agency</w:t>
      </w:r>
      <w:r w:rsidR="00233295">
        <w:rPr>
          <w:rFonts w:ascii="Courier New" w:hAnsi="Courier New" w:cs="Courier New"/>
          <w:sz w:val="24"/>
          <w:szCs w:val="24"/>
        </w:rPr>
        <w:t xml:space="preserve">, many generators, especially </w:t>
      </w:r>
      <w:r w:rsidR="005161A9">
        <w:rPr>
          <w:rFonts w:ascii="Courier New" w:hAnsi="Courier New" w:cs="Courier New"/>
          <w:sz w:val="24"/>
          <w:szCs w:val="24"/>
        </w:rPr>
        <w:t>oil and coal facilities, have been</w:t>
      </w:r>
      <w:r>
        <w:rPr>
          <w:rFonts w:ascii="Courier New" w:hAnsi="Courier New" w:cs="Courier New"/>
          <w:sz w:val="24"/>
          <w:szCs w:val="24"/>
        </w:rPr>
        <w:t xml:space="preserve"> forced</w:t>
      </w:r>
      <w:r w:rsidR="00233295">
        <w:rPr>
          <w:rFonts w:ascii="Courier New" w:hAnsi="Courier New" w:cs="Courier New"/>
          <w:sz w:val="24"/>
          <w:szCs w:val="24"/>
        </w:rPr>
        <w:t xml:space="preserve"> to decide between making expensive capital improvements </w:t>
      </w:r>
      <w:r>
        <w:rPr>
          <w:rFonts w:ascii="Courier New" w:hAnsi="Courier New" w:cs="Courier New"/>
          <w:sz w:val="24"/>
          <w:szCs w:val="24"/>
        </w:rPr>
        <w:t>or shut</w:t>
      </w:r>
      <w:r w:rsidR="00233295">
        <w:rPr>
          <w:rFonts w:ascii="Courier New" w:hAnsi="Courier New" w:cs="Courier New"/>
          <w:sz w:val="24"/>
          <w:szCs w:val="24"/>
        </w:rPr>
        <w:t>ting</w:t>
      </w:r>
      <w:r>
        <w:rPr>
          <w:rFonts w:ascii="Courier New" w:hAnsi="Courier New" w:cs="Courier New"/>
          <w:sz w:val="24"/>
          <w:szCs w:val="24"/>
        </w:rPr>
        <w:t xml:space="preserve"> down.  Mr. Shue testified that the closure of these types of generating p</w:t>
      </w:r>
      <w:r w:rsidR="00517C59">
        <w:rPr>
          <w:rFonts w:ascii="Courier New" w:hAnsi="Courier New" w:cs="Courier New"/>
          <w:sz w:val="24"/>
          <w:szCs w:val="24"/>
        </w:rPr>
        <w:t xml:space="preserve">lants can </w:t>
      </w:r>
      <w:r w:rsidR="00A56CB2">
        <w:rPr>
          <w:rFonts w:ascii="Courier New" w:hAnsi="Courier New" w:cs="Courier New"/>
          <w:sz w:val="24"/>
          <w:szCs w:val="24"/>
        </w:rPr>
        <w:t xml:space="preserve">impact </w:t>
      </w:r>
      <w:r w:rsidR="00EB25CF">
        <w:rPr>
          <w:rFonts w:ascii="Courier New" w:hAnsi="Courier New" w:cs="Courier New"/>
          <w:sz w:val="24"/>
          <w:szCs w:val="24"/>
        </w:rPr>
        <w:t>energy prices.  Additionally, Mr. Shue testified that the increased integration of renewable energy sources, such as w</w:t>
      </w:r>
      <w:r w:rsidR="00517C59">
        <w:rPr>
          <w:rFonts w:ascii="Courier New" w:hAnsi="Courier New" w:cs="Courier New"/>
          <w:sz w:val="24"/>
          <w:szCs w:val="24"/>
        </w:rPr>
        <w:t xml:space="preserve">ind and solar, stood to </w:t>
      </w:r>
      <w:r w:rsidR="00EB25CF">
        <w:rPr>
          <w:rFonts w:ascii="Courier New" w:hAnsi="Courier New" w:cs="Courier New"/>
          <w:sz w:val="24"/>
          <w:szCs w:val="24"/>
        </w:rPr>
        <w:t>impac</w:t>
      </w:r>
      <w:r w:rsidR="00517C59">
        <w:rPr>
          <w:rFonts w:ascii="Courier New" w:hAnsi="Courier New" w:cs="Courier New"/>
          <w:sz w:val="24"/>
          <w:szCs w:val="24"/>
        </w:rPr>
        <w:t xml:space="preserve">t </w:t>
      </w:r>
      <w:r w:rsidR="00EB25CF">
        <w:rPr>
          <w:rFonts w:ascii="Courier New" w:hAnsi="Courier New" w:cs="Courier New"/>
          <w:sz w:val="24"/>
          <w:szCs w:val="24"/>
        </w:rPr>
        <w:t xml:space="preserve">the electricity market as a whole.  </w:t>
      </w:r>
    </w:p>
    <w:p w:rsidR="0031753A" w:rsidRDefault="00D6587A" w:rsidP="00A76A5D">
      <w:pPr>
        <w:pStyle w:val="ListParagraph"/>
        <w:numPr>
          <w:ilvl w:val="0"/>
          <w:numId w:val="2"/>
        </w:numPr>
        <w:spacing w:line="480" w:lineRule="auto"/>
        <w:jc w:val="both"/>
        <w:rPr>
          <w:rFonts w:ascii="Courier New" w:hAnsi="Courier New" w:cs="Courier New"/>
          <w:b/>
          <w:sz w:val="24"/>
          <w:szCs w:val="24"/>
        </w:rPr>
      </w:pPr>
      <w:r>
        <w:rPr>
          <w:rFonts w:ascii="Courier New" w:hAnsi="Courier New" w:cs="Courier New"/>
          <w:b/>
          <w:sz w:val="24"/>
          <w:szCs w:val="24"/>
        </w:rPr>
        <w:t xml:space="preserve">The Appellant’s </w:t>
      </w:r>
      <w:r w:rsidR="0031753A">
        <w:rPr>
          <w:rFonts w:ascii="Courier New" w:hAnsi="Courier New" w:cs="Courier New"/>
          <w:b/>
          <w:sz w:val="24"/>
          <w:szCs w:val="24"/>
        </w:rPr>
        <w:t>Valuation Evidence</w:t>
      </w:r>
    </w:p>
    <w:p w:rsidR="00A60667" w:rsidRDefault="00A60667"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appellant presented its case through the testimony and appra</w:t>
      </w:r>
      <w:r w:rsidR="005928F2">
        <w:rPr>
          <w:rFonts w:ascii="Courier New" w:hAnsi="Courier New" w:cs="Courier New"/>
          <w:sz w:val="24"/>
          <w:szCs w:val="24"/>
        </w:rPr>
        <w:t xml:space="preserve">isal report of Ann Bulkley, the </w:t>
      </w:r>
      <w:r w:rsidR="00DA40D4">
        <w:rPr>
          <w:rFonts w:ascii="Courier New" w:hAnsi="Courier New" w:cs="Courier New"/>
          <w:sz w:val="24"/>
          <w:szCs w:val="24"/>
        </w:rPr>
        <w:t>Senior Vice President</w:t>
      </w:r>
      <w:r w:rsidR="00346464">
        <w:rPr>
          <w:rFonts w:ascii="Courier New" w:hAnsi="Courier New" w:cs="Courier New"/>
          <w:sz w:val="24"/>
          <w:szCs w:val="24"/>
        </w:rPr>
        <w:t xml:space="preserve"> of Concentric Energy Advisors, which is an economic and financial consulting firm catering primarily to the energy industry.  </w:t>
      </w:r>
      <w:r w:rsidR="005928F2">
        <w:rPr>
          <w:rFonts w:ascii="Courier New" w:hAnsi="Courier New" w:cs="Courier New"/>
          <w:sz w:val="24"/>
          <w:szCs w:val="24"/>
        </w:rPr>
        <w:t>Ms.</w:t>
      </w:r>
      <w:r w:rsidR="003A70F8">
        <w:rPr>
          <w:rFonts w:ascii="Courier New" w:hAnsi="Courier New" w:cs="Courier New"/>
          <w:sz w:val="24"/>
          <w:szCs w:val="24"/>
        </w:rPr>
        <w:t> </w:t>
      </w:r>
      <w:r w:rsidR="005928F2">
        <w:rPr>
          <w:rFonts w:ascii="Courier New" w:hAnsi="Courier New" w:cs="Courier New"/>
          <w:sz w:val="24"/>
          <w:szCs w:val="24"/>
        </w:rPr>
        <w:t>Bulkley is a licensed rea</w:t>
      </w:r>
      <w:r w:rsidR="007A31E9">
        <w:rPr>
          <w:rFonts w:ascii="Courier New" w:hAnsi="Courier New" w:cs="Courier New"/>
          <w:sz w:val="24"/>
          <w:szCs w:val="24"/>
        </w:rPr>
        <w:t xml:space="preserve">l estate appraiser with </w:t>
      </w:r>
      <w:r w:rsidR="001E1FA3">
        <w:rPr>
          <w:rFonts w:ascii="Courier New" w:hAnsi="Courier New" w:cs="Courier New"/>
          <w:sz w:val="24"/>
          <w:szCs w:val="24"/>
        </w:rPr>
        <w:t xml:space="preserve">considerable </w:t>
      </w:r>
      <w:r w:rsidR="005928F2">
        <w:rPr>
          <w:rFonts w:ascii="Courier New" w:hAnsi="Courier New" w:cs="Courier New"/>
          <w:sz w:val="24"/>
          <w:szCs w:val="24"/>
        </w:rPr>
        <w:t>appraisal and consulting experience within the energy industry</w:t>
      </w:r>
      <w:r w:rsidR="00D544F2">
        <w:rPr>
          <w:rFonts w:ascii="Courier New" w:hAnsi="Courier New" w:cs="Courier New"/>
          <w:sz w:val="24"/>
          <w:szCs w:val="24"/>
        </w:rPr>
        <w:t>,</w:t>
      </w:r>
      <w:r w:rsidR="005928F2">
        <w:rPr>
          <w:rFonts w:ascii="Courier New" w:hAnsi="Courier New" w:cs="Courier New"/>
          <w:sz w:val="24"/>
          <w:szCs w:val="24"/>
        </w:rPr>
        <w:t xml:space="preserve"> and she has been qualified to testify as an expert witness in several jurisdictions.  The Board qualified </w:t>
      </w:r>
      <w:r w:rsidR="005928F2">
        <w:rPr>
          <w:rFonts w:ascii="Courier New" w:hAnsi="Courier New" w:cs="Courier New"/>
          <w:sz w:val="24"/>
          <w:szCs w:val="24"/>
        </w:rPr>
        <w:lastRenderedPageBreak/>
        <w:t xml:space="preserve">Ms. Bulkley as an expert in the appraisal of power-generating facilities.  </w:t>
      </w:r>
    </w:p>
    <w:p w:rsidR="00AE4A12" w:rsidRDefault="0015166F"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To begin her</w:t>
      </w:r>
      <w:r w:rsidR="001E1FA3">
        <w:rPr>
          <w:rFonts w:ascii="Courier New" w:hAnsi="Courier New" w:cs="Courier New"/>
          <w:sz w:val="24"/>
          <w:szCs w:val="24"/>
        </w:rPr>
        <w:t xml:space="preserve"> appraisal, Ms. Bulkley first </w:t>
      </w:r>
      <w:r>
        <w:rPr>
          <w:rFonts w:ascii="Courier New" w:hAnsi="Courier New" w:cs="Courier New"/>
          <w:sz w:val="24"/>
          <w:szCs w:val="24"/>
        </w:rPr>
        <w:t>determine</w:t>
      </w:r>
      <w:r w:rsidR="001E1FA3">
        <w:rPr>
          <w:rFonts w:ascii="Courier New" w:hAnsi="Courier New" w:cs="Courier New"/>
          <w:sz w:val="24"/>
          <w:szCs w:val="24"/>
        </w:rPr>
        <w:t>d</w:t>
      </w:r>
      <w:r>
        <w:rPr>
          <w:rFonts w:ascii="Courier New" w:hAnsi="Courier New" w:cs="Courier New"/>
          <w:sz w:val="24"/>
          <w:szCs w:val="24"/>
        </w:rPr>
        <w:t xml:space="preserve"> the subject property’s highest and best use.  </w:t>
      </w:r>
      <w:r w:rsidR="00AE4A12">
        <w:rPr>
          <w:rFonts w:ascii="Courier New" w:hAnsi="Courier New" w:cs="Courier New"/>
          <w:sz w:val="24"/>
          <w:szCs w:val="24"/>
        </w:rPr>
        <w:t>Ms. Bulkley conclud</w:t>
      </w:r>
      <w:r w:rsidR="001E1FA3">
        <w:rPr>
          <w:rFonts w:ascii="Courier New" w:hAnsi="Courier New" w:cs="Courier New"/>
          <w:sz w:val="24"/>
          <w:szCs w:val="24"/>
        </w:rPr>
        <w:t xml:space="preserve">ed </w:t>
      </w:r>
      <w:r w:rsidR="00AE4A12">
        <w:rPr>
          <w:rFonts w:ascii="Courier New" w:hAnsi="Courier New" w:cs="Courier New"/>
          <w:sz w:val="24"/>
          <w:szCs w:val="24"/>
        </w:rPr>
        <w:t>that the highest and best use of the subject property was its continued use a</w:t>
      </w:r>
      <w:r w:rsidR="00E6228F">
        <w:rPr>
          <w:rFonts w:ascii="Courier New" w:hAnsi="Courier New" w:cs="Courier New"/>
          <w:sz w:val="24"/>
          <w:szCs w:val="24"/>
        </w:rPr>
        <w:t xml:space="preserve">s </w:t>
      </w:r>
      <w:r w:rsidR="00A56CB2">
        <w:rPr>
          <w:rFonts w:ascii="Courier New" w:hAnsi="Courier New" w:cs="Courier New"/>
          <w:sz w:val="24"/>
          <w:szCs w:val="24"/>
        </w:rPr>
        <w:t xml:space="preserve">a </w:t>
      </w:r>
      <w:r w:rsidR="00E6228F">
        <w:rPr>
          <w:rFonts w:ascii="Courier New" w:hAnsi="Courier New" w:cs="Courier New"/>
          <w:sz w:val="24"/>
          <w:szCs w:val="24"/>
        </w:rPr>
        <w:t>hyd</w:t>
      </w:r>
      <w:r w:rsidR="00073449">
        <w:rPr>
          <w:rFonts w:ascii="Courier New" w:hAnsi="Courier New" w:cs="Courier New"/>
          <w:sz w:val="24"/>
          <w:szCs w:val="24"/>
        </w:rPr>
        <w:t>roelectric generating facility</w:t>
      </w:r>
      <w:r w:rsidR="00DD4E16">
        <w:rPr>
          <w:rFonts w:ascii="Courier New" w:hAnsi="Courier New" w:cs="Courier New"/>
          <w:sz w:val="24"/>
          <w:szCs w:val="24"/>
        </w:rPr>
        <w:t xml:space="preserve">.  </w:t>
      </w:r>
      <w:r w:rsidR="001E1FA3">
        <w:rPr>
          <w:rFonts w:ascii="Courier New" w:hAnsi="Courier New" w:cs="Courier New"/>
          <w:sz w:val="24"/>
          <w:szCs w:val="24"/>
        </w:rPr>
        <w:t xml:space="preserve"> </w:t>
      </w:r>
    </w:p>
    <w:p w:rsidR="002645A5" w:rsidRDefault="0015166F"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Ms. Bulkley next determined appropriate methodologies with which to value the subject </w:t>
      </w:r>
      <w:r w:rsidR="004753E3">
        <w:rPr>
          <w:rFonts w:ascii="Courier New" w:hAnsi="Courier New" w:cs="Courier New"/>
          <w:sz w:val="24"/>
          <w:szCs w:val="24"/>
        </w:rPr>
        <w:t>property.  She</w:t>
      </w:r>
      <w:r w:rsidR="004D4002">
        <w:rPr>
          <w:rFonts w:ascii="Courier New" w:hAnsi="Courier New" w:cs="Courier New"/>
          <w:sz w:val="24"/>
          <w:szCs w:val="24"/>
        </w:rPr>
        <w:t xml:space="preserve"> considered each of the usual approaches to value –</w:t>
      </w:r>
      <w:r w:rsidR="00457BAD">
        <w:rPr>
          <w:rFonts w:ascii="Courier New" w:hAnsi="Courier New" w:cs="Courier New"/>
          <w:sz w:val="24"/>
          <w:szCs w:val="24"/>
        </w:rPr>
        <w:t xml:space="preserve"> sales comparison, </w:t>
      </w:r>
      <w:r w:rsidR="004D4002">
        <w:rPr>
          <w:rFonts w:ascii="Courier New" w:hAnsi="Courier New" w:cs="Courier New"/>
          <w:sz w:val="24"/>
          <w:szCs w:val="24"/>
        </w:rPr>
        <w:t>cost, and inco</w:t>
      </w:r>
      <w:r w:rsidR="004753E3">
        <w:rPr>
          <w:rFonts w:ascii="Courier New" w:hAnsi="Courier New" w:cs="Courier New"/>
          <w:sz w:val="24"/>
          <w:szCs w:val="24"/>
        </w:rPr>
        <w:t>me capitalization.  Although Ms. Bulkley</w:t>
      </w:r>
      <w:r w:rsidR="004D4002">
        <w:rPr>
          <w:rFonts w:ascii="Courier New" w:hAnsi="Courier New" w:cs="Courier New"/>
          <w:sz w:val="24"/>
          <w:szCs w:val="24"/>
        </w:rPr>
        <w:t xml:space="preserve"> identified several sales of hydroelectric generating facilities, she concluded that none of the transactions provided a reliable indication of the subject property’s fair market value due to differences in the properties involved or relevant market conditions.  Accordingl</w:t>
      </w:r>
      <w:r w:rsidR="00CC52A6">
        <w:rPr>
          <w:rFonts w:ascii="Courier New" w:hAnsi="Courier New" w:cs="Courier New"/>
          <w:sz w:val="24"/>
          <w:szCs w:val="24"/>
        </w:rPr>
        <w:t xml:space="preserve">y, she did not apply </w:t>
      </w:r>
      <w:r w:rsidR="004D4002">
        <w:rPr>
          <w:rFonts w:ascii="Courier New" w:hAnsi="Courier New" w:cs="Courier New"/>
          <w:sz w:val="24"/>
          <w:szCs w:val="24"/>
        </w:rPr>
        <w:t>the sales-comparison app</w:t>
      </w:r>
      <w:r w:rsidR="00CC52A6">
        <w:rPr>
          <w:rFonts w:ascii="Courier New" w:hAnsi="Courier New" w:cs="Courier New"/>
          <w:sz w:val="24"/>
          <w:szCs w:val="24"/>
        </w:rPr>
        <w:t xml:space="preserve">roach to determine a value for the subject property.  </w:t>
      </w:r>
      <w:r w:rsidR="004D4002">
        <w:rPr>
          <w:rFonts w:ascii="Courier New" w:hAnsi="Courier New" w:cs="Courier New"/>
          <w:sz w:val="24"/>
          <w:szCs w:val="24"/>
        </w:rPr>
        <w:t xml:space="preserve"> </w:t>
      </w:r>
    </w:p>
    <w:p w:rsidR="004753E3" w:rsidRDefault="004753E3"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Ms. Bulkley did perform a replacem</w:t>
      </w:r>
      <w:r w:rsidR="00BC7C4A">
        <w:rPr>
          <w:rFonts w:ascii="Courier New" w:hAnsi="Courier New" w:cs="Courier New"/>
          <w:sz w:val="24"/>
          <w:szCs w:val="24"/>
        </w:rPr>
        <w:t xml:space="preserve">ent-cost analysis </w:t>
      </w:r>
      <w:r w:rsidR="00106165">
        <w:rPr>
          <w:rFonts w:ascii="Courier New" w:hAnsi="Courier New" w:cs="Courier New"/>
          <w:sz w:val="24"/>
          <w:szCs w:val="24"/>
        </w:rPr>
        <w:t xml:space="preserve">that </w:t>
      </w:r>
      <w:r w:rsidR="00BC7C4A">
        <w:rPr>
          <w:rFonts w:ascii="Courier New" w:hAnsi="Courier New" w:cs="Courier New"/>
          <w:sz w:val="24"/>
          <w:szCs w:val="24"/>
        </w:rPr>
        <w:t xml:space="preserve">resulted in a $98,420,665 </w:t>
      </w:r>
      <w:r>
        <w:rPr>
          <w:rFonts w:ascii="Courier New" w:hAnsi="Courier New" w:cs="Courier New"/>
          <w:sz w:val="24"/>
          <w:szCs w:val="24"/>
        </w:rPr>
        <w:t xml:space="preserve">value for </w:t>
      </w:r>
      <w:r w:rsidR="00BC7C4A">
        <w:rPr>
          <w:rFonts w:ascii="Courier New" w:hAnsi="Courier New" w:cs="Courier New"/>
          <w:sz w:val="24"/>
          <w:szCs w:val="24"/>
        </w:rPr>
        <w:t>the subject property</w:t>
      </w:r>
      <w:r w:rsidR="00533209">
        <w:rPr>
          <w:rFonts w:ascii="Courier New" w:hAnsi="Courier New" w:cs="Courier New"/>
          <w:sz w:val="24"/>
          <w:szCs w:val="24"/>
        </w:rPr>
        <w:t>.</w:t>
      </w:r>
      <w:r>
        <w:rPr>
          <w:rFonts w:ascii="Courier New" w:hAnsi="Courier New" w:cs="Courier New"/>
          <w:sz w:val="24"/>
          <w:szCs w:val="24"/>
        </w:rPr>
        <w:t xml:space="preserve">  However, and as will be discussed in more detail below, </w:t>
      </w:r>
      <w:r w:rsidR="00533209">
        <w:rPr>
          <w:rFonts w:ascii="Courier New" w:hAnsi="Courier New" w:cs="Courier New"/>
          <w:sz w:val="24"/>
          <w:szCs w:val="24"/>
        </w:rPr>
        <w:t>Ms.</w:t>
      </w:r>
      <w:r w:rsidR="005E2DF3">
        <w:rPr>
          <w:rFonts w:ascii="Courier New" w:hAnsi="Courier New" w:cs="Courier New"/>
          <w:sz w:val="24"/>
          <w:szCs w:val="24"/>
        </w:rPr>
        <w:t> </w:t>
      </w:r>
      <w:r w:rsidR="00533209">
        <w:rPr>
          <w:rFonts w:ascii="Courier New" w:hAnsi="Courier New" w:cs="Courier New"/>
          <w:sz w:val="24"/>
          <w:szCs w:val="24"/>
        </w:rPr>
        <w:t xml:space="preserve">Bulkley did not give weight to the value determined through the replacement-cost approach in reaching her ultimate opinion of fair cash value for the subject property, and neither did the Board.  </w:t>
      </w:r>
    </w:p>
    <w:p w:rsidR="00E4408A" w:rsidRDefault="004D4002"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Instead, Ms. B</w:t>
      </w:r>
      <w:r w:rsidR="00533209">
        <w:rPr>
          <w:rFonts w:ascii="Courier New" w:hAnsi="Courier New" w:cs="Courier New"/>
          <w:sz w:val="24"/>
          <w:szCs w:val="24"/>
        </w:rPr>
        <w:t xml:space="preserve">ulkley </w:t>
      </w:r>
      <w:r w:rsidR="00643305">
        <w:rPr>
          <w:rFonts w:ascii="Courier New" w:hAnsi="Courier New" w:cs="Courier New"/>
          <w:sz w:val="24"/>
          <w:szCs w:val="24"/>
        </w:rPr>
        <w:t xml:space="preserve">relied most heavily on </w:t>
      </w:r>
      <w:r w:rsidR="00533209">
        <w:rPr>
          <w:rFonts w:ascii="Courier New" w:hAnsi="Courier New" w:cs="Courier New"/>
          <w:sz w:val="24"/>
          <w:szCs w:val="24"/>
        </w:rPr>
        <w:t xml:space="preserve">the </w:t>
      </w:r>
      <w:r>
        <w:rPr>
          <w:rFonts w:ascii="Courier New" w:hAnsi="Courier New" w:cs="Courier New"/>
          <w:sz w:val="24"/>
          <w:szCs w:val="24"/>
        </w:rPr>
        <w:t>i</w:t>
      </w:r>
      <w:r w:rsidR="00643305">
        <w:rPr>
          <w:rFonts w:ascii="Courier New" w:hAnsi="Courier New" w:cs="Courier New"/>
          <w:sz w:val="24"/>
          <w:szCs w:val="24"/>
        </w:rPr>
        <w:t>ncome-capitalization approach, the basic premise of which she described as “</w:t>
      </w:r>
      <w:r w:rsidR="0056658C">
        <w:rPr>
          <w:rFonts w:ascii="Courier New" w:hAnsi="Courier New" w:cs="Courier New"/>
          <w:sz w:val="24"/>
          <w:szCs w:val="24"/>
        </w:rPr>
        <w:t>projecting out all</w:t>
      </w:r>
      <w:r w:rsidR="00FB2817">
        <w:rPr>
          <w:rFonts w:ascii="Courier New" w:hAnsi="Courier New" w:cs="Courier New"/>
          <w:sz w:val="24"/>
          <w:szCs w:val="24"/>
        </w:rPr>
        <w:t xml:space="preserve"> of your revenue sources</w:t>
      </w:r>
      <w:r w:rsidR="00BC7C4A">
        <w:rPr>
          <w:rFonts w:ascii="Courier New" w:hAnsi="Courier New" w:cs="Courier New"/>
          <w:sz w:val="24"/>
          <w:szCs w:val="24"/>
        </w:rPr>
        <w:t xml:space="preserve"> </w:t>
      </w:r>
      <w:r w:rsidR="00FB2817">
        <w:rPr>
          <w:rFonts w:ascii="Courier New" w:hAnsi="Courier New" w:cs="Courier New"/>
          <w:sz w:val="24"/>
          <w:szCs w:val="24"/>
        </w:rPr>
        <w:t>. . .  a</w:t>
      </w:r>
      <w:r w:rsidR="0056658C">
        <w:rPr>
          <w:rFonts w:ascii="Courier New" w:hAnsi="Courier New" w:cs="Courier New"/>
          <w:sz w:val="24"/>
          <w:szCs w:val="24"/>
        </w:rPr>
        <w:t>nd then project[ing] out expe</w:t>
      </w:r>
      <w:r w:rsidR="00A56CB2">
        <w:rPr>
          <w:rFonts w:ascii="Courier New" w:hAnsi="Courier New" w:cs="Courier New"/>
          <w:sz w:val="24"/>
          <w:szCs w:val="24"/>
        </w:rPr>
        <w:t>nses and capital investments [to]</w:t>
      </w:r>
      <w:r w:rsidR="00BC7C4A">
        <w:rPr>
          <w:rFonts w:ascii="Courier New" w:hAnsi="Courier New" w:cs="Courier New"/>
          <w:sz w:val="24"/>
          <w:szCs w:val="24"/>
        </w:rPr>
        <w:t xml:space="preserve"> come up with a net-</w:t>
      </w:r>
      <w:r w:rsidR="0056658C">
        <w:rPr>
          <w:rFonts w:ascii="Courier New" w:hAnsi="Courier New" w:cs="Courier New"/>
          <w:sz w:val="24"/>
          <w:szCs w:val="24"/>
        </w:rPr>
        <w:t>operating cas</w:t>
      </w:r>
      <w:r w:rsidR="00FB2817">
        <w:rPr>
          <w:rFonts w:ascii="Courier New" w:hAnsi="Courier New" w:cs="Courier New"/>
          <w:sz w:val="24"/>
          <w:szCs w:val="24"/>
        </w:rPr>
        <w:t xml:space="preserve">h flow that’s been discounted” to estimate the present value of the property.  </w:t>
      </w:r>
      <w:r w:rsidR="00643305">
        <w:rPr>
          <w:rFonts w:ascii="Courier New" w:hAnsi="Courier New" w:cs="Courier New"/>
          <w:sz w:val="24"/>
          <w:szCs w:val="24"/>
        </w:rPr>
        <w:t>Ms. Bulkley employed two variations of the income-capitalization approach to determine a fair cash value, the direct-capitalization approach and the discou</w:t>
      </w:r>
      <w:r w:rsidR="00953C0E">
        <w:rPr>
          <w:rFonts w:ascii="Courier New" w:hAnsi="Courier New" w:cs="Courier New"/>
          <w:sz w:val="24"/>
          <w:szCs w:val="24"/>
        </w:rPr>
        <w:t>nted-cash-flow (“DCF”) approach</w:t>
      </w:r>
      <w:r w:rsidR="009F0667">
        <w:rPr>
          <w:rFonts w:ascii="Courier New" w:hAnsi="Courier New" w:cs="Courier New"/>
          <w:sz w:val="24"/>
          <w:szCs w:val="24"/>
        </w:rPr>
        <w:t xml:space="preserve">, with the key differences being that the DCF approach </w:t>
      </w:r>
      <w:r w:rsidR="002318A8">
        <w:rPr>
          <w:rFonts w:ascii="Courier New" w:hAnsi="Courier New" w:cs="Courier New"/>
          <w:sz w:val="24"/>
          <w:szCs w:val="24"/>
        </w:rPr>
        <w:t xml:space="preserve">assumes an income stream that fluctuates and projects </w:t>
      </w:r>
      <w:r w:rsidR="00E4408A">
        <w:rPr>
          <w:rFonts w:ascii="Courier New" w:hAnsi="Courier New" w:cs="Courier New"/>
          <w:sz w:val="24"/>
          <w:szCs w:val="24"/>
        </w:rPr>
        <w:t xml:space="preserve">it out </w:t>
      </w:r>
      <w:r w:rsidR="002318A8">
        <w:rPr>
          <w:rFonts w:ascii="Courier New" w:hAnsi="Courier New" w:cs="Courier New"/>
          <w:sz w:val="24"/>
          <w:szCs w:val="24"/>
        </w:rPr>
        <w:t>over a longer period of time</w:t>
      </w:r>
      <w:r w:rsidR="009F0667">
        <w:rPr>
          <w:rFonts w:ascii="Courier New" w:hAnsi="Courier New" w:cs="Courier New"/>
          <w:sz w:val="24"/>
          <w:szCs w:val="24"/>
        </w:rPr>
        <w:t>, while the direct-capitalizatio</w:t>
      </w:r>
      <w:r w:rsidR="00A56CB2">
        <w:rPr>
          <w:rFonts w:ascii="Courier New" w:hAnsi="Courier New" w:cs="Courier New"/>
          <w:sz w:val="24"/>
          <w:szCs w:val="24"/>
        </w:rPr>
        <w:t xml:space="preserve">n approach is based on a single year’s income </w:t>
      </w:r>
      <w:r w:rsidR="009F0667">
        <w:rPr>
          <w:rFonts w:ascii="Courier New" w:hAnsi="Courier New" w:cs="Courier New"/>
          <w:sz w:val="24"/>
          <w:szCs w:val="24"/>
        </w:rPr>
        <w:t xml:space="preserve">stream.  </w:t>
      </w:r>
    </w:p>
    <w:p w:rsidR="00740E61" w:rsidRDefault="00FB2817"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Ms. Bulkley opined that the DCF methodology was the most reliable way to value facilities like the subject property because “the revenues</w:t>
      </w:r>
      <w:r w:rsidR="00BC7C4A">
        <w:rPr>
          <w:rFonts w:ascii="Courier New" w:hAnsi="Courier New" w:cs="Courier New"/>
          <w:sz w:val="24"/>
          <w:szCs w:val="24"/>
        </w:rPr>
        <w:t xml:space="preserve"> </w:t>
      </w:r>
      <w:r>
        <w:rPr>
          <w:rFonts w:ascii="Courier New" w:hAnsi="Courier New" w:cs="Courier New"/>
          <w:sz w:val="24"/>
          <w:szCs w:val="24"/>
        </w:rPr>
        <w:t>.</w:t>
      </w:r>
      <w:r w:rsidR="00BC7C4A">
        <w:rPr>
          <w:rFonts w:ascii="Courier New" w:hAnsi="Courier New" w:cs="Courier New"/>
          <w:sz w:val="24"/>
          <w:szCs w:val="24"/>
        </w:rPr>
        <w:t xml:space="preserve"> </w:t>
      </w:r>
      <w:r>
        <w:rPr>
          <w:rFonts w:ascii="Courier New" w:hAnsi="Courier New" w:cs="Courier New"/>
          <w:sz w:val="24"/>
          <w:szCs w:val="24"/>
        </w:rPr>
        <w:t>.</w:t>
      </w:r>
      <w:r w:rsidR="00BC7C4A">
        <w:rPr>
          <w:rFonts w:ascii="Courier New" w:hAnsi="Courier New" w:cs="Courier New"/>
          <w:sz w:val="24"/>
          <w:szCs w:val="24"/>
        </w:rPr>
        <w:t xml:space="preserve"> </w:t>
      </w:r>
      <w:r>
        <w:rPr>
          <w:rFonts w:ascii="Courier New" w:hAnsi="Courier New" w:cs="Courier New"/>
          <w:sz w:val="24"/>
          <w:szCs w:val="24"/>
        </w:rPr>
        <w:t>. and the expenses of those plants can be variable from year to year,” as factors beyond the control of plant operators, such as the amount of rainfall and available water, have a tremendous impact on a plant’s revenues and expenses. Ms. Bulkley also testified that buyers and sellers of facilities like the subject property most frequently rely on the DCF approach in determining value for such assets.</w:t>
      </w:r>
      <w:r w:rsidR="00E4408A">
        <w:rPr>
          <w:rFonts w:ascii="Courier New" w:hAnsi="Courier New" w:cs="Courier New"/>
          <w:sz w:val="24"/>
          <w:szCs w:val="24"/>
        </w:rPr>
        <w:t xml:space="preserve">  </w:t>
      </w:r>
      <w:r w:rsidR="004F39DE">
        <w:rPr>
          <w:rFonts w:ascii="Courier New" w:hAnsi="Courier New" w:cs="Courier New"/>
          <w:sz w:val="24"/>
          <w:szCs w:val="24"/>
        </w:rPr>
        <w:t>S</w:t>
      </w:r>
      <w:r w:rsidR="00EF1C57">
        <w:rPr>
          <w:rFonts w:ascii="Courier New" w:hAnsi="Courier New" w:cs="Courier New"/>
          <w:sz w:val="24"/>
          <w:szCs w:val="24"/>
        </w:rPr>
        <w:t xml:space="preserve">he </w:t>
      </w:r>
      <w:r w:rsidR="004F39DE">
        <w:rPr>
          <w:rFonts w:ascii="Courier New" w:hAnsi="Courier New" w:cs="Courier New"/>
          <w:sz w:val="24"/>
          <w:szCs w:val="24"/>
        </w:rPr>
        <w:t xml:space="preserve">therefore </w:t>
      </w:r>
      <w:r w:rsidR="0060007E">
        <w:rPr>
          <w:rFonts w:ascii="Courier New" w:hAnsi="Courier New" w:cs="Courier New"/>
          <w:sz w:val="24"/>
          <w:szCs w:val="24"/>
        </w:rPr>
        <w:t xml:space="preserve">gave </w:t>
      </w:r>
      <w:r w:rsidR="00EF1C57">
        <w:rPr>
          <w:rFonts w:ascii="Courier New" w:hAnsi="Courier New" w:cs="Courier New"/>
          <w:sz w:val="24"/>
          <w:szCs w:val="24"/>
        </w:rPr>
        <w:t xml:space="preserve">exclusive </w:t>
      </w:r>
      <w:r w:rsidR="00643305">
        <w:rPr>
          <w:rFonts w:ascii="Courier New" w:hAnsi="Courier New" w:cs="Courier New"/>
          <w:sz w:val="24"/>
          <w:szCs w:val="24"/>
        </w:rPr>
        <w:t xml:space="preserve">weight to her value as determined through </w:t>
      </w:r>
      <w:r w:rsidR="003765C3">
        <w:rPr>
          <w:rFonts w:ascii="Courier New" w:hAnsi="Courier New" w:cs="Courier New"/>
          <w:sz w:val="24"/>
          <w:szCs w:val="24"/>
        </w:rPr>
        <w:t xml:space="preserve">the </w:t>
      </w:r>
      <w:r w:rsidR="00643305">
        <w:rPr>
          <w:rFonts w:ascii="Courier New" w:hAnsi="Courier New" w:cs="Courier New"/>
          <w:sz w:val="24"/>
          <w:szCs w:val="24"/>
        </w:rPr>
        <w:t xml:space="preserve">DCF approach, which was $104,555,373, rather than </w:t>
      </w:r>
      <w:r w:rsidR="00643305">
        <w:rPr>
          <w:rFonts w:ascii="Courier New" w:hAnsi="Courier New" w:cs="Courier New"/>
          <w:sz w:val="24"/>
          <w:szCs w:val="24"/>
        </w:rPr>
        <w:lastRenderedPageBreak/>
        <w:t xml:space="preserve">the value she determined </w:t>
      </w:r>
      <w:r w:rsidR="00073449">
        <w:rPr>
          <w:rFonts w:ascii="Courier New" w:hAnsi="Courier New" w:cs="Courier New"/>
          <w:sz w:val="24"/>
          <w:szCs w:val="24"/>
        </w:rPr>
        <w:t xml:space="preserve">using </w:t>
      </w:r>
      <w:r w:rsidR="00643305">
        <w:rPr>
          <w:rFonts w:ascii="Courier New" w:hAnsi="Courier New" w:cs="Courier New"/>
          <w:sz w:val="24"/>
          <w:szCs w:val="24"/>
        </w:rPr>
        <w:t>the direct-capitalization</w:t>
      </w:r>
      <w:r w:rsidR="00073449">
        <w:rPr>
          <w:rFonts w:ascii="Courier New" w:hAnsi="Courier New" w:cs="Courier New"/>
          <w:sz w:val="24"/>
          <w:szCs w:val="24"/>
        </w:rPr>
        <w:t xml:space="preserve"> approach</w:t>
      </w:r>
      <w:r w:rsidR="00643305">
        <w:rPr>
          <w:rFonts w:ascii="Courier New" w:hAnsi="Courier New" w:cs="Courier New"/>
          <w:sz w:val="24"/>
          <w:szCs w:val="24"/>
        </w:rPr>
        <w:t>,</w:t>
      </w:r>
      <w:r w:rsidR="00073449">
        <w:rPr>
          <w:rFonts w:ascii="Courier New" w:hAnsi="Courier New" w:cs="Courier New"/>
          <w:sz w:val="24"/>
          <w:szCs w:val="24"/>
        </w:rPr>
        <w:t xml:space="preserve"> </w:t>
      </w:r>
      <w:r w:rsidR="004F39DE">
        <w:rPr>
          <w:rFonts w:ascii="Courier New" w:hAnsi="Courier New" w:cs="Courier New"/>
          <w:sz w:val="24"/>
          <w:szCs w:val="24"/>
        </w:rPr>
        <w:t>w</w:t>
      </w:r>
      <w:r w:rsidR="0060007E">
        <w:rPr>
          <w:rFonts w:ascii="Courier New" w:hAnsi="Courier New" w:cs="Courier New"/>
          <w:sz w:val="24"/>
          <w:szCs w:val="24"/>
        </w:rPr>
        <w:t xml:space="preserve">hich was $95,385,881, and her final, rounded </w:t>
      </w:r>
      <w:r w:rsidR="00643305">
        <w:rPr>
          <w:rFonts w:ascii="Courier New" w:hAnsi="Courier New" w:cs="Courier New"/>
          <w:sz w:val="24"/>
          <w:szCs w:val="24"/>
        </w:rPr>
        <w:t>opinion of v</w:t>
      </w:r>
      <w:r w:rsidR="004F39DE">
        <w:rPr>
          <w:rFonts w:ascii="Courier New" w:hAnsi="Courier New" w:cs="Courier New"/>
          <w:sz w:val="24"/>
          <w:szCs w:val="24"/>
        </w:rPr>
        <w:t>alue for the subject property</w:t>
      </w:r>
      <w:r w:rsidR="00DD6100">
        <w:rPr>
          <w:rFonts w:ascii="Courier New" w:hAnsi="Courier New" w:cs="Courier New"/>
          <w:sz w:val="24"/>
          <w:szCs w:val="24"/>
        </w:rPr>
        <w:t xml:space="preserve"> </w:t>
      </w:r>
      <w:r w:rsidR="0060007E">
        <w:rPr>
          <w:rFonts w:ascii="Courier New" w:hAnsi="Courier New" w:cs="Courier New"/>
          <w:sz w:val="24"/>
          <w:szCs w:val="24"/>
        </w:rPr>
        <w:t xml:space="preserve">for the fiscal year at issue was </w:t>
      </w:r>
      <w:r w:rsidR="00643305">
        <w:rPr>
          <w:rFonts w:ascii="Courier New" w:hAnsi="Courier New" w:cs="Courier New"/>
          <w:sz w:val="24"/>
          <w:szCs w:val="24"/>
        </w:rPr>
        <w:t xml:space="preserve"> $104.5 milli</w:t>
      </w:r>
      <w:r w:rsidR="0060007E">
        <w:rPr>
          <w:rFonts w:ascii="Courier New" w:hAnsi="Courier New" w:cs="Courier New"/>
          <w:sz w:val="24"/>
          <w:szCs w:val="24"/>
        </w:rPr>
        <w:t xml:space="preserve">on.  </w:t>
      </w:r>
    </w:p>
    <w:p w:rsidR="00AC3659" w:rsidRDefault="00AC3659"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assessors did not offer affirmative evidence of value, but instead rested on the presumptive validity of the assessments.  </w:t>
      </w:r>
    </w:p>
    <w:p w:rsidR="00086664" w:rsidRDefault="002B0508" w:rsidP="00A76A5D">
      <w:pPr>
        <w:pStyle w:val="ListParagraph"/>
        <w:numPr>
          <w:ilvl w:val="0"/>
          <w:numId w:val="2"/>
        </w:numPr>
        <w:spacing w:line="480" w:lineRule="auto"/>
        <w:jc w:val="both"/>
        <w:rPr>
          <w:rFonts w:ascii="Courier New" w:hAnsi="Courier New" w:cs="Courier New"/>
          <w:b/>
          <w:sz w:val="24"/>
          <w:szCs w:val="24"/>
        </w:rPr>
      </w:pPr>
      <w:r>
        <w:rPr>
          <w:rFonts w:ascii="Courier New" w:hAnsi="Courier New" w:cs="Courier New"/>
          <w:b/>
          <w:sz w:val="24"/>
          <w:szCs w:val="24"/>
        </w:rPr>
        <w:t>The Board’s Ultimate Factual Findings</w:t>
      </w:r>
    </w:p>
    <w:p w:rsidR="00160393" w:rsidRDefault="005A75B5" w:rsidP="00A76A5D">
      <w:pPr>
        <w:spacing w:line="480" w:lineRule="auto"/>
        <w:ind w:firstLine="720"/>
        <w:contextualSpacing/>
        <w:jc w:val="both"/>
        <w:rPr>
          <w:rFonts w:ascii="Courier New" w:hAnsi="Courier New" w:cs="Courier New"/>
          <w:sz w:val="24"/>
          <w:szCs w:val="24"/>
        </w:rPr>
      </w:pPr>
      <w:r w:rsidRPr="00086664">
        <w:rPr>
          <w:rFonts w:ascii="Courier New" w:hAnsi="Courier New" w:cs="Courier New"/>
          <w:sz w:val="24"/>
          <w:szCs w:val="24"/>
        </w:rPr>
        <w:t xml:space="preserve">On the basis of all of the evidence, the Board found that </w:t>
      </w:r>
      <w:r w:rsidR="003765C3">
        <w:rPr>
          <w:rFonts w:ascii="Courier New" w:hAnsi="Courier New" w:cs="Courier New"/>
          <w:sz w:val="24"/>
          <w:szCs w:val="24"/>
        </w:rPr>
        <w:t xml:space="preserve">the </w:t>
      </w:r>
      <w:r w:rsidRPr="00086664">
        <w:rPr>
          <w:rFonts w:ascii="Courier New" w:eastAsia="Times New Roman" w:hAnsi="Courier New"/>
          <w:sz w:val="24"/>
          <w:szCs w:val="20"/>
        </w:rPr>
        <w:t>highest</w:t>
      </w:r>
      <w:r w:rsidR="0082147B">
        <w:rPr>
          <w:rFonts w:ascii="Courier New" w:hAnsi="Courier New" w:cs="Courier New"/>
          <w:sz w:val="24"/>
          <w:szCs w:val="24"/>
        </w:rPr>
        <w:t xml:space="preserve"> and </w:t>
      </w:r>
      <w:r w:rsidRPr="00086664">
        <w:rPr>
          <w:rFonts w:ascii="Courier New" w:hAnsi="Courier New" w:cs="Courier New"/>
          <w:sz w:val="24"/>
          <w:szCs w:val="24"/>
        </w:rPr>
        <w:t xml:space="preserve">best use of the subject property was its continued use as </w:t>
      </w:r>
      <w:r w:rsidR="00A56CB2">
        <w:rPr>
          <w:rFonts w:ascii="Courier New" w:hAnsi="Courier New" w:cs="Courier New"/>
          <w:sz w:val="24"/>
          <w:szCs w:val="24"/>
        </w:rPr>
        <w:t>a hydro</w:t>
      </w:r>
      <w:r w:rsidRPr="00086664">
        <w:rPr>
          <w:rFonts w:ascii="Courier New" w:hAnsi="Courier New" w:cs="Courier New"/>
          <w:sz w:val="24"/>
          <w:szCs w:val="24"/>
        </w:rPr>
        <w:t>elec</w:t>
      </w:r>
      <w:r w:rsidR="00E435CC">
        <w:rPr>
          <w:rFonts w:ascii="Courier New" w:hAnsi="Courier New" w:cs="Courier New"/>
          <w:sz w:val="24"/>
          <w:szCs w:val="24"/>
        </w:rPr>
        <w:t xml:space="preserve">tric generating facility.  That use was not only its current use but also the </w:t>
      </w:r>
      <w:r w:rsidR="0082147B">
        <w:rPr>
          <w:rFonts w:ascii="Courier New" w:hAnsi="Courier New" w:cs="Courier New"/>
          <w:sz w:val="24"/>
          <w:szCs w:val="24"/>
        </w:rPr>
        <w:t xml:space="preserve">highest and </w:t>
      </w:r>
      <w:r w:rsidR="00AC3659">
        <w:rPr>
          <w:rFonts w:ascii="Courier New" w:hAnsi="Courier New" w:cs="Courier New"/>
          <w:sz w:val="24"/>
          <w:szCs w:val="24"/>
        </w:rPr>
        <w:t xml:space="preserve">best use determined </w:t>
      </w:r>
      <w:r w:rsidRPr="00086664">
        <w:rPr>
          <w:rFonts w:ascii="Courier New" w:hAnsi="Courier New" w:cs="Courier New"/>
          <w:sz w:val="24"/>
          <w:szCs w:val="24"/>
        </w:rPr>
        <w:t>by the appellant’</w:t>
      </w:r>
      <w:r w:rsidR="005E2570">
        <w:rPr>
          <w:rFonts w:ascii="Courier New" w:hAnsi="Courier New" w:cs="Courier New"/>
          <w:sz w:val="24"/>
          <w:szCs w:val="24"/>
        </w:rPr>
        <w:t>s valuation expert, Ms.</w:t>
      </w:r>
      <w:r w:rsidR="008F15DF">
        <w:rPr>
          <w:rFonts w:ascii="Courier New" w:hAnsi="Courier New" w:cs="Courier New"/>
          <w:sz w:val="24"/>
          <w:szCs w:val="24"/>
        </w:rPr>
        <w:t xml:space="preserve"> Bulkley,  who </w:t>
      </w:r>
      <w:r w:rsidR="0005323B">
        <w:rPr>
          <w:rFonts w:ascii="Courier New" w:hAnsi="Courier New" w:cs="Courier New"/>
          <w:sz w:val="24"/>
          <w:szCs w:val="24"/>
        </w:rPr>
        <w:t xml:space="preserve">used both a replacement-cost approach and two variations on the income-capitalization approach – direct capitalization and the DCF method – to </w:t>
      </w:r>
      <w:r w:rsidR="00160393">
        <w:rPr>
          <w:rFonts w:ascii="Courier New" w:hAnsi="Courier New" w:cs="Courier New"/>
          <w:sz w:val="24"/>
          <w:szCs w:val="24"/>
        </w:rPr>
        <w:t xml:space="preserve">determine estimates of fair cash value.  </w:t>
      </w:r>
      <w:r w:rsidR="008F15DF">
        <w:rPr>
          <w:rFonts w:ascii="Courier New" w:hAnsi="Courier New" w:cs="Courier New"/>
          <w:sz w:val="24"/>
          <w:szCs w:val="24"/>
        </w:rPr>
        <w:t xml:space="preserve">However, the Board </w:t>
      </w:r>
      <w:r w:rsidR="00160393">
        <w:rPr>
          <w:rFonts w:ascii="Courier New" w:hAnsi="Courier New" w:cs="Courier New"/>
          <w:sz w:val="24"/>
          <w:szCs w:val="24"/>
        </w:rPr>
        <w:t>ultimately placed no weight on the opinions of value or methodologies used by Ms. Bulkley, as it found that her methodologies were witho</w:t>
      </w:r>
      <w:r w:rsidR="00DD6100">
        <w:rPr>
          <w:rFonts w:ascii="Courier New" w:hAnsi="Courier New" w:cs="Courier New"/>
          <w:sz w:val="24"/>
          <w:szCs w:val="24"/>
        </w:rPr>
        <w:t xml:space="preserve">ut adequate support and </w:t>
      </w:r>
      <w:r w:rsidR="00160393">
        <w:rPr>
          <w:rFonts w:ascii="Courier New" w:hAnsi="Courier New" w:cs="Courier New"/>
          <w:sz w:val="24"/>
          <w:szCs w:val="24"/>
        </w:rPr>
        <w:t xml:space="preserve">unsuitable for </w:t>
      </w:r>
      <w:r w:rsidR="00160393" w:rsidRPr="00160393">
        <w:rPr>
          <w:rFonts w:ascii="Courier New" w:hAnsi="Courier New" w:cs="Courier New"/>
          <w:i/>
          <w:sz w:val="24"/>
          <w:szCs w:val="24"/>
        </w:rPr>
        <w:t>ad valorem</w:t>
      </w:r>
      <w:r w:rsidR="00160393">
        <w:rPr>
          <w:rFonts w:ascii="Courier New" w:hAnsi="Courier New" w:cs="Courier New"/>
          <w:sz w:val="24"/>
          <w:szCs w:val="24"/>
        </w:rPr>
        <w:t xml:space="preserve"> tax purposes.  </w:t>
      </w:r>
    </w:p>
    <w:p w:rsidR="009E2C36" w:rsidRDefault="008B5EBF"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did not rely on Ms. Bulkley’s </w:t>
      </w:r>
      <w:r w:rsidR="009E2C36">
        <w:rPr>
          <w:rFonts w:ascii="Courier New" w:hAnsi="Courier New" w:cs="Courier New"/>
          <w:sz w:val="24"/>
          <w:szCs w:val="24"/>
        </w:rPr>
        <w:t>replacement</w:t>
      </w:r>
      <w:r w:rsidR="00D83A81">
        <w:rPr>
          <w:rFonts w:ascii="Courier New" w:hAnsi="Courier New" w:cs="Courier New"/>
          <w:sz w:val="24"/>
          <w:szCs w:val="24"/>
        </w:rPr>
        <w:t xml:space="preserve">-cost </w:t>
      </w:r>
      <w:r w:rsidR="009E2C36">
        <w:rPr>
          <w:rFonts w:ascii="Courier New" w:hAnsi="Courier New" w:cs="Courier New"/>
          <w:sz w:val="24"/>
          <w:szCs w:val="24"/>
        </w:rPr>
        <w:t xml:space="preserve">approach, </w:t>
      </w:r>
      <w:r w:rsidR="006C25E6">
        <w:rPr>
          <w:rFonts w:ascii="Courier New" w:hAnsi="Courier New" w:cs="Courier New"/>
          <w:sz w:val="24"/>
          <w:szCs w:val="24"/>
        </w:rPr>
        <w:t xml:space="preserve">as it is well established </w:t>
      </w:r>
      <w:r w:rsidR="00C43C84">
        <w:rPr>
          <w:rFonts w:ascii="Courier New" w:hAnsi="Courier New" w:cs="Courier New"/>
          <w:sz w:val="24"/>
          <w:szCs w:val="24"/>
        </w:rPr>
        <w:t xml:space="preserve">that </w:t>
      </w:r>
      <w:r w:rsidR="006C25E6">
        <w:rPr>
          <w:rFonts w:ascii="Courier New" w:hAnsi="Courier New" w:cs="Courier New"/>
          <w:sz w:val="24"/>
          <w:szCs w:val="24"/>
        </w:rPr>
        <w:t xml:space="preserve">evidence relating to costs must be </w:t>
      </w:r>
      <w:r w:rsidR="009E2C36">
        <w:rPr>
          <w:rFonts w:ascii="Courier New" w:hAnsi="Courier New" w:cs="Courier New"/>
          <w:sz w:val="24"/>
          <w:szCs w:val="24"/>
        </w:rPr>
        <w:t xml:space="preserve">supported by the testimony </w:t>
      </w:r>
      <w:r w:rsidR="00A56CB2">
        <w:rPr>
          <w:rFonts w:ascii="Courier New" w:hAnsi="Courier New" w:cs="Courier New"/>
          <w:sz w:val="24"/>
          <w:szCs w:val="24"/>
        </w:rPr>
        <w:t xml:space="preserve">of a qualified </w:t>
      </w:r>
      <w:r w:rsidR="009E2C36">
        <w:rPr>
          <w:rFonts w:ascii="Courier New" w:hAnsi="Courier New" w:cs="Courier New"/>
          <w:sz w:val="24"/>
          <w:szCs w:val="24"/>
        </w:rPr>
        <w:lastRenderedPageBreak/>
        <w:t>engineer</w:t>
      </w:r>
      <w:r w:rsidR="006C25E6">
        <w:rPr>
          <w:rFonts w:ascii="Courier New" w:hAnsi="Courier New" w:cs="Courier New"/>
          <w:sz w:val="24"/>
          <w:szCs w:val="24"/>
        </w:rPr>
        <w:t>, architect,</w:t>
      </w:r>
      <w:r w:rsidR="009E2C36">
        <w:rPr>
          <w:rFonts w:ascii="Courier New" w:hAnsi="Courier New" w:cs="Courier New"/>
          <w:sz w:val="24"/>
          <w:szCs w:val="24"/>
        </w:rPr>
        <w:t xml:space="preserve"> or construction manager</w:t>
      </w:r>
      <w:r w:rsidR="006C25E6">
        <w:rPr>
          <w:rFonts w:ascii="Courier New" w:hAnsi="Courier New" w:cs="Courier New"/>
          <w:sz w:val="24"/>
          <w:szCs w:val="24"/>
        </w:rPr>
        <w:t xml:space="preserve">.  Ms. Bulkley is none of </w:t>
      </w:r>
      <w:r w:rsidR="00F06E54">
        <w:rPr>
          <w:rFonts w:ascii="Courier New" w:hAnsi="Courier New" w:cs="Courier New"/>
          <w:sz w:val="24"/>
          <w:szCs w:val="24"/>
        </w:rPr>
        <w:t>those</w:t>
      </w:r>
      <w:r w:rsidR="006C25E6">
        <w:rPr>
          <w:rFonts w:ascii="Courier New" w:hAnsi="Courier New" w:cs="Courier New"/>
          <w:sz w:val="24"/>
          <w:szCs w:val="24"/>
        </w:rPr>
        <w:t>, nor was her report supported by the testimony of such a professional</w:t>
      </w:r>
      <w:r w:rsidR="009E2C36">
        <w:rPr>
          <w:rFonts w:ascii="Courier New" w:hAnsi="Courier New" w:cs="Courier New"/>
          <w:sz w:val="24"/>
          <w:szCs w:val="24"/>
        </w:rPr>
        <w:t xml:space="preserve">.  </w:t>
      </w:r>
      <w:r w:rsidR="006C25E6">
        <w:rPr>
          <w:rFonts w:ascii="Courier New" w:hAnsi="Courier New" w:cs="Courier New"/>
          <w:sz w:val="24"/>
          <w:szCs w:val="24"/>
        </w:rPr>
        <w:t>Moreover</w:t>
      </w:r>
      <w:r w:rsidR="00D83A81">
        <w:rPr>
          <w:rFonts w:ascii="Courier New" w:hAnsi="Courier New" w:cs="Courier New"/>
          <w:sz w:val="24"/>
          <w:szCs w:val="24"/>
        </w:rPr>
        <w:t>,</w:t>
      </w:r>
      <w:r w:rsidR="006C25E6">
        <w:rPr>
          <w:rFonts w:ascii="Courier New" w:hAnsi="Courier New" w:cs="Courier New"/>
          <w:sz w:val="24"/>
          <w:szCs w:val="24"/>
        </w:rPr>
        <w:t xml:space="preserve"> her replacement-cost analysis was premised on the “cost to construct a new natural gas-fired combined cycle facility with the same capacity” as the subject property.  In other words, it was premised on an entirely different type of</w:t>
      </w:r>
      <w:r w:rsidR="00A56CB2">
        <w:rPr>
          <w:rFonts w:ascii="Courier New" w:hAnsi="Courier New" w:cs="Courier New"/>
          <w:sz w:val="24"/>
          <w:szCs w:val="24"/>
        </w:rPr>
        <w:t xml:space="preserve"> generating facility than hydroelectric, which appeared</w:t>
      </w:r>
      <w:r w:rsidR="006C25E6">
        <w:rPr>
          <w:rFonts w:ascii="Courier New" w:hAnsi="Courier New" w:cs="Courier New"/>
          <w:sz w:val="24"/>
          <w:szCs w:val="24"/>
        </w:rPr>
        <w:t xml:space="preserve"> to be at odds with Ms. Bulk</w:t>
      </w:r>
      <w:r w:rsidR="00171CB7">
        <w:rPr>
          <w:rFonts w:ascii="Courier New" w:hAnsi="Courier New" w:cs="Courier New"/>
          <w:sz w:val="24"/>
          <w:szCs w:val="24"/>
        </w:rPr>
        <w:t xml:space="preserve">ley’s conclusions as to highest and </w:t>
      </w:r>
      <w:r w:rsidR="006C25E6">
        <w:rPr>
          <w:rFonts w:ascii="Courier New" w:hAnsi="Courier New" w:cs="Courier New"/>
          <w:sz w:val="24"/>
          <w:szCs w:val="24"/>
        </w:rPr>
        <w:t xml:space="preserve">best use.  </w:t>
      </w:r>
      <w:r w:rsidR="00DB1830">
        <w:rPr>
          <w:rFonts w:ascii="Courier New" w:hAnsi="Courier New" w:cs="Courier New"/>
          <w:sz w:val="24"/>
          <w:szCs w:val="24"/>
        </w:rPr>
        <w:t>Because it was premised on the construction of an entirely different type of generating facility than the subject property, and because it lacked the requisite supporting testimony of a qualified engineer, architect</w:t>
      </w:r>
      <w:r w:rsidR="00D83A81">
        <w:rPr>
          <w:rFonts w:ascii="Courier New" w:hAnsi="Courier New" w:cs="Courier New"/>
          <w:sz w:val="24"/>
          <w:szCs w:val="24"/>
        </w:rPr>
        <w:t>,</w:t>
      </w:r>
      <w:r w:rsidR="00DB1830">
        <w:rPr>
          <w:rFonts w:ascii="Courier New" w:hAnsi="Courier New" w:cs="Courier New"/>
          <w:sz w:val="24"/>
          <w:szCs w:val="24"/>
        </w:rPr>
        <w:t xml:space="preserve"> or construction manager</w:t>
      </w:r>
      <w:r w:rsidR="006C25E6">
        <w:rPr>
          <w:rFonts w:ascii="Courier New" w:hAnsi="Courier New" w:cs="Courier New"/>
          <w:sz w:val="24"/>
          <w:szCs w:val="24"/>
        </w:rPr>
        <w:t xml:space="preserve">, </w:t>
      </w:r>
      <w:r w:rsidR="00C522E5">
        <w:rPr>
          <w:rFonts w:ascii="Courier New" w:hAnsi="Courier New" w:cs="Courier New"/>
          <w:sz w:val="24"/>
          <w:szCs w:val="24"/>
        </w:rPr>
        <w:t xml:space="preserve">the Board found that </w:t>
      </w:r>
      <w:r w:rsidR="00D83A81">
        <w:rPr>
          <w:rFonts w:ascii="Courier New" w:hAnsi="Courier New" w:cs="Courier New"/>
          <w:sz w:val="24"/>
          <w:szCs w:val="24"/>
        </w:rPr>
        <w:t>the replacement-cost analysis</w:t>
      </w:r>
      <w:r w:rsidR="00C522E5">
        <w:rPr>
          <w:rFonts w:ascii="Courier New" w:hAnsi="Courier New" w:cs="Courier New"/>
          <w:sz w:val="24"/>
          <w:szCs w:val="24"/>
        </w:rPr>
        <w:t xml:space="preserve"> did not provide a reliable or persuasive indication of the sub</w:t>
      </w:r>
      <w:r w:rsidR="004B0B87">
        <w:rPr>
          <w:rFonts w:ascii="Courier New" w:hAnsi="Courier New" w:cs="Courier New"/>
          <w:sz w:val="24"/>
          <w:szCs w:val="24"/>
        </w:rPr>
        <w:t xml:space="preserve">ject property’s fair cash value, as it was based in large part on the type of hearsay that was beyond the scope of </w:t>
      </w:r>
      <w:r w:rsidR="00D83A81">
        <w:rPr>
          <w:rFonts w:ascii="Courier New" w:hAnsi="Courier New" w:cs="Courier New"/>
          <w:sz w:val="24"/>
          <w:szCs w:val="24"/>
        </w:rPr>
        <w:t>Ms. Bulkley’s</w:t>
      </w:r>
      <w:r w:rsidR="004B0B87">
        <w:rPr>
          <w:rFonts w:ascii="Courier New" w:hAnsi="Courier New" w:cs="Courier New"/>
          <w:sz w:val="24"/>
          <w:szCs w:val="24"/>
        </w:rPr>
        <w:t xml:space="preserve"> qualifications.  </w:t>
      </w:r>
      <w:r w:rsidR="00C522E5">
        <w:rPr>
          <w:rFonts w:ascii="Courier New" w:hAnsi="Courier New" w:cs="Courier New"/>
          <w:sz w:val="24"/>
          <w:szCs w:val="24"/>
        </w:rPr>
        <w:t xml:space="preserve">Accordingly, </w:t>
      </w:r>
      <w:r w:rsidR="006C25E6">
        <w:rPr>
          <w:rFonts w:ascii="Courier New" w:hAnsi="Courier New" w:cs="Courier New"/>
          <w:sz w:val="24"/>
          <w:szCs w:val="24"/>
        </w:rPr>
        <w:t xml:space="preserve">the Board placed no weight on Ms. Bulkley’s replacement-cost analysis.  </w:t>
      </w:r>
    </w:p>
    <w:p w:rsidR="00CD47EE" w:rsidRDefault="009E2C36"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Board similarly rejected Ms. Bulkley’s DCF approach.  The Board has consistentl</w:t>
      </w:r>
      <w:r w:rsidR="00F06E54">
        <w:rPr>
          <w:rFonts w:ascii="Courier New" w:hAnsi="Courier New" w:cs="Courier New"/>
          <w:sz w:val="24"/>
          <w:szCs w:val="24"/>
        </w:rPr>
        <w:t>y considered the DCF approach to be</w:t>
      </w:r>
      <w:r>
        <w:rPr>
          <w:rFonts w:ascii="Courier New" w:hAnsi="Courier New" w:cs="Courier New"/>
          <w:sz w:val="24"/>
          <w:szCs w:val="24"/>
        </w:rPr>
        <w:t xml:space="preserve"> an unsuitable methodology for valuing property for </w:t>
      </w:r>
      <w:r w:rsidRPr="009E2C36">
        <w:rPr>
          <w:rFonts w:ascii="Courier New" w:hAnsi="Courier New" w:cs="Courier New"/>
          <w:i/>
          <w:sz w:val="24"/>
          <w:szCs w:val="24"/>
        </w:rPr>
        <w:t>ad valorem</w:t>
      </w:r>
      <w:r>
        <w:rPr>
          <w:rFonts w:ascii="Courier New" w:hAnsi="Courier New" w:cs="Courier New"/>
          <w:sz w:val="24"/>
          <w:szCs w:val="24"/>
        </w:rPr>
        <w:t xml:space="preserve"> tax purp</w:t>
      </w:r>
      <w:r w:rsidR="00DE16A8">
        <w:rPr>
          <w:rFonts w:ascii="Courier New" w:hAnsi="Courier New" w:cs="Courier New"/>
          <w:sz w:val="24"/>
          <w:szCs w:val="24"/>
        </w:rPr>
        <w:t xml:space="preserve">oses, and it did so again here, for numerous reasons.  First, </w:t>
      </w:r>
      <w:r w:rsidR="00115D8A">
        <w:rPr>
          <w:rFonts w:ascii="Courier New" w:hAnsi="Courier New" w:cs="Courier New"/>
          <w:sz w:val="24"/>
          <w:szCs w:val="24"/>
        </w:rPr>
        <w:t xml:space="preserve">Ms. Bulkley’s DCF analysis projected an income stream for </w:t>
      </w:r>
      <w:r w:rsidR="00115D8A">
        <w:rPr>
          <w:rFonts w:ascii="Courier New" w:hAnsi="Courier New" w:cs="Courier New"/>
          <w:sz w:val="24"/>
          <w:szCs w:val="24"/>
        </w:rPr>
        <w:lastRenderedPageBreak/>
        <w:t xml:space="preserve">the subject </w:t>
      </w:r>
      <w:r w:rsidR="00DE16A8">
        <w:rPr>
          <w:rFonts w:ascii="Courier New" w:hAnsi="Courier New" w:cs="Courier New"/>
          <w:sz w:val="24"/>
          <w:szCs w:val="24"/>
        </w:rPr>
        <w:t xml:space="preserve">property 20 years into the future, </w:t>
      </w:r>
      <w:r w:rsidR="004172EF">
        <w:rPr>
          <w:rFonts w:ascii="Courier New" w:hAnsi="Courier New" w:cs="Courier New"/>
          <w:sz w:val="24"/>
          <w:szCs w:val="24"/>
        </w:rPr>
        <w:t xml:space="preserve">and it </w:t>
      </w:r>
      <w:r w:rsidR="00115D8A">
        <w:rPr>
          <w:rFonts w:ascii="Courier New" w:hAnsi="Courier New" w:cs="Courier New"/>
          <w:sz w:val="24"/>
          <w:szCs w:val="24"/>
        </w:rPr>
        <w:t>even incorporated data projected from as far out as 45 years.  The Board found that the sheer</w:t>
      </w:r>
      <w:r w:rsidR="00DE16A8">
        <w:rPr>
          <w:rFonts w:ascii="Courier New" w:hAnsi="Courier New" w:cs="Courier New"/>
          <w:sz w:val="24"/>
          <w:szCs w:val="24"/>
        </w:rPr>
        <w:t xml:space="preserve"> length of this period rendered Ms.</w:t>
      </w:r>
      <w:r w:rsidR="005E2DF3">
        <w:rPr>
          <w:rFonts w:ascii="Courier New" w:hAnsi="Courier New" w:cs="Courier New"/>
          <w:sz w:val="24"/>
          <w:szCs w:val="24"/>
        </w:rPr>
        <w:t> </w:t>
      </w:r>
      <w:r w:rsidR="00DE16A8">
        <w:rPr>
          <w:rFonts w:ascii="Courier New" w:hAnsi="Courier New" w:cs="Courier New"/>
          <w:sz w:val="24"/>
          <w:szCs w:val="24"/>
        </w:rPr>
        <w:t>Bulkley’s analysis speculative and unrelia</w:t>
      </w:r>
      <w:r w:rsidR="004172EF">
        <w:rPr>
          <w:rFonts w:ascii="Courier New" w:hAnsi="Courier New" w:cs="Courier New"/>
          <w:sz w:val="24"/>
          <w:szCs w:val="24"/>
        </w:rPr>
        <w:t xml:space="preserve">ble.  </w:t>
      </w:r>
    </w:p>
    <w:p w:rsidR="009A130E" w:rsidRDefault="004172EF"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Second</w:t>
      </w:r>
      <w:r w:rsidR="00DE16A8">
        <w:rPr>
          <w:rFonts w:ascii="Courier New" w:hAnsi="Courier New" w:cs="Courier New"/>
          <w:sz w:val="24"/>
          <w:szCs w:val="24"/>
        </w:rPr>
        <w:t xml:space="preserve">, as there was ample evidence in the record that the operation of the subject property is impacted by a constellation of forces beyond its control, including the weather, government regulation, and developments and changes in energy technologies and sources, the Board concluded that the DCF analysis was an inappropriate methodology for determining the subject property’s fair cash value.  </w:t>
      </w:r>
    </w:p>
    <w:p w:rsidR="0058211A" w:rsidRDefault="009A130E"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Third, even assuming </w:t>
      </w:r>
      <w:r w:rsidRPr="009A130E">
        <w:rPr>
          <w:rFonts w:ascii="Courier New" w:hAnsi="Courier New" w:cs="Courier New"/>
          <w:i/>
          <w:sz w:val="24"/>
          <w:szCs w:val="24"/>
        </w:rPr>
        <w:t>arguendo</w:t>
      </w:r>
      <w:r w:rsidR="00E763E9">
        <w:rPr>
          <w:rFonts w:ascii="Courier New" w:hAnsi="Courier New" w:cs="Courier New"/>
          <w:sz w:val="24"/>
          <w:szCs w:val="24"/>
        </w:rPr>
        <w:t xml:space="preserve"> that it found the </w:t>
      </w:r>
      <w:r w:rsidR="005F53C2">
        <w:rPr>
          <w:rFonts w:ascii="Courier New" w:hAnsi="Courier New" w:cs="Courier New"/>
          <w:sz w:val="24"/>
          <w:szCs w:val="24"/>
        </w:rPr>
        <w:t>DCF methodology to be an</w:t>
      </w:r>
      <w:r>
        <w:rPr>
          <w:rFonts w:ascii="Courier New" w:hAnsi="Courier New" w:cs="Courier New"/>
          <w:sz w:val="24"/>
          <w:szCs w:val="24"/>
        </w:rPr>
        <w:t xml:space="preserve"> appropriate valuation methodology</w:t>
      </w:r>
      <w:r w:rsidR="00254D26">
        <w:rPr>
          <w:rFonts w:ascii="Courier New" w:hAnsi="Courier New" w:cs="Courier New"/>
          <w:sz w:val="24"/>
          <w:szCs w:val="24"/>
        </w:rPr>
        <w:t xml:space="preserve"> to determine a fair cash value for the subject property</w:t>
      </w:r>
      <w:r>
        <w:rPr>
          <w:rFonts w:ascii="Courier New" w:hAnsi="Courier New" w:cs="Courier New"/>
          <w:sz w:val="24"/>
          <w:szCs w:val="24"/>
        </w:rPr>
        <w:t xml:space="preserve">, </w:t>
      </w:r>
      <w:r w:rsidR="00254D26">
        <w:rPr>
          <w:rFonts w:ascii="Courier New" w:hAnsi="Courier New" w:cs="Courier New"/>
          <w:sz w:val="24"/>
          <w:szCs w:val="24"/>
        </w:rPr>
        <w:t xml:space="preserve">the Board found that </w:t>
      </w:r>
      <w:r>
        <w:rPr>
          <w:rFonts w:ascii="Courier New" w:hAnsi="Courier New" w:cs="Courier New"/>
          <w:sz w:val="24"/>
          <w:szCs w:val="24"/>
        </w:rPr>
        <w:t>Ms. Bulkley’s</w:t>
      </w:r>
      <w:r w:rsidR="00A45588">
        <w:rPr>
          <w:rFonts w:ascii="Courier New" w:hAnsi="Courier New" w:cs="Courier New"/>
          <w:sz w:val="24"/>
          <w:szCs w:val="24"/>
        </w:rPr>
        <w:t xml:space="preserve"> DCF analysis contained </w:t>
      </w:r>
      <w:r>
        <w:rPr>
          <w:rFonts w:ascii="Courier New" w:hAnsi="Courier New" w:cs="Courier New"/>
          <w:sz w:val="24"/>
          <w:szCs w:val="24"/>
        </w:rPr>
        <w:t>flaws that rendered</w:t>
      </w:r>
      <w:r w:rsidR="00A45588">
        <w:rPr>
          <w:rFonts w:ascii="Courier New" w:hAnsi="Courier New" w:cs="Courier New"/>
          <w:sz w:val="24"/>
          <w:szCs w:val="24"/>
        </w:rPr>
        <w:t xml:space="preserve"> it unreliable</w:t>
      </w:r>
      <w:r w:rsidR="00254D26">
        <w:rPr>
          <w:rFonts w:ascii="Courier New" w:hAnsi="Courier New" w:cs="Courier New"/>
          <w:sz w:val="24"/>
          <w:szCs w:val="24"/>
        </w:rPr>
        <w:t>, including elements of circ</w:t>
      </w:r>
      <w:r w:rsidR="00447A8A">
        <w:rPr>
          <w:rFonts w:ascii="Courier New" w:hAnsi="Courier New" w:cs="Courier New"/>
          <w:sz w:val="24"/>
          <w:szCs w:val="24"/>
        </w:rPr>
        <w:t xml:space="preserve">ularity.  </w:t>
      </w:r>
      <w:r w:rsidR="00D836FF">
        <w:rPr>
          <w:rFonts w:ascii="Courier New" w:hAnsi="Courier New" w:cs="Courier New"/>
          <w:sz w:val="24"/>
          <w:szCs w:val="24"/>
        </w:rPr>
        <w:t>Moreover, Ms. Bu</w:t>
      </w:r>
      <w:r w:rsidR="0015353B">
        <w:rPr>
          <w:rFonts w:ascii="Courier New" w:hAnsi="Courier New" w:cs="Courier New"/>
          <w:sz w:val="24"/>
          <w:szCs w:val="24"/>
        </w:rPr>
        <w:t>l</w:t>
      </w:r>
      <w:r w:rsidR="00D836FF">
        <w:rPr>
          <w:rFonts w:ascii="Courier New" w:hAnsi="Courier New" w:cs="Courier New"/>
          <w:sz w:val="24"/>
          <w:szCs w:val="24"/>
        </w:rPr>
        <w:t xml:space="preserve">kley deducted the actual property taxes as an expense, rather than accounting for them as a factor in the rate, and in doing so improperly incorporated into her analysis the very values that are in dispute in these appeals.  </w:t>
      </w:r>
      <w:r w:rsidR="0058211A">
        <w:rPr>
          <w:rFonts w:ascii="Courier New" w:hAnsi="Courier New" w:cs="Courier New"/>
          <w:sz w:val="24"/>
          <w:szCs w:val="24"/>
        </w:rPr>
        <w:t xml:space="preserve">For all of these reasons, the Board placed no weight on Ms. Bulkley’s DCF analysis. </w:t>
      </w:r>
    </w:p>
    <w:p w:rsidR="00DE16A8" w:rsidRDefault="0058211A"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Although </w:t>
      </w:r>
      <w:r w:rsidR="00A45588">
        <w:rPr>
          <w:rFonts w:ascii="Courier New" w:hAnsi="Courier New" w:cs="Courier New"/>
          <w:sz w:val="24"/>
          <w:szCs w:val="24"/>
        </w:rPr>
        <w:t>the direct</w:t>
      </w:r>
      <w:r w:rsidR="00BD0671">
        <w:rPr>
          <w:rFonts w:ascii="Courier New" w:hAnsi="Courier New" w:cs="Courier New"/>
          <w:sz w:val="24"/>
          <w:szCs w:val="24"/>
        </w:rPr>
        <w:t>-capitalization</w:t>
      </w:r>
      <w:r>
        <w:rPr>
          <w:rFonts w:ascii="Courier New" w:hAnsi="Courier New" w:cs="Courier New"/>
          <w:sz w:val="24"/>
          <w:szCs w:val="24"/>
        </w:rPr>
        <w:t xml:space="preserve"> approach </w:t>
      </w:r>
      <w:r w:rsidR="00A45588">
        <w:rPr>
          <w:rFonts w:ascii="Courier New" w:hAnsi="Courier New" w:cs="Courier New"/>
          <w:sz w:val="24"/>
          <w:szCs w:val="24"/>
        </w:rPr>
        <w:t>is often relied upon to determine the value of income-producing prop</w:t>
      </w:r>
      <w:r w:rsidR="00AE2B6F">
        <w:rPr>
          <w:rFonts w:ascii="Courier New" w:hAnsi="Courier New" w:cs="Courier New"/>
          <w:sz w:val="24"/>
          <w:szCs w:val="24"/>
        </w:rPr>
        <w:t>erties</w:t>
      </w:r>
      <w:r w:rsidR="00A45588">
        <w:rPr>
          <w:rFonts w:ascii="Courier New" w:hAnsi="Courier New" w:cs="Courier New"/>
          <w:sz w:val="24"/>
          <w:szCs w:val="24"/>
        </w:rPr>
        <w:t xml:space="preserve">, the </w:t>
      </w:r>
      <w:r w:rsidR="00A45588">
        <w:rPr>
          <w:rFonts w:ascii="Courier New" w:hAnsi="Courier New" w:cs="Courier New"/>
          <w:sz w:val="24"/>
          <w:szCs w:val="24"/>
        </w:rPr>
        <w:lastRenderedPageBreak/>
        <w:t xml:space="preserve">Board did not place weight on Ms. Bulkley’s </w:t>
      </w:r>
      <w:r w:rsidR="00D83A81">
        <w:rPr>
          <w:rFonts w:ascii="Courier New" w:hAnsi="Courier New" w:cs="Courier New"/>
          <w:sz w:val="24"/>
          <w:szCs w:val="24"/>
        </w:rPr>
        <w:t>direct-capitalization</w:t>
      </w:r>
      <w:r w:rsidR="00745FB3">
        <w:rPr>
          <w:rFonts w:ascii="Courier New" w:hAnsi="Courier New" w:cs="Courier New"/>
          <w:sz w:val="24"/>
          <w:szCs w:val="24"/>
        </w:rPr>
        <w:t xml:space="preserve"> analysis</w:t>
      </w:r>
      <w:r w:rsidR="00B42D02">
        <w:rPr>
          <w:rFonts w:ascii="Courier New" w:hAnsi="Courier New" w:cs="Courier New"/>
          <w:sz w:val="24"/>
          <w:szCs w:val="24"/>
        </w:rPr>
        <w:t xml:space="preserve"> either</w:t>
      </w:r>
      <w:r w:rsidR="00745FB3">
        <w:rPr>
          <w:rFonts w:ascii="Courier New" w:hAnsi="Courier New" w:cs="Courier New"/>
          <w:sz w:val="24"/>
          <w:szCs w:val="24"/>
        </w:rPr>
        <w:t>.  That analysis, which was limited to one single paragraph within her appraisal report, consisted o</w:t>
      </w:r>
      <w:r w:rsidR="00A56CB2">
        <w:rPr>
          <w:rFonts w:ascii="Courier New" w:hAnsi="Courier New" w:cs="Courier New"/>
          <w:sz w:val="24"/>
          <w:szCs w:val="24"/>
        </w:rPr>
        <w:t xml:space="preserve">f applying a capitalization rate, which was the discount rate </w:t>
      </w:r>
      <w:r w:rsidR="00745FB3">
        <w:rPr>
          <w:rFonts w:ascii="Courier New" w:hAnsi="Courier New" w:cs="Courier New"/>
          <w:sz w:val="24"/>
          <w:szCs w:val="24"/>
        </w:rPr>
        <w:t>developed through her DCF approach</w:t>
      </w:r>
      <w:r w:rsidR="00A56CB2">
        <w:rPr>
          <w:rFonts w:ascii="Courier New" w:hAnsi="Courier New" w:cs="Courier New"/>
          <w:sz w:val="24"/>
          <w:szCs w:val="24"/>
        </w:rPr>
        <w:t>,</w:t>
      </w:r>
      <w:r w:rsidR="00745FB3">
        <w:rPr>
          <w:rFonts w:ascii="Courier New" w:hAnsi="Courier New" w:cs="Courier New"/>
          <w:sz w:val="24"/>
          <w:szCs w:val="24"/>
        </w:rPr>
        <w:t xml:space="preserve"> to an annual income, to arrive at an estimated value of $</w:t>
      </w:r>
      <w:r w:rsidR="00B42D02">
        <w:rPr>
          <w:rFonts w:ascii="Courier New" w:hAnsi="Courier New" w:cs="Courier New"/>
          <w:sz w:val="24"/>
          <w:szCs w:val="24"/>
        </w:rPr>
        <w:t>95,385,881.  As Ms.</w:t>
      </w:r>
      <w:r w:rsidR="005E2DF3">
        <w:rPr>
          <w:rFonts w:ascii="Courier New" w:hAnsi="Courier New" w:cs="Courier New"/>
          <w:sz w:val="24"/>
          <w:szCs w:val="24"/>
        </w:rPr>
        <w:t> </w:t>
      </w:r>
      <w:r w:rsidR="00B42D02">
        <w:rPr>
          <w:rFonts w:ascii="Courier New" w:hAnsi="Courier New" w:cs="Courier New"/>
          <w:sz w:val="24"/>
          <w:szCs w:val="24"/>
        </w:rPr>
        <w:t xml:space="preserve">Bulkley’s </w:t>
      </w:r>
      <w:r w:rsidR="00D83A81">
        <w:rPr>
          <w:rFonts w:ascii="Courier New" w:hAnsi="Courier New" w:cs="Courier New"/>
          <w:sz w:val="24"/>
          <w:szCs w:val="24"/>
        </w:rPr>
        <w:t>direct-capitalization</w:t>
      </w:r>
      <w:r w:rsidR="00B42D02">
        <w:rPr>
          <w:rFonts w:ascii="Courier New" w:hAnsi="Courier New" w:cs="Courier New"/>
          <w:sz w:val="24"/>
          <w:szCs w:val="24"/>
        </w:rPr>
        <w:t xml:space="preserve"> analysis incorporated many of the same elements already dismissed by the Board as flawed or unreliable in her DCF approach, </w:t>
      </w:r>
      <w:r w:rsidR="00AE2B6F">
        <w:rPr>
          <w:rFonts w:ascii="Courier New" w:hAnsi="Courier New" w:cs="Courier New"/>
          <w:sz w:val="24"/>
          <w:szCs w:val="24"/>
        </w:rPr>
        <w:t xml:space="preserve">and further lacked adequate explanation and support, </w:t>
      </w:r>
      <w:r w:rsidR="00B42D02">
        <w:rPr>
          <w:rFonts w:ascii="Courier New" w:hAnsi="Courier New" w:cs="Courier New"/>
          <w:sz w:val="24"/>
          <w:szCs w:val="24"/>
        </w:rPr>
        <w:t xml:space="preserve">the Board similarly rejected her </w:t>
      </w:r>
      <w:r w:rsidR="000C6B0F">
        <w:rPr>
          <w:rFonts w:ascii="Courier New" w:hAnsi="Courier New" w:cs="Courier New"/>
          <w:sz w:val="24"/>
          <w:szCs w:val="24"/>
        </w:rPr>
        <w:t>direct-capitalization</w:t>
      </w:r>
      <w:r w:rsidR="00B42D02">
        <w:rPr>
          <w:rFonts w:ascii="Courier New" w:hAnsi="Courier New" w:cs="Courier New"/>
          <w:sz w:val="24"/>
          <w:szCs w:val="24"/>
        </w:rPr>
        <w:t xml:space="preserve"> analysis.  </w:t>
      </w:r>
    </w:p>
    <w:p w:rsidR="009106F5" w:rsidRPr="009E2C36" w:rsidRDefault="009106F5" w:rsidP="00A76A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In conclusion, the Board found that the valuation evidence offered by the appellant was neither persuasive nor reliable, and it therefore found that the appellant failed to meet its burden of demonstrating that the assessed value of the subject property exceeded its fair cash value for the fiscal year at issue. Accordingly, the Board </w:t>
      </w:r>
      <w:r w:rsidR="00AE2B6F">
        <w:rPr>
          <w:rFonts w:ascii="Courier New" w:hAnsi="Courier New" w:cs="Courier New"/>
          <w:sz w:val="24"/>
          <w:szCs w:val="24"/>
        </w:rPr>
        <w:t xml:space="preserve">decided these appeals for the appellees.  </w:t>
      </w:r>
    </w:p>
    <w:p w:rsidR="00C52026" w:rsidRPr="0031753A" w:rsidRDefault="00C52026" w:rsidP="00A76A5D">
      <w:pPr>
        <w:pStyle w:val="ListParagraph"/>
        <w:spacing w:line="480" w:lineRule="auto"/>
        <w:ind w:left="2880" w:firstLine="720"/>
        <w:jc w:val="both"/>
        <w:rPr>
          <w:rFonts w:ascii="Courier New" w:hAnsi="Courier New" w:cs="Courier New"/>
          <w:b/>
          <w:sz w:val="24"/>
          <w:szCs w:val="24"/>
        </w:rPr>
      </w:pPr>
      <w:r>
        <w:rPr>
          <w:rFonts w:ascii="Courier New" w:hAnsi="Courier New" w:cs="Courier New"/>
          <w:b/>
          <w:sz w:val="24"/>
          <w:szCs w:val="24"/>
        </w:rPr>
        <w:t xml:space="preserve">   OPINION</w:t>
      </w:r>
    </w:p>
    <w:p w:rsidR="008E1DAF" w:rsidRPr="008E1DAF" w:rsidRDefault="008E1DAF" w:rsidP="00A76A5D">
      <w:pPr>
        <w:spacing w:after="0" w:line="480" w:lineRule="auto"/>
        <w:ind w:firstLine="720"/>
        <w:contextualSpacing/>
        <w:jc w:val="both"/>
        <w:rPr>
          <w:rFonts w:ascii="Courier New" w:eastAsia="Times New Roman" w:hAnsi="Courier New"/>
          <w:sz w:val="24"/>
          <w:szCs w:val="20"/>
        </w:rPr>
      </w:pPr>
      <w:r w:rsidRPr="008E1DAF">
        <w:rPr>
          <w:rFonts w:ascii="Courier New" w:eastAsia="Times New Roman" w:hAnsi="Courier New"/>
          <w:sz w:val="24"/>
          <w:szCs w:val="20"/>
        </w:rPr>
        <w:t>The assessors are</w:t>
      </w:r>
      <w:r w:rsidR="00735A10">
        <w:rPr>
          <w:rFonts w:ascii="Courier New" w:eastAsia="Times New Roman" w:hAnsi="Courier New"/>
          <w:sz w:val="24"/>
          <w:szCs w:val="20"/>
        </w:rPr>
        <w:t xml:space="preserve"> required to assess property </w:t>
      </w:r>
      <w:r w:rsidRPr="008E1DAF">
        <w:rPr>
          <w:rFonts w:ascii="Courier New" w:eastAsia="Times New Roman" w:hAnsi="Courier New"/>
          <w:sz w:val="24"/>
          <w:szCs w:val="20"/>
        </w:rPr>
        <w:t>at its fair cash value. G.L. c. 59,</w:t>
      </w:r>
      <w:r w:rsidR="00735A10" w:rsidRPr="00735A10">
        <w:rPr>
          <w:rFonts w:ascii="Courier New" w:eastAsia="Times New Roman" w:hAnsi="Courier New"/>
          <w:sz w:val="24"/>
          <w:szCs w:val="20"/>
        </w:rPr>
        <w:t xml:space="preserve"> </w:t>
      </w:r>
      <w:r w:rsidR="00735A10" w:rsidRPr="008E1DAF">
        <w:rPr>
          <w:rFonts w:ascii="Courier New" w:eastAsia="Times New Roman" w:hAnsi="Courier New"/>
          <w:sz w:val="24"/>
          <w:szCs w:val="20"/>
        </w:rPr>
        <w:t>§</w:t>
      </w:r>
      <w:r w:rsidRPr="008E1DAF">
        <w:rPr>
          <w:rFonts w:ascii="Courier New" w:eastAsia="Times New Roman" w:hAnsi="Courier New"/>
          <w:sz w:val="24"/>
          <w:szCs w:val="20"/>
        </w:rPr>
        <w:t xml:space="preserve"> 38.  Fair cash value is defined as the price on which a willing seller and a willing buyer will agree if both of them are fully informed and under no compulsion.  </w:t>
      </w:r>
      <w:r w:rsidRPr="008E1DAF">
        <w:rPr>
          <w:rFonts w:ascii="Courier New" w:eastAsia="Times New Roman" w:hAnsi="Courier New"/>
          <w:b/>
          <w:i/>
          <w:sz w:val="24"/>
          <w:szCs w:val="20"/>
        </w:rPr>
        <w:lastRenderedPageBreak/>
        <w:t>Boston Gas Co. v. Assessors of Boston,</w:t>
      </w:r>
      <w:r w:rsidRPr="008E1DAF">
        <w:rPr>
          <w:rFonts w:ascii="Courier New" w:eastAsia="Times New Roman" w:hAnsi="Courier New"/>
          <w:sz w:val="24"/>
          <w:szCs w:val="20"/>
        </w:rPr>
        <w:t xml:space="preserve"> 334 Mass. 549, 566 (1956).  In determining fair cash value, all uses to which the property was or could reasonably be adapted on the relevant assessment dates should be considered.  </w:t>
      </w:r>
      <w:r w:rsidRPr="008E1DAF">
        <w:rPr>
          <w:rFonts w:ascii="Courier New" w:eastAsia="Times New Roman" w:hAnsi="Courier New"/>
          <w:b/>
          <w:i/>
          <w:sz w:val="24"/>
          <w:szCs w:val="20"/>
        </w:rPr>
        <w:t>Newton Girl Scout Council, Inc. v. Massachusetts Turnpike Auth</w:t>
      </w:r>
      <w:r w:rsidR="007A291D">
        <w:rPr>
          <w:rFonts w:ascii="Courier New" w:eastAsia="Times New Roman" w:hAnsi="Courier New"/>
          <w:b/>
          <w:i/>
          <w:sz w:val="24"/>
          <w:szCs w:val="20"/>
        </w:rPr>
        <w:t>orit</w:t>
      </w:r>
      <w:r w:rsidRPr="008E1DAF">
        <w:rPr>
          <w:rFonts w:ascii="Courier New" w:eastAsia="Times New Roman" w:hAnsi="Courier New"/>
          <w:b/>
          <w:i/>
          <w:sz w:val="24"/>
          <w:szCs w:val="20"/>
        </w:rPr>
        <w:t>y,</w:t>
      </w:r>
      <w:r w:rsidRPr="008E1DAF">
        <w:rPr>
          <w:rFonts w:ascii="Courier New" w:eastAsia="Times New Roman" w:hAnsi="Courier New"/>
          <w:sz w:val="24"/>
          <w:szCs w:val="20"/>
        </w:rPr>
        <w:t xml:space="preserve"> 335</w:t>
      </w:r>
      <w:r w:rsidR="005E2DF3">
        <w:rPr>
          <w:rFonts w:ascii="Courier New" w:eastAsia="Times New Roman" w:hAnsi="Courier New"/>
          <w:sz w:val="24"/>
          <w:szCs w:val="20"/>
        </w:rPr>
        <w:t> </w:t>
      </w:r>
      <w:r w:rsidRPr="008E1DAF">
        <w:rPr>
          <w:rFonts w:ascii="Courier New" w:eastAsia="Times New Roman" w:hAnsi="Courier New"/>
          <w:sz w:val="24"/>
          <w:szCs w:val="20"/>
        </w:rPr>
        <w:t xml:space="preserve">Mass. 189, 193 (1956); </w:t>
      </w:r>
      <w:r w:rsidRPr="008E1DAF">
        <w:rPr>
          <w:rFonts w:ascii="Courier New" w:eastAsia="Times New Roman" w:hAnsi="Courier New"/>
          <w:b/>
          <w:i/>
          <w:sz w:val="24"/>
          <w:szCs w:val="20"/>
        </w:rPr>
        <w:t>Irving Saunders Trust v. Assessors of Boston</w:t>
      </w:r>
      <w:r w:rsidRPr="008E1DAF">
        <w:rPr>
          <w:rFonts w:ascii="Courier New" w:eastAsia="Times New Roman" w:hAnsi="Courier New"/>
          <w:sz w:val="24"/>
          <w:szCs w:val="20"/>
        </w:rPr>
        <w:t xml:space="preserve">, 26 Mass. App. Ct. 838, 843 (1989).  The idea is to ascertain the maximum value of the property for any legitimate and reasonable use.  </w:t>
      </w:r>
      <w:r w:rsidRPr="008E1DAF">
        <w:rPr>
          <w:rFonts w:ascii="Courier New" w:eastAsia="Times New Roman" w:hAnsi="Courier New"/>
          <w:b/>
          <w:i/>
          <w:sz w:val="24"/>
          <w:szCs w:val="20"/>
        </w:rPr>
        <w:t>Id.</w:t>
      </w:r>
      <w:r w:rsidRPr="008E1DAF">
        <w:rPr>
          <w:rFonts w:ascii="Courier New" w:eastAsia="Times New Roman" w:hAnsi="Courier New"/>
          <w:sz w:val="24"/>
          <w:szCs w:val="20"/>
        </w:rPr>
        <w:t xml:space="preserve">  Based on the record, the Board found and ruled that </w:t>
      </w:r>
      <w:r w:rsidR="00171CB7">
        <w:rPr>
          <w:rFonts w:ascii="Courier New" w:eastAsia="Times New Roman" w:hAnsi="Courier New" w:cs="Courier New"/>
          <w:sz w:val="24"/>
          <w:szCs w:val="24"/>
        </w:rPr>
        <w:t xml:space="preserve">the highest and </w:t>
      </w:r>
      <w:r w:rsidR="00A02EA7">
        <w:rPr>
          <w:rFonts w:ascii="Courier New" w:eastAsia="Times New Roman" w:hAnsi="Courier New" w:cs="Courier New"/>
          <w:sz w:val="24"/>
          <w:szCs w:val="24"/>
        </w:rPr>
        <w:t>best use of the subject property w</w:t>
      </w:r>
      <w:r w:rsidR="002F4CCE">
        <w:rPr>
          <w:rFonts w:ascii="Courier New" w:eastAsia="Times New Roman" w:hAnsi="Courier New" w:cs="Courier New"/>
          <w:sz w:val="24"/>
          <w:szCs w:val="24"/>
        </w:rPr>
        <w:t>as its continued use as a hydro</w:t>
      </w:r>
      <w:r w:rsidR="00A02EA7">
        <w:rPr>
          <w:rFonts w:ascii="Courier New" w:eastAsia="Times New Roman" w:hAnsi="Courier New" w:cs="Courier New"/>
          <w:sz w:val="24"/>
          <w:szCs w:val="24"/>
        </w:rPr>
        <w:t>electri</w:t>
      </w:r>
      <w:r w:rsidR="006C6B4B">
        <w:rPr>
          <w:rFonts w:ascii="Courier New" w:eastAsia="Times New Roman" w:hAnsi="Courier New" w:cs="Courier New"/>
          <w:sz w:val="24"/>
          <w:szCs w:val="24"/>
        </w:rPr>
        <w:t xml:space="preserve">c generating facility, which accords with </w:t>
      </w:r>
      <w:r w:rsidR="00C543BE">
        <w:rPr>
          <w:rFonts w:ascii="Courier New" w:eastAsia="Times New Roman" w:hAnsi="Courier New" w:cs="Courier New"/>
          <w:sz w:val="24"/>
          <w:szCs w:val="24"/>
        </w:rPr>
        <w:t xml:space="preserve">its current use and </w:t>
      </w:r>
      <w:r w:rsidR="006C6B4B">
        <w:rPr>
          <w:rFonts w:ascii="Courier New" w:eastAsia="Times New Roman" w:hAnsi="Courier New" w:cs="Courier New"/>
          <w:sz w:val="24"/>
          <w:szCs w:val="24"/>
        </w:rPr>
        <w:t xml:space="preserve">the opinion of the appellant’s valuation expert. </w:t>
      </w:r>
    </w:p>
    <w:p w:rsidR="008E1DAF" w:rsidRPr="008E1DAF" w:rsidRDefault="008E1DAF" w:rsidP="00A76A5D">
      <w:pPr>
        <w:spacing w:after="0" w:line="480" w:lineRule="auto"/>
        <w:ind w:firstLine="720"/>
        <w:contextualSpacing/>
        <w:jc w:val="both"/>
        <w:rPr>
          <w:rFonts w:ascii="Courier New" w:eastAsia="Times New Roman" w:hAnsi="Courier New"/>
          <w:sz w:val="24"/>
          <w:szCs w:val="20"/>
        </w:rPr>
      </w:pPr>
      <w:r w:rsidRPr="008E1DAF">
        <w:rPr>
          <w:rFonts w:ascii="Courier New" w:eastAsia="Times New Roman" w:hAnsi="Courier New"/>
          <w:sz w:val="24"/>
          <w:szCs w:val="20"/>
        </w:rPr>
        <w:t xml:space="preserve">Generally, real estate valuation experts, the Massachusetts courts, and this Board rely upon three approaches to determine the fair cash value of property: income capitalization, sales comparison, and cost.  </w:t>
      </w:r>
      <w:r w:rsidRPr="008E1DAF">
        <w:rPr>
          <w:rFonts w:ascii="Courier New" w:eastAsia="Times New Roman" w:hAnsi="Courier New"/>
          <w:b/>
          <w:i/>
          <w:sz w:val="24"/>
          <w:szCs w:val="20"/>
        </w:rPr>
        <w:t>Correia v. New Bedford Redevelopment Authority,</w:t>
      </w:r>
      <w:r w:rsidRPr="008E1DAF">
        <w:rPr>
          <w:rFonts w:ascii="Courier New" w:eastAsia="Times New Roman" w:hAnsi="Courier New"/>
          <w:sz w:val="24"/>
          <w:szCs w:val="20"/>
        </w:rPr>
        <w:t xml:space="preserve"> 375 Mass. 360, 362 (1978).  “The [B]oard is not required to adopt any particular method of valuation.”  </w:t>
      </w:r>
      <w:r w:rsidRPr="008E1DAF">
        <w:rPr>
          <w:rFonts w:ascii="Courier New" w:eastAsia="Times New Roman" w:hAnsi="Courier New"/>
          <w:b/>
          <w:i/>
          <w:sz w:val="24"/>
          <w:szCs w:val="20"/>
        </w:rPr>
        <w:t>Pepsi-Cola Bottling Co. v. Assessors of Boston,</w:t>
      </w:r>
      <w:r w:rsidRPr="008E1DAF">
        <w:rPr>
          <w:rFonts w:ascii="Courier New" w:eastAsia="Times New Roman" w:hAnsi="Courier New"/>
          <w:sz w:val="24"/>
          <w:szCs w:val="20"/>
        </w:rPr>
        <w:t xml:space="preserve"> 397 Mass. 447, 449 (1986).  </w:t>
      </w:r>
    </w:p>
    <w:p w:rsidR="008E1DAF" w:rsidRPr="00CE203C" w:rsidRDefault="008E1DAF" w:rsidP="00A76A5D">
      <w:pPr>
        <w:spacing w:after="0" w:line="480" w:lineRule="auto"/>
        <w:ind w:firstLine="720"/>
        <w:contextualSpacing/>
        <w:jc w:val="both"/>
        <w:rPr>
          <w:rFonts w:ascii="Courier New" w:eastAsia="Times New Roman" w:hAnsi="Courier New"/>
          <w:sz w:val="24"/>
          <w:szCs w:val="20"/>
        </w:rPr>
      </w:pPr>
      <w:r w:rsidRPr="008E1DAF">
        <w:rPr>
          <w:rFonts w:ascii="Courier New" w:eastAsia="Times New Roman" w:hAnsi="Courier New"/>
          <w:sz w:val="24"/>
          <w:szCs w:val="20"/>
        </w:rPr>
        <w:t xml:space="preserve">In these appeals, the Board found and ruled that the sales-comparison approach was not an appropriate methodology to use to estimate the value of the subject property because there were </w:t>
      </w:r>
      <w:r w:rsidR="00976274">
        <w:rPr>
          <w:rFonts w:ascii="Courier New" w:eastAsia="Times New Roman" w:hAnsi="Courier New"/>
          <w:sz w:val="24"/>
          <w:szCs w:val="20"/>
        </w:rPr>
        <w:t xml:space="preserve">an </w:t>
      </w:r>
      <w:r w:rsidR="00976274">
        <w:rPr>
          <w:rFonts w:ascii="Courier New" w:eastAsia="Times New Roman" w:hAnsi="Courier New"/>
          <w:sz w:val="24"/>
          <w:szCs w:val="20"/>
        </w:rPr>
        <w:lastRenderedPageBreak/>
        <w:t>insufficient</w:t>
      </w:r>
      <w:r w:rsidRPr="008E1DAF">
        <w:rPr>
          <w:rFonts w:ascii="Courier New" w:eastAsia="Times New Roman" w:hAnsi="Courier New"/>
          <w:sz w:val="24"/>
          <w:szCs w:val="20"/>
        </w:rPr>
        <w:t xml:space="preserve"> </w:t>
      </w:r>
      <w:r w:rsidR="00976274">
        <w:rPr>
          <w:rFonts w:ascii="Courier New" w:eastAsia="Times New Roman" w:hAnsi="Courier New"/>
          <w:sz w:val="24"/>
          <w:szCs w:val="20"/>
        </w:rPr>
        <w:t xml:space="preserve">number of </w:t>
      </w:r>
      <w:r w:rsidRPr="008E1DAF">
        <w:rPr>
          <w:rFonts w:ascii="Courier New" w:eastAsia="Times New Roman" w:hAnsi="Courier New"/>
          <w:sz w:val="24"/>
          <w:szCs w:val="20"/>
        </w:rPr>
        <w:t xml:space="preserve">sales of comparable property to provide a reliable basis for comparison.  </w:t>
      </w:r>
      <w:r w:rsidR="00CE203C" w:rsidRPr="00CE203C">
        <w:rPr>
          <w:rFonts w:ascii="Courier New" w:eastAsia="Times New Roman" w:hAnsi="Courier New"/>
          <w:i/>
          <w:sz w:val="24"/>
          <w:szCs w:val="20"/>
        </w:rPr>
        <w:t xml:space="preserve">See </w:t>
      </w:r>
      <w:r w:rsidR="00CE203C">
        <w:rPr>
          <w:rFonts w:ascii="Courier New" w:eastAsia="Times New Roman" w:hAnsi="Courier New"/>
          <w:b/>
          <w:i/>
          <w:sz w:val="24"/>
          <w:szCs w:val="20"/>
        </w:rPr>
        <w:t xml:space="preserve">Arthur D. Little, Inc. v Assessors of Cambridge, </w:t>
      </w:r>
      <w:r w:rsidR="00CE203C">
        <w:rPr>
          <w:rFonts w:ascii="Courier New" w:eastAsia="Times New Roman" w:hAnsi="Courier New"/>
          <w:sz w:val="24"/>
          <w:szCs w:val="20"/>
        </w:rPr>
        <w:t xml:space="preserve">Mass. ATB Findings of Fact and Reports 2002-635, 652.  </w:t>
      </w:r>
    </w:p>
    <w:p w:rsidR="00033A80" w:rsidRPr="00DD1FED" w:rsidRDefault="00676701" w:rsidP="00A76A5D">
      <w:pPr>
        <w:spacing w:line="480" w:lineRule="auto"/>
        <w:ind w:firstLine="720"/>
        <w:contextualSpacing/>
        <w:jc w:val="both"/>
        <w:rPr>
          <w:rFonts w:ascii="Courier New" w:hAnsi="Courier New" w:cs="Courier New"/>
          <w:sz w:val="24"/>
          <w:szCs w:val="24"/>
        </w:rPr>
      </w:pPr>
      <w:r>
        <w:rPr>
          <w:rFonts w:ascii="Courier New" w:eastAsia="Times New Roman" w:hAnsi="Courier New"/>
          <w:sz w:val="24"/>
          <w:szCs w:val="20"/>
        </w:rPr>
        <w:t>The Board likewise decline</w:t>
      </w:r>
      <w:r w:rsidR="00033A80">
        <w:rPr>
          <w:rFonts w:ascii="Courier New" w:eastAsia="Times New Roman" w:hAnsi="Courier New"/>
          <w:sz w:val="24"/>
          <w:szCs w:val="20"/>
        </w:rPr>
        <w:t>d</w:t>
      </w:r>
      <w:r>
        <w:rPr>
          <w:rFonts w:ascii="Courier New" w:eastAsia="Times New Roman" w:hAnsi="Courier New"/>
          <w:sz w:val="24"/>
          <w:szCs w:val="20"/>
        </w:rPr>
        <w:t xml:space="preserve"> to place weight on Ms.</w:t>
      </w:r>
      <w:r w:rsidR="005E2DF3">
        <w:rPr>
          <w:rFonts w:ascii="Courier New" w:eastAsia="Times New Roman" w:hAnsi="Courier New"/>
          <w:sz w:val="24"/>
          <w:szCs w:val="20"/>
        </w:rPr>
        <w:t> </w:t>
      </w:r>
      <w:r>
        <w:rPr>
          <w:rFonts w:ascii="Courier New" w:eastAsia="Times New Roman" w:hAnsi="Courier New"/>
          <w:sz w:val="24"/>
          <w:szCs w:val="20"/>
        </w:rPr>
        <w:t>Bulkley’s replacement-cost analysis</w:t>
      </w:r>
      <w:r w:rsidR="00DD1FED">
        <w:rPr>
          <w:rFonts w:ascii="Courier New" w:eastAsia="Times New Roman" w:hAnsi="Courier New"/>
          <w:sz w:val="24"/>
          <w:szCs w:val="20"/>
        </w:rPr>
        <w:t xml:space="preserve">.  </w:t>
      </w:r>
      <w:r w:rsidR="008F7DB7" w:rsidRPr="008F7DB7">
        <w:rPr>
          <w:rFonts w:ascii="Courier New" w:hAnsi="Courier New" w:cs="Courier New"/>
          <w:sz w:val="24"/>
          <w:szCs w:val="24"/>
        </w:rPr>
        <w:t xml:space="preserve">“Courts and this Board have found and ruled consistently that only qualified engineers, architects, or contractors should present cost estimates in most circumstances.”  </w:t>
      </w:r>
      <w:r w:rsidR="008F7DB7" w:rsidRPr="008F7DB7">
        <w:rPr>
          <w:rFonts w:ascii="Courier New" w:hAnsi="Courier New" w:cs="Courier New"/>
          <w:b/>
          <w:bCs/>
          <w:i/>
          <w:iCs/>
          <w:sz w:val="24"/>
          <w:szCs w:val="24"/>
        </w:rPr>
        <w:t>Cnossen v. Assessors of Uxbridge,</w:t>
      </w:r>
      <w:r w:rsidR="008F7DB7" w:rsidRPr="008F7DB7">
        <w:rPr>
          <w:rFonts w:ascii="Courier New" w:hAnsi="Courier New" w:cs="Courier New"/>
          <w:sz w:val="24"/>
          <w:szCs w:val="24"/>
        </w:rPr>
        <w:t xml:space="preserve"> Mass. ATB Findings of Fact and Reports 2002-675,</w:t>
      </w:r>
      <w:r w:rsidR="008F7DB7" w:rsidRPr="008F7DB7">
        <w:rPr>
          <w:rFonts w:ascii="Courier New" w:hAnsi="Courier New" w:cs="Courier New"/>
          <w:b/>
          <w:i/>
          <w:sz w:val="24"/>
          <w:szCs w:val="24"/>
        </w:rPr>
        <w:t xml:space="preserve"> </w:t>
      </w:r>
      <w:r w:rsidR="008F7DB7" w:rsidRPr="008F7DB7">
        <w:rPr>
          <w:rFonts w:ascii="Courier New" w:hAnsi="Courier New" w:cs="Courier New"/>
          <w:sz w:val="24"/>
          <w:szCs w:val="24"/>
        </w:rPr>
        <w:t xml:space="preserve">690 (citing </w:t>
      </w:r>
      <w:r w:rsidR="008F7DB7" w:rsidRPr="008F7DB7">
        <w:rPr>
          <w:rFonts w:ascii="Courier New" w:hAnsi="Courier New" w:cs="Courier New"/>
          <w:b/>
          <w:bCs/>
          <w:i/>
          <w:iCs/>
          <w:sz w:val="24"/>
          <w:szCs w:val="24"/>
        </w:rPr>
        <w:t xml:space="preserve">Tiger v. Mystic River Bridge Authority, </w:t>
      </w:r>
      <w:r w:rsidR="008F7DB7" w:rsidRPr="008F7DB7">
        <w:rPr>
          <w:rFonts w:ascii="Courier New" w:hAnsi="Courier New" w:cs="Courier New"/>
          <w:sz w:val="24"/>
          <w:szCs w:val="24"/>
        </w:rPr>
        <w:t xml:space="preserve">329 Mass. 514, 519 (1952) and </w:t>
      </w:r>
      <w:r w:rsidR="008F7DB7" w:rsidRPr="008F7DB7">
        <w:rPr>
          <w:rFonts w:ascii="Courier New" w:hAnsi="Courier New" w:cs="Courier New"/>
          <w:b/>
          <w:bCs/>
          <w:i/>
          <w:iCs/>
          <w:sz w:val="24"/>
          <w:szCs w:val="24"/>
        </w:rPr>
        <w:t>Maryland Cup Corp. v. Assessors of Wilmington,</w:t>
      </w:r>
      <w:r w:rsidR="008F7DB7" w:rsidRPr="008F7DB7">
        <w:rPr>
          <w:rFonts w:ascii="Courier New" w:hAnsi="Courier New" w:cs="Courier New"/>
          <w:bCs/>
          <w:iCs/>
          <w:sz w:val="24"/>
          <w:szCs w:val="24"/>
        </w:rPr>
        <w:t xml:space="preserve"> Mass. ATB Findings of Fact and Reports 1988-169).</w:t>
      </w:r>
      <w:r w:rsidR="008F7DB7" w:rsidRPr="008F7DB7">
        <w:rPr>
          <w:rFonts w:ascii="Courier New" w:hAnsi="Courier New" w:cs="Courier New"/>
          <w:b/>
          <w:bCs/>
          <w:i/>
          <w:iCs/>
          <w:sz w:val="24"/>
          <w:szCs w:val="24"/>
        </w:rPr>
        <w:t xml:space="preserve">  </w:t>
      </w:r>
      <w:r w:rsidR="00DD1FED">
        <w:rPr>
          <w:rFonts w:ascii="Courier New" w:hAnsi="Courier New" w:cs="Courier New"/>
          <w:sz w:val="24"/>
          <w:szCs w:val="24"/>
        </w:rPr>
        <w:t xml:space="preserve">Ms. Bulkley </w:t>
      </w:r>
      <w:r w:rsidR="00C543BE">
        <w:rPr>
          <w:rFonts w:ascii="Courier New" w:hAnsi="Courier New" w:cs="Courier New"/>
          <w:sz w:val="24"/>
          <w:szCs w:val="24"/>
        </w:rPr>
        <w:t>is not an</w:t>
      </w:r>
      <w:r w:rsidR="008F7DB7" w:rsidRPr="008F7DB7">
        <w:rPr>
          <w:rFonts w:ascii="Courier New" w:hAnsi="Courier New" w:cs="Courier New"/>
          <w:sz w:val="24"/>
          <w:szCs w:val="24"/>
        </w:rPr>
        <w:t xml:space="preserve"> engineer, architect, or contractor.  The Board thus </w:t>
      </w:r>
      <w:r w:rsidR="00DD1FED">
        <w:rPr>
          <w:rFonts w:ascii="Courier New" w:hAnsi="Courier New" w:cs="Courier New"/>
          <w:sz w:val="24"/>
          <w:szCs w:val="24"/>
        </w:rPr>
        <w:t xml:space="preserve">found and ruled that she </w:t>
      </w:r>
      <w:r w:rsidR="008F7DB7" w:rsidRPr="008F7DB7">
        <w:rPr>
          <w:rFonts w:ascii="Courier New" w:hAnsi="Courier New" w:cs="Courier New"/>
          <w:sz w:val="24"/>
          <w:szCs w:val="24"/>
        </w:rPr>
        <w:t xml:space="preserve">was not competent to offer evidence of construction costs.  </w:t>
      </w:r>
      <w:r w:rsidR="008F7DB7" w:rsidRPr="008F7DB7">
        <w:rPr>
          <w:rFonts w:ascii="Courier New" w:hAnsi="Courier New" w:cs="Courier New"/>
          <w:i/>
          <w:iCs/>
          <w:sz w:val="24"/>
          <w:szCs w:val="24"/>
        </w:rPr>
        <w:t>See </w:t>
      </w:r>
      <w:r w:rsidR="008F7DB7" w:rsidRPr="008F7DB7">
        <w:rPr>
          <w:rFonts w:ascii="Courier New" w:hAnsi="Courier New" w:cs="Courier New"/>
          <w:b/>
          <w:bCs/>
          <w:i/>
          <w:iCs/>
          <w:sz w:val="24"/>
          <w:szCs w:val="24"/>
        </w:rPr>
        <w:t>Cnossen,</w:t>
      </w:r>
      <w:r w:rsidR="008F7DB7" w:rsidRPr="008F7DB7">
        <w:rPr>
          <w:rFonts w:ascii="Courier New" w:hAnsi="Courier New" w:cs="Courier New"/>
          <w:sz w:val="24"/>
          <w:szCs w:val="24"/>
        </w:rPr>
        <w:t xml:space="preserve"> Mass. ATB Findings of Fact and Reports at 2002-690 (finding that the witnesses’ lack of qualifications substantially diminished the probative value of their testimony relating to </w:t>
      </w:r>
      <w:r w:rsidR="00C543BE">
        <w:rPr>
          <w:rFonts w:ascii="Courier New" w:hAnsi="Courier New" w:cs="Courier New"/>
          <w:sz w:val="24"/>
          <w:szCs w:val="24"/>
        </w:rPr>
        <w:t xml:space="preserve">the </w:t>
      </w:r>
      <w:r w:rsidR="00DD1FED">
        <w:rPr>
          <w:rFonts w:ascii="Courier New" w:hAnsi="Courier New" w:cs="Courier New"/>
          <w:sz w:val="24"/>
          <w:szCs w:val="24"/>
        </w:rPr>
        <w:t xml:space="preserve">cost approach).  </w:t>
      </w:r>
      <w:r w:rsidR="00033A80">
        <w:rPr>
          <w:rFonts w:ascii="Courier New" w:hAnsi="Courier New" w:cs="Courier New"/>
          <w:sz w:val="24"/>
          <w:szCs w:val="24"/>
        </w:rPr>
        <w:t>Moreover her replacement-cost analysis was premised on the “cost to construct a new natural gas-fired combined cycle facility with the same capacity” as the subject property.  In other words, it was premised on an entirely different type of</w:t>
      </w:r>
      <w:r w:rsidR="00C543BE">
        <w:rPr>
          <w:rFonts w:ascii="Courier New" w:hAnsi="Courier New" w:cs="Courier New"/>
          <w:sz w:val="24"/>
          <w:szCs w:val="24"/>
        </w:rPr>
        <w:t xml:space="preserve"> generating facility than hydroelectric, which appeared</w:t>
      </w:r>
      <w:r w:rsidR="005D70F3">
        <w:rPr>
          <w:rFonts w:ascii="Courier New" w:hAnsi="Courier New" w:cs="Courier New"/>
          <w:sz w:val="24"/>
          <w:szCs w:val="24"/>
        </w:rPr>
        <w:t xml:space="preserve"> to be at odds with her own </w:t>
      </w:r>
      <w:r w:rsidR="00171CB7">
        <w:rPr>
          <w:rFonts w:ascii="Courier New" w:hAnsi="Courier New" w:cs="Courier New"/>
          <w:sz w:val="24"/>
          <w:szCs w:val="24"/>
        </w:rPr>
        <w:lastRenderedPageBreak/>
        <w:t xml:space="preserve">conclusions as to highest and </w:t>
      </w:r>
      <w:r w:rsidR="00033A80">
        <w:rPr>
          <w:rFonts w:ascii="Courier New" w:hAnsi="Courier New" w:cs="Courier New"/>
          <w:sz w:val="24"/>
          <w:szCs w:val="24"/>
        </w:rPr>
        <w:t xml:space="preserve">best use.  </w:t>
      </w:r>
      <w:r w:rsidR="0047046A">
        <w:rPr>
          <w:rFonts w:ascii="Courier New" w:hAnsi="Courier New" w:cs="Courier New"/>
          <w:sz w:val="24"/>
          <w:szCs w:val="24"/>
        </w:rPr>
        <w:t xml:space="preserve">For these reasons, the Board placed no weight on Ms. Bulkley’s replacement-cost analysis.  </w:t>
      </w:r>
      <w:r w:rsidR="00640B69">
        <w:rPr>
          <w:rFonts w:ascii="Courier New" w:hAnsi="Courier New" w:cs="Courier New"/>
          <w:sz w:val="24"/>
          <w:szCs w:val="24"/>
        </w:rPr>
        <w:t xml:space="preserve">  </w:t>
      </w:r>
    </w:p>
    <w:p w:rsidR="00944D30" w:rsidRPr="009E56AB" w:rsidRDefault="00635DB6" w:rsidP="00A76A5D">
      <w:pPr>
        <w:spacing w:after="120" w:line="480" w:lineRule="auto"/>
        <w:ind w:firstLine="720"/>
        <w:contextualSpacing/>
        <w:jc w:val="both"/>
        <w:rPr>
          <w:rFonts w:ascii="Courier New" w:eastAsia="Times New Roman" w:hAnsi="Courier New" w:cs="Courier New"/>
          <w:sz w:val="24"/>
          <w:szCs w:val="24"/>
        </w:rPr>
      </w:pPr>
      <w:r w:rsidRPr="00B32121">
        <w:rPr>
          <w:rFonts w:ascii="Courier New" w:hAnsi="Courier New"/>
          <w:sz w:val="24"/>
          <w:szCs w:val="24"/>
        </w:rPr>
        <w:t>A</w:t>
      </w:r>
      <w:r w:rsidR="005D61D2">
        <w:rPr>
          <w:rFonts w:ascii="Courier New" w:hAnsi="Courier New"/>
          <w:sz w:val="24"/>
          <w:szCs w:val="24"/>
        </w:rPr>
        <w:t xml:space="preserve">lthough Ms. Bulkley gave primary weight to the fair cash value obtained through her DCF analysis, the Board gave it no weight. </w:t>
      </w:r>
      <w:r w:rsidR="00944D30" w:rsidRPr="00436754">
        <w:rPr>
          <w:rFonts w:ascii="Courier New" w:eastAsia="Times New Roman" w:hAnsi="Courier New" w:cs="Courier New"/>
          <w:sz w:val="24"/>
          <w:szCs w:val="24"/>
        </w:rPr>
        <w:t xml:space="preserve">As an initial matter, the Board noted that typical forecast </w:t>
      </w:r>
      <w:r w:rsidR="00944D30">
        <w:rPr>
          <w:rFonts w:ascii="Courier New" w:eastAsia="Times New Roman" w:hAnsi="Courier New" w:cs="Courier New"/>
          <w:sz w:val="24"/>
          <w:szCs w:val="24"/>
        </w:rPr>
        <w:t>periods for DCF</w:t>
      </w:r>
      <w:r w:rsidR="00944D30" w:rsidRPr="00436754">
        <w:rPr>
          <w:rFonts w:ascii="Courier New" w:eastAsia="Times New Roman" w:hAnsi="Courier New" w:cs="Courier New"/>
          <w:sz w:val="24"/>
          <w:szCs w:val="24"/>
        </w:rPr>
        <w:t xml:space="preserve"> analyses rang</w:t>
      </w:r>
      <w:r w:rsidR="00953C0E">
        <w:rPr>
          <w:rFonts w:ascii="Courier New" w:eastAsia="Times New Roman" w:hAnsi="Courier New" w:cs="Courier New"/>
          <w:sz w:val="24"/>
          <w:szCs w:val="24"/>
        </w:rPr>
        <w:t>e from five to ten</w:t>
      </w:r>
      <w:r w:rsidR="00944D30">
        <w:rPr>
          <w:rFonts w:ascii="Courier New" w:eastAsia="Times New Roman" w:hAnsi="Courier New" w:cs="Courier New"/>
          <w:sz w:val="24"/>
          <w:szCs w:val="24"/>
        </w:rPr>
        <w:t xml:space="preserve"> years</w:t>
      </w:r>
      <w:r w:rsidR="00944D30" w:rsidRPr="00436754">
        <w:rPr>
          <w:rFonts w:ascii="Courier New" w:eastAsia="Times New Roman" w:hAnsi="Courier New" w:cs="Courier New"/>
          <w:sz w:val="24"/>
          <w:szCs w:val="24"/>
        </w:rPr>
        <w:t xml:space="preserve">.  </w:t>
      </w:r>
      <w:r w:rsidR="00944D30" w:rsidRPr="00436754">
        <w:rPr>
          <w:rFonts w:ascii="Courier New" w:eastAsia="Times New Roman" w:hAnsi="Courier New" w:cs="Courier New"/>
          <w:i/>
          <w:sz w:val="24"/>
          <w:szCs w:val="24"/>
        </w:rPr>
        <w:t xml:space="preserve">See generally </w:t>
      </w:r>
      <w:r w:rsidR="00944D30" w:rsidRPr="00436754">
        <w:rPr>
          <w:rFonts w:ascii="Courier New" w:eastAsia="Times New Roman" w:hAnsi="Courier New" w:cs="Courier New"/>
          <w:smallCaps/>
          <w:sz w:val="24"/>
          <w:szCs w:val="20"/>
        </w:rPr>
        <w:t xml:space="preserve">Appraisal Institute, the </w:t>
      </w:r>
      <w:r w:rsidR="00944D30">
        <w:rPr>
          <w:rFonts w:ascii="Courier New" w:eastAsia="Times New Roman" w:hAnsi="Courier New" w:cs="Courier New"/>
          <w:smallCaps/>
          <w:sz w:val="24"/>
          <w:szCs w:val="20"/>
        </w:rPr>
        <w:t>Appraisal of Real Estate 460 (14</w:t>
      </w:r>
      <w:r w:rsidR="00944D30" w:rsidRPr="00436754">
        <w:rPr>
          <w:rFonts w:ascii="Courier New" w:eastAsia="Times New Roman" w:hAnsi="Courier New" w:cs="Courier New"/>
          <w:sz w:val="24"/>
          <w:szCs w:val="20"/>
          <w:vertAlign w:val="superscript"/>
        </w:rPr>
        <w:t>th</w:t>
      </w:r>
      <w:r w:rsidR="00944D30" w:rsidRPr="00436754">
        <w:rPr>
          <w:rFonts w:ascii="Courier New" w:eastAsia="Times New Roman" w:hAnsi="Courier New" w:cs="Courier New"/>
          <w:sz w:val="24"/>
          <w:szCs w:val="20"/>
        </w:rPr>
        <w:t xml:space="preserve"> ed</w:t>
      </w:r>
      <w:r w:rsidR="00944D30">
        <w:rPr>
          <w:rFonts w:ascii="Courier New" w:eastAsia="Times New Roman" w:hAnsi="Courier New" w:cs="Courier New"/>
          <w:smallCaps/>
          <w:sz w:val="24"/>
          <w:szCs w:val="20"/>
        </w:rPr>
        <w:t>., 2013</w:t>
      </w:r>
      <w:r w:rsidR="00944D30" w:rsidRPr="00436754">
        <w:rPr>
          <w:rFonts w:ascii="Courier New" w:eastAsia="Times New Roman" w:hAnsi="Courier New" w:cs="Courier New"/>
          <w:smallCaps/>
          <w:sz w:val="24"/>
          <w:szCs w:val="20"/>
        </w:rPr>
        <w:t xml:space="preserve">).  </w:t>
      </w:r>
      <w:r w:rsidR="00944D30">
        <w:rPr>
          <w:rFonts w:ascii="Courier New" w:eastAsia="Times New Roman" w:hAnsi="Courier New" w:cs="Courier New"/>
          <w:sz w:val="24"/>
          <w:szCs w:val="24"/>
        </w:rPr>
        <w:t xml:space="preserve">The DCF analysis used by Ms. Bulkley featured a 20-year forecast period, and even incorporated elements based on projections as far out as 45 years, which periods far exceed the typical forecast periods. The Board found that this rendered her DCF approach all the more speculative and unreliable.  </w:t>
      </w:r>
      <w:r w:rsidR="00944D30" w:rsidRPr="009E56AB">
        <w:rPr>
          <w:rFonts w:ascii="Courier New" w:eastAsia="Times New Roman" w:hAnsi="Courier New" w:cs="Courier New"/>
          <w:i/>
          <w:sz w:val="24"/>
          <w:szCs w:val="24"/>
        </w:rPr>
        <w:t>See</w:t>
      </w:r>
      <w:r w:rsidR="00944D30">
        <w:rPr>
          <w:rFonts w:ascii="Courier New" w:eastAsia="Times New Roman" w:hAnsi="Courier New" w:cs="Courier New"/>
          <w:sz w:val="24"/>
          <w:szCs w:val="24"/>
        </w:rPr>
        <w:t xml:space="preserve"> </w:t>
      </w:r>
      <w:r w:rsidR="002F4CCE">
        <w:rPr>
          <w:rFonts w:ascii="Courier New" w:eastAsia="Times New Roman" w:hAnsi="Courier New" w:cs="Courier New"/>
          <w:b/>
          <w:i/>
          <w:sz w:val="24"/>
          <w:szCs w:val="24"/>
        </w:rPr>
        <w:t>Digital 55 Middlesex, LLC</w:t>
      </w:r>
      <w:r w:rsidR="00944D30">
        <w:rPr>
          <w:rFonts w:ascii="Courier New" w:eastAsia="Times New Roman" w:hAnsi="Courier New" w:cs="Courier New"/>
          <w:b/>
          <w:i/>
          <w:sz w:val="24"/>
          <w:szCs w:val="24"/>
        </w:rPr>
        <w:t xml:space="preserve"> v. Assessors of Billerica, </w:t>
      </w:r>
      <w:r w:rsidR="00944D30">
        <w:rPr>
          <w:rFonts w:ascii="Courier New" w:eastAsia="Times New Roman" w:hAnsi="Courier New" w:cs="Courier New"/>
          <w:sz w:val="24"/>
          <w:szCs w:val="24"/>
        </w:rPr>
        <w:t xml:space="preserve">Mass. ATB Findings of Fact and Reports 2017-415, 440.  </w:t>
      </w:r>
    </w:p>
    <w:p w:rsidR="00743A6F" w:rsidRPr="00B66679" w:rsidRDefault="00944D30" w:rsidP="00A76A5D">
      <w:pPr>
        <w:spacing w:after="120" w:line="480" w:lineRule="auto"/>
        <w:ind w:firstLine="720"/>
        <w:contextualSpacing/>
        <w:jc w:val="both"/>
        <w:rPr>
          <w:rFonts w:ascii="Courier New" w:eastAsia="Times New Roman" w:hAnsi="Courier New" w:cs="Courier New"/>
          <w:sz w:val="24"/>
          <w:szCs w:val="24"/>
        </w:rPr>
      </w:pPr>
      <w:r>
        <w:rPr>
          <w:rFonts w:ascii="Courier New" w:hAnsi="Courier New"/>
          <w:sz w:val="24"/>
          <w:szCs w:val="24"/>
        </w:rPr>
        <w:t xml:space="preserve">More importantly, however, </w:t>
      </w:r>
      <w:r w:rsidR="005855F6">
        <w:rPr>
          <w:rFonts w:ascii="Courier New" w:hAnsi="Courier New"/>
          <w:sz w:val="24"/>
          <w:szCs w:val="24"/>
        </w:rPr>
        <w:t>c</w:t>
      </w:r>
      <w:r w:rsidR="00743A6F">
        <w:rPr>
          <w:rFonts w:ascii="Courier New" w:hAnsi="Courier New"/>
          <w:sz w:val="24"/>
          <w:szCs w:val="24"/>
        </w:rPr>
        <w:t xml:space="preserve">ourts and this Board have </w:t>
      </w:r>
      <w:r w:rsidR="004B0B87">
        <w:rPr>
          <w:rFonts w:ascii="Courier New" w:hAnsi="Courier New"/>
          <w:sz w:val="24"/>
          <w:szCs w:val="24"/>
        </w:rPr>
        <w:t>routinely rejected</w:t>
      </w:r>
      <w:r w:rsidR="005D61D2">
        <w:rPr>
          <w:rFonts w:ascii="Courier New" w:hAnsi="Courier New"/>
          <w:sz w:val="24"/>
          <w:szCs w:val="24"/>
        </w:rPr>
        <w:t xml:space="preserve"> </w:t>
      </w:r>
      <w:r w:rsidR="00635DB6">
        <w:rPr>
          <w:rFonts w:ascii="Courier New" w:hAnsi="Courier New"/>
          <w:sz w:val="24"/>
          <w:szCs w:val="24"/>
        </w:rPr>
        <w:t xml:space="preserve">the DCF method </w:t>
      </w:r>
      <w:r w:rsidR="00635DB6" w:rsidRPr="00B32121">
        <w:rPr>
          <w:rFonts w:ascii="Courier New" w:hAnsi="Courier New"/>
          <w:sz w:val="24"/>
          <w:szCs w:val="24"/>
        </w:rPr>
        <w:t xml:space="preserve">as an appropriate valuation methodology for </w:t>
      </w:r>
      <w:r w:rsidR="00635DB6" w:rsidRPr="00B32121">
        <w:rPr>
          <w:rFonts w:ascii="Courier New" w:hAnsi="Courier New"/>
          <w:i/>
          <w:sz w:val="24"/>
          <w:szCs w:val="24"/>
        </w:rPr>
        <w:t>ad valorem</w:t>
      </w:r>
      <w:r w:rsidR="00635DB6" w:rsidRPr="00B32121">
        <w:rPr>
          <w:rFonts w:ascii="Courier New" w:hAnsi="Courier New"/>
          <w:sz w:val="24"/>
          <w:szCs w:val="24"/>
        </w:rPr>
        <w:t xml:space="preserve"> tax pu</w:t>
      </w:r>
      <w:r w:rsidR="005D61D2">
        <w:rPr>
          <w:rFonts w:ascii="Courier New" w:hAnsi="Courier New"/>
          <w:sz w:val="24"/>
          <w:szCs w:val="24"/>
        </w:rPr>
        <w:t>rposes</w:t>
      </w:r>
      <w:r w:rsidR="00635DB6" w:rsidRPr="00B32121">
        <w:rPr>
          <w:rFonts w:ascii="Courier New" w:hAnsi="Courier New"/>
          <w:sz w:val="24"/>
          <w:szCs w:val="24"/>
        </w:rPr>
        <w:t xml:space="preserve">. </w:t>
      </w:r>
      <w:r w:rsidR="00743A6F">
        <w:rPr>
          <w:rFonts w:ascii="Courier New" w:hAnsi="Courier New" w:cs="Courier New"/>
          <w:i/>
          <w:sz w:val="24"/>
          <w:szCs w:val="24"/>
        </w:rPr>
        <w:t xml:space="preserve">See </w:t>
      </w:r>
      <w:r w:rsidR="00743A6F" w:rsidRPr="00B32121">
        <w:rPr>
          <w:rFonts w:ascii="Courier New" w:hAnsi="Courier New" w:cs="Courier New"/>
          <w:b/>
          <w:i/>
          <w:sz w:val="24"/>
          <w:szCs w:val="24"/>
        </w:rPr>
        <w:t xml:space="preserve">GLW Kids LLC v. Assessors of Carlisle, </w:t>
      </w:r>
      <w:r w:rsidR="00743A6F" w:rsidRPr="00B32121">
        <w:rPr>
          <w:rFonts w:ascii="Courier New" w:hAnsi="Courier New" w:cs="Courier New"/>
          <w:sz w:val="24"/>
          <w:szCs w:val="24"/>
        </w:rPr>
        <w:t xml:space="preserve"> Mass. ATB Findings of Fact and Reports 2016-53, 73,  </w:t>
      </w:r>
      <w:r w:rsidR="00743A6F" w:rsidRPr="00B32121">
        <w:rPr>
          <w:rFonts w:ascii="Courier New" w:hAnsi="Courier New" w:cs="Courier New"/>
          <w:i/>
          <w:sz w:val="24"/>
          <w:szCs w:val="24"/>
        </w:rPr>
        <w:t xml:space="preserve">aff’d, </w:t>
      </w:r>
      <w:r w:rsidR="00743A6F" w:rsidRPr="00B32121">
        <w:rPr>
          <w:rFonts w:ascii="Courier New" w:hAnsi="Courier New" w:cs="Courier New"/>
          <w:sz w:val="24"/>
          <w:szCs w:val="24"/>
        </w:rPr>
        <w:t xml:space="preserve"> Mass. App. Ct. No. 16-P-729, Memorandum and Order un</w:t>
      </w:r>
      <w:r w:rsidR="00743A6F">
        <w:rPr>
          <w:rFonts w:ascii="Courier New" w:hAnsi="Courier New" w:cs="Courier New"/>
          <w:sz w:val="24"/>
          <w:szCs w:val="24"/>
        </w:rPr>
        <w:t xml:space="preserve">der Rule 1:28 (July 12, 2017); </w:t>
      </w:r>
      <w:r w:rsidR="002F4CCE">
        <w:rPr>
          <w:rFonts w:ascii="Courier New" w:hAnsi="Courier New"/>
          <w:b/>
          <w:i/>
          <w:sz w:val="24"/>
          <w:szCs w:val="24"/>
        </w:rPr>
        <w:t>Joseph Iantosca</w:t>
      </w:r>
      <w:r w:rsidR="00743A6F" w:rsidRPr="00B32121">
        <w:rPr>
          <w:rFonts w:ascii="Courier New" w:hAnsi="Courier New"/>
          <w:b/>
          <w:i/>
          <w:sz w:val="24"/>
          <w:szCs w:val="24"/>
        </w:rPr>
        <w:t xml:space="preserve"> v. Assessors of Weymouth, </w:t>
      </w:r>
      <w:r w:rsidR="00743A6F" w:rsidRPr="00B32121">
        <w:rPr>
          <w:rFonts w:ascii="Courier New" w:hAnsi="Courier New"/>
          <w:sz w:val="24"/>
          <w:szCs w:val="24"/>
        </w:rPr>
        <w:t>Mass. ATB Findings of Fact and Reports 2008-929</w:t>
      </w:r>
      <w:r w:rsidR="00743A6F">
        <w:rPr>
          <w:rFonts w:ascii="Courier New" w:hAnsi="Courier New"/>
          <w:sz w:val="24"/>
          <w:szCs w:val="24"/>
        </w:rPr>
        <w:t>, 952</w:t>
      </w:r>
      <w:r w:rsidR="00B66679">
        <w:rPr>
          <w:rFonts w:ascii="Courier New" w:hAnsi="Courier New"/>
          <w:sz w:val="24"/>
          <w:szCs w:val="24"/>
        </w:rPr>
        <w:t xml:space="preserve">; </w:t>
      </w:r>
      <w:r w:rsidR="00B66679">
        <w:rPr>
          <w:rFonts w:ascii="Courier New" w:eastAsia="Times New Roman" w:hAnsi="Courier New" w:cs="Courier New"/>
          <w:b/>
          <w:i/>
          <w:sz w:val="24"/>
          <w:szCs w:val="24"/>
        </w:rPr>
        <w:t xml:space="preserve">Digital 55 Middlesex, LLC, </w:t>
      </w:r>
      <w:r w:rsidR="00B66679">
        <w:rPr>
          <w:rFonts w:ascii="Courier New" w:eastAsia="Times New Roman" w:hAnsi="Courier New" w:cs="Courier New"/>
          <w:sz w:val="24"/>
          <w:szCs w:val="24"/>
        </w:rPr>
        <w:t xml:space="preserve">Mass. ATB Findings of Fact and Reports at 2017-441.  </w:t>
      </w:r>
    </w:p>
    <w:p w:rsidR="0036304E" w:rsidRDefault="0036304E" w:rsidP="00A76A5D">
      <w:pPr>
        <w:spacing w:line="480" w:lineRule="auto"/>
        <w:ind w:firstLine="720"/>
        <w:contextualSpacing/>
        <w:jc w:val="both"/>
        <w:rPr>
          <w:rFonts w:ascii="Courier New" w:hAnsi="Courier New" w:cs="Courier New"/>
          <w:sz w:val="24"/>
          <w:szCs w:val="24"/>
        </w:rPr>
      </w:pPr>
      <w:r>
        <w:rPr>
          <w:rFonts w:ascii="Courier New" w:hAnsi="Courier New"/>
          <w:sz w:val="24"/>
          <w:szCs w:val="24"/>
        </w:rPr>
        <w:lastRenderedPageBreak/>
        <w:t xml:space="preserve">As discussed in </w:t>
      </w:r>
      <w:r w:rsidR="00635DB6" w:rsidRPr="00B32121">
        <w:rPr>
          <w:rFonts w:ascii="Courier New" w:hAnsi="Courier New" w:cs="Courier New"/>
          <w:b/>
          <w:i/>
          <w:sz w:val="24"/>
          <w:szCs w:val="24"/>
        </w:rPr>
        <w:t>Mayflower Emerald Square, LLC v. Assessors of North Attleborough,</w:t>
      </w:r>
      <w:r w:rsidR="00635DB6" w:rsidRPr="00B32121">
        <w:rPr>
          <w:rFonts w:ascii="Courier New" w:hAnsi="Courier New" w:cs="Courier New"/>
          <w:b/>
          <w:sz w:val="24"/>
          <w:szCs w:val="24"/>
        </w:rPr>
        <w:t xml:space="preserve"> </w:t>
      </w:r>
      <w:r w:rsidR="00635DB6" w:rsidRPr="00B32121">
        <w:rPr>
          <w:rFonts w:ascii="Courier New" w:hAnsi="Courier New" w:cs="Courier New"/>
          <w:sz w:val="24"/>
          <w:szCs w:val="24"/>
        </w:rPr>
        <w:t xml:space="preserve">Mass. ATB Findings of Fact and Reports, </w:t>
      </w:r>
      <w:r w:rsidR="00944D30">
        <w:rPr>
          <w:rFonts w:ascii="Courier New" w:hAnsi="Courier New" w:cs="Courier New"/>
          <w:sz w:val="24"/>
          <w:szCs w:val="24"/>
        </w:rPr>
        <w:t>2007-421, 523-24</w:t>
      </w:r>
      <w:r>
        <w:rPr>
          <w:rFonts w:ascii="Courier New" w:hAnsi="Courier New" w:cs="Courier New"/>
          <w:sz w:val="24"/>
          <w:szCs w:val="24"/>
        </w:rPr>
        <w:t xml:space="preserve">, </w:t>
      </w:r>
      <w:r w:rsidR="00C32E5E">
        <w:rPr>
          <w:rFonts w:ascii="Courier New" w:hAnsi="Courier New" w:cs="Courier New"/>
          <w:sz w:val="24"/>
          <w:szCs w:val="24"/>
        </w:rPr>
        <w:t>the DCF</w:t>
      </w:r>
    </w:p>
    <w:p w:rsidR="00580357" w:rsidRDefault="00580357" w:rsidP="00A76A5D">
      <w:pPr>
        <w:spacing w:line="240" w:lineRule="auto"/>
        <w:ind w:left="720" w:right="720"/>
        <w:contextualSpacing/>
        <w:jc w:val="both"/>
        <w:rPr>
          <w:rFonts w:ascii="Courier New" w:hAnsi="Courier New" w:cs="Courier New"/>
          <w:sz w:val="24"/>
          <w:szCs w:val="24"/>
        </w:rPr>
      </w:pPr>
      <w:r w:rsidRPr="00347A8E">
        <w:rPr>
          <w:rFonts w:ascii="Courier New" w:hAnsi="Courier New" w:cs="Courier New"/>
          <w:sz w:val="24"/>
          <w:szCs w:val="24"/>
        </w:rPr>
        <w:t xml:space="preserve">analysis focuses on the income stream, net of expenses, generated by a property over a typical ownership period, </w:t>
      </w:r>
      <w:r w:rsidRPr="00347A8E">
        <w:rPr>
          <w:rFonts w:ascii="Courier New" w:hAnsi="Courier New" w:cs="Courier New"/>
          <w:i/>
          <w:sz w:val="24"/>
          <w:szCs w:val="24"/>
        </w:rPr>
        <w:t>e.g.</w:t>
      </w:r>
      <w:r w:rsidRPr="00347A8E">
        <w:rPr>
          <w:rFonts w:ascii="Courier New" w:hAnsi="Courier New" w:cs="Courier New"/>
          <w:sz w:val="24"/>
          <w:szCs w:val="24"/>
        </w:rPr>
        <w:t xml:space="preserve">, ten years, and the value of the reversionary interest after that period. “The cash flows, including the net resale price, are then discounted at a rate </w:t>
      </w:r>
      <w:r w:rsidR="00C32E5E">
        <w:rPr>
          <w:rFonts w:ascii="Courier New" w:hAnsi="Courier New" w:cs="Courier New"/>
          <w:sz w:val="24"/>
          <w:szCs w:val="24"/>
        </w:rPr>
        <w:t>. . .</w:t>
      </w:r>
      <w:r w:rsidRPr="00347A8E">
        <w:rPr>
          <w:rFonts w:ascii="Courier New" w:hAnsi="Courier New" w:cs="Courier New"/>
          <w:sz w:val="24"/>
          <w:szCs w:val="24"/>
        </w:rPr>
        <w:t xml:space="preserve"> to derive a</w:t>
      </w:r>
      <w:r w:rsidR="00B539A1">
        <w:rPr>
          <w:rFonts w:ascii="Courier New" w:hAnsi="Courier New" w:cs="Courier New"/>
          <w:sz w:val="24"/>
          <w:szCs w:val="24"/>
        </w:rPr>
        <w:t>n indication of present value.”</w:t>
      </w:r>
      <w:r w:rsidRPr="00347A8E">
        <w:rPr>
          <w:rFonts w:ascii="Courier New" w:hAnsi="Courier New" w:cs="Courier New"/>
          <w:sz w:val="24"/>
          <w:szCs w:val="24"/>
        </w:rPr>
        <w:t xml:space="preserve"> However, the assessment of real prope</w:t>
      </w:r>
      <w:r w:rsidR="00941812">
        <w:rPr>
          <w:rFonts w:ascii="Courier New" w:hAnsi="Courier New" w:cs="Courier New"/>
          <w:sz w:val="24"/>
          <w:szCs w:val="24"/>
        </w:rPr>
        <w:t>rty for tax purposes is based on</w:t>
      </w:r>
      <w:r w:rsidRPr="00347A8E">
        <w:rPr>
          <w:rFonts w:ascii="Courier New" w:hAnsi="Courier New" w:cs="Courier New"/>
          <w:sz w:val="24"/>
          <w:szCs w:val="24"/>
        </w:rPr>
        <w:t xml:space="preserve"> the va</w:t>
      </w:r>
      <w:r w:rsidR="00941812">
        <w:rPr>
          <w:rFonts w:ascii="Courier New" w:hAnsi="Courier New" w:cs="Courier New"/>
          <w:sz w:val="24"/>
          <w:szCs w:val="24"/>
        </w:rPr>
        <w:t>lue of a fee simple interest [based on]</w:t>
      </w:r>
      <w:r w:rsidRPr="00347A8E">
        <w:rPr>
          <w:rFonts w:ascii="Courier New" w:hAnsi="Courier New" w:cs="Courier New"/>
          <w:sz w:val="24"/>
          <w:szCs w:val="24"/>
        </w:rPr>
        <w:t xml:space="preserve"> a period of one year only. Given these legal requirements, discounted cash flow analysis, appropriate for valuing the leased fee interest buyers of mall properties usually acquire, has not been adopted in the decisions of this Board. </w:t>
      </w:r>
      <w:r w:rsidRPr="00347A8E">
        <w:rPr>
          <w:rFonts w:ascii="Courier New" w:hAnsi="Courier New" w:cs="Courier New"/>
          <w:i/>
          <w:sz w:val="24"/>
          <w:szCs w:val="24"/>
        </w:rPr>
        <w:t xml:space="preserve">See, e.g., </w:t>
      </w:r>
      <w:r w:rsidRPr="00347A8E">
        <w:rPr>
          <w:rFonts w:ascii="Courier New" w:hAnsi="Courier New" w:cs="Courier New"/>
          <w:b/>
          <w:i/>
          <w:sz w:val="24"/>
          <w:szCs w:val="24"/>
        </w:rPr>
        <w:t xml:space="preserve">One Cambridge Center Trust et al. v. Assessors of Cambridge, </w:t>
      </w:r>
      <w:r w:rsidR="00AA7C38">
        <w:rPr>
          <w:rFonts w:ascii="Courier New" w:hAnsi="Courier New" w:cs="Courier New"/>
          <w:sz w:val="24"/>
          <w:szCs w:val="24"/>
        </w:rPr>
        <w:t>Mass.</w:t>
      </w:r>
      <w:r w:rsidR="00AA7C38" w:rsidRPr="00AA7C38">
        <w:rPr>
          <w:rFonts w:ascii="Courier New" w:hAnsi="Courier New" w:cs="Courier New"/>
          <w:sz w:val="24"/>
          <w:szCs w:val="24"/>
        </w:rPr>
        <w:t xml:space="preserve"> </w:t>
      </w:r>
      <w:r w:rsidRPr="00347A8E">
        <w:rPr>
          <w:rFonts w:ascii="Courier New" w:hAnsi="Courier New" w:cs="Courier New"/>
          <w:sz w:val="24"/>
          <w:szCs w:val="24"/>
        </w:rPr>
        <w:t xml:space="preserve">ATB Findings of Fact and Reports 1997-188, 229.  </w:t>
      </w:r>
      <w:r w:rsidRPr="00347A8E">
        <w:rPr>
          <w:rFonts w:ascii="Courier New" w:hAnsi="Courier New" w:cs="Courier New"/>
          <w:i/>
          <w:sz w:val="24"/>
          <w:szCs w:val="24"/>
        </w:rPr>
        <w:t xml:space="preserve">See generally </w:t>
      </w:r>
      <w:r w:rsidRPr="00347A8E">
        <w:rPr>
          <w:rFonts w:ascii="Courier New" w:hAnsi="Courier New" w:cs="Courier New"/>
          <w:b/>
          <w:i/>
          <w:sz w:val="24"/>
          <w:szCs w:val="24"/>
        </w:rPr>
        <w:t xml:space="preserve">Delta Materials Corp. v. Bagdon, </w:t>
      </w:r>
      <w:r w:rsidRPr="00347A8E">
        <w:rPr>
          <w:rFonts w:ascii="Courier New" w:hAnsi="Courier New" w:cs="Courier New"/>
          <w:sz w:val="24"/>
          <w:szCs w:val="24"/>
        </w:rPr>
        <w:t>43 Mass. App. Ct. 307, 309-10 (1997) (reversing finding of value by Probate Court because expert’s discounted cash flow analysis failed to fully account for the value of a property.)</w:t>
      </w:r>
      <w:r w:rsidR="00AA7C38">
        <w:rPr>
          <w:rFonts w:ascii="Courier New" w:hAnsi="Courier New" w:cs="Courier New"/>
          <w:sz w:val="24"/>
          <w:szCs w:val="24"/>
        </w:rPr>
        <w:t>.</w:t>
      </w:r>
    </w:p>
    <w:p w:rsidR="00C32E5E" w:rsidRPr="00347A8E" w:rsidRDefault="00C32E5E" w:rsidP="00A76A5D">
      <w:pPr>
        <w:spacing w:line="240" w:lineRule="auto"/>
        <w:ind w:left="720" w:right="720"/>
        <w:contextualSpacing/>
        <w:jc w:val="both"/>
        <w:rPr>
          <w:rFonts w:ascii="Courier New" w:hAnsi="Courier New" w:cs="Courier New"/>
          <w:sz w:val="24"/>
          <w:szCs w:val="24"/>
        </w:rPr>
      </w:pPr>
    </w:p>
    <w:p w:rsidR="00635DB6" w:rsidRPr="00AA7C38" w:rsidRDefault="00B539A1" w:rsidP="00A76A5D">
      <w:pPr>
        <w:spacing w:after="0" w:line="480" w:lineRule="auto"/>
        <w:contextualSpacing/>
        <w:jc w:val="both"/>
        <w:rPr>
          <w:rFonts w:ascii="Courier New" w:hAnsi="Courier New" w:cs="Courier New"/>
          <w:sz w:val="24"/>
          <w:szCs w:val="24"/>
        </w:rPr>
      </w:pPr>
      <w:r w:rsidRPr="00AA7C38">
        <w:rPr>
          <w:rFonts w:ascii="Courier New" w:hAnsi="Courier New" w:cs="Courier New"/>
          <w:sz w:val="24"/>
          <w:szCs w:val="24"/>
        </w:rPr>
        <w:t xml:space="preserve">(citations omitted).  </w:t>
      </w:r>
    </w:p>
    <w:p w:rsidR="005766B0" w:rsidRPr="004404B4" w:rsidRDefault="005766B0" w:rsidP="00A76A5D">
      <w:pPr>
        <w:spacing w:after="120" w:line="480" w:lineRule="auto"/>
        <w:ind w:firstLine="720"/>
        <w:contextualSpacing/>
        <w:jc w:val="both"/>
        <w:rPr>
          <w:rFonts w:ascii="Courier New" w:eastAsia="Times New Roman" w:hAnsi="Courier New" w:cs="Courier New"/>
          <w:sz w:val="24"/>
          <w:szCs w:val="24"/>
        </w:rPr>
      </w:pPr>
      <w:r>
        <w:rPr>
          <w:rFonts w:ascii="Courier New" w:eastAsia="Times New Roman" w:hAnsi="Courier New" w:cs="Courier New"/>
          <w:sz w:val="24"/>
          <w:szCs w:val="24"/>
        </w:rPr>
        <w:t xml:space="preserve">Moreover, Ms. Bulkley testified that the DCF approach is the optimal approach to value property like the subject property because its income stream is impacted by unpredictable and uncontrollable natural forces.  However, the Board found that this was precisely the reason the DCF approach was not a reliable valuation approach for </w:t>
      </w:r>
      <w:r w:rsidRPr="008D51C7">
        <w:rPr>
          <w:rFonts w:ascii="Courier New" w:eastAsia="Times New Roman" w:hAnsi="Courier New" w:cs="Courier New"/>
          <w:i/>
          <w:sz w:val="24"/>
          <w:szCs w:val="24"/>
        </w:rPr>
        <w:t>ad valorem tax</w:t>
      </w:r>
      <w:r>
        <w:rPr>
          <w:rFonts w:ascii="Courier New" w:eastAsia="Times New Roman" w:hAnsi="Courier New" w:cs="Courier New"/>
          <w:sz w:val="24"/>
          <w:szCs w:val="24"/>
        </w:rPr>
        <w:t xml:space="preserve"> purposes, which attempts to capture the value of a property as of a date certai</w:t>
      </w:r>
      <w:r w:rsidR="00B327D5">
        <w:rPr>
          <w:rFonts w:ascii="Courier New" w:eastAsia="Times New Roman" w:hAnsi="Courier New" w:cs="Courier New"/>
          <w:sz w:val="24"/>
          <w:szCs w:val="24"/>
        </w:rPr>
        <w:t>n - January first of each year</w:t>
      </w:r>
      <w:r>
        <w:rPr>
          <w:rFonts w:ascii="Courier New" w:eastAsia="Times New Roman" w:hAnsi="Courier New" w:cs="Courier New"/>
          <w:sz w:val="24"/>
          <w:szCs w:val="24"/>
        </w:rPr>
        <w:t xml:space="preserve">.  </w:t>
      </w:r>
      <w:r w:rsidR="00227141" w:rsidRPr="00B43B8D">
        <w:rPr>
          <w:rFonts w:ascii="Courier New" w:eastAsia="Times New Roman" w:hAnsi="Courier New" w:cs="Courier New"/>
          <w:i/>
          <w:sz w:val="24"/>
          <w:szCs w:val="24"/>
        </w:rPr>
        <w:t>See</w:t>
      </w:r>
      <w:r w:rsidR="00227141" w:rsidRPr="00B43B8D">
        <w:rPr>
          <w:rFonts w:ascii="Courier New" w:eastAsia="Times New Roman" w:hAnsi="Courier New" w:cs="Courier New"/>
          <w:sz w:val="24"/>
          <w:szCs w:val="24"/>
        </w:rPr>
        <w:t xml:space="preserve"> </w:t>
      </w:r>
      <w:r w:rsidR="00227141" w:rsidRPr="00B43B8D">
        <w:rPr>
          <w:rFonts w:ascii="Courier New" w:hAnsi="Courier New"/>
          <w:sz w:val="24"/>
          <w:szCs w:val="24"/>
        </w:rPr>
        <w:t>G.L. c. 59, § 2A(a).</w:t>
      </w:r>
      <w:r w:rsidR="00227141">
        <w:rPr>
          <w:rFonts w:ascii="Courier New" w:hAnsi="Courier New"/>
        </w:rPr>
        <w:t xml:space="preserve">  </w:t>
      </w:r>
      <w:r>
        <w:rPr>
          <w:rFonts w:ascii="Courier New" w:eastAsia="Times New Roman" w:hAnsi="Courier New" w:cs="Courier New"/>
          <w:sz w:val="24"/>
          <w:szCs w:val="24"/>
        </w:rPr>
        <w:t xml:space="preserve">The record showed that energy-producing facilities are not only </w:t>
      </w:r>
      <w:r>
        <w:rPr>
          <w:rFonts w:ascii="Courier New" w:eastAsia="Times New Roman" w:hAnsi="Courier New" w:cs="Courier New"/>
          <w:sz w:val="24"/>
          <w:szCs w:val="24"/>
        </w:rPr>
        <w:lastRenderedPageBreak/>
        <w:t>greatly impacted by weather patterns, but also by changes in government regulation as well as emerging energy sources and technologie</w:t>
      </w:r>
      <w:r w:rsidR="00477333">
        <w:rPr>
          <w:rFonts w:ascii="Courier New" w:eastAsia="Times New Roman" w:hAnsi="Courier New" w:cs="Courier New"/>
          <w:sz w:val="24"/>
          <w:szCs w:val="24"/>
        </w:rPr>
        <w:t xml:space="preserve">s. Each of these influences is </w:t>
      </w:r>
      <w:r>
        <w:rPr>
          <w:rFonts w:ascii="Courier New" w:eastAsia="Times New Roman" w:hAnsi="Courier New" w:cs="Courier New"/>
          <w:sz w:val="24"/>
          <w:szCs w:val="24"/>
        </w:rPr>
        <w:t>unpredictable and beyond the control of market participan</w:t>
      </w:r>
      <w:r w:rsidR="00477333">
        <w:rPr>
          <w:rFonts w:ascii="Courier New" w:eastAsia="Times New Roman" w:hAnsi="Courier New" w:cs="Courier New"/>
          <w:sz w:val="24"/>
          <w:szCs w:val="24"/>
        </w:rPr>
        <w:t xml:space="preserve">ts, and the Board found that they </w:t>
      </w:r>
      <w:r>
        <w:rPr>
          <w:rFonts w:ascii="Courier New" w:eastAsia="Times New Roman" w:hAnsi="Courier New" w:cs="Courier New"/>
          <w:sz w:val="24"/>
          <w:szCs w:val="24"/>
        </w:rPr>
        <w:t xml:space="preserve">rendered the DCF approach, which casts its net out far into the future, particularly unsuitable to determine the value of the subject property for </w:t>
      </w:r>
      <w:r w:rsidRPr="00A049A2">
        <w:rPr>
          <w:rFonts w:ascii="Courier New" w:eastAsia="Times New Roman" w:hAnsi="Courier New" w:cs="Courier New"/>
          <w:i/>
          <w:sz w:val="24"/>
          <w:szCs w:val="24"/>
        </w:rPr>
        <w:t>ad valorem</w:t>
      </w:r>
      <w:r w:rsidR="004404B4">
        <w:rPr>
          <w:rFonts w:ascii="Courier New" w:eastAsia="Times New Roman" w:hAnsi="Courier New" w:cs="Courier New"/>
          <w:sz w:val="24"/>
          <w:szCs w:val="24"/>
        </w:rPr>
        <w:t xml:space="preserve"> tax purposes.  </w:t>
      </w:r>
      <w:r w:rsidR="004404B4" w:rsidRPr="004404B4">
        <w:rPr>
          <w:rFonts w:ascii="Courier New" w:eastAsia="Times New Roman" w:hAnsi="Courier New" w:cs="Courier New"/>
          <w:i/>
          <w:sz w:val="24"/>
          <w:szCs w:val="24"/>
        </w:rPr>
        <w:t xml:space="preserve">See </w:t>
      </w:r>
      <w:r w:rsidR="004404B4">
        <w:rPr>
          <w:rFonts w:ascii="Courier New" w:eastAsia="Times New Roman" w:hAnsi="Courier New" w:cs="Courier New"/>
          <w:b/>
          <w:i/>
          <w:sz w:val="24"/>
          <w:szCs w:val="24"/>
        </w:rPr>
        <w:t xml:space="preserve">Digital 55 Middlesex, LLC, </w:t>
      </w:r>
      <w:r w:rsidR="004404B4">
        <w:rPr>
          <w:rFonts w:ascii="Courier New" w:eastAsia="Times New Roman" w:hAnsi="Courier New" w:cs="Courier New"/>
          <w:sz w:val="24"/>
          <w:szCs w:val="24"/>
        </w:rPr>
        <w:t xml:space="preserve">Mass. ATB Findings of Fact and Reports </w:t>
      </w:r>
      <w:r w:rsidR="00C543BE">
        <w:rPr>
          <w:rFonts w:ascii="Courier New" w:eastAsia="Times New Roman" w:hAnsi="Courier New" w:cs="Courier New"/>
          <w:sz w:val="24"/>
          <w:szCs w:val="24"/>
        </w:rPr>
        <w:t xml:space="preserve">at </w:t>
      </w:r>
      <w:r w:rsidR="004404B4">
        <w:rPr>
          <w:rFonts w:ascii="Courier New" w:eastAsia="Times New Roman" w:hAnsi="Courier New" w:cs="Courier New"/>
          <w:sz w:val="24"/>
          <w:szCs w:val="24"/>
        </w:rPr>
        <w:t xml:space="preserve">2017-441.  </w:t>
      </w:r>
    </w:p>
    <w:p w:rsidR="00F434F0" w:rsidRPr="00F434F0" w:rsidRDefault="005344D3" w:rsidP="00A76A5D">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w:t>
      </w:r>
      <w:r w:rsidR="005A5DA1">
        <w:rPr>
          <w:rFonts w:ascii="Courier New" w:hAnsi="Courier New" w:cs="Courier New"/>
          <w:sz w:val="24"/>
          <w:szCs w:val="24"/>
        </w:rPr>
        <w:t>appellant’s attempts to distinguish th</w:t>
      </w:r>
      <w:r w:rsidR="00C543BE">
        <w:rPr>
          <w:rFonts w:ascii="Courier New" w:hAnsi="Courier New" w:cs="Courier New"/>
          <w:sz w:val="24"/>
          <w:szCs w:val="24"/>
        </w:rPr>
        <w:t xml:space="preserve">e present appeals from </w:t>
      </w:r>
      <w:r w:rsidR="004404B4">
        <w:rPr>
          <w:rFonts w:ascii="Courier New" w:hAnsi="Courier New" w:cs="Courier New"/>
          <w:b/>
          <w:i/>
          <w:sz w:val="24"/>
          <w:szCs w:val="24"/>
        </w:rPr>
        <w:t>Digital 55 Middlesex, LLC</w:t>
      </w:r>
      <w:r w:rsidR="005A5DA1">
        <w:rPr>
          <w:rFonts w:ascii="Courier New" w:hAnsi="Courier New" w:cs="Courier New"/>
          <w:b/>
          <w:i/>
          <w:sz w:val="24"/>
          <w:szCs w:val="24"/>
        </w:rPr>
        <w:t xml:space="preserve">, </w:t>
      </w:r>
      <w:r w:rsidR="00C543BE">
        <w:rPr>
          <w:rFonts w:ascii="Courier New" w:hAnsi="Courier New" w:cs="Courier New"/>
          <w:sz w:val="24"/>
          <w:szCs w:val="24"/>
        </w:rPr>
        <w:t>a recent case</w:t>
      </w:r>
      <w:r w:rsidR="005A5DA1">
        <w:rPr>
          <w:rFonts w:ascii="Courier New" w:hAnsi="Courier New" w:cs="Courier New"/>
          <w:sz w:val="24"/>
          <w:szCs w:val="24"/>
        </w:rPr>
        <w:t xml:space="preserve"> in which the Board rejected the DCF approach, were unavailing.  That case involved a computer data center, referred to sometimes as a server farm.  </w:t>
      </w:r>
      <w:r w:rsidR="004404B4" w:rsidRPr="004404B4">
        <w:rPr>
          <w:rFonts w:ascii="Courier New" w:hAnsi="Courier New" w:cs="Courier New"/>
          <w:b/>
          <w:i/>
          <w:sz w:val="24"/>
          <w:szCs w:val="24"/>
        </w:rPr>
        <w:t>Id.</w:t>
      </w:r>
      <w:r w:rsidR="004404B4">
        <w:rPr>
          <w:rFonts w:ascii="Courier New" w:hAnsi="Courier New" w:cs="Courier New"/>
          <w:sz w:val="24"/>
          <w:szCs w:val="24"/>
        </w:rPr>
        <w:t xml:space="preserve"> </w:t>
      </w:r>
      <w:r w:rsidR="005A5DA1">
        <w:rPr>
          <w:rFonts w:ascii="Courier New" w:hAnsi="Courier New" w:cs="Courier New"/>
          <w:sz w:val="24"/>
          <w:szCs w:val="24"/>
        </w:rPr>
        <w:t>Part of the Board’s rationale for rejecting the DCF approach in that case</w:t>
      </w:r>
      <w:r w:rsidR="00554567">
        <w:rPr>
          <w:rFonts w:ascii="Courier New" w:hAnsi="Courier New" w:cs="Courier New"/>
          <w:sz w:val="24"/>
          <w:szCs w:val="24"/>
        </w:rPr>
        <w:t xml:space="preserve"> </w:t>
      </w:r>
      <w:r w:rsidR="005A5DA1">
        <w:rPr>
          <w:rFonts w:ascii="Courier New" w:hAnsi="Courier New" w:cs="Courier New"/>
          <w:sz w:val="24"/>
          <w:szCs w:val="24"/>
        </w:rPr>
        <w:t xml:space="preserve">was </w:t>
      </w:r>
      <w:r w:rsidR="00554567">
        <w:rPr>
          <w:rFonts w:ascii="Courier New" w:hAnsi="Courier New" w:cs="Courier New"/>
          <w:sz w:val="24"/>
          <w:szCs w:val="24"/>
        </w:rPr>
        <w:t xml:space="preserve">that </w:t>
      </w:r>
      <w:r w:rsidR="005A5DA1">
        <w:rPr>
          <w:rFonts w:ascii="Courier New" w:hAnsi="Courier New" w:cs="Courier New"/>
          <w:sz w:val="24"/>
          <w:szCs w:val="24"/>
        </w:rPr>
        <w:t>the ra</w:t>
      </w:r>
      <w:r w:rsidR="004404B4">
        <w:rPr>
          <w:rFonts w:ascii="Courier New" w:hAnsi="Courier New" w:cs="Courier New"/>
          <w:sz w:val="24"/>
          <w:szCs w:val="24"/>
        </w:rPr>
        <w:t>p</w:t>
      </w:r>
      <w:r w:rsidR="005A5DA1">
        <w:rPr>
          <w:rFonts w:ascii="Courier New" w:hAnsi="Courier New" w:cs="Courier New"/>
          <w:sz w:val="24"/>
          <w:szCs w:val="24"/>
        </w:rPr>
        <w:t>id pace of change in the computer technology industry</w:t>
      </w:r>
      <w:r w:rsidR="00554567">
        <w:rPr>
          <w:rFonts w:ascii="Courier New" w:hAnsi="Courier New" w:cs="Courier New"/>
          <w:sz w:val="24"/>
          <w:szCs w:val="24"/>
        </w:rPr>
        <w:t xml:space="preserve"> rendered </w:t>
      </w:r>
      <w:r w:rsidR="00C543BE">
        <w:rPr>
          <w:rFonts w:ascii="Courier New" w:hAnsi="Courier New" w:cs="Courier New"/>
          <w:sz w:val="24"/>
          <w:szCs w:val="24"/>
        </w:rPr>
        <w:t>the 20-year projected income stream</w:t>
      </w:r>
      <w:r w:rsidR="00554567">
        <w:rPr>
          <w:rFonts w:ascii="Courier New" w:hAnsi="Courier New" w:cs="Courier New"/>
          <w:sz w:val="24"/>
          <w:szCs w:val="24"/>
        </w:rPr>
        <w:t xml:space="preserve"> highly speculative</w:t>
      </w:r>
      <w:r w:rsidR="004404B4">
        <w:rPr>
          <w:rFonts w:ascii="Courier New" w:hAnsi="Courier New" w:cs="Courier New"/>
          <w:sz w:val="24"/>
          <w:szCs w:val="24"/>
        </w:rPr>
        <w:t xml:space="preserve">.  </w:t>
      </w:r>
      <w:r w:rsidR="004404B4" w:rsidRPr="004404B4">
        <w:rPr>
          <w:rFonts w:ascii="Courier New" w:hAnsi="Courier New" w:cs="Courier New"/>
          <w:b/>
          <w:i/>
          <w:sz w:val="24"/>
          <w:szCs w:val="24"/>
        </w:rPr>
        <w:t>Id.</w:t>
      </w:r>
      <w:r w:rsidR="004404B4">
        <w:rPr>
          <w:rFonts w:ascii="Courier New" w:hAnsi="Courier New" w:cs="Courier New"/>
          <w:sz w:val="24"/>
          <w:szCs w:val="24"/>
        </w:rPr>
        <w:t xml:space="preserve"> </w:t>
      </w:r>
      <w:r w:rsidR="005A5DA1">
        <w:rPr>
          <w:rFonts w:ascii="Courier New" w:hAnsi="Courier New" w:cs="Courier New"/>
          <w:sz w:val="24"/>
          <w:szCs w:val="24"/>
        </w:rPr>
        <w:t xml:space="preserve"> The appellant in the present appeals cited </w:t>
      </w:r>
      <w:r w:rsidR="005766B0">
        <w:rPr>
          <w:rFonts w:ascii="Courier New" w:hAnsi="Courier New" w:cs="Courier New"/>
          <w:sz w:val="24"/>
          <w:szCs w:val="24"/>
        </w:rPr>
        <w:t xml:space="preserve">the subject property’s century-plus </w:t>
      </w:r>
      <w:r w:rsidR="005A5DA1">
        <w:rPr>
          <w:rFonts w:ascii="Courier New" w:hAnsi="Courier New" w:cs="Courier New"/>
          <w:sz w:val="24"/>
          <w:szCs w:val="24"/>
        </w:rPr>
        <w:t>history of operation and the longevity of the capital improvements and FERC licenses associa</w:t>
      </w:r>
      <w:r w:rsidR="00554567">
        <w:rPr>
          <w:rFonts w:ascii="Courier New" w:hAnsi="Courier New" w:cs="Courier New"/>
          <w:sz w:val="24"/>
          <w:szCs w:val="24"/>
        </w:rPr>
        <w:t>ted with the subject property</w:t>
      </w:r>
      <w:r w:rsidR="00F434F0">
        <w:rPr>
          <w:rFonts w:ascii="Courier New" w:hAnsi="Courier New" w:cs="Courier New"/>
          <w:sz w:val="24"/>
          <w:szCs w:val="24"/>
        </w:rPr>
        <w:t xml:space="preserve"> as a basis for distinction.  What the appellant fails to acknowledge in making this argument is the changeability of the many factors directly influencing the subject property’s operations, including the weather, government regulations, and developments in energy sources</w:t>
      </w:r>
      <w:r w:rsidR="005766B0">
        <w:rPr>
          <w:rFonts w:ascii="Courier New" w:hAnsi="Courier New" w:cs="Courier New"/>
          <w:sz w:val="24"/>
          <w:szCs w:val="24"/>
        </w:rPr>
        <w:t xml:space="preserve"> and </w:t>
      </w:r>
      <w:r w:rsidR="005766B0">
        <w:rPr>
          <w:rFonts w:ascii="Courier New" w:hAnsi="Courier New" w:cs="Courier New"/>
          <w:sz w:val="24"/>
          <w:szCs w:val="24"/>
        </w:rPr>
        <w:lastRenderedPageBreak/>
        <w:t>technology</w:t>
      </w:r>
      <w:r w:rsidR="00F434F0">
        <w:rPr>
          <w:rFonts w:ascii="Courier New" w:hAnsi="Courier New" w:cs="Courier New"/>
          <w:sz w:val="24"/>
          <w:szCs w:val="24"/>
        </w:rPr>
        <w:t xml:space="preserve">, which similarly render the lengthy projection period used by Ms. Bulkley too speculative to furnish a reliable indication of fair cash value.  The Board therefore rejected this argument.  </w:t>
      </w:r>
    </w:p>
    <w:p w:rsidR="00E64110" w:rsidRPr="00B32121" w:rsidRDefault="004911D0" w:rsidP="00A76A5D">
      <w:pPr>
        <w:spacing w:line="480" w:lineRule="auto"/>
        <w:ind w:firstLine="720"/>
        <w:contextualSpacing/>
        <w:jc w:val="both"/>
        <w:rPr>
          <w:sz w:val="24"/>
          <w:szCs w:val="24"/>
        </w:rPr>
      </w:pPr>
      <w:r>
        <w:rPr>
          <w:rFonts w:ascii="Courier New" w:hAnsi="Courier New"/>
          <w:sz w:val="24"/>
          <w:szCs w:val="24"/>
        </w:rPr>
        <w:t>Further, a</w:t>
      </w:r>
      <w:r w:rsidR="00635DB6">
        <w:rPr>
          <w:rFonts w:ascii="Courier New" w:hAnsi="Courier New"/>
          <w:sz w:val="24"/>
          <w:szCs w:val="24"/>
        </w:rPr>
        <w:t>lthough Ms. Bulkley also performed a direct</w:t>
      </w:r>
      <w:r w:rsidR="00D322BB">
        <w:rPr>
          <w:rFonts w:ascii="Courier New" w:hAnsi="Courier New"/>
          <w:sz w:val="24"/>
          <w:szCs w:val="24"/>
        </w:rPr>
        <w:t xml:space="preserve">-capitalization analysis, and </w:t>
      </w:r>
      <w:r w:rsidR="00635DB6">
        <w:rPr>
          <w:rFonts w:ascii="Courier New" w:hAnsi="Courier New"/>
          <w:sz w:val="24"/>
          <w:szCs w:val="24"/>
        </w:rPr>
        <w:t>the Board frequently relies upon</w:t>
      </w:r>
      <w:r w:rsidR="00D322BB">
        <w:rPr>
          <w:rFonts w:ascii="Courier New" w:hAnsi="Courier New"/>
          <w:sz w:val="24"/>
          <w:szCs w:val="24"/>
        </w:rPr>
        <w:t xml:space="preserve"> that approach</w:t>
      </w:r>
      <w:r w:rsidR="00635DB6">
        <w:rPr>
          <w:rFonts w:ascii="Courier New" w:hAnsi="Courier New"/>
          <w:sz w:val="24"/>
          <w:szCs w:val="24"/>
        </w:rPr>
        <w:t xml:space="preserve"> to determine the fair market value of income-producing properties, it did </w:t>
      </w:r>
      <w:r w:rsidR="00D322BB">
        <w:rPr>
          <w:rFonts w:ascii="Courier New" w:hAnsi="Courier New"/>
          <w:sz w:val="24"/>
          <w:szCs w:val="24"/>
        </w:rPr>
        <w:t xml:space="preserve">not </w:t>
      </w:r>
      <w:r w:rsidR="00635DB6">
        <w:rPr>
          <w:rFonts w:ascii="Courier New" w:hAnsi="Courier New"/>
          <w:sz w:val="24"/>
          <w:szCs w:val="24"/>
        </w:rPr>
        <w:t>place weight on Ms. Bulkley’s direct-capitalization</w:t>
      </w:r>
      <w:r w:rsidR="00225928">
        <w:rPr>
          <w:rFonts w:ascii="Courier New" w:hAnsi="Courier New"/>
          <w:sz w:val="24"/>
          <w:szCs w:val="24"/>
        </w:rPr>
        <w:t xml:space="preserve"> analysis because it incorporated </w:t>
      </w:r>
      <w:r w:rsidR="00AA7C38">
        <w:rPr>
          <w:rFonts w:ascii="Courier New" w:hAnsi="Courier New"/>
          <w:sz w:val="24"/>
          <w:szCs w:val="24"/>
        </w:rPr>
        <w:t xml:space="preserve">much </w:t>
      </w:r>
      <w:r w:rsidR="00225928">
        <w:rPr>
          <w:rFonts w:ascii="Courier New" w:hAnsi="Courier New"/>
          <w:sz w:val="24"/>
          <w:szCs w:val="24"/>
        </w:rPr>
        <w:t>of the same speculative and unreliable infor</w:t>
      </w:r>
      <w:r w:rsidR="003C0155">
        <w:rPr>
          <w:rFonts w:ascii="Courier New" w:hAnsi="Courier New"/>
          <w:sz w:val="24"/>
          <w:szCs w:val="24"/>
        </w:rPr>
        <w:t xml:space="preserve">mation used in her DCF approach, and lacked adequate explanation and support.  </w:t>
      </w:r>
      <w:r w:rsidR="00225928">
        <w:rPr>
          <w:rFonts w:ascii="Courier New" w:hAnsi="Courier New"/>
          <w:sz w:val="24"/>
          <w:szCs w:val="24"/>
        </w:rPr>
        <w:t xml:space="preserve">  </w:t>
      </w:r>
    </w:p>
    <w:p w:rsidR="002712D6" w:rsidRPr="002712D6" w:rsidRDefault="002712D6" w:rsidP="00A76A5D">
      <w:pPr>
        <w:spacing w:after="0" w:line="480" w:lineRule="auto"/>
        <w:ind w:firstLine="720"/>
        <w:contextualSpacing/>
        <w:jc w:val="both"/>
        <w:rPr>
          <w:rFonts w:ascii="Courier New" w:eastAsia="Times New Roman" w:hAnsi="Courier New" w:cs="Courier New"/>
          <w:sz w:val="24"/>
          <w:szCs w:val="20"/>
        </w:rPr>
      </w:pPr>
      <w:r w:rsidRPr="002712D6">
        <w:rPr>
          <w:rFonts w:ascii="Courier New" w:eastAsia="Times New Roman" w:hAnsi="Courier New"/>
          <w:sz w:val="24"/>
          <w:szCs w:val="20"/>
        </w:rPr>
        <w:t xml:space="preserve">In reaching its opinion of fair cash value in these appeals, the Board was not required to believe the testimony of any particular witness or to adopt any particular method of valuation that an expert witness suggested.  </w:t>
      </w:r>
      <w:r w:rsidRPr="002712D6">
        <w:rPr>
          <w:rFonts w:ascii="Courier New" w:eastAsia="Times New Roman" w:hAnsi="Courier New" w:cs="Courier New"/>
          <w:sz w:val="24"/>
          <w:szCs w:val="20"/>
        </w:rPr>
        <w:t>Further, the mere qualification of a person</w:t>
      </w:r>
      <w:r w:rsidR="003C0155">
        <w:rPr>
          <w:rFonts w:ascii="Courier New" w:eastAsia="Times New Roman" w:hAnsi="Courier New" w:cs="Courier New"/>
          <w:sz w:val="24"/>
          <w:szCs w:val="20"/>
        </w:rPr>
        <w:t xml:space="preserve"> as an expert does not endow her </w:t>
      </w:r>
      <w:r w:rsidRPr="002712D6">
        <w:rPr>
          <w:rFonts w:ascii="Courier New" w:eastAsia="Times New Roman" w:hAnsi="Courier New" w:cs="Courier New"/>
          <w:sz w:val="24"/>
          <w:szCs w:val="20"/>
        </w:rPr>
        <w:t xml:space="preserve">testimony with any magic qualities.  </w:t>
      </w:r>
      <w:r w:rsidRPr="002712D6">
        <w:rPr>
          <w:rFonts w:ascii="Courier New" w:eastAsia="Times New Roman" w:hAnsi="Courier New" w:cs="Courier New"/>
          <w:b/>
          <w:bCs/>
          <w:i/>
          <w:iCs/>
          <w:sz w:val="24"/>
          <w:szCs w:val="20"/>
        </w:rPr>
        <w:t xml:space="preserve">Boston Gas Co., </w:t>
      </w:r>
      <w:r w:rsidRPr="002712D6">
        <w:rPr>
          <w:rFonts w:ascii="Courier New" w:eastAsia="Times New Roman" w:hAnsi="Courier New" w:cs="Courier New"/>
          <w:sz w:val="24"/>
          <w:szCs w:val="20"/>
        </w:rPr>
        <w:t xml:space="preserve">334 Mass. at 579.  </w:t>
      </w:r>
      <w:r w:rsidRPr="002712D6">
        <w:rPr>
          <w:rFonts w:ascii="Courier New" w:eastAsia="Times New Roman" w:hAnsi="Courier New"/>
          <w:sz w:val="24"/>
          <w:szCs w:val="20"/>
        </w:rPr>
        <w:t xml:space="preserve">“The credibility of witnesses, the weight of the evidence, and inferences to be drawn from the evidence are matters for the board.”  </w:t>
      </w:r>
      <w:r w:rsidRPr="002712D6">
        <w:rPr>
          <w:rFonts w:ascii="Courier New" w:eastAsia="Times New Roman" w:hAnsi="Courier New"/>
          <w:b/>
          <w:i/>
          <w:sz w:val="24"/>
          <w:szCs w:val="20"/>
        </w:rPr>
        <w:t xml:space="preserve"> Cummington School of the Arts, Inc. v. Assessors of Cummington, </w:t>
      </w:r>
      <w:r w:rsidRPr="002712D6">
        <w:rPr>
          <w:rFonts w:ascii="Courier New" w:eastAsia="Times New Roman" w:hAnsi="Courier New"/>
          <w:sz w:val="24"/>
          <w:szCs w:val="20"/>
        </w:rPr>
        <w:t>373 Mass. 597, 605 (1977).</w:t>
      </w:r>
      <w:r w:rsidRPr="002712D6">
        <w:rPr>
          <w:rFonts w:ascii="Courier New" w:eastAsia="Times New Roman" w:hAnsi="Courier New" w:cs="Courier New"/>
          <w:sz w:val="24"/>
          <w:szCs w:val="24"/>
        </w:rPr>
        <w:t xml:space="preserve"> </w:t>
      </w:r>
      <w:r w:rsidRPr="002712D6">
        <w:rPr>
          <w:rFonts w:ascii="Courier New" w:eastAsia="Times New Roman" w:hAnsi="Courier New"/>
          <w:sz w:val="24"/>
          <w:szCs w:val="20"/>
        </w:rPr>
        <w:t xml:space="preserve">The Board can accept those portions of the evidence that it determined had more convincing weight.  </w:t>
      </w:r>
      <w:r w:rsidRPr="002712D6">
        <w:rPr>
          <w:rFonts w:ascii="Courier New" w:eastAsia="Times New Roman" w:hAnsi="Courier New"/>
          <w:b/>
          <w:i/>
          <w:sz w:val="24"/>
          <w:szCs w:val="20"/>
        </w:rPr>
        <w:t xml:space="preserve">Foxboro Associates v. Assessors of </w:t>
      </w:r>
      <w:r w:rsidRPr="002712D6">
        <w:rPr>
          <w:rFonts w:ascii="Courier New" w:eastAsia="Times New Roman" w:hAnsi="Courier New"/>
          <w:b/>
          <w:i/>
          <w:sz w:val="24"/>
          <w:szCs w:val="20"/>
        </w:rPr>
        <w:lastRenderedPageBreak/>
        <w:t>Foxborough,</w:t>
      </w:r>
      <w:r w:rsidRPr="002712D6">
        <w:rPr>
          <w:rFonts w:ascii="Courier New" w:eastAsia="Times New Roman" w:hAnsi="Courier New"/>
          <w:sz w:val="24"/>
          <w:szCs w:val="20"/>
        </w:rPr>
        <w:t xml:space="preserve"> 385 Mass. 679, 683 (1982);</w:t>
      </w:r>
      <w:r w:rsidR="00AA7C38">
        <w:rPr>
          <w:rFonts w:ascii="Courier New" w:eastAsia="Times New Roman" w:hAnsi="Courier New"/>
          <w:b/>
          <w:i/>
          <w:sz w:val="24"/>
          <w:szCs w:val="20"/>
        </w:rPr>
        <w:t xml:space="preserve"> </w:t>
      </w:r>
      <w:r w:rsidRPr="002712D6">
        <w:rPr>
          <w:rFonts w:ascii="Courier New" w:eastAsia="Times New Roman" w:hAnsi="Courier New"/>
          <w:b/>
          <w:i/>
          <w:sz w:val="24"/>
          <w:szCs w:val="20"/>
        </w:rPr>
        <w:t>Assessors of Lynn v.</w:t>
      </w:r>
      <w:r w:rsidRPr="002712D6">
        <w:rPr>
          <w:rFonts w:ascii="Courier New" w:eastAsia="Times New Roman" w:hAnsi="Courier New"/>
          <w:sz w:val="24"/>
          <w:szCs w:val="20"/>
        </w:rPr>
        <w:t xml:space="preserve"> </w:t>
      </w:r>
      <w:r w:rsidRPr="002712D6">
        <w:rPr>
          <w:rFonts w:ascii="Courier New" w:eastAsia="Times New Roman" w:hAnsi="Courier New"/>
          <w:b/>
          <w:i/>
          <w:sz w:val="24"/>
          <w:szCs w:val="20"/>
        </w:rPr>
        <w:t>New England Oyster House, Inc.,</w:t>
      </w:r>
      <w:r w:rsidRPr="002712D6">
        <w:rPr>
          <w:rFonts w:ascii="Courier New" w:eastAsia="Times New Roman" w:hAnsi="Courier New"/>
          <w:sz w:val="24"/>
          <w:szCs w:val="20"/>
        </w:rPr>
        <w:t xml:space="preserve"> 362 Mass. 696, 702 (1972). </w:t>
      </w:r>
      <w:r w:rsidRPr="002712D6">
        <w:rPr>
          <w:rFonts w:ascii="Courier New" w:eastAsia="Times New Roman" w:hAnsi="Courier New" w:cs="Courier New"/>
          <w:sz w:val="24"/>
          <w:szCs w:val="24"/>
        </w:rPr>
        <w:t xml:space="preserve"> </w:t>
      </w:r>
    </w:p>
    <w:p w:rsidR="002712D6" w:rsidRPr="002712D6" w:rsidRDefault="002712D6" w:rsidP="00A76A5D">
      <w:pPr>
        <w:spacing w:after="0" w:line="480" w:lineRule="auto"/>
        <w:ind w:firstLine="720"/>
        <w:contextualSpacing/>
        <w:jc w:val="both"/>
        <w:rPr>
          <w:rFonts w:ascii="Courier New" w:eastAsia="Times New Roman" w:hAnsi="Courier New"/>
          <w:sz w:val="24"/>
          <w:szCs w:val="20"/>
        </w:rPr>
      </w:pPr>
      <w:r w:rsidRPr="002712D6">
        <w:rPr>
          <w:rFonts w:ascii="Courier New" w:eastAsia="Times New Roman" w:hAnsi="Courier New"/>
          <w:sz w:val="24"/>
          <w:szCs w:val="20"/>
        </w:rPr>
        <w:t>“</w:t>
      </w:r>
      <w:r w:rsidRPr="002712D6">
        <w:rPr>
          <w:rFonts w:ascii="Courier New" w:eastAsia="Times New Roman" w:hAnsi="Courier New" w:cs="Courier New"/>
          <w:sz w:val="24"/>
          <w:szCs w:val="20"/>
        </w:rPr>
        <w:t>‘</w:t>
      </w:r>
      <w:r w:rsidRPr="002712D6">
        <w:rPr>
          <w:rFonts w:ascii="Courier New" w:eastAsia="Times New Roman" w:hAnsi="Courier New"/>
          <w:sz w:val="24"/>
          <w:szCs w:val="20"/>
        </w:rPr>
        <w:t xml:space="preserve">The burden of proof is upon the [appellant] to make out its right as a matter of law to abatement of the tax.’”  </w:t>
      </w:r>
      <w:r w:rsidRPr="002712D6">
        <w:rPr>
          <w:rFonts w:ascii="Courier New" w:eastAsia="Times New Roman" w:hAnsi="Courier New"/>
          <w:b/>
          <w:i/>
          <w:sz w:val="24"/>
          <w:szCs w:val="20"/>
        </w:rPr>
        <w:t>Schlaiker v. Assessors of Great Barrington,</w:t>
      </w:r>
      <w:r w:rsidRPr="002712D6">
        <w:rPr>
          <w:rFonts w:ascii="Courier New" w:eastAsia="Times New Roman" w:hAnsi="Courier New"/>
          <w:sz w:val="24"/>
          <w:szCs w:val="20"/>
        </w:rPr>
        <w:t xml:space="preserve"> 365 Mass. 243, 245 (1974)</w:t>
      </w:r>
      <w:r w:rsidR="00AA7C38">
        <w:rPr>
          <w:rFonts w:ascii="Courier New" w:eastAsia="Times New Roman" w:hAnsi="Courier New"/>
          <w:sz w:val="24"/>
          <w:szCs w:val="20"/>
        </w:rPr>
        <w:t xml:space="preserve"> </w:t>
      </w:r>
      <w:r w:rsidRPr="002712D6">
        <w:rPr>
          <w:rFonts w:ascii="Courier New" w:eastAsia="Times New Roman" w:hAnsi="Courier New"/>
          <w:sz w:val="24"/>
          <w:szCs w:val="20"/>
        </w:rPr>
        <w:t>(quoting</w:t>
      </w:r>
      <w:r w:rsidRPr="002712D6">
        <w:rPr>
          <w:rFonts w:ascii="Courier New" w:eastAsia="Times New Roman" w:hAnsi="Courier New"/>
          <w:i/>
          <w:sz w:val="24"/>
          <w:szCs w:val="20"/>
        </w:rPr>
        <w:t xml:space="preserve"> </w:t>
      </w:r>
      <w:r w:rsidRPr="002712D6">
        <w:rPr>
          <w:rFonts w:ascii="Courier New" w:eastAsia="Times New Roman" w:hAnsi="Courier New"/>
          <w:b/>
          <w:i/>
          <w:sz w:val="24"/>
          <w:szCs w:val="20"/>
        </w:rPr>
        <w:t>Judson Freight Forwarding Co. v. Commonwealth</w:t>
      </w:r>
      <w:r w:rsidRPr="002712D6">
        <w:rPr>
          <w:rFonts w:ascii="Courier New" w:eastAsia="Times New Roman" w:hAnsi="Courier New"/>
          <w:sz w:val="24"/>
          <w:szCs w:val="20"/>
        </w:rPr>
        <w:t xml:space="preserve">, 242 Mass. 47, 55 (1922)).  In the present appeals, the Board found and ruled that the appellant </w:t>
      </w:r>
      <w:r w:rsidR="00C543BE">
        <w:rPr>
          <w:rFonts w:ascii="Courier New" w:eastAsia="Times New Roman" w:hAnsi="Courier New"/>
          <w:sz w:val="24"/>
          <w:szCs w:val="20"/>
        </w:rPr>
        <w:t>failed to offer persuasive, reliable evidence demonstrating a fair cash value for the subject property that was lower than that assessed.  According</w:t>
      </w:r>
      <w:r w:rsidR="00FF686E">
        <w:rPr>
          <w:rFonts w:ascii="Courier New" w:eastAsia="Times New Roman" w:hAnsi="Courier New"/>
          <w:sz w:val="24"/>
          <w:szCs w:val="20"/>
        </w:rPr>
        <w:t>ly</w:t>
      </w:r>
      <w:r w:rsidR="00C543BE">
        <w:rPr>
          <w:rFonts w:ascii="Courier New" w:eastAsia="Times New Roman" w:hAnsi="Courier New"/>
          <w:sz w:val="24"/>
          <w:szCs w:val="20"/>
        </w:rPr>
        <w:t xml:space="preserve">, the Board found and ruled that the appellant </w:t>
      </w:r>
      <w:r w:rsidR="00635DB6">
        <w:rPr>
          <w:rFonts w:ascii="Courier New" w:eastAsia="Times New Roman" w:hAnsi="Courier New"/>
          <w:sz w:val="24"/>
          <w:szCs w:val="20"/>
        </w:rPr>
        <w:t xml:space="preserve">did not meet </w:t>
      </w:r>
      <w:r w:rsidRPr="002712D6">
        <w:rPr>
          <w:rFonts w:ascii="Courier New" w:eastAsia="Times New Roman" w:hAnsi="Courier New"/>
          <w:sz w:val="24"/>
          <w:szCs w:val="20"/>
        </w:rPr>
        <w:t>its burden of proving that the subject proper</w:t>
      </w:r>
      <w:r w:rsidR="00C543BE">
        <w:rPr>
          <w:rFonts w:ascii="Courier New" w:eastAsia="Times New Roman" w:hAnsi="Courier New"/>
          <w:sz w:val="24"/>
          <w:szCs w:val="20"/>
        </w:rPr>
        <w:t xml:space="preserve">ty was overvalued </w:t>
      </w:r>
      <w:r w:rsidR="00AA7C38">
        <w:rPr>
          <w:rFonts w:ascii="Courier New" w:eastAsia="Times New Roman" w:hAnsi="Courier New"/>
          <w:sz w:val="24"/>
          <w:szCs w:val="20"/>
        </w:rPr>
        <w:t xml:space="preserve">for </w:t>
      </w:r>
      <w:r w:rsidR="00C543BE">
        <w:rPr>
          <w:rFonts w:ascii="Courier New" w:eastAsia="Times New Roman" w:hAnsi="Courier New"/>
          <w:sz w:val="24"/>
          <w:szCs w:val="20"/>
        </w:rPr>
        <w:t>t</w:t>
      </w:r>
      <w:r w:rsidR="003C0155">
        <w:rPr>
          <w:rFonts w:ascii="Courier New" w:eastAsia="Times New Roman" w:hAnsi="Courier New"/>
          <w:sz w:val="24"/>
          <w:szCs w:val="20"/>
        </w:rPr>
        <w:t xml:space="preserve">he fiscal year at issue, and </w:t>
      </w:r>
      <w:r w:rsidR="00C543BE">
        <w:rPr>
          <w:rFonts w:ascii="Courier New" w:eastAsia="Times New Roman" w:hAnsi="Courier New"/>
          <w:sz w:val="24"/>
          <w:szCs w:val="20"/>
        </w:rPr>
        <w:t xml:space="preserve">issued </w:t>
      </w:r>
      <w:r w:rsidR="00A63286">
        <w:rPr>
          <w:rFonts w:ascii="Courier New" w:eastAsia="Times New Roman" w:hAnsi="Courier New"/>
          <w:sz w:val="24"/>
          <w:szCs w:val="20"/>
        </w:rPr>
        <w:t xml:space="preserve">a decision </w:t>
      </w:r>
      <w:r w:rsidR="00C543BE">
        <w:rPr>
          <w:rFonts w:ascii="Courier New" w:eastAsia="Times New Roman" w:hAnsi="Courier New"/>
          <w:sz w:val="24"/>
          <w:szCs w:val="20"/>
        </w:rPr>
        <w:t xml:space="preserve">for the appellees in these appeals. </w:t>
      </w:r>
    </w:p>
    <w:p w:rsidR="002712D6" w:rsidRPr="002712D6" w:rsidRDefault="002712D6" w:rsidP="00A76A5D">
      <w:pPr>
        <w:spacing w:after="0" w:line="480" w:lineRule="auto"/>
        <w:ind w:firstLine="720"/>
        <w:contextualSpacing/>
        <w:jc w:val="both"/>
        <w:rPr>
          <w:rFonts w:ascii="Courier New" w:eastAsia="Times New Roman" w:hAnsi="Courier New"/>
          <w:sz w:val="24"/>
          <w:szCs w:val="20"/>
        </w:rPr>
      </w:pPr>
    </w:p>
    <w:p w:rsidR="002712D6" w:rsidRDefault="002712D6" w:rsidP="00A76A5D">
      <w:pPr>
        <w:spacing w:after="0" w:line="480" w:lineRule="auto"/>
        <w:contextualSpacing/>
        <w:jc w:val="both"/>
        <w:rPr>
          <w:rFonts w:ascii="Courier New" w:eastAsia="Times New Roman" w:hAnsi="Courier New"/>
          <w:b/>
          <w:sz w:val="24"/>
          <w:szCs w:val="20"/>
        </w:rPr>
      </w:pPr>
      <w:r w:rsidRPr="002712D6">
        <w:rPr>
          <w:rFonts w:ascii="Courier New" w:eastAsia="Times New Roman" w:hAnsi="Courier New"/>
          <w:b/>
          <w:sz w:val="24"/>
          <w:szCs w:val="20"/>
        </w:rPr>
        <w:t xml:space="preserve">   </w:t>
      </w:r>
      <w:r w:rsidRPr="002712D6">
        <w:rPr>
          <w:rFonts w:ascii="Courier New" w:eastAsia="Times New Roman" w:hAnsi="Courier New"/>
          <w:b/>
          <w:sz w:val="24"/>
          <w:szCs w:val="20"/>
        </w:rPr>
        <w:tab/>
      </w:r>
      <w:r w:rsidRPr="002712D6">
        <w:rPr>
          <w:rFonts w:ascii="Courier New" w:eastAsia="Times New Roman" w:hAnsi="Courier New"/>
          <w:b/>
          <w:sz w:val="24"/>
          <w:szCs w:val="20"/>
        </w:rPr>
        <w:tab/>
      </w:r>
      <w:r w:rsidRPr="002712D6">
        <w:rPr>
          <w:rFonts w:ascii="Courier New" w:eastAsia="Times New Roman" w:hAnsi="Courier New"/>
          <w:b/>
          <w:sz w:val="24"/>
          <w:szCs w:val="20"/>
        </w:rPr>
        <w:tab/>
      </w:r>
      <w:r w:rsidRPr="002712D6">
        <w:rPr>
          <w:rFonts w:ascii="Courier New" w:eastAsia="Times New Roman" w:hAnsi="Courier New"/>
          <w:b/>
          <w:sz w:val="24"/>
          <w:szCs w:val="20"/>
        </w:rPr>
        <w:tab/>
      </w:r>
      <w:r w:rsidRPr="002712D6">
        <w:rPr>
          <w:rFonts w:ascii="Courier New" w:eastAsia="Times New Roman" w:hAnsi="Courier New"/>
          <w:b/>
          <w:sz w:val="24"/>
          <w:szCs w:val="20"/>
        </w:rPr>
        <w:tab/>
        <w:t xml:space="preserve"> THE APPELLATE TAX BOARD</w:t>
      </w:r>
    </w:p>
    <w:p w:rsidR="008D16A7" w:rsidRPr="002712D6" w:rsidRDefault="008D16A7" w:rsidP="00A76A5D">
      <w:pPr>
        <w:spacing w:after="0" w:line="480" w:lineRule="auto"/>
        <w:contextualSpacing/>
        <w:jc w:val="both"/>
        <w:rPr>
          <w:rFonts w:ascii="Courier New" w:eastAsia="Times New Roman" w:hAnsi="Courier New"/>
          <w:b/>
          <w:sz w:val="24"/>
          <w:szCs w:val="20"/>
        </w:rPr>
      </w:pPr>
    </w:p>
    <w:p w:rsidR="002712D6" w:rsidRPr="002712D6" w:rsidRDefault="002712D6" w:rsidP="00A76A5D">
      <w:pPr>
        <w:spacing w:after="0" w:line="240" w:lineRule="auto"/>
        <w:contextualSpacing/>
        <w:jc w:val="both"/>
        <w:rPr>
          <w:rFonts w:ascii="Courier New" w:eastAsia="Times New Roman" w:hAnsi="Courier New"/>
          <w:b/>
          <w:sz w:val="24"/>
          <w:szCs w:val="20"/>
        </w:rPr>
      </w:pPr>
    </w:p>
    <w:p w:rsidR="002712D6" w:rsidRPr="002712D6" w:rsidRDefault="002712D6" w:rsidP="00A76A5D">
      <w:pPr>
        <w:spacing w:after="0" w:line="240" w:lineRule="auto"/>
        <w:contextualSpacing/>
        <w:jc w:val="both"/>
        <w:rPr>
          <w:rFonts w:ascii="Courier New" w:eastAsia="Times New Roman" w:hAnsi="Courier New"/>
          <w:b/>
          <w:sz w:val="24"/>
          <w:szCs w:val="20"/>
        </w:rPr>
      </w:pPr>
    </w:p>
    <w:p w:rsidR="002712D6" w:rsidRPr="002712D6" w:rsidRDefault="002712D6" w:rsidP="00A76A5D">
      <w:pPr>
        <w:keepNext/>
        <w:spacing w:after="0" w:line="240" w:lineRule="auto"/>
        <w:ind w:left="2160" w:firstLine="720"/>
        <w:contextualSpacing/>
        <w:jc w:val="both"/>
        <w:outlineLvl w:val="2"/>
        <w:rPr>
          <w:rFonts w:ascii="Courier New" w:eastAsia="Times New Roman" w:hAnsi="Courier New"/>
          <w:b/>
          <w:sz w:val="20"/>
          <w:szCs w:val="20"/>
        </w:rPr>
      </w:pPr>
      <w:r w:rsidRPr="002712D6">
        <w:rPr>
          <w:rFonts w:ascii="Courier New" w:eastAsia="Times New Roman" w:hAnsi="Courier New"/>
          <w:b/>
          <w:sz w:val="24"/>
          <w:szCs w:val="24"/>
        </w:rPr>
        <w:t xml:space="preserve">  By</w:t>
      </w:r>
      <w:r w:rsidRPr="002712D6">
        <w:rPr>
          <w:rFonts w:ascii="Courier New" w:eastAsia="Times New Roman" w:hAnsi="Courier New"/>
          <w:b/>
          <w:sz w:val="20"/>
          <w:szCs w:val="20"/>
        </w:rPr>
        <w:t>: ________________________________________</w:t>
      </w:r>
    </w:p>
    <w:p w:rsidR="002712D6" w:rsidRPr="002712D6" w:rsidRDefault="002712D6" w:rsidP="00A76A5D">
      <w:pPr>
        <w:spacing w:after="0" w:line="240" w:lineRule="auto"/>
        <w:ind w:left="3600"/>
        <w:contextualSpacing/>
        <w:jc w:val="both"/>
        <w:rPr>
          <w:rFonts w:ascii="Courier New" w:eastAsia="Times New Roman" w:hAnsi="Courier New"/>
          <w:b/>
          <w:sz w:val="24"/>
          <w:szCs w:val="20"/>
        </w:rPr>
      </w:pPr>
      <w:r w:rsidRPr="002712D6">
        <w:rPr>
          <w:rFonts w:ascii="Courier New" w:eastAsia="Times New Roman" w:hAnsi="Courier New"/>
          <w:b/>
          <w:sz w:val="24"/>
          <w:szCs w:val="20"/>
        </w:rPr>
        <w:t xml:space="preserve"> Thomas W. Hammond., Jr., Chairman</w:t>
      </w:r>
    </w:p>
    <w:p w:rsidR="002712D6" w:rsidRPr="002712D6" w:rsidRDefault="002712D6" w:rsidP="00A76A5D">
      <w:pPr>
        <w:spacing w:after="0" w:line="240" w:lineRule="auto"/>
        <w:contextualSpacing/>
        <w:jc w:val="both"/>
        <w:rPr>
          <w:rFonts w:ascii="Courier New" w:eastAsia="Times New Roman" w:hAnsi="Courier New"/>
          <w:b/>
          <w:sz w:val="24"/>
          <w:szCs w:val="20"/>
        </w:rPr>
      </w:pPr>
    </w:p>
    <w:p w:rsidR="005E2DF3" w:rsidRDefault="005E2DF3" w:rsidP="00A76A5D">
      <w:pPr>
        <w:spacing w:after="0" w:line="240" w:lineRule="auto"/>
        <w:contextualSpacing/>
        <w:jc w:val="both"/>
        <w:rPr>
          <w:rFonts w:ascii="Courier New" w:eastAsia="Times New Roman" w:hAnsi="Courier New"/>
          <w:b/>
          <w:sz w:val="24"/>
          <w:szCs w:val="20"/>
        </w:rPr>
      </w:pPr>
    </w:p>
    <w:p w:rsidR="005E2DF3" w:rsidRDefault="005E2DF3" w:rsidP="00A76A5D">
      <w:pPr>
        <w:spacing w:after="0" w:line="240" w:lineRule="auto"/>
        <w:contextualSpacing/>
        <w:jc w:val="both"/>
        <w:rPr>
          <w:rFonts w:ascii="Courier New" w:eastAsia="Times New Roman" w:hAnsi="Courier New"/>
          <w:b/>
          <w:sz w:val="24"/>
          <w:szCs w:val="20"/>
        </w:rPr>
      </w:pPr>
    </w:p>
    <w:p w:rsidR="00DE0251" w:rsidRPr="002712D6" w:rsidRDefault="00DE0251" w:rsidP="00DE0251">
      <w:pPr>
        <w:spacing w:after="0" w:line="240" w:lineRule="auto"/>
        <w:contextualSpacing/>
        <w:jc w:val="both"/>
        <w:rPr>
          <w:rFonts w:ascii="Courier New" w:eastAsia="Times New Roman" w:hAnsi="Courier New"/>
          <w:b/>
          <w:sz w:val="24"/>
          <w:szCs w:val="20"/>
        </w:rPr>
      </w:pPr>
      <w:r w:rsidRPr="002712D6">
        <w:rPr>
          <w:rFonts w:ascii="Courier New" w:eastAsia="Times New Roman" w:hAnsi="Courier New"/>
          <w:b/>
          <w:sz w:val="24"/>
          <w:szCs w:val="20"/>
        </w:rPr>
        <w:t>A true copy,</w:t>
      </w:r>
    </w:p>
    <w:p w:rsidR="00DE0251" w:rsidRPr="002712D6" w:rsidRDefault="00DE0251" w:rsidP="00DE0251">
      <w:pPr>
        <w:keepNext/>
        <w:spacing w:after="0" w:line="240" w:lineRule="auto"/>
        <w:contextualSpacing/>
        <w:jc w:val="both"/>
        <w:outlineLvl w:val="3"/>
        <w:rPr>
          <w:rFonts w:ascii="Courier New" w:eastAsia="Times New Roman" w:hAnsi="Courier New"/>
          <w:b/>
          <w:sz w:val="24"/>
          <w:szCs w:val="20"/>
        </w:rPr>
      </w:pPr>
    </w:p>
    <w:p w:rsidR="00DE0251" w:rsidRPr="002712D6" w:rsidRDefault="00DE0251" w:rsidP="00DE0251">
      <w:pPr>
        <w:keepNext/>
        <w:spacing w:after="0" w:line="240" w:lineRule="auto"/>
        <w:contextualSpacing/>
        <w:jc w:val="both"/>
        <w:outlineLvl w:val="3"/>
        <w:rPr>
          <w:rFonts w:ascii="Courier New" w:eastAsia="Times New Roman" w:hAnsi="Courier New"/>
          <w:b/>
          <w:sz w:val="24"/>
          <w:szCs w:val="20"/>
        </w:rPr>
      </w:pPr>
      <w:r w:rsidRPr="002712D6">
        <w:rPr>
          <w:rFonts w:ascii="Courier New" w:eastAsia="Times New Roman" w:hAnsi="Courier New"/>
          <w:b/>
          <w:sz w:val="24"/>
          <w:szCs w:val="20"/>
        </w:rPr>
        <w:t>Attest: ____________________________</w:t>
      </w:r>
    </w:p>
    <w:p w:rsidR="00DE0251" w:rsidRPr="002712D6" w:rsidRDefault="00DE0251" w:rsidP="00DE0251">
      <w:pPr>
        <w:keepNext/>
        <w:spacing w:after="0" w:line="480" w:lineRule="auto"/>
        <w:ind w:left="720" w:firstLine="720"/>
        <w:contextualSpacing/>
        <w:jc w:val="both"/>
        <w:outlineLvl w:val="0"/>
        <w:rPr>
          <w:rFonts w:ascii="Courier New" w:eastAsia="Times New Roman" w:hAnsi="Courier New"/>
          <w:b/>
          <w:sz w:val="24"/>
          <w:szCs w:val="20"/>
        </w:rPr>
      </w:pPr>
      <w:r>
        <w:rPr>
          <w:rFonts w:ascii="Courier New" w:eastAsia="Times New Roman" w:hAnsi="Courier New"/>
          <w:b/>
          <w:sz w:val="24"/>
          <w:szCs w:val="20"/>
        </w:rPr>
        <w:t xml:space="preserve"> </w:t>
      </w:r>
      <w:r w:rsidRPr="002712D6">
        <w:rPr>
          <w:rFonts w:ascii="Courier New" w:eastAsia="Times New Roman" w:hAnsi="Courier New"/>
          <w:b/>
          <w:sz w:val="24"/>
          <w:szCs w:val="20"/>
        </w:rPr>
        <w:t>Clerk of the Board</w:t>
      </w:r>
    </w:p>
    <w:p w:rsidR="008D0701" w:rsidRDefault="008D0701" w:rsidP="00A76A5D">
      <w:pPr>
        <w:spacing w:line="240" w:lineRule="auto"/>
        <w:contextualSpacing/>
        <w:jc w:val="both"/>
      </w:pPr>
    </w:p>
    <w:sectPr w:rsidR="008D0701" w:rsidSect="00DE0251">
      <w:footerReference w:type="default" r:id="rId9"/>
      <w:pgSz w:w="12240" w:h="15840"/>
      <w:pgMar w:top="1440" w:right="1440" w:bottom="1440" w:left="1440" w:header="720" w:footer="720" w:gutter="0"/>
      <w:pgNumType w:start="6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C5" w:rsidRDefault="00222FC5" w:rsidP="00222FC5">
      <w:pPr>
        <w:spacing w:after="0" w:line="240" w:lineRule="auto"/>
      </w:pPr>
      <w:r>
        <w:separator/>
      </w:r>
    </w:p>
  </w:endnote>
  <w:endnote w:type="continuationSeparator" w:id="0">
    <w:p w:rsidR="00222FC5" w:rsidRDefault="00222FC5" w:rsidP="0022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sz w:val="24"/>
        <w:szCs w:val="24"/>
      </w:rPr>
      <w:id w:val="1697108917"/>
      <w:docPartObj>
        <w:docPartGallery w:val="Page Numbers (Bottom of Page)"/>
        <w:docPartUnique/>
      </w:docPartObj>
    </w:sdtPr>
    <w:sdtEndPr>
      <w:rPr>
        <w:noProof/>
      </w:rPr>
    </w:sdtEndPr>
    <w:sdtContent>
      <w:p w:rsidR="00222FC5" w:rsidRPr="00DE0251" w:rsidRDefault="00DE0251">
        <w:pPr>
          <w:pStyle w:val="Footer"/>
          <w:jc w:val="center"/>
          <w:rPr>
            <w:rFonts w:ascii="Courier New" w:hAnsi="Courier New" w:cs="Courier New"/>
            <w:b/>
            <w:sz w:val="24"/>
            <w:szCs w:val="24"/>
          </w:rPr>
        </w:pPr>
        <w:r w:rsidRPr="00DE0251">
          <w:rPr>
            <w:rFonts w:ascii="Courier New" w:hAnsi="Courier New" w:cs="Courier New"/>
            <w:b/>
            <w:sz w:val="24"/>
            <w:szCs w:val="24"/>
          </w:rPr>
          <w:t>ATB 2018-</w:t>
        </w:r>
        <w:r w:rsidR="00222FC5" w:rsidRPr="00DE0251">
          <w:rPr>
            <w:rFonts w:ascii="Courier New" w:hAnsi="Courier New" w:cs="Courier New"/>
            <w:b/>
            <w:sz w:val="24"/>
            <w:szCs w:val="24"/>
          </w:rPr>
          <w:fldChar w:fldCharType="begin"/>
        </w:r>
        <w:r w:rsidR="00222FC5" w:rsidRPr="00DE0251">
          <w:rPr>
            <w:rFonts w:ascii="Courier New" w:hAnsi="Courier New" w:cs="Courier New"/>
            <w:b/>
            <w:sz w:val="24"/>
            <w:szCs w:val="24"/>
          </w:rPr>
          <w:instrText xml:space="preserve"> PAGE   \* MERGEFORMAT </w:instrText>
        </w:r>
        <w:r w:rsidR="00222FC5" w:rsidRPr="00DE0251">
          <w:rPr>
            <w:rFonts w:ascii="Courier New" w:hAnsi="Courier New" w:cs="Courier New"/>
            <w:b/>
            <w:sz w:val="24"/>
            <w:szCs w:val="24"/>
          </w:rPr>
          <w:fldChar w:fldCharType="separate"/>
        </w:r>
        <w:r w:rsidR="0064384F">
          <w:rPr>
            <w:rFonts w:ascii="Courier New" w:hAnsi="Courier New" w:cs="Courier New"/>
            <w:b/>
            <w:noProof/>
            <w:sz w:val="24"/>
            <w:szCs w:val="24"/>
          </w:rPr>
          <w:t>674</w:t>
        </w:r>
        <w:r w:rsidR="00222FC5" w:rsidRPr="00DE0251">
          <w:rPr>
            <w:rFonts w:ascii="Courier New" w:hAnsi="Courier New" w:cs="Courier New"/>
            <w:b/>
            <w:noProof/>
            <w:sz w:val="24"/>
            <w:szCs w:val="24"/>
          </w:rPr>
          <w:fldChar w:fldCharType="end"/>
        </w:r>
      </w:p>
    </w:sdtContent>
  </w:sdt>
  <w:p w:rsidR="00222FC5" w:rsidRDefault="00222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C5" w:rsidRDefault="00222FC5" w:rsidP="00222FC5">
      <w:pPr>
        <w:spacing w:after="0" w:line="240" w:lineRule="auto"/>
      </w:pPr>
      <w:r>
        <w:separator/>
      </w:r>
    </w:p>
  </w:footnote>
  <w:footnote w:type="continuationSeparator" w:id="0">
    <w:p w:rsidR="00222FC5" w:rsidRDefault="00222FC5" w:rsidP="00222FC5">
      <w:pPr>
        <w:spacing w:after="0" w:line="240" w:lineRule="auto"/>
      </w:pPr>
      <w:r>
        <w:continuationSeparator/>
      </w:r>
    </w:p>
  </w:footnote>
  <w:footnote w:id="1">
    <w:p w:rsidR="00BF5427" w:rsidRPr="002478E3" w:rsidRDefault="00BF5427" w:rsidP="002478E3">
      <w:pPr>
        <w:pStyle w:val="FootnoteText"/>
        <w:jc w:val="both"/>
        <w:rPr>
          <w:rFonts w:ascii="Courier New" w:hAnsi="Courier New"/>
        </w:rPr>
      </w:pPr>
      <w:r w:rsidRPr="002478E3">
        <w:rPr>
          <w:rStyle w:val="FootnoteReference"/>
          <w:rFonts w:ascii="Courier New" w:hAnsi="Courier New"/>
        </w:rPr>
        <w:footnoteRef/>
      </w:r>
      <w:r w:rsidRPr="002478E3">
        <w:rPr>
          <w:rFonts w:ascii="Courier New" w:hAnsi="Courier New"/>
        </w:rPr>
        <w:t xml:space="preserve"> At the conclusion of the appellant’s case, the assessors moved for a directed verdict, which the Chairman took under advisement</w:t>
      </w:r>
      <w:r w:rsidR="00080719">
        <w:rPr>
          <w:rFonts w:ascii="Courier New" w:hAnsi="Courier New"/>
        </w:rPr>
        <w:t>. Given the Board’s Decision for the appellee, the motion is moot</w:t>
      </w:r>
      <w:r w:rsidRPr="002478E3">
        <w:rPr>
          <w:rFonts w:ascii="Courier New" w:hAnsi="Courier New"/>
        </w:rPr>
        <w:t xml:space="preserve">.  </w:t>
      </w:r>
    </w:p>
  </w:footnote>
  <w:footnote w:id="2">
    <w:p w:rsidR="001B613C" w:rsidRPr="001B613C" w:rsidRDefault="001B613C" w:rsidP="001B613C">
      <w:pPr>
        <w:pStyle w:val="FootnoteText"/>
        <w:jc w:val="both"/>
        <w:rPr>
          <w:rFonts w:ascii="Courier New" w:hAnsi="Courier New" w:cs="Courier New"/>
        </w:rPr>
      </w:pPr>
      <w:r w:rsidRPr="001B613C">
        <w:rPr>
          <w:rStyle w:val="FootnoteReference"/>
          <w:rFonts w:ascii="Courier New" w:hAnsi="Courier New" w:cs="Courier New"/>
        </w:rPr>
        <w:footnoteRef/>
      </w:r>
      <w:r w:rsidRPr="001B613C">
        <w:rPr>
          <w:rFonts w:ascii="Courier New" w:hAnsi="Courier New" w:cs="Courier New"/>
        </w:rPr>
        <w:t xml:space="preserve"> The Fire District Tax was applicable only to property located in Montague.  The rate of $28.95 reflected in the table above </w:t>
      </w:r>
      <w:r w:rsidR="00C43BB3">
        <w:rPr>
          <w:rFonts w:ascii="Courier New" w:hAnsi="Courier New" w:cs="Courier New"/>
        </w:rPr>
        <w:t xml:space="preserve">is a combined rate that </w:t>
      </w:r>
      <w:r w:rsidRPr="001B613C">
        <w:rPr>
          <w:rFonts w:ascii="Courier New" w:hAnsi="Courier New" w:cs="Courier New"/>
        </w:rPr>
        <w:t>includes the property tax rate of $24.85 per thousand along with an additional $4.10 per thousand f</w:t>
      </w:r>
      <w:r w:rsidR="00C43BB3">
        <w:rPr>
          <w:rFonts w:ascii="Courier New" w:hAnsi="Courier New" w:cs="Courier New"/>
        </w:rPr>
        <w:t xml:space="preserve">or the Fire District Tax.  </w:t>
      </w:r>
    </w:p>
  </w:footnote>
  <w:footnote w:id="3">
    <w:p w:rsidR="00233295" w:rsidRPr="009C5909" w:rsidRDefault="00233295" w:rsidP="009C5909">
      <w:pPr>
        <w:pStyle w:val="FootnoteText"/>
        <w:jc w:val="both"/>
        <w:rPr>
          <w:rFonts w:ascii="Courier New" w:hAnsi="Courier New" w:cs="Courier New"/>
        </w:rPr>
      </w:pPr>
      <w:r w:rsidRPr="009C5909">
        <w:rPr>
          <w:rStyle w:val="FootnoteReference"/>
          <w:rFonts w:ascii="Courier New" w:hAnsi="Courier New" w:cs="Courier New"/>
        </w:rPr>
        <w:footnoteRef/>
      </w:r>
      <w:r w:rsidRPr="009C5909">
        <w:rPr>
          <w:rFonts w:ascii="Courier New" w:hAnsi="Courier New" w:cs="Courier New"/>
        </w:rPr>
        <w:t xml:space="preserve"> </w:t>
      </w:r>
      <w:r w:rsidR="003A3850" w:rsidRPr="009C5909">
        <w:rPr>
          <w:rFonts w:ascii="Courier New" w:hAnsi="Courier New" w:cs="Courier New"/>
        </w:rPr>
        <w:t>The subject property</w:t>
      </w:r>
      <w:r w:rsidRPr="009C5909">
        <w:rPr>
          <w:rFonts w:ascii="Courier New" w:hAnsi="Courier New" w:cs="Courier New"/>
        </w:rPr>
        <w:t xml:space="preserve"> also receive</w:t>
      </w:r>
      <w:r w:rsidR="003A3850" w:rsidRPr="009C5909">
        <w:rPr>
          <w:rFonts w:ascii="Courier New" w:hAnsi="Courier New" w:cs="Courier New"/>
        </w:rPr>
        <w:t>s</w:t>
      </w:r>
      <w:r w:rsidRPr="009C5909">
        <w:rPr>
          <w:rFonts w:ascii="Courier New" w:hAnsi="Courier New" w:cs="Courier New"/>
        </w:rPr>
        <w:t xml:space="preserve"> </w:t>
      </w:r>
      <w:r w:rsidRPr="009C5909">
        <w:rPr>
          <w:rFonts w:ascii="Courier New" w:hAnsi="Courier New" w:cs="Courier New"/>
          <w:i/>
        </w:rPr>
        <w:t>de minimis</w:t>
      </w:r>
      <w:r w:rsidRPr="009C5909">
        <w:rPr>
          <w:rFonts w:ascii="Courier New" w:hAnsi="Courier New" w:cs="Courier New"/>
        </w:rPr>
        <w:t xml:space="preserve"> income from land leases.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75D50"/>
    <w:multiLevelType w:val="hybridMultilevel"/>
    <w:tmpl w:val="E848900E"/>
    <w:lvl w:ilvl="0" w:tplc="2EDE58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A12E2A"/>
    <w:multiLevelType w:val="hybridMultilevel"/>
    <w:tmpl w:val="2EDC015C"/>
    <w:lvl w:ilvl="0" w:tplc="4A2CE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2"/>
    <w:rsid w:val="00000980"/>
    <w:rsid w:val="00012FF3"/>
    <w:rsid w:val="000324B4"/>
    <w:rsid w:val="00033A80"/>
    <w:rsid w:val="00036FF1"/>
    <w:rsid w:val="00043239"/>
    <w:rsid w:val="000439D4"/>
    <w:rsid w:val="0005323B"/>
    <w:rsid w:val="00062C86"/>
    <w:rsid w:val="000707E9"/>
    <w:rsid w:val="00073111"/>
    <w:rsid w:val="00073449"/>
    <w:rsid w:val="00080719"/>
    <w:rsid w:val="00080EC5"/>
    <w:rsid w:val="0008664E"/>
    <w:rsid w:val="00086664"/>
    <w:rsid w:val="0009453A"/>
    <w:rsid w:val="0009564E"/>
    <w:rsid w:val="000A464E"/>
    <w:rsid w:val="000B3EF6"/>
    <w:rsid w:val="000B79C7"/>
    <w:rsid w:val="000C32FD"/>
    <w:rsid w:val="000C3372"/>
    <w:rsid w:val="000C3849"/>
    <w:rsid w:val="000C6B0F"/>
    <w:rsid w:val="000D31D0"/>
    <w:rsid w:val="000E664B"/>
    <w:rsid w:val="000F23D6"/>
    <w:rsid w:val="00101964"/>
    <w:rsid w:val="00106165"/>
    <w:rsid w:val="00112E48"/>
    <w:rsid w:val="00115D8A"/>
    <w:rsid w:val="0012081A"/>
    <w:rsid w:val="00124018"/>
    <w:rsid w:val="00124A5F"/>
    <w:rsid w:val="00126EE2"/>
    <w:rsid w:val="0015166F"/>
    <w:rsid w:val="0015353B"/>
    <w:rsid w:val="0015393B"/>
    <w:rsid w:val="00160393"/>
    <w:rsid w:val="00163446"/>
    <w:rsid w:val="00164D0D"/>
    <w:rsid w:val="00170FF3"/>
    <w:rsid w:val="00171CB7"/>
    <w:rsid w:val="00176CAF"/>
    <w:rsid w:val="00182252"/>
    <w:rsid w:val="001A307A"/>
    <w:rsid w:val="001A35FE"/>
    <w:rsid w:val="001A3603"/>
    <w:rsid w:val="001A69B1"/>
    <w:rsid w:val="001B613C"/>
    <w:rsid w:val="001C31AB"/>
    <w:rsid w:val="001D012A"/>
    <w:rsid w:val="001E1FA3"/>
    <w:rsid w:val="00222FC5"/>
    <w:rsid w:val="00225928"/>
    <w:rsid w:val="002270F6"/>
    <w:rsid w:val="00227141"/>
    <w:rsid w:val="002318A8"/>
    <w:rsid w:val="00233295"/>
    <w:rsid w:val="00244105"/>
    <w:rsid w:val="002450C1"/>
    <w:rsid w:val="002478E3"/>
    <w:rsid w:val="00254D26"/>
    <w:rsid w:val="002611D9"/>
    <w:rsid w:val="002645A5"/>
    <w:rsid w:val="002646E0"/>
    <w:rsid w:val="00267F26"/>
    <w:rsid w:val="002712D6"/>
    <w:rsid w:val="00276365"/>
    <w:rsid w:val="00276903"/>
    <w:rsid w:val="00284050"/>
    <w:rsid w:val="00284F6B"/>
    <w:rsid w:val="00287131"/>
    <w:rsid w:val="002917F3"/>
    <w:rsid w:val="002933F0"/>
    <w:rsid w:val="002937BB"/>
    <w:rsid w:val="002B0508"/>
    <w:rsid w:val="002B47ED"/>
    <w:rsid w:val="002C09EB"/>
    <w:rsid w:val="002C643D"/>
    <w:rsid w:val="002D5C71"/>
    <w:rsid w:val="002F3130"/>
    <w:rsid w:val="002F49EF"/>
    <w:rsid w:val="002F4CCE"/>
    <w:rsid w:val="00305CF2"/>
    <w:rsid w:val="00306F80"/>
    <w:rsid w:val="0031753A"/>
    <w:rsid w:val="003316BF"/>
    <w:rsid w:val="00343F0D"/>
    <w:rsid w:val="00346464"/>
    <w:rsid w:val="00347A8E"/>
    <w:rsid w:val="00353009"/>
    <w:rsid w:val="00354878"/>
    <w:rsid w:val="003627A6"/>
    <w:rsid w:val="0036304E"/>
    <w:rsid w:val="003667DE"/>
    <w:rsid w:val="00374B66"/>
    <w:rsid w:val="003765C3"/>
    <w:rsid w:val="00380AF0"/>
    <w:rsid w:val="00387D7B"/>
    <w:rsid w:val="0039051B"/>
    <w:rsid w:val="003950B6"/>
    <w:rsid w:val="003A0893"/>
    <w:rsid w:val="003A3850"/>
    <w:rsid w:val="003A62B8"/>
    <w:rsid w:val="003A6467"/>
    <w:rsid w:val="003A70F8"/>
    <w:rsid w:val="003C0155"/>
    <w:rsid w:val="003C2FDD"/>
    <w:rsid w:val="003C52C6"/>
    <w:rsid w:val="003D2050"/>
    <w:rsid w:val="003E3E40"/>
    <w:rsid w:val="003E4C35"/>
    <w:rsid w:val="003F3075"/>
    <w:rsid w:val="003F39CA"/>
    <w:rsid w:val="00414FFF"/>
    <w:rsid w:val="00415322"/>
    <w:rsid w:val="004172EF"/>
    <w:rsid w:val="00421122"/>
    <w:rsid w:val="00423E17"/>
    <w:rsid w:val="00426F66"/>
    <w:rsid w:val="00432A13"/>
    <w:rsid w:val="00436754"/>
    <w:rsid w:val="00437188"/>
    <w:rsid w:val="004404B4"/>
    <w:rsid w:val="00447A8A"/>
    <w:rsid w:val="00457BAD"/>
    <w:rsid w:val="004611E4"/>
    <w:rsid w:val="00465C94"/>
    <w:rsid w:val="0047046A"/>
    <w:rsid w:val="00474BC6"/>
    <w:rsid w:val="004753E3"/>
    <w:rsid w:val="0047678B"/>
    <w:rsid w:val="00477333"/>
    <w:rsid w:val="004906D6"/>
    <w:rsid w:val="004911A0"/>
    <w:rsid w:val="004911D0"/>
    <w:rsid w:val="004A27D3"/>
    <w:rsid w:val="004B0B87"/>
    <w:rsid w:val="004C5378"/>
    <w:rsid w:val="004D2366"/>
    <w:rsid w:val="004D4002"/>
    <w:rsid w:val="004D4C33"/>
    <w:rsid w:val="004E2737"/>
    <w:rsid w:val="004F39DE"/>
    <w:rsid w:val="004F4BA3"/>
    <w:rsid w:val="00503509"/>
    <w:rsid w:val="0051015E"/>
    <w:rsid w:val="005112E6"/>
    <w:rsid w:val="00514795"/>
    <w:rsid w:val="005161A9"/>
    <w:rsid w:val="00517C59"/>
    <w:rsid w:val="0052102F"/>
    <w:rsid w:val="00530B3E"/>
    <w:rsid w:val="00533209"/>
    <w:rsid w:val="0053362C"/>
    <w:rsid w:val="005344D3"/>
    <w:rsid w:val="00535F00"/>
    <w:rsid w:val="00554567"/>
    <w:rsid w:val="00556C29"/>
    <w:rsid w:val="00561738"/>
    <w:rsid w:val="00563572"/>
    <w:rsid w:val="0056658C"/>
    <w:rsid w:val="005766B0"/>
    <w:rsid w:val="00580357"/>
    <w:rsid w:val="0058211A"/>
    <w:rsid w:val="00582A46"/>
    <w:rsid w:val="005831BB"/>
    <w:rsid w:val="00584BB4"/>
    <w:rsid w:val="005855F6"/>
    <w:rsid w:val="005874EC"/>
    <w:rsid w:val="005928F2"/>
    <w:rsid w:val="00593531"/>
    <w:rsid w:val="005A5DA1"/>
    <w:rsid w:val="005A75B5"/>
    <w:rsid w:val="005B74FE"/>
    <w:rsid w:val="005D2313"/>
    <w:rsid w:val="005D36B3"/>
    <w:rsid w:val="005D4B80"/>
    <w:rsid w:val="005D61D2"/>
    <w:rsid w:val="005D70F3"/>
    <w:rsid w:val="005E2570"/>
    <w:rsid w:val="005E2DF3"/>
    <w:rsid w:val="005E56C7"/>
    <w:rsid w:val="005E7266"/>
    <w:rsid w:val="005F055E"/>
    <w:rsid w:val="005F53C2"/>
    <w:rsid w:val="0060007E"/>
    <w:rsid w:val="00611B9B"/>
    <w:rsid w:val="00626775"/>
    <w:rsid w:val="00627DF6"/>
    <w:rsid w:val="00635DB6"/>
    <w:rsid w:val="00640B69"/>
    <w:rsid w:val="00643305"/>
    <w:rsid w:val="0064384F"/>
    <w:rsid w:val="00651ABF"/>
    <w:rsid w:val="00676701"/>
    <w:rsid w:val="00690A85"/>
    <w:rsid w:val="00692EF1"/>
    <w:rsid w:val="00694FD9"/>
    <w:rsid w:val="006A0236"/>
    <w:rsid w:val="006A04F9"/>
    <w:rsid w:val="006A19F6"/>
    <w:rsid w:val="006B7FE7"/>
    <w:rsid w:val="006C25E6"/>
    <w:rsid w:val="006C4A5E"/>
    <w:rsid w:val="006C6B4B"/>
    <w:rsid w:val="006C6E17"/>
    <w:rsid w:val="006F50F5"/>
    <w:rsid w:val="006F7010"/>
    <w:rsid w:val="00705627"/>
    <w:rsid w:val="0072296E"/>
    <w:rsid w:val="00724BFF"/>
    <w:rsid w:val="00735A10"/>
    <w:rsid w:val="00740E61"/>
    <w:rsid w:val="00743A6F"/>
    <w:rsid w:val="007449D8"/>
    <w:rsid w:val="00745FB3"/>
    <w:rsid w:val="0076149C"/>
    <w:rsid w:val="00773B64"/>
    <w:rsid w:val="007859B2"/>
    <w:rsid w:val="0079003A"/>
    <w:rsid w:val="007920A4"/>
    <w:rsid w:val="007A1108"/>
    <w:rsid w:val="007A291D"/>
    <w:rsid w:val="007A31E9"/>
    <w:rsid w:val="007B6AC5"/>
    <w:rsid w:val="007E3B53"/>
    <w:rsid w:val="007F12B6"/>
    <w:rsid w:val="007F3DF6"/>
    <w:rsid w:val="007F6797"/>
    <w:rsid w:val="0080475D"/>
    <w:rsid w:val="00804B8A"/>
    <w:rsid w:val="00805AFF"/>
    <w:rsid w:val="00815BE0"/>
    <w:rsid w:val="0082147B"/>
    <w:rsid w:val="0084156A"/>
    <w:rsid w:val="008427B3"/>
    <w:rsid w:val="00847572"/>
    <w:rsid w:val="00861285"/>
    <w:rsid w:val="00863711"/>
    <w:rsid w:val="00865664"/>
    <w:rsid w:val="008672E3"/>
    <w:rsid w:val="008714F5"/>
    <w:rsid w:val="0087266C"/>
    <w:rsid w:val="008776CD"/>
    <w:rsid w:val="00893590"/>
    <w:rsid w:val="008A085F"/>
    <w:rsid w:val="008B20F5"/>
    <w:rsid w:val="008B5EBF"/>
    <w:rsid w:val="008C6EE0"/>
    <w:rsid w:val="008C78BA"/>
    <w:rsid w:val="008D0701"/>
    <w:rsid w:val="008D16A7"/>
    <w:rsid w:val="008D51C7"/>
    <w:rsid w:val="008E069C"/>
    <w:rsid w:val="008E1DAF"/>
    <w:rsid w:val="008F1161"/>
    <w:rsid w:val="008F15DF"/>
    <w:rsid w:val="008F7DB7"/>
    <w:rsid w:val="00900801"/>
    <w:rsid w:val="0090777B"/>
    <w:rsid w:val="009106F5"/>
    <w:rsid w:val="009134C3"/>
    <w:rsid w:val="0093178B"/>
    <w:rsid w:val="00931AFF"/>
    <w:rsid w:val="00931BE1"/>
    <w:rsid w:val="00941812"/>
    <w:rsid w:val="00941EE0"/>
    <w:rsid w:val="00942710"/>
    <w:rsid w:val="00942F93"/>
    <w:rsid w:val="00944D30"/>
    <w:rsid w:val="00953C0E"/>
    <w:rsid w:val="00956046"/>
    <w:rsid w:val="009679E8"/>
    <w:rsid w:val="00976274"/>
    <w:rsid w:val="00983A9C"/>
    <w:rsid w:val="009872B7"/>
    <w:rsid w:val="00992B06"/>
    <w:rsid w:val="009A130E"/>
    <w:rsid w:val="009B541C"/>
    <w:rsid w:val="009C5909"/>
    <w:rsid w:val="009D2CE1"/>
    <w:rsid w:val="009D745B"/>
    <w:rsid w:val="009E2C36"/>
    <w:rsid w:val="009E30C6"/>
    <w:rsid w:val="009E47C9"/>
    <w:rsid w:val="009E56AB"/>
    <w:rsid w:val="009F0667"/>
    <w:rsid w:val="009F2E66"/>
    <w:rsid w:val="009F34E4"/>
    <w:rsid w:val="00A02EA7"/>
    <w:rsid w:val="00A049A2"/>
    <w:rsid w:val="00A14B1A"/>
    <w:rsid w:val="00A26870"/>
    <w:rsid w:val="00A3055C"/>
    <w:rsid w:val="00A32CAA"/>
    <w:rsid w:val="00A40D8B"/>
    <w:rsid w:val="00A411DE"/>
    <w:rsid w:val="00A443BF"/>
    <w:rsid w:val="00A45588"/>
    <w:rsid w:val="00A536AB"/>
    <w:rsid w:val="00A56277"/>
    <w:rsid w:val="00A56CB2"/>
    <w:rsid w:val="00A60667"/>
    <w:rsid w:val="00A63286"/>
    <w:rsid w:val="00A65DBE"/>
    <w:rsid w:val="00A713F1"/>
    <w:rsid w:val="00A76A5D"/>
    <w:rsid w:val="00A814B5"/>
    <w:rsid w:val="00A8563C"/>
    <w:rsid w:val="00A9131D"/>
    <w:rsid w:val="00A9318A"/>
    <w:rsid w:val="00A94693"/>
    <w:rsid w:val="00AA1737"/>
    <w:rsid w:val="00AA413F"/>
    <w:rsid w:val="00AA7C38"/>
    <w:rsid w:val="00AB2A58"/>
    <w:rsid w:val="00AB2C4E"/>
    <w:rsid w:val="00AC3659"/>
    <w:rsid w:val="00AC38CC"/>
    <w:rsid w:val="00AC585F"/>
    <w:rsid w:val="00AC7E0B"/>
    <w:rsid w:val="00AE2B6F"/>
    <w:rsid w:val="00AE4044"/>
    <w:rsid w:val="00AE4A12"/>
    <w:rsid w:val="00AE53DA"/>
    <w:rsid w:val="00AF01F4"/>
    <w:rsid w:val="00AF07D6"/>
    <w:rsid w:val="00AF4A6C"/>
    <w:rsid w:val="00B04DA3"/>
    <w:rsid w:val="00B068D9"/>
    <w:rsid w:val="00B07DC0"/>
    <w:rsid w:val="00B16CBC"/>
    <w:rsid w:val="00B32121"/>
    <w:rsid w:val="00B327D5"/>
    <w:rsid w:val="00B33712"/>
    <w:rsid w:val="00B35725"/>
    <w:rsid w:val="00B37B16"/>
    <w:rsid w:val="00B42D02"/>
    <w:rsid w:val="00B43B8D"/>
    <w:rsid w:val="00B539A1"/>
    <w:rsid w:val="00B5601A"/>
    <w:rsid w:val="00B614E3"/>
    <w:rsid w:val="00B66679"/>
    <w:rsid w:val="00B73627"/>
    <w:rsid w:val="00B75C77"/>
    <w:rsid w:val="00B86365"/>
    <w:rsid w:val="00B912E6"/>
    <w:rsid w:val="00BB1AF7"/>
    <w:rsid w:val="00BB73A6"/>
    <w:rsid w:val="00BC100E"/>
    <w:rsid w:val="00BC1867"/>
    <w:rsid w:val="00BC7C4A"/>
    <w:rsid w:val="00BD0671"/>
    <w:rsid w:val="00BD4EDD"/>
    <w:rsid w:val="00BD524D"/>
    <w:rsid w:val="00BD683B"/>
    <w:rsid w:val="00BF5427"/>
    <w:rsid w:val="00BF6D29"/>
    <w:rsid w:val="00C20A0A"/>
    <w:rsid w:val="00C2224B"/>
    <w:rsid w:val="00C25C2D"/>
    <w:rsid w:val="00C30D8C"/>
    <w:rsid w:val="00C312AE"/>
    <w:rsid w:val="00C32E5E"/>
    <w:rsid w:val="00C359B1"/>
    <w:rsid w:val="00C36C3D"/>
    <w:rsid w:val="00C4163F"/>
    <w:rsid w:val="00C41ECF"/>
    <w:rsid w:val="00C43BB3"/>
    <w:rsid w:val="00C43C84"/>
    <w:rsid w:val="00C44E73"/>
    <w:rsid w:val="00C52026"/>
    <w:rsid w:val="00C520F5"/>
    <w:rsid w:val="00C522E5"/>
    <w:rsid w:val="00C543BE"/>
    <w:rsid w:val="00C71C48"/>
    <w:rsid w:val="00C72B1B"/>
    <w:rsid w:val="00CA09E2"/>
    <w:rsid w:val="00CA5765"/>
    <w:rsid w:val="00CC52A6"/>
    <w:rsid w:val="00CD47EE"/>
    <w:rsid w:val="00CE203C"/>
    <w:rsid w:val="00CE23B1"/>
    <w:rsid w:val="00CE4AA7"/>
    <w:rsid w:val="00D03219"/>
    <w:rsid w:val="00D3178E"/>
    <w:rsid w:val="00D322BB"/>
    <w:rsid w:val="00D326C3"/>
    <w:rsid w:val="00D33D35"/>
    <w:rsid w:val="00D44BF6"/>
    <w:rsid w:val="00D544F2"/>
    <w:rsid w:val="00D645C7"/>
    <w:rsid w:val="00D6587A"/>
    <w:rsid w:val="00D6661F"/>
    <w:rsid w:val="00D66E58"/>
    <w:rsid w:val="00D836FF"/>
    <w:rsid w:val="00D83A81"/>
    <w:rsid w:val="00D901DA"/>
    <w:rsid w:val="00D920D5"/>
    <w:rsid w:val="00D93D49"/>
    <w:rsid w:val="00D95EAB"/>
    <w:rsid w:val="00DA02C0"/>
    <w:rsid w:val="00DA1999"/>
    <w:rsid w:val="00DA398F"/>
    <w:rsid w:val="00DA40D4"/>
    <w:rsid w:val="00DA764C"/>
    <w:rsid w:val="00DB1830"/>
    <w:rsid w:val="00DB3DDB"/>
    <w:rsid w:val="00DB46CD"/>
    <w:rsid w:val="00DB5561"/>
    <w:rsid w:val="00DB6030"/>
    <w:rsid w:val="00DD1FED"/>
    <w:rsid w:val="00DD4E16"/>
    <w:rsid w:val="00DD6100"/>
    <w:rsid w:val="00DE0251"/>
    <w:rsid w:val="00DE151A"/>
    <w:rsid w:val="00DE16A8"/>
    <w:rsid w:val="00DE42AA"/>
    <w:rsid w:val="00DE4ACC"/>
    <w:rsid w:val="00DE7CF1"/>
    <w:rsid w:val="00DF0470"/>
    <w:rsid w:val="00DF79E1"/>
    <w:rsid w:val="00E05647"/>
    <w:rsid w:val="00E13A63"/>
    <w:rsid w:val="00E2317F"/>
    <w:rsid w:val="00E435CC"/>
    <w:rsid w:val="00E4408A"/>
    <w:rsid w:val="00E51A52"/>
    <w:rsid w:val="00E6228F"/>
    <w:rsid w:val="00E64110"/>
    <w:rsid w:val="00E67BBD"/>
    <w:rsid w:val="00E70F96"/>
    <w:rsid w:val="00E763E9"/>
    <w:rsid w:val="00E80D9B"/>
    <w:rsid w:val="00E87431"/>
    <w:rsid w:val="00EA0D8F"/>
    <w:rsid w:val="00EA4803"/>
    <w:rsid w:val="00EA6C97"/>
    <w:rsid w:val="00EB0994"/>
    <w:rsid w:val="00EB25CF"/>
    <w:rsid w:val="00EB353B"/>
    <w:rsid w:val="00EC2973"/>
    <w:rsid w:val="00EC58C5"/>
    <w:rsid w:val="00ED4EF7"/>
    <w:rsid w:val="00EE1E80"/>
    <w:rsid w:val="00EF0841"/>
    <w:rsid w:val="00EF11A9"/>
    <w:rsid w:val="00EF1C57"/>
    <w:rsid w:val="00F03264"/>
    <w:rsid w:val="00F06E54"/>
    <w:rsid w:val="00F164D2"/>
    <w:rsid w:val="00F209D2"/>
    <w:rsid w:val="00F27FC5"/>
    <w:rsid w:val="00F37FD8"/>
    <w:rsid w:val="00F41DAB"/>
    <w:rsid w:val="00F434F0"/>
    <w:rsid w:val="00F65D71"/>
    <w:rsid w:val="00F702D2"/>
    <w:rsid w:val="00F70660"/>
    <w:rsid w:val="00F7144C"/>
    <w:rsid w:val="00F7283C"/>
    <w:rsid w:val="00F8681C"/>
    <w:rsid w:val="00F94A62"/>
    <w:rsid w:val="00FA3141"/>
    <w:rsid w:val="00FA4F43"/>
    <w:rsid w:val="00FB2817"/>
    <w:rsid w:val="00FC1697"/>
    <w:rsid w:val="00FD3297"/>
    <w:rsid w:val="00FD65F9"/>
    <w:rsid w:val="00FE05F3"/>
    <w:rsid w:val="00FE0A66"/>
    <w:rsid w:val="00FE73FE"/>
    <w:rsid w:val="00F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4D2"/>
    <w:pPr>
      <w:spacing w:after="160" w:line="25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FC5"/>
    <w:rPr>
      <w:rFonts w:eastAsiaTheme="minorEastAsia" w:cs="Times New Roman"/>
    </w:rPr>
  </w:style>
  <w:style w:type="paragraph" w:styleId="Footer">
    <w:name w:val="footer"/>
    <w:basedOn w:val="Normal"/>
    <w:link w:val="FooterChar"/>
    <w:uiPriority w:val="99"/>
    <w:unhideWhenUsed/>
    <w:rsid w:val="00222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FC5"/>
    <w:rPr>
      <w:rFonts w:eastAsiaTheme="minorEastAsia" w:cs="Times New Roman"/>
    </w:rPr>
  </w:style>
  <w:style w:type="table" w:styleId="TableGrid">
    <w:name w:val="Table Grid"/>
    <w:basedOn w:val="TableNormal"/>
    <w:uiPriority w:val="59"/>
    <w:rsid w:val="0017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53A"/>
    <w:pPr>
      <w:ind w:left="720"/>
      <w:contextualSpacing/>
    </w:pPr>
  </w:style>
  <w:style w:type="paragraph" w:styleId="FootnoteText">
    <w:name w:val="footnote text"/>
    <w:basedOn w:val="Normal"/>
    <w:link w:val="FootnoteTextChar"/>
    <w:uiPriority w:val="99"/>
    <w:semiHidden/>
    <w:unhideWhenUsed/>
    <w:rsid w:val="00913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4C3"/>
    <w:rPr>
      <w:rFonts w:eastAsiaTheme="minorEastAsia" w:cs="Times New Roman"/>
      <w:sz w:val="20"/>
      <w:szCs w:val="20"/>
    </w:rPr>
  </w:style>
  <w:style w:type="character" w:styleId="FootnoteReference">
    <w:name w:val="footnote reference"/>
    <w:basedOn w:val="DefaultParagraphFont"/>
    <w:uiPriority w:val="99"/>
    <w:semiHidden/>
    <w:unhideWhenUsed/>
    <w:rsid w:val="009134C3"/>
    <w:rPr>
      <w:vertAlign w:val="superscript"/>
    </w:rPr>
  </w:style>
  <w:style w:type="paragraph" w:styleId="BalloonText">
    <w:name w:val="Balloon Text"/>
    <w:basedOn w:val="Normal"/>
    <w:link w:val="BalloonTextChar"/>
    <w:uiPriority w:val="99"/>
    <w:semiHidden/>
    <w:unhideWhenUsed/>
    <w:rsid w:val="00DE0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5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4D2"/>
    <w:pPr>
      <w:spacing w:after="160" w:line="25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FC5"/>
    <w:rPr>
      <w:rFonts w:eastAsiaTheme="minorEastAsia" w:cs="Times New Roman"/>
    </w:rPr>
  </w:style>
  <w:style w:type="paragraph" w:styleId="Footer">
    <w:name w:val="footer"/>
    <w:basedOn w:val="Normal"/>
    <w:link w:val="FooterChar"/>
    <w:uiPriority w:val="99"/>
    <w:unhideWhenUsed/>
    <w:rsid w:val="00222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FC5"/>
    <w:rPr>
      <w:rFonts w:eastAsiaTheme="minorEastAsia" w:cs="Times New Roman"/>
    </w:rPr>
  </w:style>
  <w:style w:type="table" w:styleId="TableGrid">
    <w:name w:val="Table Grid"/>
    <w:basedOn w:val="TableNormal"/>
    <w:uiPriority w:val="59"/>
    <w:rsid w:val="0017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53A"/>
    <w:pPr>
      <w:ind w:left="720"/>
      <w:contextualSpacing/>
    </w:pPr>
  </w:style>
  <w:style w:type="paragraph" w:styleId="FootnoteText">
    <w:name w:val="footnote text"/>
    <w:basedOn w:val="Normal"/>
    <w:link w:val="FootnoteTextChar"/>
    <w:uiPriority w:val="99"/>
    <w:semiHidden/>
    <w:unhideWhenUsed/>
    <w:rsid w:val="00913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4C3"/>
    <w:rPr>
      <w:rFonts w:eastAsiaTheme="minorEastAsia" w:cs="Times New Roman"/>
      <w:sz w:val="20"/>
      <w:szCs w:val="20"/>
    </w:rPr>
  </w:style>
  <w:style w:type="character" w:styleId="FootnoteReference">
    <w:name w:val="footnote reference"/>
    <w:basedOn w:val="DefaultParagraphFont"/>
    <w:uiPriority w:val="99"/>
    <w:semiHidden/>
    <w:unhideWhenUsed/>
    <w:rsid w:val="009134C3"/>
    <w:rPr>
      <w:vertAlign w:val="superscript"/>
    </w:rPr>
  </w:style>
  <w:style w:type="paragraph" w:styleId="BalloonText">
    <w:name w:val="Balloon Text"/>
    <w:basedOn w:val="Normal"/>
    <w:link w:val="BalloonTextChar"/>
    <w:uiPriority w:val="99"/>
    <w:semiHidden/>
    <w:unhideWhenUsed/>
    <w:rsid w:val="00DE0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5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045">
      <w:bodyDiv w:val="1"/>
      <w:marLeft w:val="0"/>
      <w:marRight w:val="0"/>
      <w:marTop w:val="0"/>
      <w:marBottom w:val="0"/>
      <w:divBdr>
        <w:top w:val="none" w:sz="0" w:space="0" w:color="auto"/>
        <w:left w:val="none" w:sz="0" w:space="0" w:color="auto"/>
        <w:bottom w:val="none" w:sz="0" w:space="0" w:color="auto"/>
        <w:right w:val="none" w:sz="0" w:space="0" w:color="auto"/>
      </w:divBdr>
    </w:div>
    <w:div w:id="267201683">
      <w:bodyDiv w:val="1"/>
      <w:marLeft w:val="0"/>
      <w:marRight w:val="0"/>
      <w:marTop w:val="0"/>
      <w:marBottom w:val="0"/>
      <w:divBdr>
        <w:top w:val="none" w:sz="0" w:space="0" w:color="auto"/>
        <w:left w:val="none" w:sz="0" w:space="0" w:color="auto"/>
        <w:bottom w:val="none" w:sz="0" w:space="0" w:color="auto"/>
        <w:right w:val="none" w:sz="0" w:space="0" w:color="auto"/>
      </w:divBdr>
    </w:div>
    <w:div w:id="827748717">
      <w:bodyDiv w:val="1"/>
      <w:marLeft w:val="0"/>
      <w:marRight w:val="0"/>
      <w:marTop w:val="0"/>
      <w:marBottom w:val="0"/>
      <w:divBdr>
        <w:top w:val="none" w:sz="0" w:space="0" w:color="auto"/>
        <w:left w:val="none" w:sz="0" w:space="0" w:color="auto"/>
        <w:bottom w:val="none" w:sz="0" w:space="0" w:color="auto"/>
        <w:right w:val="none" w:sz="0" w:space="0" w:color="auto"/>
      </w:divBdr>
    </w:div>
    <w:div w:id="11791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B24D-F872-498C-9C6B-0DA0BFB4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2018-12-10T14:22:00Z</cp:lastPrinted>
  <dcterms:created xsi:type="dcterms:W3CDTF">2018-12-10T15:12:00Z</dcterms:created>
  <dcterms:modified xsi:type="dcterms:W3CDTF">2018-12-10T15:12:00Z</dcterms:modified>
</cp:coreProperties>
</file>