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922DAF" w14:textId="77777777" w:rsidR="00400468" w:rsidRDefault="0000094F" w:rsidP="00400468">
      <w:pPr>
        <w:widowControl w:val="0"/>
        <w:autoSpaceDE w:val="0"/>
        <w:autoSpaceDN w:val="0"/>
        <w:adjustRightInd w:val="0"/>
        <w:spacing w:after="0" w:line="240" w:lineRule="auto"/>
        <w:ind w:left="160"/>
        <w:jc w:val="center"/>
        <w:rPr>
          <w:rFonts w:ascii="Calibri" w:hAnsi="Calibri" w:cs="Calibri"/>
          <w:color w:val="FFFFFF"/>
          <w:sz w:val="50"/>
          <w:szCs w:val="50"/>
        </w:rPr>
      </w:pPr>
      <w:bookmarkStart w:id="0" w:name="_GoBack"/>
      <w:bookmarkEnd w:id="0"/>
      <w:r>
        <w:rPr>
          <w:noProof/>
        </w:rPr>
        <w:drawing>
          <wp:anchor distT="0" distB="0" distL="114300" distR="114300" simplePos="0" relativeHeight="251708416" behindDoc="1" locked="0" layoutInCell="1" allowOverlap="1" wp14:anchorId="0F7DD992" wp14:editId="6A105CB3">
            <wp:simplePos x="0" y="0"/>
            <wp:positionH relativeFrom="column">
              <wp:posOffset>-914400</wp:posOffset>
            </wp:positionH>
            <wp:positionV relativeFrom="paragraph">
              <wp:posOffset>-906145</wp:posOffset>
            </wp:positionV>
            <wp:extent cx="7757795" cy="10049510"/>
            <wp:effectExtent l="0" t="0" r="0" b="8890"/>
            <wp:wrapTight wrapText="bothSides">
              <wp:wrapPolygon edited="0">
                <wp:start x="0" y="0"/>
                <wp:lineTo x="0" y="21578"/>
                <wp:lineTo x="21535" y="21578"/>
                <wp:lineTo x="21535" y="0"/>
                <wp:lineTo x="0" y="0"/>
              </wp:wrapPolygon>
            </wp:wrapTight>
            <wp:docPr id="5" name="Picture 5" descr="C:\Users\DPersaud\Desktop\FY19 Recs 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Persaud\Desktop\FY19 Recs Cove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7795" cy="10049510"/>
                    </a:xfrm>
                    <a:prstGeom prst="rect">
                      <a:avLst/>
                    </a:prstGeom>
                    <a:noFill/>
                    <a:ln>
                      <a:noFill/>
                    </a:ln>
                  </pic:spPr>
                </pic:pic>
              </a:graphicData>
            </a:graphic>
          </wp:anchor>
        </w:drawing>
      </w:r>
    </w:p>
    <w:p w14:paraId="3BEF57F5" w14:textId="77777777" w:rsidR="00400468" w:rsidRDefault="00400468" w:rsidP="00400468">
      <w:pPr>
        <w:spacing w:after="0"/>
        <w:rPr>
          <w:rFonts w:ascii="Arial" w:hAnsi="Arial" w:cs="Arial"/>
          <w:i/>
        </w:rPr>
      </w:pPr>
    </w:p>
    <w:p w14:paraId="680E337C" w14:textId="77777777" w:rsidR="00400468" w:rsidRDefault="00400468" w:rsidP="00400468">
      <w:pPr>
        <w:spacing w:after="0"/>
        <w:rPr>
          <w:rFonts w:ascii="Arial" w:hAnsi="Arial" w:cs="Arial"/>
          <w:i/>
        </w:rPr>
      </w:pPr>
    </w:p>
    <w:p w14:paraId="03DA01F4" w14:textId="77777777" w:rsidR="00400468" w:rsidRDefault="00400468" w:rsidP="00400468">
      <w:pPr>
        <w:spacing w:after="0"/>
        <w:rPr>
          <w:rFonts w:ascii="Arial" w:hAnsi="Arial" w:cs="Arial"/>
          <w:i/>
        </w:rPr>
      </w:pPr>
    </w:p>
    <w:p w14:paraId="5D89A250" w14:textId="77777777" w:rsidR="00400468" w:rsidRDefault="00400468" w:rsidP="00400468">
      <w:pPr>
        <w:spacing w:after="0"/>
        <w:rPr>
          <w:rFonts w:ascii="Arial" w:hAnsi="Arial" w:cs="Arial"/>
          <w:i/>
        </w:rPr>
      </w:pPr>
    </w:p>
    <w:p w14:paraId="0424CB81" w14:textId="77777777" w:rsidR="00400468" w:rsidRDefault="00400468" w:rsidP="00400468">
      <w:pPr>
        <w:spacing w:after="0"/>
        <w:rPr>
          <w:rFonts w:ascii="Arial" w:hAnsi="Arial" w:cs="Arial"/>
          <w:i/>
        </w:rPr>
      </w:pPr>
    </w:p>
    <w:p w14:paraId="129FD1AF" w14:textId="77777777" w:rsidR="00400468" w:rsidRDefault="00400468" w:rsidP="00400468">
      <w:pPr>
        <w:spacing w:after="0"/>
        <w:rPr>
          <w:rFonts w:ascii="Arial" w:hAnsi="Arial" w:cs="Arial"/>
          <w:i/>
        </w:rPr>
      </w:pPr>
    </w:p>
    <w:p w14:paraId="183BD46F" w14:textId="77777777" w:rsidR="00400468" w:rsidRDefault="00400468" w:rsidP="00400468">
      <w:pPr>
        <w:spacing w:after="0"/>
        <w:rPr>
          <w:rFonts w:ascii="Arial" w:hAnsi="Arial" w:cs="Arial"/>
          <w:i/>
        </w:rPr>
      </w:pPr>
    </w:p>
    <w:p w14:paraId="4A516018" w14:textId="77777777" w:rsidR="00400468" w:rsidRDefault="00400468" w:rsidP="00400468">
      <w:pPr>
        <w:spacing w:after="0"/>
        <w:rPr>
          <w:rFonts w:ascii="Arial" w:hAnsi="Arial" w:cs="Arial"/>
          <w:i/>
        </w:rPr>
      </w:pPr>
    </w:p>
    <w:p w14:paraId="2EE05448" w14:textId="77777777" w:rsidR="00400468" w:rsidRDefault="00400468" w:rsidP="00400468">
      <w:pPr>
        <w:spacing w:after="0"/>
        <w:rPr>
          <w:rFonts w:ascii="Arial" w:hAnsi="Arial" w:cs="Arial"/>
          <w:i/>
        </w:rPr>
      </w:pPr>
    </w:p>
    <w:p w14:paraId="6F0E26A5" w14:textId="77777777" w:rsidR="00400468" w:rsidRDefault="00400468" w:rsidP="00400468">
      <w:pPr>
        <w:spacing w:after="0"/>
        <w:rPr>
          <w:rFonts w:ascii="Arial" w:hAnsi="Arial" w:cs="Arial"/>
          <w:i/>
        </w:rPr>
      </w:pPr>
    </w:p>
    <w:p w14:paraId="0CED75A4" w14:textId="77777777" w:rsidR="00F4671B" w:rsidRDefault="00F4671B" w:rsidP="00400468">
      <w:pPr>
        <w:spacing w:after="0"/>
        <w:rPr>
          <w:rFonts w:ascii="Arial" w:hAnsi="Arial" w:cs="Arial"/>
          <w:i/>
        </w:rPr>
      </w:pPr>
    </w:p>
    <w:p w14:paraId="0DCDAE56" w14:textId="77777777" w:rsidR="00BB06A6" w:rsidRDefault="00BB06A6" w:rsidP="00400468">
      <w:pPr>
        <w:spacing w:after="0"/>
        <w:rPr>
          <w:rFonts w:ascii="Arial" w:hAnsi="Arial" w:cs="Arial"/>
          <w:i/>
        </w:rPr>
      </w:pPr>
    </w:p>
    <w:p w14:paraId="63D6FDB5" w14:textId="77777777" w:rsidR="00400468" w:rsidRDefault="00400468" w:rsidP="00400468">
      <w:pPr>
        <w:spacing w:after="0"/>
        <w:rPr>
          <w:rFonts w:ascii="Arial" w:hAnsi="Arial" w:cs="Arial"/>
          <w:i/>
        </w:rPr>
      </w:pPr>
    </w:p>
    <w:p w14:paraId="4887E3A1" w14:textId="4382EB4E" w:rsidR="00A27B98" w:rsidRDefault="00A27B98" w:rsidP="00400468">
      <w:pPr>
        <w:spacing w:after="0"/>
        <w:rPr>
          <w:rFonts w:ascii="Arial" w:hAnsi="Arial" w:cs="Arial"/>
          <w:i/>
        </w:rPr>
      </w:pPr>
    </w:p>
    <w:p w14:paraId="20347D51" w14:textId="77777777" w:rsidR="00400468" w:rsidRDefault="00400468" w:rsidP="00400468">
      <w:pPr>
        <w:spacing w:after="0"/>
        <w:rPr>
          <w:rFonts w:ascii="Arial" w:hAnsi="Arial" w:cs="Arial"/>
          <w:i/>
        </w:rPr>
      </w:pPr>
    </w:p>
    <w:p w14:paraId="18B86080" w14:textId="77777777" w:rsidR="00400468" w:rsidRPr="00A07650" w:rsidRDefault="00400468" w:rsidP="00A07650">
      <w:pPr>
        <w:spacing w:after="0"/>
        <w:jc w:val="both"/>
        <w:rPr>
          <w:rFonts w:ascii="Arial" w:hAnsi="Arial" w:cs="Arial"/>
          <w:i/>
          <w:sz w:val="20"/>
          <w:szCs w:val="20"/>
        </w:rPr>
      </w:pPr>
      <w:r w:rsidRPr="00A07650">
        <w:rPr>
          <w:rFonts w:ascii="Arial" w:hAnsi="Arial" w:cs="Arial"/>
          <w:i/>
          <w:sz w:val="20"/>
          <w:szCs w:val="20"/>
        </w:rPr>
        <w:t xml:space="preserve">The Massachusetts Commission on Lesbian, Gay, Bisexual, Transgender, Queer, and Questioning (LGBTQ) Youth is established by law as an independent agency of the Commonwealth to recommend to all branches of state government effective policies, programs, and resources for LGBTQ youth to thrive. </w:t>
      </w:r>
      <w:r w:rsidR="00B90AA2">
        <w:rPr>
          <w:rFonts w:ascii="Arial" w:hAnsi="Arial" w:cs="Arial"/>
          <w:i/>
          <w:sz w:val="20"/>
          <w:szCs w:val="20"/>
        </w:rPr>
        <w:t>Per its legislative authority, the Commission works closely with the agencies to which it issues nonbinding recommendations to receive their input and assist them in achieving the goals that the Commission has set. The Commission</w:t>
      </w:r>
      <w:r w:rsidRPr="00A07650">
        <w:rPr>
          <w:rFonts w:ascii="Arial" w:hAnsi="Arial" w:cs="Arial"/>
          <w:i/>
          <w:sz w:val="20"/>
          <w:szCs w:val="20"/>
        </w:rPr>
        <w:t xml:space="preserve"> was originally founded as the Governor’s Commission on Gay and Lesbian Youth was in 1992 in response to high suicide rates among gay and lesbian young people</w:t>
      </w:r>
      <w:r w:rsidR="00B90AA2">
        <w:rPr>
          <w:rFonts w:ascii="Arial" w:hAnsi="Arial" w:cs="Arial"/>
          <w:i/>
          <w:sz w:val="20"/>
          <w:szCs w:val="20"/>
        </w:rPr>
        <w:t>, and was reestablished by the legislature as an independent commission in 2006</w:t>
      </w:r>
      <w:r w:rsidRPr="00A07650">
        <w:rPr>
          <w:rFonts w:ascii="Arial" w:hAnsi="Arial" w:cs="Arial"/>
          <w:i/>
          <w:sz w:val="20"/>
          <w:szCs w:val="20"/>
        </w:rPr>
        <w:t xml:space="preserve"> (Act of Jul. 1, 2006, Ch. 139 §4, codified in Mass. Gen. Laws Ch. 3 §67). Twenty-</w:t>
      </w:r>
      <w:r w:rsidR="005463A9" w:rsidRPr="00A07650">
        <w:rPr>
          <w:rFonts w:ascii="Arial" w:hAnsi="Arial" w:cs="Arial"/>
          <w:i/>
          <w:sz w:val="20"/>
          <w:szCs w:val="20"/>
        </w:rPr>
        <w:t>six</w:t>
      </w:r>
      <w:r w:rsidRPr="00A07650">
        <w:rPr>
          <w:rFonts w:ascii="Arial" w:hAnsi="Arial" w:cs="Arial"/>
          <w:i/>
          <w:sz w:val="20"/>
          <w:szCs w:val="20"/>
        </w:rPr>
        <w:t xml:space="preserve"> years after the creation of the original Governor’s Commission, </w:t>
      </w:r>
      <w:r w:rsidR="00B90AA2">
        <w:rPr>
          <w:rFonts w:ascii="Arial" w:hAnsi="Arial" w:cs="Arial"/>
          <w:i/>
          <w:sz w:val="20"/>
          <w:szCs w:val="20"/>
        </w:rPr>
        <w:t>it</w:t>
      </w:r>
      <w:r w:rsidRPr="00A07650">
        <w:rPr>
          <w:rFonts w:ascii="Arial" w:hAnsi="Arial" w:cs="Arial"/>
          <w:i/>
          <w:sz w:val="20"/>
          <w:szCs w:val="20"/>
        </w:rPr>
        <w:t xml:space="preserve"> remain</w:t>
      </w:r>
      <w:r w:rsidR="00B90AA2">
        <w:rPr>
          <w:rFonts w:ascii="Arial" w:hAnsi="Arial" w:cs="Arial"/>
          <w:i/>
          <w:sz w:val="20"/>
          <w:szCs w:val="20"/>
        </w:rPr>
        <w:t>s</w:t>
      </w:r>
      <w:r w:rsidRPr="00A07650">
        <w:rPr>
          <w:rFonts w:ascii="Arial" w:hAnsi="Arial" w:cs="Arial"/>
          <w:i/>
          <w:sz w:val="20"/>
          <w:szCs w:val="20"/>
        </w:rPr>
        <w:t xml:space="preserve"> the first and only such statewide commission in the country.</w:t>
      </w:r>
    </w:p>
    <w:p w14:paraId="57AB32AF" w14:textId="77777777" w:rsidR="005463A9" w:rsidRDefault="005463A9" w:rsidP="00BB06A6">
      <w:pPr>
        <w:spacing w:after="0"/>
        <w:jc w:val="both"/>
        <w:rPr>
          <w:rFonts w:ascii="Arial" w:hAnsi="Arial" w:cs="Arial"/>
          <w:i/>
        </w:rPr>
      </w:pPr>
    </w:p>
    <w:p w14:paraId="33005FAC" w14:textId="6B2025A3" w:rsidR="00411ECA" w:rsidRPr="00BB06A6" w:rsidRDefault="00411ECA" w:rsidP="00BB06A6">
      <w:pPr>
        <w:spacing w:after="0"/>
        <w:jc w:val="both"/>
        <w:rPr>
          <w:rFonts w:ascii="Arial" w:hAnsi="Arial" w:cs="Arial"/>
        </w:rPr>
      </w:pPr>
      <w:r w:rsidRPr="00BB06A6">
        <w:rPr>
          <w:rFonts w:ascii="Arial" w:hAnsi="Arial" w:cs="Arial"/>
          <w:b/>
        </w:rPr>
        <w:t>Recommended citation:</w:t>
      </w:r>
      <w:r w:rsidRPr="00BB06A6">
        <w:rPr>
          <w:rFonts w:ascii="Arial" w:hAnsi="Arial" w:cs="Arial"/>
        </w:rPr>
        <w:t xml:space="preserve"> Massachusetts Commission on Lesbian, Gay, Bisexual, Transgender, Queer, and Questioning Youth. (2018). </w:t>
      </w:r>
      <w:r w:rsidRPr="00BB06A6">
        <w:rPr>
          <w:rFonts w:ascii="Arial" w:hAnsi="Arial" w:cs="Arial"/>
          <w:i/>
        </w:rPr>
        <w:t>Massachusetts Commission on LGBTQ Youth: 2019 Fiscal Year Recommendations</w:t>
      </w:r>
      <w:r w:rsidRPr="00BB06A6">
        <w:rPr>
          <w:rFonts w:ascii="Arial" w:hAnsi="Arial" w:cs="Arial"/>
        </w:rPr>
        <w:t>. Retrieved from https://www.mass.gov/annual-recommendations</w:t>
      </w:r>
    </w:p>
    <w:p w14:paraId="17A809EB" w14:textId="77777777" w:rsidR="00411ECA" w:rsidRPr="00BB06A6" w:rsidRDefault="00411ECA" w:rsidP="00BB06A6">
      <w:pPr>
        <w:spacing w:after="0"/>
        <w:jc w:val="both"/>
        <w:rPr>
          <w:rFonts w:ascii="Arial" w:hAnsi="Arial" w:cs="Arial"/>
        </w:rPr>
      </w:pPr>
    </w:p>
    <w:p w14:paraId="182FAB87" w14:textId="2833788B" w:rsidR="00411ECA" w:rsidRPr="00BB06A6" w:rsidRDefault="00411ECA" w:rsidP="00BB06A6">
      <w:pPr>
        <w:spacing w:after="0"/>
        <w:jc w:val="both"/>
        <w:rPr>
          <w:rFonts w:ascii="Arial" w:hAnsi="Arial" w:cs="Arial"/>
        </w:rPr>
      </w:pPr>
      <w:r w:rsidRPr="00BB06A6">
        <w:rPr>
          <w:rFonts w:ascii="Arial" w:hAnsi="Arial" w:cs="Arial"/>
        </w:rPr>
        <w:t>Primary authors</w:t>
      </w:r>
      <w:r w:rsidR="00BB06A6" w:rsidRPr="00BB06A6">
        <w:rPr>
          <w:rFonts w:ascii="Arial" w:hAnsi="Arial" w:cs="Arial"/>
        </w:rPr>
        <w:t xml:space="preserve"> (alphabetically): Jessica Hillman, </w:t>
      </w:r>
      <w:r w:rsidR="001170A8">
        <w:rPr>
          <w:rFonts w:ascii="Arial" w:hAnsi="Arial" w:cs="Arial"/>
        </w:rPr>
        <w:t>Pedro</w:t>
      </w:r>
      <w:r w:rsidR="00BB06A6" w:rsidRPr="00BB06A6">
        <w:rPr>
          <w:rFonts w:ascii="Arial" w:hAnsi="Arial" w:cs="Arial"/>
        </w:rPr>
        <w:t xml:space="preserve"> Orta, and Corey Prachniak-Rincón</w:t>
      </w:r>
    </w:p>
    <w:p w14:paraId="7AE002FB" w14:textId="77777777" w:rsidR="00BB06A6" w:rsidRPr="00BB06A6" w:rsidRDefault="00BB06A6" w:rsidP="00BB06A6">
      <w:pPr>
        <w:spacing w:after="0"/>
        <w:jc w:val="both"/>
        <w:rPr>
          <w:rFonts w:ascii="Arial" w:hAnsi="Arial" w:cs="Arial"/>
        </w:rPr>
      </w:pPr>
    </w:p>
    <w:p w14:paraId="45A28F1D" w14:textId="459947DB" w:rsidR="00BB06A6" w:rsidRPr="00BB06A6" w:rsidRDefault="00BB06A6" w:rsidP="00BB06A6">
      <w:pPr>
        <w:spacing w:after="0"/>
        <w:jc w:val="both"/>
        <w:rPr>
          <w:rFonts w:ascii="Arial" w:hAnsi="Arial" w:cs="Arial"/>
        </w:rPr>
      </w:pPr>
      <w:r w:rsidRPr="00BB06A6">
        <w:rPr>
          <w:rFonts w:ascii="Arial" w:hAnsi="Arial" w:cs="Arial"/>
        </w:rPr>
        <w:t>Contributors (alphabetically): Sasha Goodfriend, Briana Mendoza, Alexander Nally, Jeff Perrotti, Dharani Persaud, and Jason Wheeler</w:t>
      </w:r>
    </w:p>
    <w:p w14:paraId="1089F76A" w14:textId="77777777" w:rsidR="00BB06A6" w:rsidRPr="00BB06A6" w:rsidRDefault="00BB06A6" w:rsidP="00BB06A6">
      <w:pPr>
        <w:spacing w:after="0"/>
        <w:jc w:val="both"/>
        <w:rPr>
          <w:rFonts w:ascii="Arial" w:hAnsi="Arial" w:cs="Arial"/>
        </w:rPr>
      </w:pPr>
    </w:p>
    <w:p w14:paraId="25C47802" w14:textId="6A272AC8" w:rsidR="00BB06A6" w:rsidRDefault="00BB06A6" w:rsidP="00BB06A6">
      <w:pPr>
        <w:spacing w:after="0"/>
        <w:jc w:val="both"/>
        <w:rPr>
          <w:rFonts w:ascii="Arial" w:hAnsi="Arial" w:cs="Arial"/>
        </w:rPr>
      </w:pPr>
      <w:r w:rsidRPr="00BB06A6">
        <w:rPr>
          <w:rFonts w:ascii="Arial" w:hAnsi="Arial" w:cs="Arial"/>
        </w:rPr>
        <w:t>The Com</w:t>
      </w:r>
      <w:r w:rsidR="001170A8">
        <w:rPr>
          <w:rFonts w:ascii="Arial" w:hAnsi="Arial" w:cs="Arial"/>
        </w:rPr>
        <w:t>mission is also grateful to the youth, C</w:t>
      </w:r>
      <w:r w:rsidRPr="00BB06A6">
        <w:rPr>
          <w:rFonts w:ascii="Arial" w:hAnsi="Arial" w:cs="Arial"/>
        </w:rPr>
        <w:t xml:space="preserve">ommission members, agency liaisons, community partners, </w:t>
      </w:r>
      <w:r w:rsidR="001170A8">
        <w:rPr>
          <w:rFonts w:ascii="Arial" w:hAnsi="Arial" w:cs="Arial"/>
        </w:rPr>
        <w:t xml:space="preserve">and </w:t>
      </w:r>
      <w:r w:rsidRPr="00BB06A6">
        <w:rPr>
          <w:rFonts w:ascii="Arial" w:hAnsi="Arial" w:cs="Arial"/>
        </w:rPr>
        <w:t>families</w:t>
      </w:r>
      <w:r w:rsidR="001170A8">
        <w:rPr>
          <w:rFonts w:ascii="Arial" w:hAnsi="Arial" w:cs="Arial"/>
        </w:rPr>
        <w:t xml:space="preserve"> </w:t>
      </w:r>
      <w:r w:rsidRPr="00BB06A6">
        <w:rPr>
          <w:rFonts w:ascii="Arial" w:hAnsi="Arial" w:cs="Arial"/>
        </w:rPr>
        <w:t>who offered their voices and feedback</w:t>
      </w:r>
      <w:r>
        <w:rPr>
          <w:rFonts w:ascii="Arial" w:hAnsi="Arial" w:cs="Arial"/>
        </w:rPr>
        <w:t xml:space="preserve"> on this document.</w:t>
      </w:r>
    </w:p>
    <w:p w14:paraId="6AE29755" w14:textId="77777777" w:rsidR="00BB06A6" w:rsidRDefault="00BB06A6" w:rsidP="00BB06A6">
      <w:pPr>
        <w:spacing w:after="0"/>
        <w:jc w:val="both"/>
        <w:rPr>
          <w:rFonts w:ascii="Arial" w:hAnsi="Arial" w:cs="Arial"/>
        </w:rPr>
      </w:pPr>
    </w:p>
    <w:p w14:paraId="1D26DF93" w14:textId="7A10C61D" w:rsidR="00BB06A6" w:rsidRPr="00BB06A6" w:rsidRDefault="00BB06A6" w:rsidP="00BB06A6">
      <w:pPr>
        <w:spacing w:after="0"/>
        <w:jc w:val="both"/>
        <w:rPr>
          <w:rFonts w:ascii="Arial" w:hAnsi="Arial" w:cs="Arial"/>
        </w:rPr>
        <w:sectPr w:rsidR="00BB06A6" w:rsidRPr="00BB06A6">
          <w:footerReference w:type="default" r:id="rId10"/>
          <w:endnotePr>
            <w:numFmt w:val="decimal"/>
          </w:endnotePr>
          <w:pgSz w:w="12240" w:h="15840"/>
          <w:pgMar w:top="1440" w:right="1440" w:bottom="1440" w:left="1440" w:header="720" w:footer="0" w:gutter="0"/>
          <w:cols w:space="720"/>
          <w:docGrid w:linePitch="360"/>
        </w:sectPr>
      </w:pPr>
      <w:r w:rsidRPr="00BB06A6">
        <w:rPr>
          <w:rFonts w:ascii="Arial" w:hAnsi="Arial" w:cs="Arial"/>
        </w:rPr>
        <w:t>For print copies, permissions, and other inquiries, contact corey.prachniak-rincon@state.ma.us.</w:t>
      </w:r>
    </w:p>
    <w:p w14:paraId="5C87F2A2" w14:textId="77777777" w:rsidR="00BB06A6" w:rsidRPr="00BB06A6" w:rsidRDefault="00BB06A6" w:rsidP="00A07650">
      <w:pPr>
        <w:spacing w:after="0"/>
        <w:rPr>
          <w:rFonts w:ascii="Arial" w:hAnsi="Arial" w:cs="Arial"/>
        </w:rPr>
      </w:pPr>
    </w:p>
    <w:p w14:paraId="5DC43B50" w14:textId="77777777" w:rsidR="00A27B98" w:rsidRPr="00BB06A6" w:rsidRDefault="00A27B98" w:rsidP="00A07650">
      <w:pPr>
        <w:spacing w:after="0"/>
        <w:rPr>
          <w:rFonts w:ascii="Arial" w:hAnsi="Arial" w:cs="Arial"/>
        </w:rPr>
      </w:pPr>
      <w:r w:rsidRPr="00BB06A6">
        <w:rPr>
          <w:rFonts w:ascii="Arial" w:hAnsi="Arial" w:cs="Arial"/>
        </w:rPr>
        <w:t>Commission on LGBTQ Youth</w:t>
      </w:r>
      <w:r w:rsidRPr="00BB06A6">
        <w:rPr>
          <w:rFonts w:ascii="Arial" w:hAnsi="Arial" w:cs="Arial"/>
        </w:rPr>
        <w:tab/>
      </w:r>
    </w:p>
    <w:p w14:paraId="4C2460CD" w14:textId="77777777" w:rsidR="00A27B98" w:rsidRPr="00BB06A6" w:rsidRDefault="00A27B98" w:rsidP="00A07650">
      <w:pPr>
        <w:spacing w:after="0"/>
        <w:rPr>
          <w:rFonts w:ascii="Arial" w:hAnsi="Arial" w:cs="Arial"/>
        </w:rPr>
      </w:pPr>
      <w:r w:rsidRPr="00BB06A6">
        <w:rPr>
          <w:rFonts w:ascii="Arial" w:hAnsi="Arial" w:cs="Arial"/>
        </w:rPr>
        <w:t>250 Washington Street, DPH 4</w:t>
      </w:r>
      <w:r w:rsidRPr="00BB06A6">
        <w:rPr>
          <w:rFonts w:ascii="Arial" w:hAnsi="Arial" w:cs="Arial"/>
          <w:vertAlign w:val="superscript"/>
        </w:rPr>
        <w:t>th</w:t>
      </w:r>
      <w:r w:rsidRPr="00BB06A6">
        <w:rPr>
          <w:rFonts w:ascii="Arial" w:hAnsi="Arial" w:cs="Arial"/>
        </w:rPr>
        <w:t xml:space="preserve"> Floor</w:t>
      </w:r>
      <w:r w:rsidR="005463A9" w:rsidRPr="00BB06A6">
        <w:rPr>
          <w:rFonts w:ascii="Arial" w:hAnsi="Arial" w:cs="Arial"/>
        </w:rPr>
        <w:tab/>
      </w:r>
    </w:p>
    <w:p w14:paraId="2AA2722A" w14:textId="77777777" w:rsidR="00A27B98" w:rsidRPr="00BB06A6" w:rsidRDefault="00A27B98" w:rsidP="00A07650">
      <w:pPr>
        <w:spacing w:after="0"/>
        <w:rPr>
          <w:rFonts w:ascii="Arial" w:hAnsi="Arial" w:cs="Arial"/>
        </w:rPr>
      </w:pPr>
      <w:r w:rsidRPr="00BB06A6">
        <w:rPr>
          <w:rFonts w:ascii="Arial" w:hAnsi="Arial" w:cs="Arial"/>
        </w:rPr>
        <w:t>Boston, MA 02108</w:t>
      </w:r>
      <w:r w:rsidRPr="00BB06A6">
        <w:rPr>
          <w:rFonts w:ascii="Arial" w:hAnsi="Arial" w:cs="Arial"/>
        </w:rPr>
        <w:tab/>
      </w:r>
    </w:p>
    <w:p w14:paraId="350278FE" w14:textId="77777777" w:rsidR="00A27B98" w:rsidRPr="00BB06A6" w:rsidRDefault="00A27B98" w:rsidP="00A07650">
      <w:pPr>
        <w:spacing w:after="0"/>
        <w:rPr>
          <w:rFonts w:ascii="Arial" w:hAnsi="Arial" w:cs="Arial"/>
        </w:rPr>
      </w:pPr>
      <w:r w:rsidRPr="00BB06A6">
        <w:rPr>
          <w:rFonts w:ascii="Arial" w:hAnsi="Arial" w:cs="Arial"/>
        </w:rPr>
        <w:t xml:space="preserve">(617) 624-5495 </w:t>
      </w:r>
    </w:p>
    <w:p w14:paraId="6674116F" w14:textId="77777777" w:rsidR="00BB06A6" w:rsidRPr="00BB06A6" w:rsidRDefault="00BB06A6" w:rsidP="00A07650">
      <w:pPr>
        <w:spacing w:after="0"/>
        <w:jc w:val="right"/>
        <w:rPr>
          <w:rFonts w:ascii="Arial" w:hAnsi="Arial" w:cs="Arial"/>
        </w:rPr>
      </w:pPr>
    </w:p>
    <w:p w14:paraId="3AE889E8" w14:textId="77777777" w:rsidR="00400468" w:rsidRPr="00BB06A6" w:rsidRDefault="00400468" w:rsidP="00A07650">
      <w:pPr>
        <w:spacing w:after="0"/>
        <w:jc w:val="right"/>
        <w:rPr>
          <w:rFonts w:ascii="Arial" w:hAnsi="Arial" w:cs="Arial"/>
        </w:rPr>
      </w:pPr>
      <w:r w:rsidRPr="00BB06A6">
        <w:rPr>
          <w:rFonts w:ascii="Arial" w:hAnsi="Arial" w:cs="Arial"/>
        </w:rPr>
        <w:t>Facebook.com/masslgbtqyouth</w:t>
      </w:r>
    </w:p>
    <w:p w14:paraId="05FF56C3" w14:textId="77777777" w:rsidR="00A27B98" w:rsidRPr="00BB06A6" w:rsidRDefault="00A27B98" w:rsidP="00A07650">
      <w:pPr>
        <w:spacing w:after="0"/>
        <w:jc w:val="right"/>
        <w:rPr>
          <w:rFonts w:ascii="Arial" w:hAnsi="Arial" w:cs="Arial"/>
        </w:rPr>
      </w:pPr>
      <w:r w:rsidRPr="00BB06A6">
        <w:rPr>
          <w:rFonts w:ascii="Arial" w:hAnsi="Arial" w:cs="Arial"/>
        </w:rPr>
        <w:t>Twitter @masslgbqyouth</w:t>
      </w:r>
    </w:p>
    <w:p w14:paraId="2FB02346" w14:textId="77777777" w:rsidR="00400468" w:rsidRPr="00BB06A6" w:rsidRDefault="00400468" w:rsidP="00A07650">
      <w:pPr>
        <w:spacing w:after="0"/>
        <w:jc w:val="right"/>
        <w:rPr>
          <w:rFonts w:ascii="Arial" w:hAnsi="Arial" w:cs="Arial"/>
        </w:rPr>
      </w:pPr>
      <w:r w:rsidRPr="00BB06A6">
        <w:rPr>
          <w:rFonts w:ascii="Arial" w:hAnsi="Arial" w:cs="Arial"/>
        </w:rPr>
        <w:tab/>
        <w:t>Instagram @masslgbqyouth</w:t>
      </w:r>
    </w:p>
    <w:p w14:paraId="7FF7B1BF" w14:textId="2ED465DC" w:rsidR="005463A9" w:rsidRPr="00BB06A6" w:rsidRDefault="00BB06A6" w:rsidP="00BB06A6">
      <w:pPr>
        <w:spacing w:after="0"/>
        <w:jc w:val="right"/>
        <w:rPr>
          <w:rFonts w:ascii="Arial" w:hAnsi="Arial" w:cs="Arial"/>
        </w:rPr>
        <w:sectPr w:rsidR="005463A9" w:rsidRPr="00BB06A6">
          <w:endnotePr>
            <w:numFmt w:val="decimal"/>
          </w:endnotePr>
          <w:type w:val="continuous"/>
          <w:pgSz w:w="12240" w:h="15840"/>
          <w:pgMar w:top="1440" w:right="1440" w:bottom="1440" w:left="1440" w:header="720" w:footer="0" w:gutter="0"/>
          <w:cols w:num="2" w:space="720"/>
          <w:docGrid w:linePitch="360"/>
        </w:sectPr>
      </w:pPr>
      <w:r>
        <w:rPr>
          <w:rFonts w:ascii="Arial" w:hAnsi="Arial" w:cs="Arial"/>
        </w:rPr>
        <w:t>http://mass.gov/cgly</w:t>
      </w:r>
    </w:p>
    <w:p w14:paraId="2FD8071C" w14:textId="4A3E1C11" w:rsidR="00C93A16" w:rsidRPr="00C93A16" w:rsidRDefault="00C93A16" w:rsidP="00E10B73">
      <w:pPr>
        <w:spacing w:after="0"/>
        <w:jc w:val="both"/>
        <w:rPr>
          <w:rFonts w:ascii="Arial" w:hAnsi="Arial" w:cs="Arial"/>
          <w:b/>
          <w:sz w:val="28"/>
          <w:szCs w:val="28"/>
        </w:rPr>
      </w:pPr>
    </w:p>
    <w:sdt>
      <w:sdtPr>
        <w:rPr>
          <w:rFonts w:asciiTheme="minorHAnsi" w:eastAsiaTheme="minorHAnsi" w:hAnsiTheme="minorHAnsi" w:cs="Arial"/>
          <w:b/>
          <w:bCs w:val="0"/>
          <w:caps/>
          <w:color w:val="auto"/>
          <w:sz w:val="22"/>
          <w:szCs w:val="22"/>
        </w:rPr>
        <w:id w:val="2096048514"/>
        <w:docPartObj>
          <w:docPartGallery w:val="Table of Contents"/>
          <w:docPartUnique/>
        </w:docPartObj>
      </w:sdtPr>
      <w:sdtEndPr>
        <w:rPr>
          <w:rFonts w:eastAsiaTheme="minorEastAsia" w:cstheme="minorHAnsi"/>
          <w:bCs/>
          <w:noProof/>
        </w:rPr>
      </w:sdtEndPr>
      <w:sdtContent>
        <w:p w14:paraId="0D95875B" w14:textId="77777777" w:rsidR="0000094F" w:rsidRPr="0000094F" w:rsidRDefault="0000094F" w:rsidP="0000094F">
          <w:pPr>
            <w:pStyle w:val="TOCHeading"/>
            <w:jc w:val="center"/>
            <w:rPr>
              <w:rFonts w:cs="Arial"/>
              <w:b/>
              <w:sz w:val="32"/>
              <w:szCs w:val="32"/>
            </w:rPr>
          </w:pPr>
          <w:r>
            <w:rPr>
              <w:noProof/>
            </w:rPr>
            <w:drawing>
              <wp:anchor distT="0" distB="0" distL="114300" distR="114300" simplePos="0" relativeHeight="251710464" behindDoc="1" locked="0" layoutInCell="0" allowOverlap="1" wp14:anchorId="10C134BE" wp14:editId="5F111E36">
                <wp:simplePos x="0" y="0"/>
                <wp:positionH relativeFrom="page">
                  <wp:posOffset>1125855</wp:posOffset>
                </wp:positionH>
                <wp:positionV relativeFrom="page">
                  <wp:posOffset>1144270</wp:posOffset>
                </wp:positionV>
                <wp:extent cx="5980430" cy="18415"/>
                <wp:effectExtent l="0" t="0" r="127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anchor>
            </w:drawing>
          </w:r>
          <w:r w:rsidR="00ED2A19" w:rsidRPr="001716C5">
            <w:rPr>
              <w:rFonts w:cs="Arial"/>
              <w:b/>
              <w:sz w:val="32"/>
              <w:szCs w:val="32"/>
            </w:rPr>
            <w:t>Table of Contents</w:t>
          </w:r>
        </w:p>
        <w:p w14:paraId="3C765ACB" w14:textId="77777777" w:rsidR="00E47388" w:rsidRDefault="008528EE">
          <w:pPr>
            <w:pStyle w:val="TOC1"/>
            <w:rPr>
              <w:rFonts w:ascii="Arial" w:hAnsi="Arial" w:cs="Arial"/>
              <w:sz w:val="22"/>
              <w:szCs w:val="22"/>
            </w:rPr>
          </w:pPr>
          <w:r>
            <w:rPr>
              <w:noProof/>
            </w:rPr>
            <w:drawing>
              <wp:anchor distT="0" distB="0" distL="114300" distR="114300" simplePos="0" relativeHeight="251712512" behindDoc="1" locked="0" layoutInCell="0" allowOverlap="1" wp14:anchorId="2EC0D882" wp14:editId="373EB35E">
                <wp:simplePos x="0" y="0"/>
                <wp:positionH relativeFrom="page">
                  <wp:posOffset>1115060</wp:posOffset>
                </wp:positionH>
                <wp:positionV relativeFrom="page">
                  <wp:posOffset>1492885</wp:posOffset>
                </wp:positionV>
                <wp:extent cx="5980430" cy="18415"/>
                <wp:effectExtent l="0" t="0" r="1270" b="63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anchor>
            </w:drawing>
          </w:r>
          <w:r w:rsidR="00E47388">
            <w:rPr>
              <w:rFonts w:ascii="Arial" w:hAnsi="Arial" w:cs="Arial"/>
              <w:sz w:val="22"/>
              <w:szCs w:val="22"/>
            </w:rPr>
            <w:br/>
          </w:r>
        </w:p>
        <w:p w14:paraId="2385E215" w14:textId="77777777" w:rsidR="0088680E" w:rsidRPr="0088680E" w:rsidRDefault="009C61FC">
          <w:pPr>
            <w:pStyle w:val="TOC1"/>
            <w:rPr>
              <w:rFonts w:ascii="Arial" w:hAnsi="Arial" w:cs="Arial"/>
              <w:b w:val="0"/>
              <w:bCs w:val="0"/>
              <w:caps w:val="0"/>
              <w:noProof/>
              <w:sz w:val="22"/>
              <w:szCs w:val="22"/>
            </w:rPr>
          </w:pPr>
          <w:r w:rsidRPr="0088680E">
            <w:rPr>
              <w:rFonts w:ascii="Arial" w:hAnsi="Arial" w:cs="Arial"/>
              <w:sz w:val="22"/>
              <w:szCs w:val="22"/>
            </w:rPr>
            <w:fldChar w:fldCharType="begin"/>
          </w:r>
          <w:r w:rsidR="00ED2A19" w:rsidRPr="0088680E">
            <w:rPr>
              <w:rFonts w:ascii="Arial" w:hAnsi="Arial" w:cs="Arial"/>
              <w:sz w:val="22"/>
              <w:szCs w:val="22"/>
            </w:rPr>
            <w:instrText xml:space="preserve"> TOC \o "1-3" \h \z \u </w:instrText>
          </w:r>
          <w:r w:rsidRPr="0088680E">
            <w:rPr>
              <w:rFonts w:ascii="Arial" w:hAnsi="Arial" w:cs="Arial"/>
              <w:sz w:val="22"/>
              <w:szCs w:val="22"/>
            </w:rPr>
            <w:fldChar w:fldCharType="separate"/>
          </w:r>
          <w:hyperlink w:anchor="_Toc512947879" w:history="1">
            <w:r w:rsidR="0088680E" w:rsidRPr="0088680E">
              <w:rPr>
                <w:rStyle w:val="Hyperlink"/>
                <w:rFonts w:ascii="Arial" w:hAnsi="Arial" w:cs="Arial"/>
                <w:noProof/>
                <w:sz w:val="22"/>
                <w:szCs w:val="22"/>
              </w:rPr>
              <w:t>A Letter from Commission Leadership</w:t>
            </w:r>
            <w:r w:rsidR="0088680E" w:rsidRPr="0088680E">
              <w:rPr>
                <w:rFonts w:ascii="Arial" w:hAnsi="Arial" w:cs="Arial"/>
                <w:noProof/>
                <w:webHidden/>
                <w:sz w:val="22"/>
                <w:szCs w:val="22"/>
              </w:rPr>
              <w:tab/>
            </w:r>
            <w:r w:rsidRPr="0088680E">
              <w:rPr>
                <w:rFonts w:ascii="Arial" w:hAnsi="Arial" w:cs="Arial"/>
                <w:noProof/>
                <w:webHidden/>
                <w:sz w:val="22"/>
                <w:szCs w:val="22"/>
              </w:rPr>
              <w:fldChar w:fldCharType="begin"/>
            </w:r>
            <w:r w:rsidR="0088680E" w:rsidRPr="0088680E">
              <w:rPr>
                <w:rFonts w:ascii="Arial" w:hAnsi="Arial" w:cs="Arial"/>
                <w:noProof/>
                <w:webHidden/>
                <w:sz w:val="22"/>
                <w:szCs w:val="22"/>
              </w:rPr>
              <w:instrText xml:space="preserve"> PAGEREF _Toc512947879 \h </w:instrText>
            </w:r>
            <w:r w:rsidRPr="0088680E">
              <w:rPr>
                <w:rFonts w:ascii="Arial" w:hAnsi="Arial" w:cs="Arial"/>
                <w:noProof/>
                <w:webHidden/>
                <w:sz w:val="22"/>
                <w:szCs w:val="22"/>
              </w:rPr>
            </w:r>
            <w:r w:rsidRPr="0088680E">
              <w:rPr>
                <w:rFonts w:ascii="Arial" w:hAnsi="Arial" w:cs="Arial"/>
                <w:noProof/>
                <w:webHidden/>
                <w:sz w:val="22"/>
                <w:szCs w:val="22"/>
              </w:rPr>
              <w:fldChar w:fldCharType="separate"/>
            </w:r>
            <w:r w:rsidR="005F4C44">
              <w:rPr>
                <w:rFonts w:ascii="Arial" w:hAnsi="Arial" w:cs="Arial"/>
                <w:noProof/>
                <w:webHidden/>
                <w:sz w:val="22"/>
                <w:szCs w:val="22"/>
              </w:rPr>
              <w:t>5</w:t>
            </w:r>
            <w:r w:rsidRPr="0088680E">
              <w:rPr>
                <w:rFonts w:ascii="Arial" w:hAnsi="Arial" w:cs="Arial"/>
                <w:noProof/>
                <w:webHidden/>
                <w:sz w:val="22"/>
                <w:szCs w:val="22"/>
              </w:rPr>
              <w:fldChar w:fldCharType="end"/>
            </w:r>
          </w:hyperlink>
        </w:p>
        <w:p w14:paraId="623F0C47" w14:textId="77777777" w:rsidR="0088680E" w:rsidRPr="0088680E" w:rsidRDefault="0088680E">
          <w:pPr>
            <w:pStyle w:val="TOC1"/>
            <w:rPr>
              <w:rStyle w:val="Hyperlink"/>
            </w:rPr>
          </w:pPr>
        </w:p>
        <w:p w14:paraId="27C6F907" w14:textId="77777777" w:rsidR="0088680E" w:rsidRPr="0088680E" w:rsidRDefault="00AD3491">
          <w:pPr>
            <w:pStyle w:val="TOC1"/>
            <w:rPr>
              <w:rFonts w:ascii="Arial" w:hAnsi="Arial" w:cs="Arial"/>
              <w:b w:val="0"/>
              <w:bCs w:val="0"/>
              <w:caps w:val="0"/>
              <w:noProof/>
              <w:sz w:val="22"/>
              <w:szCs w:val="22"/>
            </w:rPr>
          </w:pPr>
          <w:hyperlink w:anchor="_Toc512947880" w:history="1">
            <w:r w:rsidR="0088680E" w:rsidRPr="0088680E">
              <w:rPr>
                <w:rStyle w:val="Hyperlink"/>
                <w:rFonts w:ascii="Arial" w:hAnsi="Arial" w:cs="Arial"/>
                <w:noProof/>
                <w:sz w:val="22"/>
                <w:szCs w:val="22"/>
              </w:rPr>
              <w:t>Core Recommendations to the Executive and Legislative Branches</w:t>
            </w:r>
            <w:r w:rsidR="0088680E" w:rsidRPr="0088680E">
              <w:rPr>
                <w:rFonts w:ascii="Arial" w:hAnsi="Arial" w:cs="Arial"/>
                <w:noProof/>
                <w:webHidden/>
                <w:sz w:val="22"/>
                <w:szCs w:val="22"/>
              </w:rPr>
              <w:tab/>
            </w:r>
            <w:r w:rsidR="009C61FC" w:rsidRPr="0088680E">
              <w:rPr>
                <w:rFonts w:ascii="Arial" w:hAnsi="Arial" w:cs="Arial"/>
                <w:noProof/>
                <w:webHidden/>
                <w:sz w:val="22"/>
                <w:szCs w:val="22"/>
              </w:rPr>
              <w:fldChar w:fldCharType="begin"/>
            </w:r>
            <w:r w:rsidR="0088680E" w:rsidRPr="0088680E">
              <w:rPr>
                <w:rFonts w:ascii="Arial" w:hAnsi="Arial" w:cs="Arial"/>
                <w:noProof/>
                <w:webHidden/>
                <w:sz w:val="22"/>
                <w:szCs w:val="22"/>
              </w:rPr>
              <w:instrText xml:space="preserve"> PAGEREF _Toc512947880 \h </w:instrText>
            </w:r>
            <w:r w:rsidR="009C61FC" w:rsidRPr="0088680E">
              <w:rPr>
                <w:rFonts w:ascii="Arial" w:hAnsi="Arial" w:cs="Arial"/>
                <w:noProof/>
                <w:webHidden/>
                <w:sz w:val="22"/>
                <w:szCs w:val="22"/>
              </w:rPr>
            </w:r>
            <w:r w:rsidR="009C61FC" w:rsidRPr="0088680E">
              <w:rPr>
                <w:rFonts w:ascii="Arial" w:hAnsi="Arial" w:cs="Arial"/>
                <w:noProof/>
                <w:webHidden/>
                <w:sz w:val="22"/>
                <w:szCs w:val="22"/>
              </w:rPr>
              <w:fldChar w:fldCharType="separate"/>
            </w:r>
            <w:r w:rsidR="005F4C44">
              <w:rPr>
                <w:rFonts w:ascii="Arial" w:hAnsi="Arial" w:cs="Arial"/>
                <w:noProof/>
                <w:webHidden/>
                <w:sz w:val="22"/>
                <w:szCs w:val="22"/>
              </w:rPr>
              <w:t>7</w:t>
            </w:r>
            <w:r w:rsidR="009C61FC" w:rsidRPr="0088680E">
              <w:rPr>
                <w:rFonts w:ascii="Arial" w:hAnsi="Arial" w:cs="Arial"/>
                <w:noProof/>
                <w:webHidden/>
                <w:sz w:val="22"/>
                <w:szCs w:val="22"/>
              </w:rPr>
              <w:fldChar w:fldCharType="end"/>
            </w:r>
          </w:hyperlink>
        </w:p>
        <w:p w14:paraId="174C5757" w14:textId="77777777" w:rsidR="0088680E" w:rsidRPr="0088680E" w:rsidRDefault="00AD3491">
          <w:pPr>
            <w:pStyle w:val="TOC2"/>
            <w:tabs>
              <w:tab w:val="right" w:leader="dot" w:pos="9350"/>
            </w:tabs>
            <w:rPr>
              <w:rFonts w:ascii="Arial" w:hAnsi="Arial" w:cs="Arial"/>
              <w:smallCaps w:val="0"/>
              <w:noProof/>
              <w:sz w:val="22"/>
              <w:szCs w:val="22"/>
            </w:rPr>
          </w:pPr>
          <w:hyperlink w:anchor="_Toc512947881" w:history="1">
            <w:r w:rsidR="0088680E" w:rsidRPr="0088680E">
              <w:rPr>
                <w:rStyle w:val="Hyperlink"/>
                <w:rFonts w:ascii="Arial" w:hAnsi="Arial" w:cs="Arial"/>
                <w:noProof/>
                <w:sz w:val="22"/>
                <w:szCs w:val="22"/>
              </w:rPr>
              <w:t>Reducing Bullying By Addressing Bias</w:t>
            </w:r>
            <w:r w:rsidR="0088680E" w:rsidRPr="0088680E">
              <w:rPr>
                <w:rFonts w:ascii="Arial" w:hAnsi="Arial" w:cs="Arial"/>
                <w:noProof/>
                <w:webHidden/>
                <w:sz w:val="22"/>
                <w:szCs w:val="22"/>
              </w:rPr>
              <w:tab/>
            </w:r>
            <w:r w:rsidR="009C61FC" w:rsidRPr="0088680E">
              <w:rPr>
                <w:rFonts w:ascii="Arial" w:hAnsi="Arial" w:cs="Arial"/>
                <w:noProof/>
                <w:webHidden/>
                <w:sz w:val="22"/>
                <w:szCs w:val="22"/>
              </w:rPr>
              <w:fldChar w:fldCharType="begin"/>
            </w:r>
            <w:r w:rsidR="0088680E" w:rsidRPr="0088680E">
              <w:rPr>
                <w:rFonts w:ascii="Arial" w:hAnsi="Arial" w:cs="Arial"/>
                <w:noProof/>
                <w:webHidden/>
                <w:sz w:val="22"/>
                <w:szCs w:val="22"/>
              </w:rPr>
              <w:instrText xml:space="preserve"> PAGEREF _Toc512947881 \h </w:instrText>
            </w:r>
            <w:r w:rsidR="009C61FC" w:rsidRPr="0088680E">
              <w:rPr>
                <w:rFonts w:ascii="Arial" w:hAnsi="Arial" w:cs="Arial"/>
                <w:noProof/>
                <w:webHidden/>
                <w:sz w:val="22"/>
                <w:szCs w:val="22"/>
              </w:rPr>
            </w:r>
            <w:r w:rsidR="009C61FC" w:rsidRPr="0088680E">
              <w:rPr>
                <w:rFonts w:ascii="Arial" w:hAnsi="Arial" w:cs="Arial"/>
                <w:noProof/>
                <w:webHidden/>
                <w:sz w:val="22"/>
                <w:szCs w:val="22"/>
              </w:rPr>
              <w:fldChar w:fldCharType="separate"/>
            </w:r>
            <w:r w:rsidR="005F4C44">
              <w:rPr>
                <w:rFonts w:ascii="Arial" w:hAnsi="Arial" w:cs="Arial"/>
                <w:noProof/>
                <w:webHidden/>
                <w:sz w:val="22"/>
                <w:szCs w:val="22"/>
              </w:rPr>
              <w:t>7</w:t>
            </w:r>
            <w:r w:rsidR="009C61FC" w:rsidRPr="0088680E">
              <w:rPr>
                <w:rFonts w:ascii="Arial" w:hAnsi="Arial" w:cs="Arial"/>
                <w:noProof/>
                <w:webHidden/>
                <w:sz w:val="22"/>
                <w:szCs w:val="22"/>
              </w:rPr>
              <w:fldChar w:fldCharType="end"/>
            </w:r>
          </w:hyperlink>
        </w:p>
        <w:p w14:paraId="66BF5741" w14:textId="77777777" w:rsidR="0088680E" w:rsidRPr="0088680E" w:rsidRDefault="00AD3491">
          <w:pPr>
            <w:pStyle w:val="TOC2"/>
            <w:tabs>
              <w:tab w:val="right" w:leader="dot" w:pos="9350"/>
            </w:tabs>
            <w:rPr>
              <w:rFonts w:ascii="Arial" w:hAnsi="Arial" w:cs="Arial"/>
              <w:smallCaps w:val="0"/>
              <w:noProof/>
              <w:sz w:val="22"/>
              <w:szCs w:val="22"/>
            </w:rPr>
          </w:pPr>
          <w:hyperlink w:anchor="_Toc512947882" w:history="1">
            <w:r w:rsidR="0088680E" w:rsidRPr="0088680E">
              <w:rPr>
                <w:rStyle w:val="Hyperlink"/>
                <w:rFonts w:ascii="Arial" w:hAnsi="Arial" w:cs="Arial"/>
                <w:noProof/>
                <w:sz w:val="22"/>
                <w:szCs w:val="22"/>
              </w:rPr>
              <w:t>Preventing &amp; Treating Homelessness</w:t>
            </w:r>
            <w:r w:rsidR="0088680E" w:rsidRPr="0088680E">
              <w:rPr>
                <w:rFonts w:ascii="Arial" w:hAnsi="Arial" w:cs="Arial"/>
                <w:noProof/>
                <w:webHidden/>
                <w:sz w:val="22"/>
                <w:szCs w:val="22"/>
              </w:rPr>
              <w:tab/>
            </w:r>
            <w:r w:rsidR="009C61FC" w:rsidRPr="0088680E">
              <w:rPr>
                <w:rFonts w:ascii="Arial" w:hAnsi="Arial" w:cs="Arial"/>
                <w:noProof/>
                <w:webHidden/>
                <w:sz w:val="22"/>
                <w:szCs w:val="22"/>
              </w:rPr>
              <w:fldChar w:fldCharType="begin"/>
            </w:r>
            <w:r w:rsidR="0088680E" w:rsidRPr="0088680E">
              <w:rPr>
                <w:rFonts w:ascii="Arial" w:hAnsi="Arial" w:cs="Arial"/>
                <w:noProof/>
                <w:webHidden/>
                <w:sz w:val="22"/>
                <w:szCs w:val="22"/>
              </w:rPr>
              <w:instrText xml:space="preserve"> PAGEREF _Toc512947882 \h </w:instrText>
            </w:r>
            <w:r w:rsidR="009C61FC" w:rsidRPr="0088680E">
              <w:rPr>
                <w:rFonts w:ascii="Arial" w:hAnsi="Arial" w:cs="Arial"/>
                <w:noProof/>
                <w:webHidden/>
                <w:sz w:val="22"/>
                <w:szCs w:val="22"/>
              </w:rPr>
            </w:r>
            <w:r w:rsidR="009C61FC" w:rsidRPr="0088680E">
              <w:rPr>
                <w:rFonts w:ascii="Arial" w:hAnsi="Arial" w:cs="Arial"/>
                <w:noProof/>
                <w:webHidden/>
                <w:sz w:val="22"/>
                <w:szCs w:val="22"/>
              </w:rPr>
              <w:fldChar w:fldCharType="separate"/>
            </w:r>
            <w:r w:rsidR="005F4C44">
              <w:rPr>
                <w:rFonts w:ascii="Arial" w:hAnsi="Arial" w:cs="Arial"/>
                <w:noProof/>
                <w:webHidden/>
                <w:sz w:val="22"/>
                <w:szCs w:val="22"/>
              </w:rPr>
              <w:t>8</w:t>
            </w:r>
            <w:r w:rsidR="009C61FC" w:rsidRPr="0088680E">
              <w:rPr>
                <w:rFonts w:ascii="Arial" w:hAnsi="Arial" w:cs="Arial"/>
                <w:noProof/>
                <w:webHidden/>
                <w:sz w:val="22"/>
                <w:szCs w:val="22"/>
              </w:rPr>
              <w:fldChar w:fldCharType="end"/>
            </w:r>
          </w:hyperlink>
        </w:p>
        <w:p w14:paraId="558350B9" w14:textId="77777777" w:rsidR="0088680E" w:rsidRPr="0088680E" w:rsidRDefault="00AD3491">
          <w:pPr>
            <w:pStyle w:val="TOC2"/>
            <w:tabs>
              <w:tab w:val="right" w:leader="dot" w:pos="9350"/>
            </w:tabs>
            <w:rPr>
              <w:rFonts w:ascii="Arial" w:hAnsi="Arial" w:cs="Arial"/>
              <w:smallCaps w:val="0"/>
              <w:noProof/>
              <w:sz w:val="22"/>
              <w:szCs w:val="22"/>
            </w:rPr>
          </w:pPr>
          <w:hyperlink w:anchor="_Toc512947883" w:history="1">
            <w:r w:rsidR="0088680E" w:rsidRPr="0088680E">
              <w:rPr>
                <w:rStyle w:val="Hyperlink"/>
                <w:rFonts w:ascii="Arial" w:hAnsi="Arial" w:cs="Arial"/>
                <w:noProof/>
                <w:sz w:val="22"/>
                <w:szCs w:val="22"/>
              </w:rPr>
              <w:t>Reforming Criminal &amp; Juvenile Justice</w:t>
            </w:r>
            <w:r w:rsidR="0088680E" w:rsidRPr="0088680E">
              <w:rPr>
                <w:rFonts w:ascii="Arial" w:hAnsi="Arial" w:cs="Arial"/>
                <w:noProof/>
                <w:webHidden/>
                <w:sz w:val="22"/>
                <w:szCs w:val="22"/>
              </w:rPr>
              <w:tab/>
            </w:r>
            <w:r w:rsidR="009C61FC" w:rsidRPr="0088680E">
              <w:rPr>
                <w:rFonts w:ascii="Arial" w:hAnsi="Arial" w:cs="Arial"/>
                <w:noProof/>
                <w:webHidden/>
                <w:sz w:val="22"/>
                <w:szCs w:val="22"/>
              </w:rPr>
              <w:fldChar w:fldCharType="begin"/>
            </w:r>
            <w:r w:rsidR="0088680E" w:rsidRPr="0088680E">
              <w:rPr>
                <w:rFonts w:ascii="Arial" w:hAnsi="Arial" w:cs="Arial"/>
                <w:noProof/>
                <w:webHidden/>
                <w:sz w:val="22"/>
                <w:szCs w:val="22"/>
              </w:rPr>
              <w:instrText xml:space="preserve"> PAGEREF _Toc512947883 \h </w:instrText>
            </w:r>
            <w:r w:rsidR="009C61FC" w:rsidRPr="0088680E">
              <w:rPr>
                <w:rFonts w:ascii="Arial" w:hAnsi="Arial" w:cs="Arial"/>
                <w:noProof/>
                <w:webHidden/>
                <w:sz w:val="22"/>
                <w:szCs w:val="22"/>
              </w:rPr>
            </w:r>
            <w:r w:rsidR="009C61FC" w:rsidRPr="0088680E">
              <w:rPr>
                <w:rFonts w:ascii="Arial" w:hAnsi="Arial" w:cs="Arial"/>
                <w:noProof/>
                <w:webHidden/>
                <w:sz w:val="22"/>
                <w:szCs w:val="22"/>
              </w:rPr>
              <w:fldChar w:fldCharType="separate"/>
            </w:r>
            <w:r w:rsidR="005F4C44">
              <w:rPr>
                <w:rFonts w:ascii="Arial" w:hAnsi="Arial" w:cs="Arial"/>
                <w:noProof/>
                <w:webHidden/>
                <w:sz w:val="22"/>
                <w:szCs w:val="22"/>
              </w:rPr>
              <w:t>10</w:t>
            </w:r>
            <w:r w:rsidR="009C61FC" w:rsidRPr="0088680E">
              <w:rPr>
                <w:rFonts w:ascii="Arial" w:hAnsi="Arial" w:cs="Arial"/>
                <w:noProof/>
                <w:webHidden/>
                <w:sz w:val="22"/>
                <w:szCs w:val="22"/>
              </w:rPr>
              <w:fldChar w:fldCharType="end"/>
            </w:r>
          </w:hyperlink>
        </w:p>
        <w:p w14:paraId="29BCA991" w14:textId="77777777" w:rsidR="0088680E" w:rsidRPr="0088680E" w:rsidRDefault="00AD3491">
          <w:pPr>
            <w:pStyle w:val="TOC2"/>
            <w:tabs>
              <w:tab w:val="right" w:leader="dot" w:pos="9350"/>
            </w:tabs>
            <w:rPr>
              <w:rFonts w:ascii="Arial" w:hAnsi="Arial" w:cs="Arial"/>
              <w:smallCaps w:val="0"/>
              <w:noProof/>
              <w:sz w:val="22"/>
              <w:szCs w:val="22"/>
            </w:rPr>
          </w:pPr>
          <w:hyperlink w:anchor="_Toc512947884" w:history="1">
            <w:r w:rsidR="0088680E" w:rsidRPr="0088680E">
              <w:rPr>
                <w:rStyle w:val="Hyperlink"/>
                <w:rFonts w:ascii="Arial" w:hAnsi="Arial" w:cs="Arial"/>
                <w:noProof/>
                <w:sz w:val="22"/>
                <w:szCs w:val="22"/>
              </w:rPr>
              <w:t>Improving Health</w:t>
            </w:r>
            <w:r w:rsidR="0088680E" w:rsidRPr="0088680E">
              <w:rPr>
                <w:rFonts w:ascii="Arial" w:hAnsi="Arial" w:cs="Arial"/>
                <w:noProof/>
                <w:webHidden/>
                <w:sz w:val="22"/>
                <w:szCs w:val="22"/>
              </w:rPr>
              <w:tab/>
            </w:r>
            <w:r w:rsidR="009C61FC" w:rsidRPr="0088680E">
              <w:rPr>
                <w:rFonts w:ascii="Arial" w:hAnsi="Arial" w:cs="Arial"/>
                <w:noProof/>
                <w:webHidden/>
                <w:sz w:val="22"/>
                <w:szCs w:val="22"/>
              </w:rPr>
              <w:fldChar w:fldCharType="begin"/>
            </w:r>
            <w:r w:rsidR="0088680E" w:rsidRPr="0088680E">
              <w:rPr>
                <w:rFonts w:ascii="Arial" w:hAnsi="Arial" w:cs="Arial"/>
                <w:noProof/>
                <w:webHidden/>
                <w:sz w:val="22"/>
                <w:szCs w:val="22"/>
              </w:rPr>
              <w:instrText xml:space="preserve"> PAGEREF _Toc512947884 \h </w:instrText>
            </w:r>
            <w:r w:rsidR="009C61FC" w:rsidRPr="0088680E">
              <w:rPr>
                <w:rFonts w:ascii="Arial" w:hAnsi="Arial" w:cs="Arial"/>
                <w:noProof/>
                <w:webHidden/>
                <w:sz w:val="22"/>
                <w:szCs w:val="22"/>
              </w:rPr>
            </w:r>
            <w:r w:rsidR="009C61FC" w:rsidRPr="0088680E">
              <w:rPr>
                <w:rFonts w:ascii="Arial" w:hAnsi="Arial" w:cs="Arial"/>
                <w:noProof/>
                <w:webHidden/>
                <w:sz w:val="22"/>
                <w:szCs w:val="22"/>
              </w:rPr>
              <w:fldChar w:fldCharType="separate"/>
            </w:r>
            <w:r w:rsidR="005F4C44">
              <w:rPr>
                <w:rFonts w:ascii="Arial" w:hAnsi="Arial" w:cs="Arial"/>
                <w:noProof/>
                <w:webHidden/>
                <w:sz w:val="22"/>
                <w:szCs w:val="22"/>
              </w:rPr>
              <w:t>11</w:t>
            </w:r>
            <w:r w:rsidR="009C61FC" w:rsidRPr="0088680E">
              <w:rPr>
                <w:rFonts w:ascii="Arial" w:hAnsi="Arial" w:cs="Arial"/>
                <w:noProof/>
                <w:webHidden/>
                <w:sz w:val="22"/>
                <w:szCs w:val="22"/>
              </w:rPr>
              <w:fldChar w:fldCharType="end"/>
            </w:r>
          </w:hyperlink>
        </w:p>
        <w:p w14:paraId="45C1E9C8" w14:textId="77777777" w:rsidR="0088680E" w:rsidRPr="0088680E" w:rsidRDefault="0088680E">
          <w:pPr>
            <w:pStyle w:val="TOC1"/>
            <w:rPr>
              <w:rStyle w:val="Hyperlink"/>
              <w:b w:val="0"/>
              <w:bCs w:val="0"/>
              <w:caps w:val="0"/>
              <w:smallCaps/>
            </w:rPr>
          </w:pPr>
        </w:p>
        <w:p w14:paraId="3B3269C9" w14:textId="77777777" w:rsidR="0088680E" w:rsidRPr="0088680E" w:rsidRDefault="00AD3491">
          <w:pPr>
            <w:pStyle w:val="TOC1"/>
            <w:rPr>
              <w:rFonts w:ascii="Arial" w:hAnsi="Arial" w:cs="Arial"/>
              <w:b w:val="0"/>
              <w:bCs w:val="0"/>
              <w:caps w:val="0"/>
              <w:noProof/>
              <w:sz w:val="22"/>
              <w:szCs w:val="22"/>
            </w:rPr>
          </w:pPr>
          <w:hyperlink w:anchor="_Toc512947885" w:history="1">
            <w:r w:rsidR="0088680E" w:rsidRPr="0088680E">
              <w:rPr>
                <w:rStyle w:val="Hyperlink"/>
                <w:rFonts w:ascii="Arial" w:hAnsi="Arial" w:cs="Arial"/>
                <w:noProof/>
                <w:sz w:val="22"/>
                <w:szCs w:val="22"/>
              </w:rPr>
              <w:t>The State of LGBTQ Youth in the Commonwealth</w:t>
            </w:r>
            <w:r w:rsidR="0088680E" w:rsidRPr="0088680E">
              <w:rPr>
                <w:rFonts w:ascii="Arial" w:hAnsi="Arial" w:cs="Arial"/>
                <w:noProof/>
                <w:webHidden/>
                <w:sz w:val="22"/>
                <w:szCs w:val="22"/>
              </w:rPr>
              <w:tab/>
            </w:r>
            <w:r w:rsidR="009C61FC" w:rsidRPr="0088680E">
              <w:rPr>
                <w:rFonts w:ascii="Arial" w:hAnsi="Arial" w:cs="Arial"/>
                <w:noProof/>
                <w:webHidden/>
                <w:sz w:val="22"/>
                <w:szCs w:val="22"/>
              </w:rPr>
              <w:fldChar w:fldCharType="begin"/>
            </w:r>
            <w:r w:rsidR="0088680E" w:rsidRPr="0088680E">
              <w:rPr>
                <w:rFonts w:ascii="Arial" w:hAnsi="Arial" w:cs="Arial"/>
                <w:noProof/>
                <w:webHidden/>
                <w:sz w:val="22"/>
                <w:szCs w:val="22"/>
              </w:rPr>
              <w:instrText xml:space="preserve"> PAGEREF _Toc512947885 \h </w:instrText>
            </w:r>
            <w:r w:rsidR="009C61FC" w:rsidRPr="0088680E">
              <w:rPr>
                <w:rFonts w:ascii="Arial" w:hAnsi="Arial" w:cs="Arial"/>
                <w:noProof/>
                <w:webHidden/>
                <w:sz w:val="22"/>
                <w:szCs w:val="22"/>
              </w:rPr>
            </w:r>
            <w:r w:rsidR="009C61FC" w:rsidRPr="0088680E">
              <w:rPr>
                <w:rFonts w:ascii="Arial" w:hAnsi="Arial" w:cs="Arial"/>
                <w:noProof/>
                <w:webHidden/>
                <w:sz w:val="22"/>
                <w:szCs w:val="22"/>
              </w:rPr>
              <w:fldChar w:fldCharType="separate"/>
            </w:r>
            <w:r w:rsidR="005F4C44">
              <w:rPr>
                <w:rFonts w:ascii="Arial" w:hAnsi="Arial" w:cs="Arial"/>
                <w:noProof/>
                <w:webHidden/>
                <w:sz w:val="22"/>
                <w:szCs w:val="22"/>
              </w:rPr>
              <w:t>13</w:t>
            </w:r>
            <w:r w:rsidR="009C61FC" w:rsidRPr="0088680E">
              <w:rPr>
                <w:rFonts w:ascii="Arial" w:hAnsi="Arial" w:cs="Arial"/>
                <w:noProof/>
                <w:webHidden/>
                <w:sz w:val="22"/>
                <w:szCs w:val="22"/>
              </w:rPr>
              <w:fldChar w:fldCharType="end"/>
            </w:r>
          </w:hyperlink>
        </w:p>
        <w:p w14:paraId="18110C7A" w14:textId="77777777" w:rsidR="0088680E" w:rsidRPr="0088680E" w:rsidRDefault="00AD3491">
          <w:pPr>
            <w:pStyle w:val="TOC2"/>
            <w:tabs>
              <w:tab w:val="right" w:leader="dot" w:pos="9350"/>
            </w:tabs>
            <w:rPr>
              <w:rFonts w:ascii="Arial" w:hAnsi="Arial" w:cs="Arial"/>
              <w:smallCaps w:val="0"/>
              <w:noProof/>
              <w:sz w:val="22"/>
              <w:szCs w:val="22"/>
            </w:rPr>
          </w:pPr>
          <w:hyperlink w:anchor="_Toc512947886" w:history="1">
            <w:r w:rsidR="0088680E" w:rsidRPr="0088680E">
              <w:rPr>
                <w:rStyle w:val="Hyperlink"/>
                <w:rFonts w:ascii="Arial" w:hAnsi="Arial" w:cs="Arial"/>
                <w:noProof/>
                <w:sz w:val="22"/>
                <w:szCs w:val="22"/>
              </w:rPr>
              <w:t>I. Bullying, Abuse, and Suicide Risk</w:t>
            </w:r>
            <w:r w:rsidR="0088680E" w:rsidRPr="0088680E">
              <w:rPr>
                <w:rFonts w:ascii="Arial" w:hAnsi="Arial" w:cs="Arial"/>
                <w:noProof/>
                <w:webHidden/>
                <w:sz w:val="22"/>
                <w:szCs w:val="22"/>
              </w:rPr>
              <w:tab/>
            </w:r>
            <w:r w:rsidR="009C61FC" w:rsidRPr="0088680E">
              <w:rPr>
                <w:rFonts w:ascii="Arial" w:hAnsi="Arial" w:cs="Arial"/>
                <w:noProof/>
                <w:webHidden/>
                <w:sz w:val="22"/>
                <w:szCs w:val="22"/>
              </w:rPr>
              <w:fldChar w:fldCharType="begin"/>
            </w:r>
            <w:r w:rsidR="0088680E" w:rsidRPr="0088680E">
              <w:rPr>
                <w:rFonts w:ascii="Arial" w:hAnsi="Arial" w:cs="Arial"/>
                <w:noProof/>
                <w:webHidden/>
                <w:sz w:val="22"/>
                <w:szCs w:val="22"/>
              </w:rPr>
              <w:instrText xml:space="preserve"> PAGEREF _Toc512947886 \h </w:instrText>
            </w:r>
            <w:r w:rsidR="009C61FC" w:rsidRPr="0088680E">
              <w:rPr>
                <w:rFonts w:ascii="Arial" w:hAnsi="Arial" w:cs="Arial"/>
                <w:noProof/>
                <w:webHidden/>
                <w:sz w:val="22"/>
                <w:szCs w:val="22"/>
              </w:rPr>
            </w:r>
            <w:r w:rsidR="009C61FC" w:rsidRPr="0088680E">
              <w:rPr>
                <w:rFonts w:ascii="Arial" w:hAnsi="Arial" w:cs="Arial"/>
                <w:noProof/>
                <w:webHidden/>
                <w:sz w:val="22"/>
                <w:szCs w:val="22"/>
              </w:rPr>
              <w:fldChar w:fldCharType="separate"/>
            </w:r>
            <w:r w:rsidR="005F4C44">
              <w:rPr>
                <w:rFonts w:ascii="Arial" w:hAnsi="Arial" w:cs="Arial"/>
                <w:noProof/>
                <w:webHidden/>
                <w:sz w:val="22"/>
                <w:szCs w:val="22"/>
              </w:rPr>
              <w:t>14</w:t>
            </w:r>
            <w:r w:rsidR="009C61FC" w:rsidRPr="0088680E">
              <w:rPr>
                <w:rFonts w:ascii="Arial" w:hAnsi="Arial" w:cs="Arial"/>
                <w:noProof/>
                <w:webHidden/>
                <w:sz w:val="22"/>
                <w:szCs w:val="22"/>
              </w:rPr>
              <w:fldChar w:fldCharType="end"/>
            </w:r>
          </w:hyperlink>
        </w:p>
        <w:p w14:paraId="61187098" w14:textId="77777777" w:rsidR="0088680E" w:rsidRPr="0088680E" w:rsidRDefault="00AD3491">
          <w:pPr>
            <w:pStyle w:val="TOC3"/>
            <w:tabs>
              <w:tab w:val="right" w:leader="dot" w:pos="9350"/>
            </w:tabs>
            <w:rPr>
              <w:rFonts w:ascii="Arial" w:hAnsi="Arial" w:cs="Arial"/>
              <w:i w:val="0"/>
              <w:iCs w:val="0"/>
              <w:noProof/>
              <w:sz w:val="22"/>
              <w:szCs w:val="22"/>
            </w:rPr>
          </w:pPr>
          <w:hyperlink w:anchor="_Toc512947887" w:history="1">
            <w:r w:rsidR="0088680E" w:rsidRPr="0088680E">
              <w:rPr>
                <w:rStyle w:val="Hyperlink"/>
                <w:rFonts w:ascii="Arial" w:hAnsi="Arial" w:cs="Arial"/>
                <w:noProof/>
                <w:sz w:val="22"/>
                <w:szCs w:val="22"/>
              </w:rPr>
              <w:t>A. Bullying</w:t>
            </w:r>
            <w:r w:rsidR="0088680E" w:rsidRPr="0088680E">
              <w:rPr>
                <w:rFonts w:ascii="Arial" w:hAnsi="Arial" w:cs="Arial"/>
                <w:noProof/>
                <w:webHidden/>
                <w:sz w:val="22"/>
                <w:szCs w:val="22"/>
              </w:rPr>
              <w:tab/>
            </w:r>
            <w:r w:rsidR="009C61FC" w:rsidRPr="0088680E">
              <w:rPr>
                <w:rFonts w:ascii="Arial" w:hAnsi="Arial" w:cs="Arial"/>
                <w:noProof/>
                <w:webHidden/>
                <w:sz w:val="22"/>
                <w:szCs w:val="22"/>
              </w:rPr>
              <w:fldChar w:fldCharType="begin"/>
            </w:r>
            <w:r w:rsidR="0088680E" w:rsidRPr="0088680E">
              <w:rPr>
                <w:rFonts w:ascii="Arial" w:hAnsi="Arial" w:cs="Arial"/>
                <w:noProof/>
                <w:webHidden/>
                <w:sz w:val="22"/>
                <w:szCs w:val="22"/>
              </w:rPr>
              <w:instrText xml:space="preserve"> PAGEREF _Toc512947887 \h </w:instrText>
            </w:r>
            <w:r w:rsidR="009C61FC" w:rsidRPr="0088680E">
              <w:rPr>
                <w:rFonts w:ascii="Arial" w:hAnsi="Arial" w:cs="Arial"/>
                <w:noProof/>
                <w:webHidden/>
                <w:sz w:val="22"/>
                <w:szCs w:val="22"/>
              </w:rPr>
            </w:r>
            <w:r w:rsidR="009C61FC" w:rsidRPr="0088680E">
              <w:rPr>
                <w:rFonts w:ascii="Arial" w:hAnsi="Arial" w:cs="Arial"/>
                <w:noProof/>
                <w:webHidden/>
                <w:sz w:val="22"/>
                <w:szCs w:val="22"/>
              </w:rPr>
              <w:fldChar w:fldCharType="separate"/>
            </w:r>
            <w:r w:rsidR="005F4C44">
              <w:rPr>
                <w:rFonts w:ascii="Arial" w:hAnsi="Arial" w:cs="Arial"/>
                <w:noProof/>
                <w:webHidden/>
                <w:sz w:val="22"/>
                <w:szCs w:val="22"/>
              </w:rPr>
              <w:t>14</w:t>
            </w:r>
            <w:r w:rsidR="009C61FC" w:rsidRPr="0088680E">
              <w:rPr>
                <w:rFonts w:ascii="Arial" w:hAnsi="Arial" w:cs="Arial"/>
                <w:noProof/>
                <w:webHidden/>
                <w:sz w:val="22"/>
                <w:szCs w:val="22"/>
              </w:rPr>
              <w:fldChar w:fldCharType="end"/>
            </w:r>
          </w:hyperlink>
        </w:p>
        <w:p w14:paraId="01A473FA" w14:textId="77777777" w:rsidR="0088680E" w:rsidRPr="0088680E" w:rsidRDefault="00AD3491">
          <w:pPr>
            <w:pStyle w:val="TOC3"/>
            <w:tabs>
              <w:tab w:val="right" w:leader="dot" w:pos="9350"/>
            </w:tabs>
            <w:rPr>
              <w:rFonts w:ascii="Arial" w:hAnsi="Arial" w:cs="Arial"/>
              <w:i w:val="0"/>
              <w:iCs w:val="0"/>
              <w:noProof/>
              <w:sz w:val="22"/>
              <w:szCs w:val="22"/>
            </w:rPr>
          </w:pPr>
          <w:hyperlink w:anchor="_Toc512947888" w:history="1">
            <w:r w:rsidR="0088680E" w:rsidRPr="0088680E">
              <w:rPr>
                <w:rStyle w:val="Hyperlink"/>
                <w:rFonts w:ascii="Arial" w:hAnsi="Arial" w:cs="Arial"/>
                <w:noProof/>
                <w:sz w:val="22"/>
                <w:szCs w:val="22"/>
              </w:rPr>
              <w:t>B. Abuse</w:t>
            </w:r>
            <w:r w:rsidR="0088680E" w:rsidRPr="0088680E">
              <w:rPr>
                <w:rFonts w:ascii="Arial" w:hAnsi="Arial" w:cs="Arial"/>
                <w:noProof/>
                <w:webHidden/>
                <w:sz w:val="22"/>
                <w:szCs w:val="22"/>
              </w:rPr>
              <w:tab/>
            </w:r>
            <w:r w:rsidR="009C61FC" w:rsidRPr="0088680E">
              <w:rPr>
                <w:rFonts w:ascii="Arial" w:hAnsi="Arial" w:cs="Arial"/>
                <w:noProof/>
                <w:webHidden/>
                <w:sz w:val="22"/>
                <w:szCs w:val="22"/>
              </w:rPr>
              <w:fldChar w:fldCharType="begin"/>
            </w:r>
            <w:r w:rsidR="0088680E" w:rsidRPr="0088680E">
              <w:rPr>
                <w:rFonts w:ascii="Arial" w:hAnsi="Arial" w:cs="Arial"/>
                <w:noProof/>
                <w:webHidden/>
                <w:sz w:val="22"/>
                <w:szCs w:val="22"/>
              </w:rPr>
              <w:instrText xml:space="preserve"> PAGEREF _Toc512947888 \h </w:instrText>
            </w:r>
            <w:r w:rsidR="009C61FC" w:rsidRPr="0088680E">
              <w:rPr>
                <w:rFonts w:ascii="Arial" w:hAnsi="Arial" w:cs="Arial"/>
                <w:noProof/>
                <w:webHidden/>
                <w:sz w:val="22"/>
                <w:szCs w:val="22"/>
              </w:rPr>
            </w:r>
            <w:r w:rsidR="009C61FC" w:rsidRPr="0088680E">
              <w:rPr>
                <w:rFonts w:ascii="Arial" w:hAnsi="Arial" w:cs="Arial"/>
                <w:noProof/>
                <w:webHidden/>
                <w:sz w:val="22"/>
                <w:szCs w:val="22"/>
              </w:rPr>
              <w:fldChar w:fldCharType="separate"/>
            </w:r>
            <w:r w:rsidR="005F4C44">
              <w:rPr>
                <w:rFonts w:ascii="Arial" w:hAnsi="Arial" w:cs="Arial"/>
                <w:noProof/>
                <w:webHidden/>
                <w:sz w:val="22"/>
                <w:szCs w:val="22"/>
              </w:rPr>
              <w:t>15</w:t>
            </w:r>
            <w:r w:rsidR="009C61FC" w:rsidRPr="0088680E">
              <w:rPr>
                <w:rFonts w:ascii="Arial" w:hAnsi="Arial" w:cs="Arial"/>
                <w:noProof/>
                <w:webHidden/>
                <w:sz w:val="22"/>
                <w:szCs w:val="22"/>
              </w:rPr>
              <w:fldChar w:fldCharType="end"/>
            </w:r>
          </w:hyperlink>
        </w:p>
        <w:p w14:paraId="1D0201DC" w14:textId="77777777" w:rsidR="0088680E" w:rsidRPr="0088680E" w:rsidRDefault="00AD3491">
          <w:pPr>
            <w:pStyle w:val="TOC3"/>
            <w:tabs>
              <w:tab w:val="right" w:leader="dot" w:pos="9350"/>
            </w:tabs>
            <w:rPr>
              <w:rFonts w:ascii="Arial" w:hAnsi="Arial" w:cs="Arial"/>
              <w:i w:val="0"/>
              <w:iCs w:val="0"/>
              <w:noProof/>
              <w:sz w:val="22"/>
              <w:szCs w:val="22"/>
            </w:rPr>
          </w:pPr>
          <w:hyperlink w:anchor="_Toc512947889" w:history="1">
            <w:r w:rsidR="0088680E" w:rsidRPr="0088680E">
              <w:rPr>
                <w:rStyle w:val="Hyperlink"/>
                <w:rFonts w:ascii="Arial" w:hAnsi="Arial" w:cs="Arial"/>
                <w:noProof/>
                <w:sz w:val="22"/>
                <w:szCs w:val="22"/>
              </w:rPr>
              <w:t>C. Suicide Risk</w:t>
            </w:r>
            <w:r w:rsidR="0088680E" w:rsidRPr="0088680E">
              <w:rPr>
                <w:rFonts w:ascii="Arial" w:hAnsi="Arial" w:cs="Arial"/>
                <w:noProof/>
                <w:webHidden/>
                <w:sz w:val="22"/>
                <w:szCs w:val="22"/>
              </w:rPr>
              <w:tab/>
            </w:r>
            <w:r w:rsidR="009C61FC" w:rsidRPr="0088680E">
              <w:rPr>
                <w:rFonts w:ascii="Arial" w:hAnsi="Arial" w:cs="Arial"/>
                <w:noProof/>
                <w:webHidden/>
                <w:sz w:val="22"/>
                <w:szCs w:val="22"/>
              </w:rPr>
              <w:fldChar w:fldCharType="begin"/>
            </w:r>
            <w:r w:rsidR="0088680E" w:rsidRPr="0088680E">
              <w:rPr>
                <w:rFonts w:ascii="Arial" w:hAnsi="Arial" w:cs="Arial"/>
                <w:noProof/>
                <w:webHidden/>
                <w:sz w:val="22"/>
                <w:szCs w:val="22"/>
              </w:rPr>
              <w:instrText xml:space="preserve"> PAGEREF _Toc512947889 \h </w:instrText>
            </w:r>
            <w:r w:rsidR="009C61FC" w:rsidRPr="0088680E">
              <w:rPr>
                <w:rFonts w:ascii="Arial" w:hAnsi="Arial" w:cs="Arial"/>
                <w:noProof/>
                <w:webHidden/>
                <w:sz w:val="22"/>
                <w:szCs w:val="22"/>
              </w:rPr>
            </w:r>
            <w:r w:rsidR="009C61FC" w:rsidRPr="0088680E">
              <w:rPr>
                <w:rFonts w:ascii="Arial" w:hAnsi="Arial" w:cs="Arial"/>
                <w:noProof/>
                <w:webHidden/>
                <w:sz w:val="22"/>
                <w:szCs w:val="22"/>
              </w:rPr>
              <w:fldChar w:fldCharType="separate"/>
            </w:r>
            <w:r w:rsidR="005F4C44">
              <w:rPr>
                <w:rFonts w:ascii="Arial" w:hAnsi="Arial" w:cs="Arial"/>
                <w:noProof/>
                <w:webHidden/>
                <w:sz w:val="22"/>
                <w:szCs w:val="22"/>
              </w:rPr>
              <w:t>15</w:t>
            </w:r>
            <w:r w:rsidR="009C61FC" w:rsidRPr="0088680E">
              <w:rPr>
                <w:rFonts w:ascii="Arial" w:hAnsi="Arial" w:cs="Arial"/>
                <w:noProof/>
                <w:webHidden/>
                <w:sz w:val="22"/>
                <w:szCs w:val="22"/>
              </w:rPr>
              <w:fldChar w:fldCharType="end"/>
            </w:r>
          </w:hyperlink>
        </w:p>
        <w:p w14:paraId="710E05B3" w14:textId="77777777" w:rsidR="0088680E" w:rsidRPr="0088680E" w:rsidRDefault="00AD3491">
          <w:pPr>
            <w:pStyle w:val="TOC2"/>
            <w:tabs>
              <w:tab w:val="right" w:leader="dot" w:pos="9350"/>
            </w:tabs>
            <w:rPr>
              <w:rFonts w:ascii="Arial" w:hAnsi="Arial" w:cs="Arial"/>
              <w:smallCaps w:val="0"/>
              <w:noProof/>
              <w:sz w:val="22"/>
              <w:szCs w:val="22"/>
            </w:rPr>
          </w:pPr>
          <w:hyperlink w:anchor="_Toc512947890" w:history="1">
            <w:r w:rsidR="0088680E" w:rsidRPr="0088680E">
              <w:rPr>
                <w:rStyle w:val="Hyperlink"/>
                <w:rFonts w:ascii="Arial" w:hAnsi="Arial" w:cs="Arial"/>
                <w:noProof/>
                <w:sz w:val="22"/>
                <w:szCs w:val="22"/>
              </w:rPr>
              <w:t>II. Homelessness</w:t>
            </w:r>
            <w:r w:rsidR="0088680E" w:rsidRPr="0088680E">
              <w:rPr>
                <w:rFonts w:ascii="Arial" w:hAnsi="Arial" w:cs="Arial"/>
                <w:noProof/>
                <w:webHidden/>
                <w:sz w:val="22"/>
                <w:szCs w:val="22"/>
              </w:rPr>
              <w:tab/>
            </w:r>
            <w:r w:rsidR="009C61FC" w:rsidRPr="0088680E">
              <w:rPr>
                <w:rFonts w:ascii="Arial" w:hAnsi="Arial" w:cs="Arial"/>
                <w:noProof/>
                <w:webHidden/>
                <w:sz w:val="22"/>
                <w:szCs w:val="22"/>
              </w:rPr>
              <w:fldChar w:fldCharType="begin"/>
            </w:r>
            <w:r w:rsidR="0088680E" w:rsidRPr="0088680E">
              <w:rPr>
                <w:rFonts w:ascii="Arial" w:hAnsi="Arial" w:cs="Arial"/>
                <w:noProof/>
                <w:webHidden/>
                <w:sz w:val="22"/>
                <w:szCs w:val="22"/>
              </w:rPr>
              <w:instrText xml:space="preserve"> PAGEREF _Toc512947890 \h </w:instrText>
            </w:r>
            <w:r w:rsidR="009C61FC" w:rsidRPr="0088680E">
              <w:rPr>
                <w:rFonts w:ascii="Arial" w:hAnsi="Arial" w:cs="Arial"/>
                <w:noProof/>
                <w:webHidden/>
                <w:sz w:val="22"/>
                <w:szCs w:val="22"/>
              </w:rPr>
            </w:r>
            <w:r w:rsidR="009C61FC" w:rsidRPr="0088680E">
              <w:rPr>
                <w:rFonts w:ascii="Arial" w:hAnsi="Arial" w:cs="Arial"/>
                <w:noProof/>
                <w:webHidden/>
                <w:sz w:val="22"/>
                <w:szCs w:val="22"/>
              </w:rPr>
              <w:fldChar w:fldCharType="separate"/>
            </w:r>
            <w:r w:rsidR="005F4C44">
              <w:rPr>
                <w:rFonts w:ascii="Arial" w:hAnsi="Arial" w:cs="Arial"/>
                <w:noProof/>
                <w:webHidden/>
                <w:sz w:val="22"/>
                <w:szCs w:val="22"/>
              </w:rPr>
              <w:t>16</w:t>
            </w:r>
            <w:r w:rsidR="009C61FC" w:rsidRPr="0088680E">
              <w:rPr>
                <w:rFonts w:ascii="Arial" w:hAnsi="Arial" w:cs="Arial"/>
                <w:noProof/>
                <w:webHidden/>
                <w:sz w:val="22"/>
                <w:szCs w:val="22"/>
              </w:rPr>
              <w:fldChar w:fldCharType="end"/>
            </w:r>
          </w:hyperlink>
        </w:p>
        <w:p w14:paraId="41FD92E2" w14:textId="77777777" w:rsidR="0088680E" w:rsidRPr="0088680E" w:rsidRDefault="00AD3491">
          <w:pPr>
            <w:pStyle w:val="TOC3"/>
            <w:tabs>
              <w:tab w:val="right" w:leader="dot" w:pos="9350"/>
            </w:tabs>
            <w:rPr>
              <w:rFonts w:ascii="Arial" w:hAnsi="Arial" w:cs="Arial"/>
              <w:i w:val="0"/>
              <w:iCs w:val="0"/>
              <w:noProof/>
              <w:sz w:val="22"/>
              <w:szCs w:val="22"/>
            </w:rPr>
          </w:pPr>
          <w:hyperlink w:anchor="_Toc512947891" w:history="1">
            <w:r w:rsidR="0088680E" w:rsidRPr="0088680E">
              <w:rPr>
                <w:rStyle w:val="Hyperlink"/>
                <w:rFonts w:ascii="Arial" w:hAnsi="Arial" w:cs="Arial"/>
                <w:noProof/>
                <w:sz w:val="22"/>
                <w:szCs w:val="22"/>
              </w:rPr>
              <w:t>A. Factors Resulting in Housing Instability</w:t>
            </w:r>
            <w:r w:rsidR="0088680E" w:rsidRPr="0088680E">
              <w:rPr>
                <w:rFonts w:ascii="Arial" w:hAnsi="Arial" w:cs="Arial"/>
                <w:noProof/>
                <w:webHidden/>
                <w:sz w:val="22"/>
                <w:szCs w:val="22"/>
              </w:rPr>
              <w:tab/>
            </w:r>
            <w:r w:rsidR="009C61FC" w:rsidRPr="0088680E">
              <w:rPr>
                <w:rFonts w:ascii="Arial" w:hAnsi="Arial" w:cs="Arial"/>
                <w:noProof/>
                <w:webHidden/>
                <w:sz w:val="22"/>
                <w:szCs w:val="22"/>
              </w:rPr>
              <w:fldChar w:fldCharType="begin"/>
            </w:r>
            <w:r w:rsidR="0088680E" w:rsidRPr="0088680E">
              <w:rPr>
                <w:rFonts w:ascii="Arial" w:hAnsi="Arial" w:cs="Arial"/>
                <w:noProof/>
                <w:webHidden/>
                <w:sz w:val="22"/>
                <w:szCs w:val="22"/>
              </w:rPr>
              <w:instrText xml:space="preserve"> PAGEREF _Toc512947891 \h </w:instrText>
            </w:r>
            <w:r w:rsidR="009C61FC" w:rsidRPr="0088680E">
              <w:rPr>
                <w:rFonts w:ascii="Arial" w:hAnsi="Arial" w:cs="Arial"/>
                <w:noProof/>
                <w:webHidden/>
                <w:sz w:val="22"/>
                <w:szCs w:val="22"/>
              </w:rPr>
            </w:r>
            <w:r w:rsidR="009C61FC" w:rsidRPr="0088680E">
              <w:rPr>
                <w:rFonts w:ascii="Arial" w:hAnsi="Arial" w:cs="Arial"/>
                <w:noProof/>
                <w:webHidden/>
                <w:sz w:val="22"/>
                <w:szCs w:val="22"/>
              </w:rPr>
              <w:fldChar w:fldCharType="separate"/>
            </w:r>
            <w:r w:rsidR="005F4C44">
              <w:rPr>
                <w:rFonts w:ascii="Arial" w:hAnsi="Arial" w:cs="Arial"/>
                <w:noProof/>
                <w:webHidden/>
                <w:sz w:val="22"/>
                <w:szCs w:val="22"/>
              </w:rPr>
              <w:t>17</w:t>
            </w:r>
            <w:r w:rsidR="009C61FC" w:rsidRPr="0088680E">
              <w:rPr>
                <w:rFonts w:ascii="Arial" w:hAnsi="Arial" w:cs="Arial"/>
                <w:noProof/>
                <w:webHidden/>
                <w:sz w:val="22"/>
                <w:szCs w:val="22"/>
              </w:rPr>
              <w:fldChar w:fldCharType="end"/>
            </w:r>
          </w:hyperlink>
        </w:p>
        <w:p w14:paraId="37F8CB15" w14:textId="77777777" w:rsidR="0088680E" w:rsidRPr="0088680E" w:rsidRDefault="00AD3491">
          <w:pPr>
            <w:pStyle w:val="TOC3"/>
            <w:tabs>
              <w:tab w:val="right" w:leader="dot" w:pos="9350"/>
            </w:tabs>
            <w:rPr>
              <w:rFonts w:ascii="Arial" w:hAnsi="Arial" w:cs="Arial"/>
              <w:i w:val="0"/>
              <w:iCs w:val="0"/>
              <w:noProof/>
              <w:sz w:val="22"/>
              <w:szCs w:val="22"/>
            </w:rPr>
          </w:pPr>
          <w:hyperlink w:anchor="_Toc512947892" w:history="1">
            <w:r w:rsidR="0088680E" w:rsidRPr="0088680E">
              <w:rPr>
                <w:rStyle w:val="Hyperlink"/>
                <w:rFonts w:ascii="Arial" w:hAnsi="Arial" w:cs="Arial"/>
                <w:noProof/>
                <w:sz w:val="22"/>
                <w:szCs w:val="22"/>
              </w:rPr>
              <w:t>B. Experiences While Homeless</w:t>
            </w:r>
            <w:r w:rsidR="0088680E" w:rsidRPr="0088680E">
              <w:rPr>
                <w:rFonts w:ascii="Arial" w:hAnsi="Arial" w:cs="Arial"/>
                <w:noProof/>
                <w:webHidden/>
                <w:sz w:val="22"/>
                <w:szCs w:val="22"/>
              </w:rPr>
              <w:tab/>
            </w:r>
            <w:r w:rsidR="009C61FC" w:rsidRPr="0088680E">
              <w:rPr>
                <w:rFonts w:ascii="Arial" w:hAnsi="Arial" w:cs="Arial"/>
                <w:noProof/>
                <w:webHidden/>
                <w:sz w:val="22"/>
                <w:szCs w:val="22"/>
              </w:rPr>
              <w:fldChar w:fldCharType="begin"/>
            </w:r>
            <w:r w:rsidR="0088680E" w:rsidRPr="0088680E">
              <w:rPr>
                <w:rFonts w:ascii="Arial" w:hAnsi="Arial" w:cs="Arial"/>
                <w:noProof/>
                <w:webHidden/>
                <w:sz w:val="22"/>
                <w:szCs w:val="22"/>
              </w:rPr>
              <w:instrText xml:space="preserve"> PAGEREF _Toc512947892 \h </w:instrText>
            </w:r>
            <w:r w:rsidR="009C61FC" w:rsidRPr="0088680E">
              <w:rPr>
                <w:rFonts w:ascii="Arial" w:hAnsi="Arial" w:cs="Arial"/>
                <w:noProof/>
                <w:webHidden/>
                <w:sz w:val="22"/>
                <w:szCs w:val="22"/>
              </w:rPr>
            </w:r>
            <w:r w:rsidR="009C61FC" w:rsidRPr="0088680E">
              <w:rPr>
                <w:rFonts w:ascii="Arial" w:hAnsi="Arial" w:cs="Arial"/>
                <w:noProof/>
                <w:webHidden/>
                <w:sz w:val="22"/>
                <w:szCs w:val="22"/>
              </w:rPr>
              <w:fldChar w:fldCharType="separate"/>
            </w:r>
            <w:r w:rsidR="005F4C44">
              <w:rPr>
                <w:rFonts w:ascii="Arial" w:hAnsi="Arial" w:cs="Arial"/>
                <w:noProof/>
                <w:webHidden/>
                <w:sz w:val="22"/>
                <w:szCs w:val="22"/>
              </w:rPr>
              <w:t>18</w:t>
            </w:r>
            <w:r w:rsidR="009C61FC" w:rsidRPr="0088680E">
              <w:rPr>
                <w:rFonts w:ascii="Arial" w:hAnsi="Arial" w:cs="Arial"/>
                <w:noProof/>
                <w:webHidden/>
                <w:sz w:val="22"/>
                <w:szCs w:val="22"/>
              </w:rPr>
              <w:fldChar w:fldCharType="end"/>
            </w:r>
          </w:hyperlink>
        </w:p>
        <w:p w14:paraId="5E93BC71" w14:textId="77777777" w:rsidR="0088680E" w:rsidRPr="0088680E" w:rsidRDefault="00AD3491">
          <w:pPr>
            <w:pStyle w:val="TOC3"/>
            <w:tabs>
              <w:tab w:val="right" w:leader="dot" w:pos="9350"/>
            </w:tabs>
            <w:rPr>
              <w:rFonts w:ascii="Arial" w:hAnsi="Arial" w:cs="Arial"/>
              <w:i w:val="0"/>
              <w:iCs w:val="0"/>
              <w:noProof/>
              <w:sz w:val="22"/>
              <w:szCs w:val="22"/>
            </w:rPr>
          </w:pPr>
          <w:hyperlink w:anchor="_Toc512947893" w:history="1">
            <w:r w:rsidR="0088680E" w:rsidRPr="0088680E">
              <w:rPr>
                <w:rStyle w:val="Hyperlink"/>
                <w:rFonts w:ascii="Arial" w:hAnsi="Arial" w:cs="Arial"/>
                <w:noProof/>
                <w:sz w:val="22"/>
                <w:szCs w:val="22"/>
              </w:rPr>
              <w:t>C. Services for Those Experiencing Homelessness</w:t>
            </w:r>
            <w:r w:rsidR="0088680E" w:rsidRPr="0088680E">
              <w:rPr>
                <w:rFonts w:ascii="Arial" w:hAnsi="Arial" w:cs="Arial"/>
                <w:noProof/>
                <w:webHidden/>
                <w:sz w:val="22"/>
                <w:szCs w:val="22"/>
              </w:rPr>
              <w:tab/>
            </w:r>
            <w:r w:rsidR="009C61FC" w:rsidRPr="0088680E">
              <w:rPr>
                <w:rFonts w:ascii="Arial" w:hAnsi="Arial" w:cs="Arial"/>
                <w:noProof/>
                <w:webHidden/>
                <w:sz w:val="22"/>
                <w:szCs w:val="22"/>
              </w:rPr>
              <w:fldChar w:fldCharType="begin"/>
            </w:r>
            <w:r w:rsidR="0088680E" w:rsidRPr="0088680E">
              <w:rPr>
                <w:rFonts w:ascii="Arial" w:hAnsi="Arial" w:cs="Arial"/>
                <w:noProof/>
                <w:webHidden/>
                <w:sz w:val="22"/>
                <w:szCs w:val="22"/>
              </w:rPr>
              <w:instrText xml:space="preserve"> PAGEREF _Toc512947893 \h </w:instrText>
            </w:r>
            <w:r w:rsidR="009C61FC" w:rsidRPr="0088680E">
              <w:rPr>
                <w:rFonts w:ascii="Arial" w:hAnsi="Arial" w:cs="Arial"/>
                <w:noProof/>
                <w:webHidden/>
                <w:sz w:val="22"/>
                <w:szCs w:val="22"/>
              </w:rPr>
            </w:r>
            <w:r w:rsidR="009C61FC" w:rsidRPr="0088680E">
              <w:rPr>
                <w:rFonts w:ascii="Arial" w:hAnsi="Arial" w:cs="Arial"/>
                <w:noProof/>
                <w:webHidden/>
                <w:sz w:val="22"/>
                <w:szCs w:val="22"/>
              </w:rPr>
              <w:fldChar w:fldCharType="separate"/>
            </w:r>
            <w:r w:rsidR="005F4C44">
              <w:rPr>
                <w:rFonts w:ascii="Arial" w:hAnsi="Arial" w:cs="Arial"/>
                <w:noProof/>
                <w:webHidden/>
                <w:sz w:val="22"/>
                <w:szCs w:val="22"/>
              </w:rPr>
              <w:t>19</w:t>
            </w:r>
            <w:r w:rsidR="009C61FC" w:rsidRPr="0088680E">
              <w:rPr>
                <w:rFonts w:ascii="Arial" w:hAnsi="Arial" w:cs="Arial"/>
                <w:noProof/>
                <w:webHidden/>
                <w:sz w:val="22"/>
                <w:szCs w:val="22"/>
              </w:rPr>
              <w:fldChar w:fldCharType="end"/>
            </w:r>
          </w:hyperlink>
        </w:p>
        <w:p w14:paraId="64B136C1" w14:textId="77777777" w:rsidR="0088680E" w:rsidRPr="0088680E" w:rsidRDefault="00AD3491">
          <w:pPr>
            <w:pStyle w:val="TOC2"/>
            <w:tabs>
              <w:tab w:val="right" w:leader="dot" w:pos="9350"/>
            </w:tabs>
            <w:rPr>
              <w:rFonts w:ascii="Arial" w:hAnsi="Arial" w:cs="Arial"/>
              <w:smallCaps w:val="0"/>
              <w:noProof/>
              <w:sz w:val="22"/>
              <w:szCs w:val="22"/>
            </w:rPr>
          </w:pPr>
          <w:hyperlink w:anchor="_Toc512947894" w:history="1">
            <w:r w:rsidR="0088680E" w:rsidRPr="0088680E">
              <w:rPr>
                <w:rStyle w:val="Hyperlink"/>
                <w:rFonts w:ascii="Arial" w:hAnsi="Arial" w:cs="Arial"/>
                <w:noProof/>
                <w:sz w:val="22"/>
                <w:szCs w:val="22"/>
              </w:rPr>
              <w:t>III. Juvenile and Criminal Justice</w:t>
            </w:r>
            <w:r w:rsidR="0088680E" w:rsidRPr="0088680E">
              <w:rPr>
                <w:rFonts w:ascii="Arial" w:hAnsi="Arial" w:cs="Arial"/>
                <w:noProof/>
                <w:webHidden/>
                <w:sz w:val="22"/>
                <w:szCs w:val="22"/>
              </w:rPr>
              <w:tab/>
            </w:r>
            <w:r w:rsidR="009C61FC" w:rsidRPr="0088680E">
              <w:rPr>
                <w:rFonts w:ascii="Arial" w:hAnsi="Arial" w:cs="Arial"/>
                <w:noProof/>
                <w:webHidden/>
                <w:sz w:val="22"/>
                <w:szCs w:val="22"/>
              </w:rPr>
              <w:fldChar w:fldCharType="begin"/>
            </w:r>
            <w:r w:rsidR="0088680E" w:rsidRPr="0088680E">
              <w:rPr>
                <w:rFonts w:ascii="Arial" w:hAnsi="Arial" w:cs="Arial"/>
                <w:noProof/>
                <w:webHidden/>
                <w:sz w:val="22"/>
                <w:szCs w:val="22"/>
              </w:rPr>
              <w:instrText xml:space="preserve"> PAGEREF _Toc512947894 \h </w:instrText>
            </w:r>
            <w:r w:rsidR="009C61FC" w:rsidRPr="0088680E">
              <w:rPr>
                <w:rFonts w:ascii="Arial" w:hAnsi="Arial" w:cs="Arial"/>
                <w:noProof/>
                <w:webHidden/>
                <w:sz w:val="22"/>
                <w:szCs w:val="22"/>
              </w:rPr>
            </w:r>
            <w:r w:rsidR="009C61FC" w:rsidRPr="0088680E">
              <w:rPr>
                <w:rFonts w:ascii="Arial" w:hAnsi="Arial" w:cs="Arial"/>
                <w:noProof/>
                <w:webHidden/>
                <w:sz w:val="22"/>
                <w:szCs w:val="22"/>
              </w:rPr>
              <w:fldChar w:fldCharType="separate"/>
            </w:r>
            <w:r w:rsidR="005F4C44">
              <w:rPr>
                <w:rFonts w:ascii="Arial" w:hAnsi="Arial" w:cs="Arial"/>
                <w:noProof/>
                <w:webHidden/>
                <w:sz w:val="22"/>
                <w:szCs w:val="22"/>
              </w:rPr>
              <w:t>20</w:t>
            </w:r>
            <w:r w:rsidR="009C61FC" w:rsidRPr="0088680E">
              <w:rPr>
                <w:rFonts w:ascii="Arial" w:hAnsi="Arial" w:cs="Arial"/>
                <w:noProof/>
                <w:webHidden/>
                <w:sz w:val="22"/>
                <w:szCs w:val="22"/>
              </w:rPr>
              <w:fldChar w:fldCharType="end"/>
            </w:r>
          </w:hyperlink>
        </w:p>
        <w:p w14:paraId="7D8E860B" w14:textId="77777777" w:rsidR="0088680E" w:rsidRPr="0088680E" w:rsidRDefault="00AD3491">
          <w:pPr>
            <w:pStyle w:val="TOC3"/>
            <w:tabs>
              <w:tab w:val="right" w:leader="dot" w:pos="9350"/>
            </w:tabs>
            <w:rPr>
              <w:rFonts w:ascii="Arial" w:hAnsi="Arial" w:cs="Arial"/>
              <w:i w:val="0"/>
              <w:iCs w:val="0"/>
              <w:noProof/>
              <w:sz w:val="22"/>
              <w:szCs w:val="22"/>
            </w:rPr>
          </w:pPr>
          <w:hyperlink w:anchor="_Toc512947895" w:history="1">
            <w:r w:rsidR="0088680E" w:rsidRPr="0088680E">
              <w:rPr>
                <w:rStyle w:val="Hyperlink"/>
                <w:rFonts w:ascii="Arial" w:hAnsi="Arial" w:cs="Arial"/>
                <w:noProof/>
                <w:sz w:val="22"/>
                <w:szCs w:val="22"/>
              </w:rPr>
              <w:t>A. Pathways to Involvement in the Criminal Justice System</w:t>
            </w:r>
            <w:r w:rsidR="0088680E" w:rsidRPr="0088680E">
              <w:rPr>
                <w:rFonts w:ascii="Arial" w:hAnsi="Arial" w:cs="Arial"/>
                <w:noProof/>
                <w:webHidden/>
                <w:sz w:val="22"/>
                <w:szCs w:val="22"/>
              </w:rPr>
              <w:tab/>
            </w:r>
            <w:r w:rsidR="009C61FC" w:rsidRPr="0088680E">
              <w:rPr>
                <w:rFonts w:ascii="Arial" w:hAnsi="Arial" w:cs="Arial"/>
                <w:noProof/>
                <w:webHidden/>
                <w:sz w:val="22"/>
                <w:szCs w:val="22"/>
              </w:rPr>
              <w:fldChar w:fldCharType="begin"/>
            </w:r>
            <w:r w:rsidR="0088680E" w:rsidRPr="0088680E">
              <w:rPr>
                <w:rFonts w:ascii="Arial" w:hAnsi="Arial" w:cs="Arial"/>
                <w:noProof/>
                <w:webHidden/>
                <w:sz w:val="22"/>
                <w:szCs w:val="22"/>
              </w:rPr>
              <w:instrText xml:space="preserve"> PAGEREF _Toc512947895 \h </w:instrText>
            </w:r>
            <w:r w:rsidR="009C61FC" w:rsidRPr="0088680E">
              <w:rPr>
                <w:rFonts w:ascii="Arial" w:hAnsi="Arial" w:cs="Arial"/>
                <w:noProof/>
                <w:webHidden/>
                <w:sz w:val="22"/>
                <w:szCs w:val="22"/>
              </w:rPr>
            </w:r>
            <w:r w:rsidR="009C61FC" w:rsidRPr="0088680E">
              <w:rPr>
                <w:rFonts w:ascii="Arial" w:hAnsi="Arial" w:cs="Arial"/>
                <w:noProof/>
                <w:webHidden/>
                <w:sz w:val="22"/>
                <w:szCs w:val="22"/>
              </w:rPr>
              <w:fldChar w:fldCharType="separate"/>
            </w:r>
            <w:r w:rsidR="005F4C44">
              <w:rPr>
                <w:rFonts w:ascii="Arial" w:hAnsi="Arial" w:cs="Arial"/>
                <w:noProof/>
                <w:webHidden/>
                <w:sz w:val="22"/>
                <w:szCs w:val="22"/>
              </w:rPr>
              <w:t>21</w:t>
            </w:r>
            <w:r w:rsidR="009C61FC" w:rsidRPr="0088680E">
              <w:rPr>
                <w:rFonts w:ascii="Arial" w:hAnsi="Arial" w:cs="Arial"/>
                <w:noProof/>
                <w:webHidden/>
                <w:sz w:val="22"/>
                <w:szCs w:val="22"/>
              </w:rPr>
              <w:fldChar w:fldCharType="end"/>
            </w:r>
          </w:hyperlink>
        </w:p>
        <w:p w14:paraId="5FB93E78" w14:textId="77777777" w:rsidR="0088680E" w:rsidRPr="0088680E" w:rsidRDefault="00AD3491">
          <w:pPr>
            <w:pStyle w:val="TOC3"/>
            <w:tabs>
              <w:tab w:val="right" w:leader="dot" w:pos="9350"/>
            </w:tabs>
            <w:rPr>
              <w:rFonts w:ascii="Arial" w:hAnsi="Arial" w:cs="Arial"/>
              <w:i w:val="0"/>
              <w:iCs w:val="0"/>
              <w:noProof/>
              <w:sz w:val="22"/>
              <w:szCs w:val="22"/>
            </w:rPr>
          </w:pPr>
          <w:hyperlink w:anchor="_Toc512947896" w:history="1">
            <w:r w:rsidR="0088680E" w:rsidRPr="0088680E">
              <w:rPr>
                <w:rStyle w:val="Hyperlink"/>
                <w:rFonts w:ascii="Arial" w:hAnsi="Arial" w:cs="Arial"/>
                <w:noProof/>
                <w:sz w:val="22"/>
                <w:szCs w:val="22"/>
              </w:rPr>
              <w:t>1. Poverty, Homelessness, and Drugs</w:t>
            </w:r>
            <w:r w:rsidR="0088680E" w:rsidRPr="0088680E">
              <w:rPr>
                <w:rFonts w:ascii="Arial" w:hAnsi="Arial" w:cs="Arial"/>
                <w:noProof/>
                <w:webHidden/>
                <w:sz w:val="22"/>
                <w:szCs w:val="22"/>
              </w:rPr>
              <w:tab/>
            </w:r>
            <w:r w:rsidR="009C61FC" w:rsidRPr="0088680E">
              <w:rPr>
                <w:rFonts w:ascii="Arial" w:hAnsi="Arial" w:cs="Arial"/>
                <w:noProof/>
                <w:webHidden/>
                <w:sz w:val="22"/>
                <w:szCs w:val="22"/>
              </w:rPr>
              <w:fldChar w:fldCharType="begin"/>
            </w:r>
            <w:r w:rsidR="0088680E" w:rsidRPr="0088680E">
              <w:rPr>
                <w:rFonts w:ascii="Arial" w:hAnsi="Arial" w:cs="Arial"/>
                <w:noProof/>
                <w:webHidden/>
                <w:sz w:val="22"/>
                <w:szCs w:val="22"/>
              </w:rPr>
              <w:instrText xml:space="preserve"> PAGEREF _Toc512947896 \h </w:instrText>
            </w:r>
            <w:r w:rsidR="009C61FC" w:rsidRPr="0088680E">
              <w:rPr>
                <w:rFonts w:ascii="Arial" w:hAnsi="Arial" w:cs="Arial"/>
                <w:noProof/>
                <w:webHidden/>
                <w:sz w:val="22"/>
                <w:szCs w:val="22"/>
              </w:rPr>
            </w:r>
            <w:r w:rsidR="009C61FC" w:rsidRPr="0088680E">
              <w:rPr>
                <w:rFonts w:ascii="Arial" w:hAnsi="Arial" w:cs="Arial"/>
                <w:noProof/>
                <w:webHidden/>
                <w:sz w:val="22"/>
                <w:szCs w:val="22"/>
              </w:rPr>
              <w:fldChar w:fldCharType="separate"/>
            </w:r>
            <w:r w:rsidR="005F4C44">
              <w:rPr>
                <w:rFonts w:ascii="Arial" w:hAnsi="Arial" w:cs="Arial"/>
                <w:noProof/>
                <w:webHidden/>
                <w:sz w:val="22"/>
                <w:szCs w:val="22"/>
              </w:rPr>
              <w:t>21</w:t>
            </w:r>
            <w:r w:rsidR="009C61FC" w:rsidRPr="0088680E">
              <w:rPr>
                <w:rFonts w:ascii="Arial" w:hAnsi="Arial" w:cs="Arial"/>
                <w:noProof/>
                <w:webHidden/>
                <w:sz w:val="22"/>
                <w:szCs w:val="22"/>
              </w:rPr>
              <w:fldChar w:fldCharType="end"/>
            </w:r>
          </w:hyperlink>
        </w:p>
        <w:p w14:paraId="609E5FC7" w14:textId="77777777" w:rsidR="0088680E" w:rsidRPr="0088680E" w:rsidRDefault="00AD3491">
          <w:pPr>
            <w:pStyle w:val="TOC3"/>
            <w:tabs>
              <w:tab w:val="right" w:leader="dot" w:pos="9350"/>
            </w:tabs>
            <w:rPr>
              <w:rFonts w:ascii="Arial" w:hAnsi="Arial" w:cs="Arial"/>
              <w:i w:val="0"/>
              <w:iCs w:val="0"/>
              <w:noProof/>
              <w:sz w:val="22"/>
              <w:szCs w:val="22"/>
            </w:rPr>
          </w:pPr>
          <w:hyperlink w:anchor="_Toc512947897" w:history="1">
            <w:r w:rsidR="0088680E" w:rsidRPr="0088680E">
              <w:rPr>
                <w:rStyle w:val="Hyperlink"/>
                <w:rFonts w:ascii="Arial" w:hAnsi="Arial" w:cs="Arial"/>
                <w:noProof/>
                <w:sz w:val="22"/>
                <w:szCs w:val="22"/>
              </w:rPr>
              <w:t>2. The School-to-prison Pipeline</w:t>
            </w:r>
            <w:r w:rsidR="0088680E" w:rsidRPr="0088680E">
              <w:rPr>
                <w:rFonts w:ascii="Arial" w:hAnsi="Arial" w:cs="Arial"/>
                <w:noProof/>
                <w:webHidden/>
                <w:sz w:val="22"/>
                <w:szCs w:val="22"/>
              </w:rPr>
              <w:tab/>
            </w:r>
            <w:r w:rsidR="009C61FC" w:rsidRPr="0088680E">
              <w:rPr>
                <w:rFonts w:ascii="Arial" w:hAnsi="Arial" w:cs="Arial"/>
                <w:noProof/>
                <w:webHidden/>
                <w:sz w:val="22"/>
                <w:szCs w:val="22"/>
              </w:rPr>
              <w:fldChar w:fldCharType="begin"/>
            </w:r>
            <w:r w:rsidR="0088680E" w:rsidRPr="0088680E">
              <w:rPr>
                <w:rFonts w:ascii="Arial" w:hAnsi="Arial" w:cs="Arial"/>
                <w:noProof/>
                <w:webHidden/>
                <w:sz w:val="22"/>
                <w:szCs w:val="22"/>
              </w:rPr>
              <w:instrText xml:space="preserve"> PAGEREF _Toc512947897 \h </w:instrText>
            </w:r>
            <w:r w:rsidR="009C61FC" w:rsidRPr="0088680E">
              <w:rPr>
                <w:rFonts w:ascii="Arial" w:hAnsi="Arial" w:cs="Arial"/>
                <w:noProof/>
                <w:webHidden/>
                <w:sz w:val="22"/>
                <w:szCs w:val="22"/>
              </w:rPr>
            </w:r>
            <w:r w:rsidR="009C61FC" w:rsidRPr="0088680E">
              <w:rPr>
                <w:rFonts w:ascii="Arial" w:hAnsi="Arial" w:cs="Arial"/>
                <w:noProof/>
                <w:webHidden/>
                <w:sz w:val="22"/>
                <w:szCs w:val="22"/>
              </w:rPr>
              <w:fldChar w:fldCharType="separate"/>
            </w:r>
            <w:r w:rsidR="005F4C44">
              <w:rPr>
                <w:rFonts w:ascii="Arial" w:hAnsi="Arial" w:cs="Arial"/>
                <w:noProof/>
                <w:webHidden/>
                <w:sz w:val="22"/>
                <w:szCs w:val="22"/>
              </w:rPr>
              <w:t>22</w:t>
            </w:r>
            <w:r w:rsidR="009C61FC" w:rsidRPr="0088680E">
              <w:rPr>
                <w:rFonts w:ascii="Arial" w:hAnsi="Arial" w:cs="Arial"/>
                <w:noProof/>
                <w:webHidden/>
                <w:sz w:val="22"/>
                <w:szCs w:val="22"/>
              </w:rPr>
              <w:fldChar w:fldCharType="end"/>
            </w:r>
          </w:hyperlink>
        </w:p>
        <w:p w14:paraId="36CD3B7F" w14:textId="77777777" w:rsidR="0088680E" w:rsidRPr="0088680E" w:rsidRDefault="00AD3491">
          <w:pPr>
            <w:pStyle w:val="TOC3"/>
            <w:tabs>
              <w:tab w:val="right" w:leader="dot" w:pos="9350"/>
            </w:tabs>
            <w:rPr>
              <w:rFonts w:ascii="Arial" w:hAnsi="Arial" w:cs="Arial"/>
              <w:i w:val="0"/>
              <w:iCs w:val="0"/>
              <w:noProof/>
              <w:sz w:val="22"/>
              <w:szCs w:val="22"/>
            </w:rPr>
          </w:pPr>
          <w:hyperlink w:anchor="_Toc512947898" w:history="1">
            <w:r w:rsidR="0088680E" w:rsidRPr="0088680E">
              <w:rPr>
                <w:rStyle w:val="Hyperlink"/>
                <w:rFonts w:ascii="Arial" w:hAnsi="Arial" w:cs="Arial"/>
                <w:noProof/>
                <w:sz w:val="22"/>
                <w:szCs w:val="22"/>
              </w:rPr>
              <w:t>3. Criminalization of Consensual Sexual Relationships</w:t>
            </w:r>
            <w:r w:rsidR="0088680E" w:rsidRPr="0088680E">
              <w:rPr>
                <w:rFonts w:ascii="Arial" w:hAnsi="Arial" w:cs="Arial"/>
                <w:noProof/>
                <w:webHidden/>
                <w:sz w:val="22"/>
                <w:szCs w:val="22"/>
              </w:rPr>
              <w:tab/>
            </w:r>
            <w:r w:rsidR="009C61FC" w:rsidRPr="0088680E">
              <w:rPr>
                <w:rFonts w:ascii="Arial" w:hAnsi="Arial" w:cs="Arial"/>
                <w:noProof/>
                <w:webHidden/>
                <w:sz w:val="22"/>
                <w:szCs w:val="22"/>
              </w:rPr>
              <w:fldChar w:fldCharType="begin"/>
            </w:r>
            <w:r w:rsidR="0088680E" w:rsidRPr="0088680E">
              <w:rPr>
                <w:rFonts w:ascii="Arial" w:hAnsi="Arial" w:cs="Arial"/>
                <w:noProof/>
                <w:webHidden/>
                <w:sz w:val="22"/>
                <w:szCs w:val="22"/>
              </w:rPr>
              <w:instrText xml:space="preserve"> PAGEREF _Toc512947898 \h </w:instrText>
            </w:r>
            <w:r w:rsidR="009C61FC" w:rsidRPr="0088680E">
              <w:rPr>
                <w:rFonts w:ascii="Arial" w:hAnsi="Arial" w:cs="Arial"/>
                <w:noProof/>
                <w:webHidden/>
                <w:sz w:val="22"/>
                <w:szCs w:val="22"/>
              </w:rPr>
            </w:r>
            <w:r w:rsidR="009C61FC" w:rsidRPr="0088680E">
              <w:rPr>
                <w:rFonts w:ascii="Arial" w:hAnsi="Arial" w:cs="Arial"/>
                <w:noProof/>
                <w:webHidden/>
                <w:sz w:val="22"/>
                <w:szCs w:val="22"/>
              </w:rPr>
              <w:fldChar w:fldCharType="separate"/>
            </w:r>
            <w:r w:rsidR="005F4C44">
              <w:rPr>
                <w:rFonts w:ascii="Arial" w:hAnsi="Arial" w:cs="Arial"/>
                <w:noProof/>
                <w:webHidden/>
                <w:sz w:val="22"/>
                <w:szCs w:val="22"/>
              </w:rPr>
              <w:t>23</w:t>
            </w:r>
            <w:r w:rsidR="009C61FC" w:rsidRPr="0088680E">
              <w:rPr>
                <w:rFonts w:ascii="Arial" w:hAnsi="Arial" w:cs="Arial"/>
                <w:noProof/>
                <w:webHidden/>
                <w:sz w:val="22"/>
                <w:szCs w:val="22"/>
              </w:rPr>
              <w:fldChar w:fldCharType="end"/>
            </w:r>
          </w:hyperlink>
        </w:p>
        <w:p w14:paraId="7A7047AE" w14:textId="77777777" w:rsidR="0088680E" w:rsidRPr="0088680E" w:rsidRDefault="00AD3491">
          <w:pPr>
            <w:pStyle w:val="TOC3"/>
            <w:tabs>
              <w:tab w:val="right" w:leader="dot" w:pos="9350"/>
            </w:tabs>
            <w:rPr>
              <w:rFonts w:ascii="Arial" w:hAnsi="Arial" w:cs="Arial"/>
              <w:i w:val="0"/>
              <w:iCs w:val="0"/>
              <w:noProof/>
              <w:sz w:val="22"/>
              <w:szCs w:val="22"/>
            </w:rPr>
          </w:pPr>
          <w:hyperlink w:anchor="_Toc512947899" w:history="1">
            <w:r w:rsidR="0088680E" w:rsidRPr="0088680E">
              <w:rPr>
                <w:rStyle w:val="Hyperlink"/>
                <w:rFonts w:ascii="Arial" w:hAnsi="Arial" w:cs="Arial"/>
                <w:noProof/>
                <w:sz w:val="22"/>
                <w:szCs w:val="22"/>
              </w:rPr>
              <w:t>4. Discriminatory Law Enforcement Strategies</w:t>
            </w:r>
            <w:r w:rsidR="0088680E" w:rsidRPr="0088680E">
              <w:rPr>
                <w:rFonts w:ascii="Arial" w:hAnsi="Arial" w:cs="Arial"/>
                <w:noProof/>
                <w:webHidden/>
                <w:sz w:val="22"/>
                <w:szCs w:val="22"/>
              </w:rPr>
              <w:tab/>
            </w:r>
            <w:r w:rsidR="009C61FC" w:rsidRPr="0088680E">
              <w:rPr>
                <w:rFonts w:ascii="Arial" w:hAnsi="Arial" w:cs="Arial"/>
                <w:noProof/>
                <w:webHidden/>
                <w:sz w:val="22"/>
                <w:szCs w:val="22"/>
              </w:rPr>
              <w:fldChar w:fldCharType="begin"/>
            </w:r>
            <w:r w:rsidR="0088680E" w:rsidRPr="0088680E">
              <w:rPr>
                <w:rFonts w:ascii="Arial" w:hAnsi="Arial" w:cs="Arial"/>
                <w:noProof/>
                <w:webHidden/>
                <w:sz w:val="22"/>
                <w:szCs w:val="22"/>
              </w:rPr>
              <w:instrText xml:space="preserve"> PAGEREF _Toc512947899 \h </w:instrText>
            </w:r>
            <w:r w:rsidR="009C61FC" w:rsidRPr="0088680E">
              <w:rPr>
                <w:rFonts w:ascii="Arial" w:hAnsi="Arial" w:cs="Arial"/>
                <w:noProof/>
                <w:webHidden/>
                <w:sz w:val="22"/>
                <w:szCs w:val="22"/>
              </w:rPr>
            </w:r>
            <w:r w:rsidR="009C61FC" w:rsidRPr="0088680E">
              <w:rPr>
                <w:rFonts w:ascii="Arial" w:hAnsi="Arial" w:cs="Arial"/>
                <w:noProof/>
                <w:webHidden/>
                <w:sz w:val="22"/>
                <w:szCs w:val="22"/>
              </w:rPr>
              <w:fldChar w:fldCharType="separate"/>
            </w:r>
            <w:r w:rsidR="005F4C44">
              <w:rPr>
                <w:rFonts w:ascii="Arial" w:hAnsi="Arial" w:cs="Arial"/>
                <w:noProof/>
                <w:webHidden/>
                <w:sz w:val="22"/>
                <w:szCs w:val="22"/>
              </w:rPr>
              <w:t>24</w:t>
            </w:r>
            <w:r w:rsidR="009C61FC" w:rsidRPr="0088680E">
              <w:rPr>
                <w:rFonts w:ascii="Arial" w:hAnsi="Arial" w:cs="Arial"/>
                <w:noProof/>
                <w:webHidden/>
                <w:sz w:val="22"/>
                <w:szCs w:val="22"/>
              </w:rPr>
              <w:fldChar w:fldCharType="end"/>
            </w:r>
          </w:hyperlink>
        </w:p>
        <w:p w14:paraId="407AE887" w14:textId="77777777" w:rsidR="0088680E" w:rsidRPr="0088680E" w:rsidRDefault="00AD3491">
          <w:pPr>
            <w:pStyle w:val="TOC3"/>
            <w:tabs>
              <w:tab w:val="right" w:leader="dot" w:pos="9350"/>
            </w:tabs>
            <w:rPr>
              <w:rFonts w:ascii="Arial" w:hAnsi="Arial" w:cs="Arial"/>
              <w:i w:val="0"/>
              <w:iCs w:val="0"/>
              <w:noProof/>
              <w:sz w:val="22"/>
              <w:szCs w:val="22"/>
            </w:rPr>
          </w:pPr>
          <w:hyperlink w:anchor="_Toc512947900" w:history="1">
            <w:r w:rsidR="0088680E" w:rsidRPr="0088680E">
              <w:rPr>
                <w:rStyle w:val="Hyperlink"/>
                <w:rFonts w:ascii="Arial" w:hAnsi="Arial" w:cs="Arial"/>
                <w:noProof/>
                <w:sz w:val="22"/>
                <w:szCs w:val="22"/>
              </w:rPr>
              <w:t>B. Experiences of LGBTQ Youth in the Justice Systems</w:t>
            </w:r>
            <w:r w:rsidR="0088680E" w:rsidRPr="0088680E">
              <w:rPr>
                <w:rFonts w:ascii="Arial" w:hAnsi="Arial" w:cs="Arial"/>
                <w:noProof/>
                <w:webHidden/>
                <w:sz w:val="22"/>
                <w:szCs w:val="22"/>
              </w:rPr>
              <w:tab/>
            </w:r>
            <w:r w:rsidR="009C61FC" w:rsidRPr="0088680E">
              <w:rPr>
                <w:rFonts w:ascii="Arial" w:hAnsi="Arial" w:cs="Arial"/>
                <w:noProof/>
                <w:webHidden/>
                <w:sz w:val="22"/>
                <w:szCs w:val="22"/>
              </w:rPr>
              <w:fldChar w:fldCharType="begin"/>
            </w:r>
            <w:r w:rsidR="0088680E" w:rsidRPr="0088680E">
              <w:rPr>
                <w:rFonts w:ascii="Arial" w:hAnsi="Arial" w:cs="Arial"/>
                <w:noProof/>
                <w:webHidden/>
                <w:sz w:val="22"/>
                <w:szCs w:val="22"/>
              </w:rPr>
              <w:instrText xml:space="preserve"> PAGEREF _Toc512947900 \h </w:instrText>
            </w:r>
            <w:r w:rsidR="009C61FC" w:rsidRPr="0088680E">
              <w:rPr>
                <w:rFonts w:ascii="Arial" w:hAnsi="Arial" w:cs="Arial"/>
                <w:noProof/>
                <w:webHidden/>
                <w:sz w:val="22"/>
                <w:szCs w:val="22"/>
              </w:rPr>
            </w:r>
            <w:r w:rsidR="009C61FC" w:rsidRPr="0088680E">
              <w:rPr>
                <w:rFonts w:ascii="Arial" w:hAnsi="Arial" w:cs="Arial"/>
                <w:noProof/>
                <w:webHidden/>
                <w:sz w:val="22"/>
                <w:szCs w:val="22"/>
              </w:rPr>
              <w:fldChar w:fldCharType="separate"/>
            </w:r>
            <w:r w:rsidR="005F4C44">
              <w:rPr>
                <w:rFonts w:ascii="Arial" w:hAnsi="Arial" w:cs="Arial"/>
                <w:noProof/>
                <w:webHidden/>
                <w:sz w:val="22"/>
                <w:szCs w:val="22"/>
              </w:rPr>
              <w:t>24</w:t>
            </w:r>
            <w:r w:rsidR="009C61FC" w:rsidRPr="0088680E">
              <w:rPr>
                <w:rFonts w:ascii="Arial" w:hAnsi="Arial" w:cs="Arial"/>
                <w:noProof/>
                <w:webHidden/>
                <w:sz w:val="22"/>
                <w:szCs w:val="22"/>
              </w:rPr>
              <w:fldChar w:fldCharType="end"/>
            </w:r>
          </w:hyperlink>
        </w:p>
        <w:p w14:paraId="463768DF" w14:textId="77777777" w:rsidR="0088680E" w:rsidRPr="0088680E" w:rsidRDefault="00AD3491">
          <w:pPr>
            <w:pStyle w:val="TOC2"/>
            <w:tabs>
              <w:tab w:val="right" w:leader="dot" w:pos="9350"/>
            </w:tabs>
            <w:rPr>
              <w:rFonts w:ascii="Arial" w:hAnsi="Arial" w:cs="Arial"/>
              <w:smallCaps w:val="0"/>
              <w:noProof/>
              <w:sz w:val="22"/>
              <w:szCs w:val="22"/>
            </w:rPr>
          </w:pPr>
          <w:hyperlink w:anchor="_Toc512947901" w:history="1">
            <w:r w:rsidR="0088680E" w:rsidRPr="0088680E">
              <w:rPr>
                <w:rStyle w:val="Hyperlink"/>
                <w:rFonts w:ascii="Arial" w:hAnsi="Arial" w:cs="Arial"/>
                <w:noProof/>
                <w:sz w:val="22"/>
                <w:szCs w:val="22"/>
              </w:rPr>
              <w:t>IV. Health Disparities</w:t>
            </w:r>
            <w:r w:rsidR="0088680E" w:rsidRPr="0088680E">
              <w:rPr>
                <w:rFonts w:ascii="Arial" w:hAnsi="Arial" w:cs="Arial"/>
                <w:noProof/>
                <w:webHidden/>
                <w:sz w:val="22"/>
                <w:szCs w:val="22"/>
              </w:rPr>
              <w:tab/>
            </w:r>
            <w:r w:rsidR="009C61FC" w:rsidRPr="0088680E">
              <w:rPr>
                <w:rFonts w:ascii="Arial" w:hAnsi="Arial" w:cs="Arial"/>
                <w:noProof/>
                <w:webHidden/>
                <w:sz w:val="22"/>
                <w:szCs w:val="22"/>
              </w:rPr>
              <w:fldChar w:fldCharType="begin"/>
            </w:r>
            <w:r w:rsidR="0088680E" w:rsidRPr="0088680E">
              <w:rPr>
                <w:rFonts w:ascii="Arial" w:hAnsi="Arial" w:cs="Arial"/>
                <w:noProof/>
                <w:webHidden/>
                <w:sz w:val="22"/>
                <w:szCs w:val="22"/>
              </w:rPr>
              <w:instrText xml:space="preserve"> PAGEREF _Toc512947901 \h </w:instrText>
            </w:r>
            <w:r w:rsidR="009C61FC" w:rsidRPr="0088680E">
              <w:rPr>
                <w:rFonts w:ascii="Arial" w:hAnsi="Arial" w:cs="Arial"/>
                <w:noProof/>
                <w:webHidden/>
                <w:sz w:val="22"/>
                <w:szCs w:val="22"/>
              </w:rPr>
            </w:r>
            <w:r w:rsidR="009C61FC" w:rsidRPr="0088680E">
              <w:rPr>
                <w:rFonts w:ascii="Arial" w:hAnsi="Arial" w:cs="Arial"/>
                <w:noProof/>
                <w:webHidden/>
                <w:sz w:val="22"/>
                <w:szCs w:val="22"/>
              </w:rPr>
              <w:fldChar w:fldCharType="separate"/>
            </w:r>
            <w:r w:rsidR="005F4C44">
              <w:rPr>
                <w:rFonts w:ascii="Arial" w:hAnsi="Arial" w:cs="Arial"/>
                <w:noProof/>
                <w:webHidden/>
                <w:sz w:val="22"/>
                <w:szCs w:val="22"/>
              </w:rPr>
              <w:t>25</w:t>
            </w:r>
            <w:r w:rsidR="009C61FC" w:rsidRPr="0088680E">
              <w:rPr>
                <w:rFonts w:ascii="Arial" w:hAnsi="Arial" w:cs="Arial"/>
                <w:noProof/>
                <w:webHidden/>
                <w:sz w:val="22"/>
                <w:szCs w:val="22"/>
              </w:rPr>
              <w:fldChar w:fldCharType="end"/>
            </w:r>
          </w:hyperlink>
        </w:p>
        <w:p w14:paraId="56BF0715" w14:textId="77777777" w:rsidR="0088680E" w:rsidRPr="0088680E" w:rsidRDefault="00AD3491">
          <w:pPr>
            <w:pStyle w:val="TOC3"/>
            <w:tabs>
              <w:tab w:val="right" w:leader="dot" w:pos="9350"/>
            </w:tabs>
            <w:rPr>
              <w:rFonts w:ascii="Arial" w:hAnsi="Arial" w:cs="Arial"/>
              <w:i w:val="0"/>
              <w:iCs w:val="0"/>
              <w:noProof/>
              <w:sz w:val="22"/>
              <w:szCs w:val="22"/>
            </w:rPr>
          </w:pPr>
          <w:hyperlink w:anchor="_Toc512947902" w:history="1">
            <w:r w:rsidR="0088680E" w:rsidRPr="0088680E">
              <w:rPr>
                <w:rStyle w:val="Hyperlink"/>
                <w:rFonts w:ascii="Arial" w:hAnsi="Arial" w:cs="Arial"/>
                <w:noProof/>
                <w:sz w:val="22"/>
                <w:szCs w:val="22"/>
              </w:rPr>
              <w:t>A. HIV and Sexually-transmitted Infections (STIs)</w:t>
            </w:r>
            <w:r w:rsidR="0088680E" w:rsidRPr="0088680E">
              <w:rPr>
                <w:rFonts w:ascii="Arial" w:hAnsi="Arial" w:cs="Arial"/>
                <w:noProof/>
                <w:webHidden/>
                <w:sz w:val="22"/>
                <w:szCs w:val="22"/>
              </w:rPr>
              <w:tab/>
            </w:r>
            <w:r w:rsidR="009C61FC" w:rsidRPr="0088680E">
              <w:rPr>
                <w:rFonts w:ascii="Arial" w:hAnsi="Arial" w:cs="Arial"/>
                <w:noProof/>
                <w:webHidden/>
                <w:sz w:val="22"/>
                <w:szCs w:val="22"/>
              </w:rPr>
              <w:fldChar w:fldCharType="begin"/>
            </w:r>
            <w:r w:rsidR="0088680E" w:rsidRPr="0088680E">
              <w:rPr>
                <w:rFonts w:ascii="Arial" w:hAnsi="Arial" w:cs="Arial"/>
                <w:noProof/>
                <w:webHidden/>
                <w:sz w:val="22"/>
                <w:szCs w:val="22"/>
              </w:rPr>
              <w:instrText xml:space="preserve"> PAGEREF _Toc512947902 \h </w:instrText>
            </w:r>
            <w:r w:rsidR="009C61FC" w:rsidRPr="0088680E">
              <w:rPr>
                <w:rFonts w:ascii="Arial" w:hAnsi="Arial" w:cs="Arial"/>
                <w:noProof/>
                <w:webHidden/>
                <w:sz w:val="22"/>
                <w:szCs w:val="22"/>
              </w:rPr>
            </w:r>
            <w:r w:rsidR="009C61FC" w:rsidRPr="0088680E">
              <w:rPr>
                <w:rFonts w:ascii="Arial" w:hAnsi="Arial" w:cs="Arial"/>
                <w:noProof/>
                <w:webHidden/>
                <w:sz w:val="22"/>
                <w:szCs w:val="22"/>
              </w:rPr>
              <w:fldChar w:fldCharType="separate"/>
            </w:r>
            <w:r w:rsidR="005F4C44">
              <w:rPr>
                <w:rFonts w:ascii="Arial" w:hAnsi="Arial" w:cs="Arial"/>
                <w:noProof/>
                <w:webHidden/>
                <w:sz w:val="22"/>
                <w:szCs w:val="22"/>
              </w:rPr>
              <w:t>26</w:t>
            </w:r>
            <w:r w:rsidR="009C61FC" w:rsidRPr="0088680E">
              <w:rPr>
                <w:rFonts w:ascii="Arial" w:hAnsi="Arial" w:cs="Arial"/>
                <w:noProof/>
                <w:webHidden/>
                <w:sz w:val="22"/>
                <w:szCs w:val="22"/>
              </w:rPr>
              <w:fldChar w:fldCharType="end"/>
            </w:r>
          </w:hyperlink>
        </w:p>
        <w:p w14:paraId="797F82D2" w14:textId="77777777" w:rsidR="0088680E" w:rsidRPr="0088680E" w:rsidRDefault="00AD3491">
          <w:pPr>
            <w:pStyle w:val="TOC3"/>
            <w:tabs>
              <w:tab w:val="right" w:leader="dot" w:pos="9350"/>
            </w:tabs>
            <w:rPr>
              <w:rFonts w:ascii="Arial" w:hAnsi="Arial" w:cs="Arial"/>
              <w:i w:val="0"/>
              <w:iCs w:val="0"/>
              <w:noProof/>
              <w:sz w:val="22"/>
              <w:szCs w:val="22"/>
            </w:rPr>
          </w:pPr>
          <w:hyperlink w:anchor="_Toc512947903" w:history="1">
            <w:r w:rsidR="0088680E" w:rsidRPr="0088680E">
              <w:rPr>
                <w:rStyle w:val="Hyperlink"/>
                <w:rFonts w:ascii="Arial" w:hAnsi="Arial" w:cs="Arial"/>
                <w:noProof/>
                <w:sz w:val="22"/>
                <w:szCs w:val="22"/>
              </w:rPr>
              <w:t>B. Behaviors and Risk Factors</w:t>
            </w:r>
            <w:r w:rsidR="0088680E" w:rsidRPr="0088680E">
              <w:rPr>
                <w:rFonts w:ascii="Arial" w:hAnsi="Arial" w:cs="Arial"/>
                <w:noProof/>
                <w:webHidden/>
                <w:sz w:val="22"/>
                <w:szCs w:val="22"/>
              </w:rPr>
              <w:tab/>
            </w:r>
            <w:r w:rsidR="009C61FC" w:rsidRPr="0088680E">
              <w:rPr>
                <w:rFonts w:ascii="Arial" w:hAnsi="Arial" w:cs="Arial"/>
                <w:noProof/>
                <w:webHidden/>
                <w:sz w:val="22"/>
                <w:szCs w:val="22"/>
              </w:rPr>
              <w:fldChar w:fldCharType="begin"/>
            </w:r>
            <w:r w:rsidR="0088680E" w:rsidRPr="0088680E">
              <w:rPr>
                <w:rFonts w:ascii="Arial" w:hAnsi="Arial" w:cs="Arial"/>
                <w:noProof/>
                <w:webHidden/>
                <w:sz w:val="22"/>
                <w:szCs w:val="22"/>
              </w:rPr>
              <w:instrText xml:space="preserve"> PAGEREF _Toc512947903 \h </w:instrText>
            </w:r>
            <w:r w:rsidR="009C61FC" w:rsidRPr="0088680E">
              <w:rPr>
                <w:rFonts w:ascii="Arial" w:hAnsi="Arial" w:cs="Arial"/>
                <w:noProof/>
                <w:webHidden/>
                <w:sz w:val="22"/>
                <w:szCs w:val="22"/>
              </w:rPr>
            </w:r>
            <w:r w:rsidR="009C61FC" w:rsidRPr="0088680E">
              <w:rPr>
                <w:rFonts w:ascii="Arial" w:hAnsi="Arial" w:cs="Arial"/>
                <w:noProof/>
                <w:webHidden/>
                <w:sz w:val="22"/>
                <w:szCs w:val="22"/>
              </w:rPr>
              <w:fldChar w:fldCharType="separate"/>
            </w:r>
            <w:r w:rsidR="005F4C44">
              <w:rPr>
                <w:rFonts w:ascii="Arial" w:hAnsi="Arial" w:cs="Arial"/>
                <w:noProof/>
                <w:webHidden/>
                <w:sz w:val="22"/>
                <w:szCs w:val="22"/>
              </w:rPr>
              <w:t>26</w:t>
            </w:r>
            <w:r w:rsidR="009C61FC" w:rsidRPr="0088680E">
              <w:rPr>
                <w:rFonts w:ascii="Arial" w:hAnsi="Arial" w:cs="Arial"/>
                <w:noProof/>
                <w:webHidden/>
                <w:sz w:val="22"/>
                <w:szCs w:val="22"/>
              </w:rPr>
              <w:fldChar w:fldCharType="end"/>
            </w:r>
          </w:hyperlink>
        </w:p>
        <w:p w14:paraId="2BCABC75" w14:textId="77777777" w:rsidR="0088680E" w:rsidRPr="0088680E" w:rsidRDefault="00AD3491">
          <w:pPr>
            <w:pStyle w:val="TOC3"/>
            <w:tabs>
              <w:tab w:val="right" w:leader="dot" w:pos="9350"/>
            </w:tabs>
            <w:rPr>
              <w:rFonts w:ascii="Arial" w:hAnsi="Arial" w:cs="Arial"/>
              <w:i w:val="0"/>
              <w:iCs w:val="0"/>
              <w:noProof/>
              <w:sz w:val="22"/>
              <w:szCs w:val="22"/>
            </w:rPr>
          </w:pPr>
          <w:hyperlink w:anchor="_Toc512947904" w:history="1">
            <w:r w:rsidR="0088680E" w:rsidRPr="0088680E">
              <w:rPr>
                <w:rStyle w:val="Hyperlink"/>
                <w:rFonts w:ascii="Arial" w:hAnsi="Arial" w:cs="Arial"/>
                <w:noProof/>
                <w:sz w:val="22"/>
                <w:szCs w:val="22"/>
              </w:rPr>
              <w:t>C. Healthcare Experiences</w:t>
            </w:r>
            <w:r w:rsidR="0088680E" w:rsidRPr="0088680E">
              <w:rPr>
                <w:rFonts w:ascii="Arial" w:hAnsi="Arial" w:cs="Arial"/>
                <w:noProof/>
                <w:webHidden/>
                <w:sz w:val="22"/>
                <w:szCs w:val="22"/>
              </w:rPr>
              <w:tab/>
            </w:r>
            <w:r w:rsidR="009C61FC" w:rsidRPr="0088680E">
              <w:rPr>
                <w:rFonts w:ascii="Arial" w:hAnsi="Arial" w:cs="Arial"/>
                <w:noProof/>
                <w:webHidden/>
                <w:sz w:val="22"/>
                <w:szCs w:val="22"/>
              </w:rPr>
              <w:fldChar w:fldCharType="begin"/>
            </w:r>
            <w:r w:rsidR="0088680E" w:rsidRPr="0088680E">
              <w:rPr>
                <w:rFonts w:ascii="Arial" w:hAnsi="Arial" w:cs="Arial"/>
                <w:noProof/>
                <w:webHidden/>
                <w:sz w:val="22"/>
                <w:szCs w:val="22"/>
              </w:rPr>
              <w:instrText xml:space="preserve"> PAGEREF _Toc512947904 \h </w:instrText>
            </w:r>
            <w:r w:rsidR="009C61FC" w:rsidRPr="0088680E">
              <w:rPr>
                <w:rFonts w:ascii="Arial" w:hAnsi="Arial" w:cs="Arial"/>
                <w:noProof/>
                <w:webHidden/>
                <w:sz w:val="22"/>
                <w:szCs w:val="22"/>
              </w:rPr>
            </w:r>
            <w:r w:rsidR="009C61FC" w:rsidRPr="0088680E">
              <w:rPr>
                <w:rFonts w:ascii="Arial" w:hAnsi="Arial" w:cs="Arial"/>
                <w:noProof/>
                <w:webHidden/>
                <w:sz w:val="22"/>
                <w:szCs w:val="22"/>
              </w:rPr>
              <w:fldChar w:fldCharType="separate"/>
            </w:r>
            <w:r w:rsidR="005F4C44">
              <w:rPr>
                <w:rFonts w:ascii="Arial" w:hAnsi="Arial" w:cs="Arial"/>
                <w:noProof/>
                <w:webHidden/>
                <w:sz w:val="22"/>
                <w:szCs w:val="22"/>
              </w:rPr>
              <w:t>27</w:t>
            </w:r>
            <w:r w:rsidR="009C61FC" w:rsidRPr="0088680E">
              <w:rPr>
                <w:rFonts w:ascii="Arial" w:hAnsi="Arial" w:cs="Arial"/>
                <w:noProof/>
                <w:webHidden/>
                <w:sz w:val="22"/>
                <w:szCs w:val="22"/>
              </w:rPr>
              <w:fldChar w:fldCharType="end"/>
            </w:r>
          </w:hyperlink>
        </w:p>
        <w:p w14:paraId="1BACAC3F" w14:textId="77777777" w:rsidR="0088680E" w:rsidRPr="0088680E" w:rsidRDefault="00AD3491">
          <w:pPr>
            <w:pStyle w:val="TOC2"/>
            <w:tabs>
              <w:tab w:val="right" w:leader="dot" w:pos="9350"/>
            </w:tabs>
            <w:rPr>
              <w:rFonts w:ascii="Arial" w:hAnsi="Arial" w:cs="Arial"/>
              <w:smallCaps w:val="0"/>
              <w:noProof/>
              <w:sz w:val="22"/>
              <w:szCs w:val="22"/>
            </w:rPr>
          </w:pPr>
          <w:hyperlink w:anchor="_Toc512947905" w:history="1">
            <w:r w:rsidR="0088680E" w:rsidRPr="0088680E">
              <w:rPr>
                <w:rStyle w:val="Hyperlink"/>
                <w:rFonts w:ascii="Arial" w:eastAsiaTheme="majorEastAsia" w:hAnsi="Arial" w:cs="Arial"/>
                <w:bCs/>
                <w:noProof/>
                <w:sz w:val="22"/>
                <w:szCs w:val="22"/>
              </w:rPr>
              <w:t>V. Conclusion</w:t>
            </w:r>
            <w:r w:rsidR="0088680E" w:rsidRPr="0088680E">
              <w:rPr>
                <w:rFonts w:ascii="Arial" w:hAnsi="Arial" w:cs="Arial"/>
                <w:noProof/>
                <w:webHidden/>
                <w:sz w:val="22"/>
                <w:szCs w:val="22"/>
              </w:rPr>
              <w:tab/>
            </w:r>
            <w:r w:rsidR="009C61FC" w:rsidRPr="0088680E">
              <w:rPr>
                <w:rFonts w:ascii="Arial" w:hAnsi="Arial" w:cs="Arial"/>
                <w:noProof/>
                <w:webHidden/>
                <w:sz w:val="22"/>
                <w:szCs w:val="22"/>
              </w:rPr>
              <w:fldChar w:fldCharType="begin"/>
            </w:r>
            <w:r w:rsidR="0088680E" w:rsidRPr="0088680E">
              <w:rPr>
                <w:rFonts w:ascii="Arial" w:hAnsi="Arial" w:cs="Arial"/>
                <w:noProof/>
                <w:webHidden/>
                <w:sz w:val="22"/>
                <w:szCs w:val="22"/>
              </w:rPr>
              <w:instrText xml:space="preserve"> PAGEREF _Toc512947905 \h </w:instrText>
            </w:r>
            <w:r w:rsidR="009C61FC" w:rsidRPr="0088680E">
              <w:rPr>
                <w:rFonts w:ascii="Arial" w:hAnsi="Arial" w:cs="Arial"/>
                <w:noProof/>
                <w:webHidden/>
                <w:sz w:val="22"/>
                <w:szCs w:val="22"/>
              </w:rPr>
            </w:r>
            <w:r w:rsidR="009C61FC" w:rsidRPr="0088680E">
              <w:rPr>
                <w:rFonts w:ascii="Arial" w:hAnsi="Arial" w:cs="Arial"/>
                <w:noProof/>
                <w:webHidden/>
                <w:sz w:val="22"/>
                <w:szCs w:val="22"/>
              </w:rPr>
              <w:fldChar w:fldCharType="separate"/>
            </w:r>
            <w:r w:rsidR="005F4C44">
              <w:rPr>
                <w:rFonts w:ascii="Arial" w:hAnsi="Arial" w:cs="Arial"/>
                <w:noProof/>
                <w:webHidden/>
                <w:sz w:val="22"/>
                <w:szCs w:val="22"/>
              </w:rPr>
              <w:t>28</w:t>
            </w:r>
            <w:r w:rsidR="009C61FC" w:rsidRPr="0088680E">
              <w:rPr>
                <w:rFonts w:ascii="Arial" w:hAnsi="Arial" w:cs="Arial"/>
                <w:noProof/>
                <w:webHidden/>
                <w:sz w:val="22"/>
                <w:szCs w:val="22"/>
              </w:rPr>
              <w:fldChar w:fldCharType="end"/>
            </w:r>
          </w:hyperlink>
        </w:p>
        <w:p w14:paraId="4A58BB43" w14:textId="77777777" w:rsidR="0088680E" w:rsidRPr="0088680E" w:rsidRDefault="0088680E">
          <w:pPr>
            <w:rPr>
              <w:rStyle w:val="Hyperlink"/>
              <w:rFonts w:cstheme="minorHAnsi"/>
              <w:smallCaps/>
              <w:sz w:val="20"/>
              <w:szCs w:val="20"/>
            </w:rPr>
          </w:pPr>
          <w:r w:rsidRPr="0088680E">
            <w:rPr>
              <w:rStyle w:val="Hyperlink"/>
              <w:rFonts w:ascii="Arial" w:hAnsi="Arial" w:cs="Arial"/>
              <w:noProof/>
            </w:rPr>
            <w:br w:type="page"/>
          </w:r>
        </w:p>
        <w:p w14:paraId="4914D307" w14:textId="77777777" w:rsidR="0088680E" w:rsidRDefault="0088680E">
          <w:pPr>
            <w:pStyle w:val="TOC1"/>
            <w:rPr>
              <w:rStyle w:val="Hyperlink"/>
              <w:rFonts w:cstheme="minorBidi"/>
              <w:b w:val="0"/>
              <w:bCs w:val="0"/>
              <w:caps w:val="0"/>
              <w:sz w:val="22"/>
              <w:szCs w:val="22"/>
            </w:rPr>
          </w:pPr>
        </w:p>
        <w:p w14:paraId="3EF09DA4" w14:textId="77777777" w:rsidR="0088680E" w:rsidRPr="0088680E" w:rsidRDefault="00AD3491">
          <w:pPr>
            <w:pStyle w:val="TOC1"/>
            <w:rPr>
              <w:rFonts w:ascii="Arial" w:hAnsi="Arial" w:cs="Arial"/>
              <w:b w:val="0"/>
              <w:bCs w:val="0"/>
              <w:caps w:val="0"/>
              <w:noProof/>
              <w:sz w:val="22"/>
              <w:szCs w:val="22"/>
            </w:rPr>
          </w:pPr>
          <w:hyperlink w:anchor="_Toc512947906" w:history="1">
            <w:r w:rsidR="0088680E" w:rsidRPr="0088680E">
              <w:rPr>
                <w:rStyle w:val="Hyperlink"/>
                <w:rFonts w:ascii="Arial" w:hAnsi="Arial" w:cs="Arial"/>
                <w:noProof/>
                <w:sz w:val="22"/>
                <w:szCs w:val="22"/>
              </w:rPr>
              <w:t>Executive Office of Education Recommendations</w:t>
            </w:r>
            <w:r w:rsidR="0088680E" w:rsidRPr="0088680E">
              <w:rPr>
                <w:rFonts w:ascii="Arial" w:hAnsi="Arial" w:cs="Arial"/>
                <w:noProof/>
                <w:webHidden/>
                <w:sz w:val="22"/>
                <w:szCs w:val="22"/>
              </w:rPr>
              <w:tab/>
            </w:r>
            <w:r w:rsidR="009C61FC" w:rsidRPr="0088680E">
              <w:rPr>
                <w:rFonts w:ascii="Arial" w:hAnsi="Arial" w:cs="Arial"/>
                <w:noProof/>
                <w:webHidden/>
                <w:sz w:val="22"/>
                <w:szCs w:val="22"/>
              </w:rPr>
              <w:fldChar w:fldCharType="begin"/>
            </w:r>
            <w:r w:rsidR="0088680E" w:rsidRPr="0088680E">
              <w:rPr>
                <w:rFonts w:ascii="Arial" w:hAnsi="Arial" w:cs="Arial"/>
                <w:noProof/>
                <w:webHidden/>
                <w:sz w:val="22"/>
                <w:szCs w:val="22"/>
              </w:rPr>
              <w:instrText xml:space="preserve"> PAGEREF _Toc512947906 \h </w:instrText>
            </w:r>
            <w:r w:rsidR="009C61FC" w:rsidRPr="0088680E">
              <w:rPr>
                <w:rFonts w:ascii="Arial" w:hAnsi="Arial" w:cs="Arial"/>
                <w:noProof/>
                <w:webHidden/>
                <w:sz w:val="22"/>
                <w:szCs w:val="22"/>
              </w:rPr>
            </w:r>
            <w:r w:rsidR="009C61FC" w:rsidRPr="0088680E">
              <w:rPr>
                <w:rFonts w:ascii="Arial" w:hAnsi="Arial" w:cs="Arial"/>
                <w:noProof/>
                <w:webHidden/>
                <w:sz w:val="22"/>
                <w:szCs w:val="22"/>
              </w:rPr>
              <w:fldChar w:fldCharType="separate"/>
            </w:r>
            <w:r w:rsidR="005F4C44">
              <w:rPr>
                <w:rFonts w:ascii="Arial" w:hAnsi="Arial" w:cs="Arial"/>
                <w:noProof/>
                <w:webHidden/>
                <w:sz w:val="22"/>
                <w:szCs w:val="22"/>
              </w:rPr>
              <w:t>29</w:t>
            </w:r>
            <w:r w:rsidR="009C61FC" w:rsidRPr="0088680E">
              <w:rPr>
                <w:rFonts w:ascii="Arial" w:hAnsi="Arial" w:cs="Arial"/>
                <w:noProof/>
                <w:webHidden/>
                <w:sz w:val="22"/>
                <w:szCs w:val="22"/>
              </w:rPr>
              <w:fldChar w:fldCharType="end"/>
            </w:r>
          </w:hyperlink>
        </w:p>
        <w:p w14:paraId="2FDC7E36" w14:textId="77777777" w:rsidR="0088680E" w:rsidRPr="0088680E" w:rsidRDefault="00AD3491">
          <w:pPr>
            <w:pStyle w:val="TOC2"/>
            <w:tabs>
              <w:tab w:val="right" w:leader="dot" w:pos="9350"/>
            </w:tabs>
            <w:rPr>
              <w:rFonts w:ascii="Arial" w:hAnsi="Arial" w:cs="Arial"/>
              <w:smallCaps w:val="0"/>
              <w:noProof/>
              <w:sz w:val="22"/>
              <w:szCs w:val="22"/>
            </w:rPr>
          </w:pPr>
          <w:hyperlink w:anchor="_Toc512947907" w:history="1">
            <w:r w:rsidR="0088680E" w:rsidRPr="0088680E">
              <w:rPr>
                <w:rStyle w:val="Hyperlink"/>
                <w:rFonts w:ascii="Arial" w:hAnsi="Arial" w:cs="Arial"/>
                <w:noProof/>
                <w:sz w:val="22"/>
                <w:szCs w:val="22"/>
              </w:rPr>
              <w:t>Department of Early Education and Care</w:t>
            </w:r>
            <w:r w:rsidR="0088680E" w:rsidRPr="0088680E">
              <w:rPr>
                <w:rFonts w:ascii="Arial" w:hAnsi="Arial" w:cs="Arial"/>
                <w:noProof/>
                <w:webHidden/>
                <w:sz w:val="22"/>
                <w:szCs w:val="22"/>
              </w:rPr>
              <w:tab/>
            </w:r>
            <w:r w:rsidR="009C61FC" w:rsidRPr="0088680E">
              <w:rPr>
                <w:rFonts w:ascii="Arial" w:hAnsi="Arial" w:cs="Arial"/>
                <w:noProof/>
                <w:webHidden/>
                <w:sz w:val="22"/>
                <w:szCs w:val="22"/>
              </w:rPr>
              <w:fldChar w:fldCharType="begin"/>
            </w:r>
            <w:r w:rsidR="0088680E" w:rsidRPr="0088680E">
              <w:rPr>
                <w:rFonts w:ascii="Arial" w:hAnsi="Arial" w:cs="Arial"/>
                <w:noProof/>
                <w:webHidden/>
                <w:sz w:val="22"/>
                <w:szCs w:val="22"/>
              </w:rPr>
              <w:instrText xml:space="preserve"> PAGEREF _Toc512947907 \h </w:instrText>
            </w:r>
            <w:r w:rsidR="009C61FC" w:rsidRPr="0088680E">
              <w:rPr>
                <w:rFonts w:ascii="Arial" w:hAnsi="Arial" w:cs="Arial"/>
                <w:noProof/>
                <w:webHidden/>
                <w:sz w:val="22"/>
                <w:szCs w:val="22"/>
              </w:rPr>
            </w:r>
            <w:r w:rsidR="009C61FC" w:rsidRPr="0088680E">
              <w:rPr>
                <w:rFonts w:ascii="Arial" w:hAnsi="Arial" w:cs="Arial"/>
                <w:noProof/>
                <w:webHidden/>
                <w:sz w:val="22"/>
                <w:szCs w:val="22"/>
              </w:rPr>
              <w:fldChar w:fldCharType="separate"/>
            </w:r>
            <w:r w:rsidR="005F4C44">
              <w:rPr>
                <w:rFonts w:ascii="Arial" w:hAnsi="Arial" w:cs="Arial"/>
                <w:noProof/>
                <w:webHidden/>
                <w:sz w:val="22"/>
                <w:szCs w:val="22"/>
              </w:rPr>
              <w:t>30</w:t>
            </w:r>
            <w:r w:rsidR="009C61FC" w:rsidRPr="0088680E">
              <w:rPr>
                <w:rFonts w:ascii="Arial" w:hAnsi="Arial" w:cs="Arial"/>
                <w:noProof/>
                <w:webHidden/>
                <w:sz w:val="22"/>
                <w:szCs w:val="22"/>
              </w:rPr>
              <w:fldChar w:fldCharType="end"/>
            </w:r>
          </w:hyperlink>
        </w:p>
        <w:p w14:paraId="38E2AB18" w14:textId="77777777" w:rsidR="0088680E" w:rsidRPr="0088680E" w:rsidRDefault="00AD3491">
          <w:pPr>
            <w:pStyle w:val="TOC2"/>
            <w:tabs>
              <w:tab w:val="right" w:leader="dot" w:pos="9350"/>
            </w:tabs>
            <w:rPr>
              <w:rFonts w:ascii="Arial" w:hAnsi="Arial" w:cs="Arial"/>
              <w:smallCaps w:val="0"/>
              <w:noProof/>
              <w:sz w:val="22"/>
              <w:szCs w:val="22"/>
            </w:rPr>
          </w:pPr>
          <w:hyperlink w:anchor="_Toc512947908" w:history="1">
            <w:r w:rsidR="0088680E" w:rsidRPr="0088680E">
              <w:rPr>
                <w:rStyle w:val="Hyperlink"/>
                <w:rFonts w:ascii="Arial" w:hAnsi="Arial" w:cs="Arial"/>
                <w:noProof/>
                <w:sz w:val="22"/>
                <w:szCs w:val="22"/>
              </w:rPr>
              <w:t>Department of Elementary and Secondary Education</w:t>
            </w:r>
            <w:r w:rsidR="0088680E" w:rsidRPr="0088680E">
              <w:rPr>
                <w:rFonts w:ascii="Arial" w:hAnsi="Arial" w:cs="Arial"/>
                <w:noProof/>
                <w:webHidden/>
                <w:sz w:val="22"/>
                <w:szCs w:val="22"/>
              </w:rPr>
              <w:tab/>
            </w:r>
            <w:r w:rsidR="009C61FC" w:rsidRPr="0088680E">
              <w:rPr>
                <w:rFonts w:ascii="Arial" w:hAnsi="Arial" w:cs="Arial"/>
                <w:noProof/>
                <w:webHidden/>
                <w:sz w:val="22"/>
                <w:szCs w:val="22"/>
              </w:rPr>
              <w:fldChar w:fldCharType="begin"/>
            </w:r>
            <w:r w:rsidR="0088680E" w:rsidRPr="0088680E">
              <w:rPr>
                <w:rFonts w:ascii="Arial" w:hAnsi="Arial" w:cs="Arial"/>
                <w:noProof/>
                <w:webHidden/>
                <w:sz w:val="22"/>
                <w:szCs w:val="22"/>
              </w:rPr>
              <w:instrText xml:space="preserve"> PAGEREF _Toc512947908 \h </w:instrText>
            </w:r>
            <w:r w:rsidR="009C61FC" w:rsidRPr="0088680E">
              <w:rPr>
                <w:rFonts w:ascii="Arial" w:hAnsi="Arial" w:cs="Arial"/>
                <w:noProof/>
                <w:webHidden/>
                <w:sz w:val="22"/>
                <w:szCs w:val="22"/>
              </w:rPr>
            </w:r>
            <w:r w:rsidR="009C61FC" w:rsidRPr="0088680E">
              <w:rPr>
                <w:rFonts w:ascii="Arial" w:hAnsi="Arial" w:cs="Arial"/>
                <w:noProof/>
                <w:webHidden/>
                <w:sz w:val="22"/>
                <w:szCs w:val="22"/>
              </w:rPr>
              <w:fldChar w:fldCharType="separate"/>
            </w:r>
            <w:r w:rsidR="005F4C44">
              <w:rPr>
                <w:rFonts w:ascii="Arial" w:hAnsi="Arial" w:cs="Arial"/>
                <w:noProof/>
                <w:webHidden/>
                <w:sz w:val="22"/>
                <w:szCs w:val="22"/>
              </w:rPr>
              <w:t>33</w:t>
            </w:r>
            <w:r w:rsidR="009C61FC" w:rsidRPr="0088680E">
              <w:rPr>
                <w:rFonts w:ascii="Arial" w:hAnsi="Arial" w:cs="Arial"/>
                <w:noProof/>
                <w:webHidden/>
                <w:sz w:val="22"/>
                <w:szCs w:val="22"/>
              </w:rPr>
              <w:fldChar w:fldCharType="end"/>
            </w:r>
          </w:hyperlink>
        </w:p>
        <w:p w14:paraId="6ACA8A83" w14:textId="77777777" w:rsidR="0088680E" w:rsidRPr="0088680E" w:rsidRDefault="00AD3491">
          <w:pPr>
            <w:pStyle w:val="TOC2"/>
            <w:tabs>
              <w:tab w:val="right" w:leader="dot" w:pos="9350"/>
            </w:tabs>
            <w:rPr>
              <w:rFonts w:ascii="Arial" w:hAnsi="Arial" w:cs="Arial"/>
              <w:smallCaps w:val="0"/>
              <w:noProof/>
              <w:sz w:val="22"/>
              <w:szCs w:val="22"/>
            </w:rPr>
          </w:pPr>
          <w:hyperlink w:anchor="_Toc512947909" w:history="1">
            <w:r w:rsidR="0088680E" w:rsidRPr="0088680E">
              <w:rPr>
                <w:rStyle w:val="Hyperlink"/>
                <w:rFonts w:ascii="Arial" w:hAnsi="Arial" w:cs="Arial"/>
                <w:noProof/>
                <w:sz w:val="22"/>
                <w:szCs w:val="22"/>
              </w:rPr>
              <w:t>Department of Higher Education</w:t>
            </w:r>
            <w:r w:rsidR="0088680E" w:rsidRPr="0088680E">
              <w:rPr>
                <w:rFonts w:ascii="Arial" w:hAnsi="Arial" w:cs="Arial"/>
                <w:noProof/>
                <w:webHidden/>
                <w:sz w:val="22"/>
                <w:szCs w:val="22"/>
              </w:rPr>
              <w:tab/>
            </w:r>
            <w:r w:rsidR="009C61FC" w:rsidRPr="0088680E">
              <w:rPr>
                <w:rFonts w:ascii="Arial" w:hAnsi="Arial" w:cs="Arial"/>
                <w:noProof/>
                <w:webHidden/>
                <w:sz w:val="22"/>
                <w:szCs w:val="22"/>
              </w:rPr>
              <w:fldChar w:fldCharType="begin"/>
            </w:r>
            <w:r w:rsidR="0088680E" w:rsidRPr="0088680E">
              <w:rPr>
                <w:rFonts w:ascii="Arial" w:hAnsi="Arial" w:cs="Arial"/>
                <w:noProof/>
                <w:webHidden/>
                <w:sz w:val="22"/>
                <w:szCs w:val="22"/>
              </w:rPr>
              <w:instrText xml:space="preserve"> PAGEREF _Toc512947909 \h </w:instrText>
            </w:r>
            <w:r w:rsidR="009C61FC" w:rsidRPr="0088680E">
              <w:rPr>
                <w:rFonts w:ascii="Arial" w:hAnsi="Arial" w:cs="Arial"/>
                <w:noProof/>
                <w:webHidden/>
                <w:sz w:val="22"/>
                <w:szCs w:val="22"/>
              </w:rPr>
            </w:r>
            <w:r w:rsidR="009C61FC" w:rsidRPr="0088680E">
              <w:rPr>
                <w:rFonts w:ascii="Arial" w:hAnsi="Arial" w:cs="Arial"/>
                <w:noProof/>
                <w:webHidden/>
                <w:sz w:val="22"/>
                <w:szCs w:val="22"/>
              </w:rPr>
              <w:fldChar w:fldCharType="separate"/>
            </w:r>
            <w:r w:rsidR="005F4C44">
              <w:rPr>
                <w:rFonts w:ascii="Arial" w:hAnsi="Arial" w:cs="Arial"/>
                <w:noProof/>
                <w:webHidden/>
                <w:sz w:val="22"/>
                <w:szCs w:val="22"/>
              </w:rPr>
              <w:t>38</w:t>
            </w:r>
            <w:r w:rsidR="009C61FC" w:rsidRPr="0088680E">
              <w:rPr>
                <w:rFonts w:ascii="Arial" w:hAnsi="Arial" w:cs="Arial"/>
                <w:noProof/>
                <w:webHidden/>
                <w:sz w:val="22"/>
                <w:szCs w:val="22"/>
              </w:rPr>
              <w:fldChar w:fldCharType="end"/>
            </w:r>
          </w:hyperlink>
        </w:p>
        <w:p w14:paraId="7730B8C6" w14:textId="77777777" w:rsidR="0088680E" w:rsidRDefault="0088680E">
          <w:pPr>
            <w:pStyle w:val="TOC1"/>
            <w:rPr>
              <w:rStyle w:val="Hyperlink"/>
              <w:b w:val="0"/>
              <w:bCs w:val="0"/>
              <w:caps w:val="0"/>
              <w:smallCaps/>
            </w:rPr>
          </w:pPr>
        </w:p>
        <w:p w14:paraId="232D876E" w14:textId="77777777" w:rsidR="0088680E" w:rsidRPr="0088680E" w:rsidRDefault="00AD3491">
          <w:pPr>
            <w:pStyle w:val="TOC1"/>
            <w:rPr>
              <w:rFonts w:ascii="Arial" w:hAnsi="Arial" w:cs="Arial"/>
              <w:b w:val="0"/>
              <w:bCs w:val="0"/>
              <w:caps w:val="0"/>
              <w:noProof/>
              <w:sz w:val="22"/>
              <w:szCs w:val="22"/>
            </w:rPr>
          </w:pPr>
          <w:hyperlink w:anchor="_Toc512947910" w:history="1">
            <w:r w:rsidR="0088680E" w:rsidRPr="0088680E">
              <w:rPr>
                <w:rStyle w:val="Hyperlink"/>
                <w:rFonts w:ascii="Arial" w:hAnsi="Arial" w:cs="Arial"/>
                <w:noProof/>
                <w:sz w:val="22"/>
                <w:szCs w:val="22"/>
              </w:rPr>
              <w:t>Executive Office of Health and Human Services Recommendations</w:t>
            </w:r>
            <w:r w:rsidR="0088680E" w:rsidRPr="0088680E">
              <w:rPr>
                <w:rFonts w:ascii="Arial" w:hAnsi="Arial" w:cs="Arial"/>
                <w:noProof/>
                <w:webHidden/>
                <w:sz w:val="22"/>
                <w:szCs w:val="22"/>
              </w:rPr>
              <w:tab/>
            </w:r>
            <w:r w:rsidR="009C61FC" w:rsidRPr="0088680E">
              <w:rPr>
                <w:rFonts w:ascii="Arial" w:hAnsi="Arial" w:cs="Arial"/>
                <w:noProof/>
                <w:webHidden/>
                <w:sz w:val="22"/>
                <w:szCs w:val="22"/>
              </w:rPr>
              <w:fldChar w:fldCharType="begin"/>
            </w:r>
            <w:r w:rsidR="0088680E" w:rsidRPr="0088680E">
              <w:rPr>
                <w:rFonts w:ascii="Arial" w:hAnsi="Arial" w:cs="Arial"/>
                <w:noProof/>
                <w:webHidden/>
                <w:sz w:val="22"/>
                <w:szCs w:val="22"/>
              </w:rPr>
              <w:instrText xml:space="preserve"> PAGEREF _Toc512947910 \h </w:instrText>
            </w:r>
            <w:r w:rsidR="009C61FC" w:rsidRPr="0088680E">
              <w:rPr>
                <w:rFonts w:ascii="Arial" w:hAnsi="Arial" w:cs="Arial"/>
                <w:noProof/>
                <w:webHidden/>
                <w:sz w:val="22"/>
                <w:szCs w:val="22"/>
              </w:rPr>
            </w:r>
            <w:r w:rsidR="009C61FC" w:rsidRPr="0088680E">
              <w:rPr>
                <w:rFonts w:ascii="Arial" w:hAnsi="Arial" w:cs="Arial"/>
                <w:noProof/>
                <w:webHidden/>
                <w:sz w:val="22"/>
                <w:szCs w:val="22"/>
              </w:rPr>
              <w:fldChar w:fldCharType="separate"/>
            </w:r>
            <w:r w:rsidR="005F4C44">
              <w:rPr>
                <w:rFonts w:ascii="Arial" w:hAnsi="Arial" w:cs="Arial"/>
                <w:noProof/>
                <w:webHidden/>
                <w:sz w:val="22"/>
                <w:szCs w:val="22"/>
              </w:rPr>
              <w:t>41</w:t>
            </w:r>
            <w:r w:rsidR="009C61FC" w:rsidRPr="0088680E">
              <w:rPr>
                <w:rFonts w:ascii="Arial" w:hAnsi="Arial" w:cs="Arial"/>
                <w:noProof/>
                <w:webHidden/>
                <w:sz w:val="22"/>
                <w:szCs w:val="22"/>
              </w:rPr>
              <w:fldChar w:fldCharType="end"/>
            </w:r>
          </w:hyperlink>
        </w:p>
        <w:p w14:paraId="24B15869" w14:textId="77777777" w:rsidR="0088680E" w:rsidRPr="0088680E" w:rsidRDefault="00AD3491">
          <w:pPr>
            <w:pStyle w:val="TOC2"/>
            <w:tabs>
              <w:tab w:val="right" w:leader="dot" w:pos="9350"/>
            </w:tabs>
            <w:rPr>
              <w:rFonts w:ascii="Arial" w:hAnsi="Arial" w:cs="Arial"/>
              <w:smallCaps w:val="0"/>
              <w:noProof/>
              <w:sz w:val="22"/>
              <w:szCs w:val="22"/>
            </w:rPr>
          </w:pPr>
          <w:hyperlink w:anchor="_Toc512947911" w:history="1">
            <w:r w:rsidR="0088680E" w:rsidRPr="0088680E">
              <w:rPr>
                <w:rStyle w:val="Hyperlink"/>
                <w:rFonts w:ascii="Arial" w:hAnsi="Arial" w:cs="Arial"/>
                <w:noProof/>
                <w:sz w:val="22"/>
                <w:szCs w:val="22"/>
              </w:rPr>
              <w:t>Department of Children and Families</w:t>
            </w:r>
            <w:r w:rsidR="0088680E" w:rsidRPr="0088680E">
              <w:rPr>
                <w:rFonts w:ascii="Arial" w:hAnsi="Arial" w:cs="Arial"/>
                <w:noProof/>
                <w:webHidden/>
                <w:sz w:val="22"/>
                <w:szCs w:val="22"/>
              </w:rPr>
              <w:tab/>
            </w:r>
            <w:r w:rsidR="009C61FC" w:rsidRPr="0088680E">
              <w:rPr>
                <w:rFonts w:ascii="Arial" w:hAnsi="Arial" w:cs="Arial"/>
                <w:noProof/>
                <w:webHidden/>
                <w:sz w:val="22"/>
                <w:szCs w:val="22"/>
              </w:rPr>
              <w:fldChar w:fldCharType="begin"/>
            </w:r>
            <w:r w:rsidR="0088680E" w:rsidRPr="0088680E">
              <w:rPr>
                <w:rFonts w:ascii="Arial" w:hAnsi="Arial" w:cs="Arial"/>
                <w:noProof/>
                <w:webHidden/>
                <w:sz w:val="22"/>
                <w:szCs w:val="22"/>
              </w:rPr>
              <w:instrText xml:space="preserve"> PAGEREF _Toc512947911 \h </w:instrText>
            </w:r>
            <w:r w:rsidR="009C61FC" w:rsidRPr="0088680E">
              <w:rPr>
                <w:rFonts w:ascii="Arial" w:hAnsi="Arial" w:cs="Arial"/>
                <w:noProof/>
                <w:webHidden/>
                <w:sz w:val="22"/>
                <w:szCs w:val="22"/>
              </w:rPr>
            </w:r>
            <w:r w:rsidR="009C61FC" w:rsidRPr="0088680E">
              <w:rPr>
                <w:rFonts w:ascii="Arial" w:hAnsi="Arial" w:cs="Arial"/>
                <w:noProof/>
                <w:webHidden/>
                <w:sz w:val="22"/>
                <w:szCs w:val="22"/>
              </w:rPr>
              <w:fldChar w:fldCharType="separate"/>
            </w:r>
            <w:r w:rsidR="005F4C44">
              <w:rPr>
                <w:rFonts w:ascii="Arial" w:hAnsi="Arial" w:cs="Arial"/>
                <w:noProof/>
                <w:webHidden/>
                <w:sz w:val="22"/>
                <w:szCs w:val="22"/>
              </w:rPr>
              <w:t>42</w:t>
            </w:r>
            <w:r w:rsidR="009C61FC" w:rsidRPr="0088680E">
              <w:rPr>
                <w:rFonts w:ascii="Arial" w:hAnsi="Arial" w:cs="Arial"/>
                <w:noProof/>
                <w:webHidden/>
                <w:sz w:val="22"/>
                <w:szCs w:val="22"/>
              </w:rPr>
              <w:fldChar w:fldCharType="end"/>
            </w:r>
          </w:hyperlink>
        </w:p>
        <w:p w14:paraId="429978A1" w14:textId="77777777" w:rsidR="0088680E" w:rsidRPr="0088680E" w:rsidRDefault="00AD3491">
          <w:pPr>
            <w:pStyle w:val="TOC2"/>
            <w:tabs>
              <w:tab w:val="right" w:leader="dot" w:pos="9350"/>
            </w:tabs>
            <w:rPr>
              <w:rFonts w:ascii="Arial" w:hAnsi="Arial" w:cs="Arial"/>
              <w:smallCaps w:val="0"/>
              <w:noProof/>
              <w:sz w:val="22"/>
              <w:szCs w:val="22"/>
            </w:rPr>
          </w:pPr>
          <w:hyperlink w:anchor="_Toc512947912" w:history="1">
            <w:r w:rsidR="0088680E" w:rsidRPr="0088680E">
              <w:rPr>
                <w:rStyle w:val="Hyperlink"/>
                <w:rFonts w:ascii="Arial" w:hAnsi="Arial" w:cs="Arial"/>
                <w:noProof/>
                <w:sz w:val="22"/>
                <w:szCs w:val="22"/>
              </w:rPr>
              <w:t>Massachusetts Commission for the Blind</w:t>
            </w:r>
            <w:r w:rsidR="0088680E" w:rsidRPr="0088680E">
              <w:rPr>
                <w:rFonts w:ascii="Arial" w:hAnsi="Arial" w:cs="Arial"/>
                <w:noProof/>
                <w:webHidden/>
                <w:sz w:val="22"/>
                <w:szCs w:val="22"/>
              </w:rPr>
              <w:tab/>
            </w:r>
            <w:r w:rsidR="009C61FC" w:rsidRPr="0088680E">
              <w:rPr>
                <w:rFonts w:ascii="Arial" w:hAnsi="Arial" w:cs="Arial"/>
                <w:noProof/>
                <w:webHidden/>
                <w:sz w:val="22"/>
                <w:szCs w:val="22"/>
              </w:rPr>
              <w:fldChar w:fldCharType="begin"/>
            </w:r>
            <w:r w:rsidR="0088680E" w:rsidRPr="0088680E">
              <w:rPr>
                <w:rFonts w:ascii="Arial" w:hAnsi="Arial" w:cs="Arial"/>
                <w:noProof/>
                <w:webHidden/>
                <w:sz w:val="22"/>
                <w:szCs w:val="22"/>
              </w:rPr>
              <w:instrText xml:space="preserve"> PAGEREF _Toc512947912 \h </w:instrText>
            </w:r>
            <w:r w:rsidR="009C61FC" w:rsidRPr="0088680E">
              <w:rPr>
                <w:rFonts w:ascii="Arial" w:hAnsi="Arial" w:cs="Arial"/>
                <w:noProof/>
                <w:webHidden/>
                <w:sz w:val="22"/>
                <w:szCs w:val="22"/>
              </w:rPr>
            </w:r>
            <w:r w:rsidR="009C61FC" w:rsidRPr="0088680E">
              <w:rPr>
                <w:rFonts w:ascii="Arial" w:hAnsi="Arial" w:cs="Arial"/>
                <w:noProof/>
                <w:webHidden/>
                <w:sz w:val="22"/>
                <w:szCs w:val="22"/>
              </w:rPr>
              <w:fldChar w:fldCharType="separate"/>
            </w:r>
            <w:r w:rsidR="005F4C44">
              <w:rPr>
                <w:rFonts w:ascii="Arial" w:hAnsi="Arial" w:cs="Arial"/>
                <w:noProof/>
                <w:webHidden/>
                <w:sz w:val="22"/>
                <w:szCs w:val="22"/>
              </w:rPr>
              <w:t>47</w:t>
            </w:r>
            <w:r w:rsidR="009C61FC" w:rsidRPr="0088680E">
              <w:rPr>
                <w:rFonts w:ascii="Arial" w:hAnsi="Arial" w:cs="Arial"/>
                <w:noProof/>
                <w:webHidden/>
                <w:sz w:val="22"/>
                <w:szCs w:val="22"/>
              </w:rPr>
              <w:fldChar w:fldCharType="end"/>
            </w:r>
          </w:hyperlink>
        </w:p>
        <w:p w14:paraId="14B59314" w14:textId="77777777" w:rsidR="0088680E" w:rsidRPr="0088680E" w:rsidRDefault="00AD3491">
          <w:pPr>
            <w:pStyle w:val="TOC2"/>
            <w:tabs>
              <w:tab w:val="right" w:leader="dot" w:pos="9350"/>
            </w:tabs>
            <w:rPr>
              <w:rFonts w:ascii="Arial" w:hAnsi="Arial" w:cs="Arial"/>
              <w:smallCaps w:val="0"/>
              <w:noProof/>
              <w:sz w:val="22"/>
              <w:szCs w:val="22"/>
            </w:rPr>
          </w:pPr>
          <w:hyperlink w:anchor="_Toc512947913" w:history="1">
            <w:r w:rsidR="0088680E" w:rsidRPr="0088680E">
              <w:rPr>
                <w:rStyle w:val="Hyperlink"/>
                <w:rFonts w:ascii="Arial" w:hAnsi="Arial" w:cs="Arial"/>
                <w:noProof/>
                <w:sz w:val="22"/>
                <w:szCs w:val="22"/>
              </w:rPr>
              <w:t>Massachusetts Commission for the Deaf and Hard of Hearing</w:t>
            </w:r>
            <w:r w:rsidR="0088680E" w:rsidRPr="0088680E">
              <w:rPr>
                <w:rFonts w:ascii="Arial" w:hAnsi="Arial" w:cs="Arial"/>
                <w:noProof/>
                <w:webHidden/>
                <w:sz w:val="22"/>
                <w:szCs w:val="22"/>
              </w:rPr>
              <w:tab/>
            </w:r>
            <w:r w:rsidR="009C61FC" w:rsidRPr="0088680E">
              <w:rPr>
                <w:rFonts w:ascii="Arial" w:hAnsi="Arial" w:cs="Arial"/>
                <w:noProof/>
                <w:webHidden/>
                <w:sz w:val="22"/>
                <w:szCs w:val="22"/>
              </w:rPr>
              <w:fldChar w:fldCharType="begin"/>
            </w:r>
            <w:r w:rsidR="0088680E" w:rsidRPr="0088680E">
              <w:rPr>
                <w:rFonts w:ascii="Arial" w:hAnsi="Arial" w:cs="Arial"/>
                <w:noProof/>
                <w:webHidden/>
                <w:sz w:val="22"/>
                <w:szCs w:val="22"/>
              </w:rPr>
              <w:instrText xml:space="preserve"> PAGEREF _Toc512947913 \h </w:instrText>
            </w:r>
            <w:r w:rsidR="009C61FC" w:rsidRPr="0088680E">
              <w:rPr>
                <w:rFonts w:ascii="Arial" w:hAnsi="Arial" w:cs="Arial"/>
                <w:noProof/>
                <w:webHidden/>
                <w:sz w:val="22"/>
                <w:szCs w:val="22"/>
              </w:rPr>
            </w:r>
            <w:r w:rsidR="009C61FC" w:rsidRPr="0088680E">
              <w:rPr>
                <w:rFonts w:ascii="Arial" w:hAnsi="Arial" w:cs="Arial"/>
                <w:noProof/>
                <w:webHidden/>
                <w:sz w:val="22"/>
                <w:szCs w:val="22"/>
              </w:rPr>
              <w:fldChar w:fldCharType="separate"/>
            </w:r>
            <w:r w:rsidR="005F4C44">
              <w:rPr>
                <w:rFonts w:ascii="Arial" w:hAnsi="Arial" w:cs="Arial"/>
                <w:noProof/>
                <w:webHidden/>
                <w:sz w:val="22"/>
                <w:szCs w:val="22"/>
              </w:rPr>
              <w:t>49</w:t>
            </w:r>
            <w:r w:rsidR="009C61FC" w:rsidRPr="0088680E">
              <w:rPr>
                <w:rFonts w:ascii="Arial" w:hAnsi="Arial" w:cs="Arial"/>
                <w:noProof/>
                <w:webHidden/>
                <w:sz w:val="22"/>
                <w:szCs w:val="22"/>
              </w:rPr>
              <w:fldChar w:fldCharType="end"/>
            </w:r>
          </w:hyperlink>
        </w:p>
        <w:p w14:paraId="14D830E6" w14:textId="77777777" w:rsidR="0088680E" w:rsidRPr="0088680E" w:rsidRDefault="00AD3491">
          <w:pPr>
            <w:pStyle w:val="TOC2"/>
            <w:tabs>
              <w:tab w:val="right" w:leader="dot" w:pos="9350"/>
            </w:tabs>
            <w:rPr>
              <w:rFonts w:ascii="Arial" w:hAnsi="Arial" w:cs="Arial"/>
              <w:smallCaps w:val="0"/>
              <w:noProof/>
              <w:sz w:val="22"/>
              <w:szCs w:val="22"/>
            </w:rPr>
          </w:pPr>
          <w:hyperlink w:anchor="_Toc512947914" w:history="1">
            <w:r w:rsidR="0088680E" w:rsidRPr="0088680E">
              <w:rPr>
                <w:rStyle w:val="Hyperlink"/>
                <w:rFonts w:ascii="Arial" w:hAnsi="Arial" w:cs="Arial"/>
                <w:noProof/>
                <w:sz w:val="22"/>
                <w:szCs w:val="22"/>
              </w:rPr>
              <w:t>Massachusetts Rehabilitation Commission</w:t>
            </w:r>
            <w:r w:rsidR="0088680E" w:rsidRPr="0088680E">
              <w:rPr>
                <w:rFonts w:ascii="Arial" w:hAnsi="Arial" w:cs="Arial"/>
                <w:noProof/>
                <w:webHidden/>
                <w:sz w:val="22"/>
                <w:szCs w:val="22"/>
              </w:rPr>
              <w:tab/>
            </w:r>
            <w:r w:rsidR="009C61FC" w:rsidRPr="0088680E">
              <w:rPr>
                <w:rFonts w:ascii="Arial" w:hAnsi="Arial" w:cs="Arial"/>
                <w:noProof/>
                <w:webHidden/>
                <w:sz w:val="22"/>
                <w:szCs w:val="22"/>
              </w:rPr>
              <w:fldChar w:fldCharType="begin"/>
            </w:r>
            <w:r w:rsidR="0088680E" w:rsidRPr="0088680E">
              <w:rPr>
                <w:rFonts w:ascii="Arial" w:hAnsi="Arial" w:cs="Arial"/>
                <w:noProof/>
                <w:webHidden/>
                <w:sz w:val="22"/>
                <w:szCs w:val="22"/>
              </w:rPr>
              <w:instrText xml:space="preserve"> PAGEREF _Toc512947914 \h </w:instrText>
            </w:r>
            <w:r w:rsidR="009C61FC" w:rsidRPr="0088680E">
              <w:rPr>
                <w:rFonts w:ascii="Arial" w:hAnsi="Arial" w:cs="Arial"/>
                <w:noProof/>
                <w:webHidden/>
                <w:sz w:val="22"/>
                <w:szCs w:val="22"/>
              </w:rPr>
            </w:r>
            <w:r w:rsidR="009C61FC" w:rsidRPr="0088680E">
              <w:rPr>
                <w:rFonts w:ascii="Arial" w:hAnsi="Arial" w:cs="Arial"/>
                <w:noProof/>
                <w:webHidden/>
                <w:sz w:val="22"/>
                <w:szCs w:val="22"/>
              </w:rPr>
              <w:fldChar w:fldCharType="separate"/>
            </w:r>
            <w:r w:rsidR="005F4C44">
              <w:rPr>
                <w:rFonts w:ascii="Arial" w:hAnsi="Arial" w:cs="Arial"/>
                <w:noProof/>
                <w:webHidden/>
                <w:sz w:val="22"/>
                <w:szCs w:val="22"/>
              </w:rPr>
              <w:t>51</w:t>
            </w:r>
            <w:r w:rsidR="009C61FC" w:rsidRPr="0088680E">
              <w:rPr>
                <w:rFonts w:ascii="Arial" w:hAnsi="Arial" w:cs="Arial"/>
                <w:noProof/>
                <w:webHidden/>
                <w:sz w:val="22"/>
                <w:szCs w:val="22"/>
              </w:rPr>
              <w:fldChar w:fldCharType="end"/>
            </w:r>
          </w:hyperlink>
        </w:p>
        <w:p w14:paraId="44D897BC" w14:textId="77777777" w:rsidR="0088680E" w:rsidRPr="0088680E" w:rsidRDefault="00AD3491">
          <w:pPr>
            <w:pStyle w:val="TOC2"/>
            <w:tabs>
              <w:tab w:val="right" w:leader="dot" w:pos="9350"/>
            </w:tabs>
            <w:rPr>
              <w:rFonts w:ascii="Arial" w:hAnsi="Arial" w:cs="Arial"/>
              <w:smallCaps w:val="0"/>
              <w:noProof/>
              <w:sz w:val="22"/>
              <w:szCs w:val="22"/>
            </w:rPr>
          </w:pPr>
          <w:hyperlink w:anchor="_Toc512947915" w:history="1">
            <w:r w:rsidR="0088680E" w:rsidRPr="0088680E">
              <w:rPr>
                <w:rStyle w:val="Hyperlink"/>
                <w:rFonts w:ascii="Arial" w:hAnsi="Arial" w:cs="Arial"/>
                <w:noProof/>
                <w:sz w:val="22"/>
                <w:szCs w:val="22"/>
              </w:rPr>
              <w:t>Department of Mental Health</w:t>
            </w:r>
            <w:r w:rsidR="0088680E" w:rsidRPr="0088680E">
              <w:rPr>
                <w:rFonts w:ascii="Arial" w:hAnsi="Arial" w:cs="Arial"/>
                <w:noProof/>
                <w:webHidden/>
                <w:sz w:val="22"/>
                <w:szCs w:val="22"/>
              </w:rPr>
              <w:tab/>
            </w:r>
            <w:r w:rsidR="009C61FC" w:rsidRPr="0088680E">
              <w:rPr>
                <w:rFonts w:ascii="Arial" w:hAnsi="Arial" w:cs="Arial"/>
                <w:noProof/>
                <w:webHidden/>
                <w:sz w:val="22"/>
                <w:szCs w:val="22"/>
              </w:rPr>
              <w:fldChar w:fldCharType="begin"/>
            </w:r>
            <w:r w:rsidR="0088680E" w:rsidRPr="0088680E">
              <w:rPr>
                <w:rFonts w:ascii="Arial" w:hAnsi="Arial" w:cs="Arial"/>
                <w:noProof/>
                <w:webHidden/>
                <w:sz w:val="22"/>
                <w:szCs w:val="22"/>
              </w:rPr>
              <w:instrText xml:space="preserve"> PAGEREF _Toc512947915 \h </w:instrText>
            </w:r>
            <w:r w:rsidR="009C61FC" w:rsidRPr="0088680E">
              <w:rPr>
                <w:rFonts w:ascii="Arial" w:hAnsi="Arial" w:cs="Arial"/>
                <w:noProof/>
                <w:webHidden/>
                <w:sz w:val="22"/>
                <w:szCs w:val="22"/>
              </w:rPr>
            </w:r>
            <w:r w:rsidR="009C61FC" w:rsidRPr="0088680E">
              <w:rPr>
                <w:rFonts w:ascii="Arial" w:hAnsi="Arial" w:cs="Arial"/>
                <w:noProof/>
                <w:webHidden/>
                <w:sz w:val="22"/>
                <w:szCs w:val="22"/>
              </w:rPr>
              <w:fldChar w:fldCharType="separate"/>
            </w:r>
            <w:r w:rsidR="005F4C44">
              <w:rPr>
                <w:rFonts w:ascii="Arial" w:hAnsi="Arial" w:cs="Arial"/>
                <w:noProof/>
                <w:webHidden/>
                <w:sz w:val="22"/>
                <w:szCs w:val="22"/>
              </w:rPr>
              <w:t>53</w:t>
            </w:r>
            <w:r w:rsidR="009C61FC" w:rsidRPr="0088680E">
              <w:rPr>
                <w:rFonts w:ascii="Arial" w:hAnsi="Arial" w:cs="Arial"/>
                <w:noProof/>
                <w:webHidden/>
                <w:sz w:val="22"/>
                <w:szCs w:val="22"/>
              </w:rPr>
              <w:fldChar w:fldCharType="end"/>
            </w:r>
          </w:hyperlink>
        </w:p>
        <w:p w14:paraId="4441D945" w14:textId="77777777" w:rsidR="0088680E" w:rsidRPr="0088680E" w:rsidRDefault="00AD3491">
          <w:pPr>
            <w:pStyle w:val="TOC2"/>
            <w:tabs>
              <w:tab w:val="right" w:leader="dot" w:pos="9350"/>
            </w:tabs>
            <w:rPr>
              <w:rFonts w:ascii="Arial" w:hAnsi="Arial" w:cs="Arial"/>
              <w:smallCaps w:val="0"/>
              <w:noProof/>
              <w:sz w:val="22"/>
              <w:szCs w:val="22"/>
            </w:rPr>
          </w:pPr>
          <w:hyperlink w:anchor="_Toc512947916" w:history="1">
            <w:r w:rsidR="0088680E" w:rsidRPr="0088680E">
              <w:rPr>
                <w:rStyle w:val="Hyperlink"/>
                <w:rFonts w:ascii="Arial" w:hAnsi="Arial" w:cs="Arial"/>
                <w:noProof/>
                <w:sz w:val="22"/>
                <w:szCs w:val="22"/>
              </w:rPr>
              <w:t>Department of Public Health</w:t>
            </w:r>
            <w:r w:rsidR="0088680E" w:rsidRPr="0088680E">
              <w:rPr>
                <w:rFonts w:ascii="Arial" w:hAnsi="Arial" w:cs="Arial"/>
                <w:noProof/>
                <w:webHidden/>
                <w:sz w:val="22"/>
                <w:szCs w:val="22"/>
              </w:rPr>
              <w:tab/>
            </w:r>
            <w:r w:rsidR="009C61FC" w:rsidRPr="0088680E">
              <w:rPr>
                <w:rFonts w:ascii="Arial" w:hAnsi="Arial" w:cs="Arial"/>
                <w:noProof/>
                <w:webHidden/>
                <w:sz w:val="22"/>
                <w:szCs w:val="22"/>
              </w:rPr>
              <w:fldChar w:fldCharType="begin"/>
            </w:r>
            <w:r w:rsidR="0088680E" w:rsidRPr="0088680E">
              <w:rPr>
                <w:rFonts w:ascii="Arial" w:hAnsi="Arial" w:cs="Arial"/>
                <w:noProof/>
                <w:webHidden/>
                <w:sz w:val="22"/>
                <w:szCs w:val="22"/>
              </w:rPr>
              <w:instrText xml:space="preserve"> PAGEREF _Toc512947916 \h </w:instrText>
            </w:r>
            <w:r w:rsidR="009C61FC" w:rsidRPr="0088680E">
              <w:rPr>
                <w:rFonts w:ascii="Arial" w:hAnsi="Arial" w:cs="Arial"/>
                <w:noProof/>
                <w:webHidden/>
                <w:sz w:val="22"/>
                <w:szCs w:val="22"/>
              </w:rPr>
            </w:r>
            <w:r w:rsidR="009C61FC" w:rsidRPr="0088680E">
              <w:rPr>
                <w:rFonts w:ascii="Arial" w:hAnsi="Arial" w:cs="Arial"/>
                <w:noProof/>
                <w:webHidden/>
                <w:sz w:val="22"/>
                <w:szCs w:val="22"/>
              </w:rPr>
              <w:fldChar w:fldCharType="separate"/>
            </w:r>
            <w:r w:rsidR="005F4C44">
              <w:rPr>
                <w:rFonts w:ascii="Arial" w:hAnsi="Arial" w:cs="Arial"/>
                <w:noProof/>
                <w:webHidden/>
                <w:sz w:val="22"/>
                <w:szCs w:val="22"/>
              </w:rPr>
              <w:t>56</w:t>
            </w:r>
            <w:r w:rsidR="009C61FC" w:rsidRPr="0088680E">
              <w:rPr>
                <w:rFonts w:ascii="Arial" w:hAnsi="Arial" w:cs="Arial"/>
                <w:noProof/>
                <w:webHidden/>
                <w:sz w:val="22"/>
                <w:szCs w:val="22"/>
              </w:rPr>
              <w:fldChar w:fldCharType="end"/>
            </w:r>
          </w:hyperlink>
        </w:p>
        <w:p w14:paraId="2D38FAF8" w14:textId="77777777" w:rsidR="0088680E" w:rsidRPr="0088680E" w:rsidRDefault="00AD3491">
          <w:pPr>
            <w:pStyle w:val="TOC2"/>
            <w:tabs>
              <w:tab w:val="right" w:leader="dot" w:pos="9350"/>
            </w:tabs>
            <w:rPr>
              <w:rFonts w:ascii="Arial" w:hAnsi="Arial" w:cs="Arial"/>
              <w:smallCaps w:val="0"/>
              <w:noProof/>
              <w:sz w:val="22"/>
              <w:szCs w:val="22"/>
            </w:rPr>
          </w:pPr>
          <w:hyperlink w:anchor="_Toc512947917" w:history="1">
            <w:r w:rsidR="0088680E" w:rsidRPr="0088680E">
              <w:rPr>
                <w:rStyle w:val="Hyperlink"/>
                <w:rFonts w:ascii="Arial" w:hAnsi="Arial" w:cs="Arial"/>
                <w:noProof/>
                <w:sz w:val="22"/>
                <w:szCs w:val="22"/>
              </w:rPr>
              <w:t>Office for Refugees and Immigrants</w:t>
            </w:r>
            <w:r w:rsidR="0088680E" w:rsidRPr="0088680E">
              <w:rPr>
                <w:rFonts w:ascii="Arial" w:hAnsi="Arial" w:cs="Arial"/>
                <w:noProof/>
                <w:webHidden/>
                <w:sz w:val="22"/>
                <w:szCs w:val="22"/>
              </w:rPr>
              <w:tab/>
            </w:r>
            <w:r w:rsidR="009C61FC" w:rsidRPr="0088680E">
              <w:rPr>
                <w:rFonts w:ascii="Arial" w:hAnsi="Arial" w:cs="Arial"/>
                <w:noProof/>
                <w:webHidden/>
                <w:sz w:val="22"/>
                <w:szCs w:val="22"/>
              </w:rPr>
              <w:fldChar w:fldCharType="begin"/>
            </w:r>
            <w:r w:rsidR="0088680E" w:rsidRPr="0088680E">
              <w:rPr>
                <w:rFonts w:ascii="Arial" w:hAnsi="Arial" w:cs="Arial"/>
                <w:noProof/>
                <w:webHidden/>
                <w:sz w:val="22"/>
                <w:szCs w:val="22"/>
              </w:rPr>
              <w:instrText xml:space="preserve"> PAGEREF _Toc512947917 \h </w:instrText>
            </w:r>
            <w:r w:rsidR="009C61FC" w:rsidRPr="0088680E">
              <w:rPr>
                <w:rFonts w:ascii="Arial" w:hAnsi="Arial" w:cs="Arial"/>
                <w:noProof/>
                <w:webHidden/>
                <w:sz w:val="22"/>
                <w:szCs w:val="22"/>
              </w:rPr>
            </w:r>
            <w:r w:rsidR="009C61FC" w:rsidRPr="0088680E">
              <w:rPr>
                <w:rFonts w:ascii="Arial" w:hAnsi="Arial" w:cs="Arial"/>
                <w:noProof/>
                <w:webHidden/>
                <w:sz w:val="22"/>
                <w:szCs w:val="22"/>
              </w:rPr>
              <w:fldChar w:fldCharType="separate"/>
            </w:r>
            <w:r w:rsidR="005F4C44">
              <w:rPr>
                <w:rFonts w:ascii="Arial" w:hAnsi="Arial" w:cs="Arial"/>
                <w:noProof/>
                <w:webHidden/>
                <w:sz w:val="22"/>
                <w:szCs w:val="22"/>
              </w:rPr>
              <w:t>59</w:t>
            </w:r>
            <w:r w:rsidR="009C61FC" w:rsidRPr="0088680E">
              <w:rPr>
                <w:rFonts w:ascii="Arial" w:hAnsi="Arial" w:cs="Arial"/>
                <w:noProof/>
                <w:webHidden/>
                <w:sz w:val="22"/>
                <w:szCs w:val="22"/>
              </w:rPr>
              <w:fldChar w:fldCharType="end"/>
            </w:r>
          </w:hyperlink>
        </w:p>
        <w:p w14:paraId="7E00B9D5" w14:textId="77777777" w:rsidR="0088680E" w:rsidRPr="0088680E" w:rsidRDefault="00AD3491">
          <w:pPr>
            <w:pStyle w:val="TOC2"/>
            <w:tabs>
              <w:tab w:val="right" w:leader="dot" w:pos="9350"/>
            </w:tabs>
            <w:rPr>
              <w:rFonts w:ascii="Arial" w:hAnsi="Arial" w:cs="Arial"/>
              <w:smallCaps w:val="0"/>
              <w:noProof/>
              <w:sz w:val="22"/>
              <w:szCs w:val="22"/>
            </w:rPr>
          </w:pPr>
          <w:hyperlink w:anchor="_Toc512947918" w:history="1">
            <w:r w:rsidR="0088680E" w:rsidRPr="0088680E">
              <w:rPr>
                <w:rStyle w:val="Hyperlink"/>
                <w:rFonts w:ascii="Arial" w:hAnsi="Arial" w:cs="Arial"/>
                <w:noProof/>
                <w:sz w:val="22"/>
                <w:szCs w:val="22"/>
              </w:rPr>
              <w:t>Department of Transitional Assistance</w:t>
            </w:r>
            <w:r w:rsidR="0088680E" w:rsidRPr="0088680E">
              <w:rPr>
                <w:rFonts w:ascii="Arial" w:hAnsi="Arial" w:cs="Arial"/>
                <w:noProof/>
                <w:webHidden/>
                <w:sz w:val="22"/>
                <w:szCs w:val="22"/>
              </w:rPr>
              <w:tab/>
            </w:r>
            <w:r w:rsidR="009C61FC" w:rsidRPr="0088680E">
              <w:rPr>
                <w:rFonts w:ascii="Arial" w:hAnsi="Arial" w:cs="Arial"/>
                <w:noProof/>
                <w:webHidden/>
                <w:sz w:val="22"/>
                <w:szCs w:val="22"/>
              </w:rPr>
              <w:fldChar w:fldCharType="begin"/>
            </w:r>
            <w:r w:rsidR="0088680E" w:rsidRPr="0088680E">
              <w:rPr>
                <w:rFonts w:ascii="Arial" w:hAnsi="Arial" w:cs="Arial"/>
                <w:noProof/>
                <w:webHidden/>
                <w:sz w:val="22"/>
                <w:szCs w:val="22"/>
              </w:rPr>
              <w:instrText xml:space="preserve"> PAGEREF _Toc512947918 \h </w:instrText>
            </w:r>
            <w:r w:rsidR="009C61FC" w:rsidRPr="0088680E">
              <w:rPr>
                <w:rFonts w:ascii="Arial" w:hAnsi="Arial" w:cs="Arial"/>
                <w:noProof/>
                <w:webHidden/>
                <w:sz w:val="22"/>
                <w:szCs w:val="22"/>
              </w:rPr>
            </w:r>
            <w:r w:rsidR="009C61FC" w:rsidRPr="0088680E">
              <w:rPr>
                <w:rFonts w:ascii="Arial" w:hAnsi="Arial" w:cs="Arial"/>
                <w:noProof/>
                <w:webHidden/>
                <w:sz w:val="22"/>
                <w:szCs w:val="22"/>
              </w:rPr>
              <w:fldChar w:fldCharType="separate"/>
            </w:r>
            <w:r w:rsidR="005F4C44">
              <w:rPr>
                <w:rFonts w:ascii="Arial" w:hAnsi="Arial" w:cs="Arial"/>
                <w:noProof/>
                <w:webHidden/>
                <w:sz w:val="22"/>
                <w:szCs w:val="22"/>
              </w:rPr>
              <w:t>62</w:t>
            </w:r>
            <w:r w:rsidR="009C61FC" w:rsidRPr="0088680E">
              <w:rPr>
                <w:rFonts w:ascii="Arial" w:hAnsi="Arial" w:cs="Arial"/>
                <w:noProof/>
                <w:webHidden/>
                <w:sz w:val="22"/>
                <w:szCs w:val="22"/>
              </w:rPr>
              <w:fldChar w:fldCharType="end"/>
            </w:r>
          </w:hyperlink>
        </w:p>
        <w:p w14:paraId="7CE613FD" w14:textId="77777777" w:rsidR="0088680E" w:rsidRPr="0088680E" w:rsidRDefault="00AD3491">
          <w:pPr>
            <w:pStyle w:val="TOC2"/>
            <w:tabs>
              <w:tab w:val="right" w:leader="dot" w:pos="9350"/>
            </w:tabs>
            <w:rPr>
              <w:rFonts w:ascii="Arial" w:hAnsi="Arial" w:cs="Arial"/>
              <w:smallCaps w:val="0"/>
              <w:noProof/>
              <w:sz w:val="22"/>
              <w:szCs w:val="22"/>
            </w:rPr>
          </w:pPr>
          <w:hyperlink w:anchor="_Toc512947919" w:history="1">
            <w:r w:rsidR="0088680E" w:rsidRPr="0088680E">
              <w:rPr>
                <w:rStyle w:val="Hyperlink"/>
                <w:rFonts w:ascii="Arial" w:hAnsi="Arial" w:cs="Arial"/>
                <w:noProof/>
                <w:sz w:val="22"/>
                <w:szCs w:val="22"/>
              </w:rPr>
              <w:t>Department of Youth Services</w:t>
            </w:r>
            <w:r w:rsidR="0088680E" w:rsidRPr="0088680E">
              <w:rPr>
                <w:rFonts w:ascii="Arial" w:hAnsi="Arial" w:cs="Arial"/>
                <w:noProof/>
                <w:webHidden/>
                <w:sz w:val="22"/>
                <w:szCs w:val="22"/>
              </w:rPr>
              <w:tab/>
            </w:r>
            <w:r w:rsidR="009C61FC" w:rsidRPr="0088680E">
              <w:rPr>
                <w:rFonts w:ascii="Arial" w:hAnsi="Arial" w:cs="Arial"/>
                <w:noProof/>
                <w:webHidden/>
                <w:sz w:val="22"/>
                <w:szCs w:val="22"/>
              </w:rPr>
              <w:fldChar w:fldCharType="begin"/>
            </w:r>
            <w:r w:rsidR="0088680E" w:rsidRPr="0088680E">
              <w:rPr>
                <w:rFonts w:ascii="Arial" w:hAnsi="Arial" w:cs="Arial"/>
                <w:noProof/>
                <w:webHidden/>
                <w:sz w:val="22"/>
                <w:szCs w:val="22"/>
              </w:rPr>
              <w:instrText xml:space="preserve"> PAGEREF _Toc512947919 \h </w:instrText>
            </w:r>
            <w:r w:rsidR="009C61FC" w:rsidRPr="0088680E">
              <w:rPr>
                <w:rFonts w:ascii="Arial" w:hAnsi="Arial" w:cs="Arial"/>
                <w:noProof/>
                <w:webHidden/>
                <w:sz w:val="22"/>
                <w:szCs w:val="22"/>
              </w:rPr>
            </w:r>
            <w:r w:rsidR="009C61FC" w:rsidRPr="0088680E">
              <w:rPr>
                <w:rFonts w:ascii="Arial" w:hAnsi="Arial" w:cs="Arial"/>
                <w:noProof/>
                <w:webHidden/>
                <w:sz w:val="22"/>
                <w:szCs w:val="22"/>
              </w:rPr>
              <w:fldChar w:fldCharType="separate"/>
            </w:r>
            <w:r w:rsidR="005F4C44">
              <w:rPr>
                <w:rFonts w:ascii="Arial" w:hAnsi="Arial" w:cs="Arial"/>
                <w:noProof/>
                <w:webHidden/>
                <w:sz w:val="22"/>
                <w:szCs w:val="22"/>
              </w:rPr>
              <w:t>64</w:t>
            </w:r>
            <w:r w:rsidR="009C61FC" w:rsidRPr="0088680E">
              <w:rPr>
                <w:rFonts w:ascii="Arial" w:hAnsi="Arial" w:cs="Arial"/>
                <w:noProof/>
                <w:webHidden/>
                <w:sz w:val="22"/>
                <w:szCs w:val="22"/>
              </w:rPr>
              <w:fldChar w:fldCharType="end"/>
            </w:r>
          </w:hyperlink>
        </w:p>
        <w:p w14:paraId="2199DB9B" w14:textId="77777777" w:rsidR="0088680E" w:rsidRDefault="0088680E">
          <w:pPr>
            <w:pStyle w:val="TOC1"/>
            <w:rPr>
              <w:rStyle w:val="Hyperlink"/>
              <w:b w:val="0"/>
              <w:bCs w:val="0"/>
              <w:caps w:val="0"/>
              <w:smallCaps/>
            </w:rPr>
          </w:pPr>
        </w:p>
        <w:p w14:paraId="268A852E" w14:textId="77777777" w:rsidR="0088680E" w:rsidRPr="0088680E" w:rsidRDefault="00AD3491">
          <w:pPr>
            <w:pStyle w:val="TOC1"/>
            <w:rPr>
              <w:rFonts w:ascii="Arial" w:hAnsi="Arial" w:cs="Arial"/>
              <w:b w:val="0"/>
              <w:bCs w:val="0"/>
              <w:caps w:val="0"/>
              <w:noProof/>
              <w:sz w:val="22"/>
              <w:szCs w:val="22"/>
            </w:rPr>
          </w:pPr>
          <w:hyperlink w:anchor="_Toc512947920" w:history="1">
            <w:r w:rsidR="0088680E" w:rsidRPr="0088680E">
              <w:rPr>
                <w:rStyle w:val="Hyperlink"/>
                <w:rFonts w:ascii="Arial" w:hAnsi="Arial" w:cs="Arial"/>
                <w:noProof/>
                <w:sz w:val="22"/>
                <w:szCs w:val="22"/>
              </w:rPr>
              <w:t>Executive Office of Public Safety and Security</w:t>
            </w:r>
            <w:r w:rsidR="0088680E" w:rsidRPr="0088680E">
              <w:rPr>
                <w:rFonts w:ascii="Arial" w:hAnsi="Arial" w:cs="Arial"/>
                <w:noProof/>
                <w:webHidden/>
                <w:sz w:val="22"/>
                <w:szCs w:val="22"/>
              </w:rPr>
              <w:tab/>
            </w:r>
            <w:r w:rsidR="009C61FC" w:rsidRPr="0088680E">
              <w:rPr>
                <w:rFonts w:ascii="Arial" w:hAnsi="Arial" w:cs="Arial"/>
                <w:noProof/>
                <w:webHidden/>
                <w:sz w:val="22"/>
                <w:szCs w:val="22"/>
              </w:rPr>
              <w:fldChar w:fldCharType="begin"/>
            </w:r>
            <w:r w:rsidR="0088680E" w:rsidRPr="0088680E">
              <w:rPr>
                <w:rFonts w:ascii="Arial" w:hAnsi="Arial" w:cs="Arial"/>
                <w:noProof/>
                <w:webHidden/>
                <w:sz w:val="22"/>
                <w:szCs w:val="22"/>
              </w:rPr>
              <w:instrText xml:space="preserve"> PAGEREF _Toc512947920 \h </w:instrText>
            </w:r>
            <w:r w:rsidR="009C61FC" w:rsidRPr="0088680E">
              <w:rPr>
                <w:rFonts w:ascii="Arial" w:hAnsi="Arial" w:cs="Arial"/>
                <w:noProof/>
                <w:webHidden/>
                <w:sz w:val="22"/>
                <w:szCs w:val="22"/>
              </w:rPr>
            </w:r>
            <w:r w:rsidR="009C61FC" w:rsidRPr="0088680E">
              <w:rPr>
                <w:rFonts w:ascii="Arial" w:hAnsi="Arial" w:cs="Arial"/>
                <w:noProof/>
                <w:webHidden/>
                <w:sz w:val="22"/>
                <w:szCs w:val="22"/>
              </w:rPr>
              <w:fldChar w:fldCharType="separate"/>
            </w:r>
            <w:r w:rsidR="005F4C44">
              <w:rPr>
                <w:rFonts w:ascii="Arial" w:hAnsi="Arial" w:cs="Arial"/>
                <w:noProof/>
                <w:webHidden/>
                <w:sz w:val="22"/>
                <w:szCs w:val="22"/>
              </w:rPr>
              <w:t>67</w:t>
            </w:r>
            <w:r w:rsidR="009C61FC" w:rsidRPr="0088680E">
              <w:rPr>
                <w:rFonts w:ascii="Arial" w:hAnsi="Arial" w:cs="Arial"/>
                <w:noProof/>
                <w:webHidden/>
                <w:sz w:val="22"/>
                <w:szCs w:val="22"/>
              </w:rPr>
              <w:fldChar w:fldCharType="end"/>
            </w:r>
          </w:hyperlink>
        </w:p>
        <w:p w14:paraId="2B23EE35" w14:textId="77777777" w:rsidR="0088680E" w:rsidRDefault="0088680E">
          <w:pPr>
            <w:pStyle w:val="TOC1"/>
            <w:rPr>
              <w:rStyle w:val="Hyperlink"/>
            </w:rPr>
          </w:pPr>
        </w:p>
        <w:p w14:paraId="1C763F72" w14:textId="77777777" w:rsidR="0088680E" w:rsidRPr="0088680E" w:rsidRDefault="00AD3491">
          <w:pPr>
            <w:pStyle w:val="TOC1"/>
            <w:rPr>
              <w:rFonts w:ascii="Arial" w:hAnsi="Arial" w:cs="Arial"/>
              <w:b w:val="0"/>
              <w:bCs w:val="0"/>
              <w:caps w:val="0"/>
              <w:noProof/>
              <w:sz w:val="22"/>
              <w:szCs w:val="22"/>
            </w:rPr>
          </w:pPr>
          <w:hyperlink w:anchor="_Toc512947921" w:history="1">
            <w:r w:rsidR="0088680E" w:rsidRPr="0088680E">
              <w:rPr>
                <w:rStyle w:val="Hyperlink"/>
                <w:rFonts w:ascii="Arial" w:hAnsi="Arial" w:cs="Arial"/>
                <w:noProof/>
                <w:sz w:val="22"/>
                <w:szCs w:val="22"/>
              </w:rPr>
              <w:t>Additional State Entities</w:t>
            </w:r>
            <w:r w:rsidR="0088680E" w:rsidRPr="0088680E">
              <w:rPr>
                <w:rFonts w:ascii="Arial" w:hAnsi="Arial" w:cs="Arial"/>
                <w:noProof/>
                <w:webHidden/>
                <w:sz w:val="22"/>
                <w:szCs w:val="22"/>
              </w:rPr>
              <w:tab/>
            </w:r>
            <w:r w:rsidR="009C61FC" w:rsidRPr="0088680E">
              <w:rPr>
                <w:rFonts w:ascii="Arial" w:hAnsi="Arial" w:cs="Arial"/>
                <w:noProof/>
                <w:webHidden/>
                <w:sz w:val="22"/>
                <w:szCs w:val="22"/>
              </w:rPr>
              <w:fldChar w:fldCharType="begin"/>
            </w:r>
            <w:r w:rsidR="0088680E" w:rsidRPr="0088680E">
              <w:rPr>
                <w:rFonts w:ascii="Arial" w:hAnsi="Arial" w:cs="Arial"/>
                <w:noProof/>
                <w:webHidden/>
                <w:sz w:val="22"/>
                <w:szCs w:val="22"/>
              </w:rPr>
              <w:instrText xml:space="preserve"> PAGEREF _Toc512947921 \h </w:instrText>
            </w:r>
            <w:r w:rsidR="009C61FC" w:rsidRPr="0088680E">
              <w:rPr>
                <w:rFonts w:ascii="Arial" w:hAnsi="Arial" w:cs="Arial"/>
                <w:noProof/>
                <w:webHidden/>
                <w:sz w:val="22"/>
                <w:szCs w:val="22"/>
              </w:rPr>
            </w:r>
            <w:r w:rsidR="009C61FC" w:rsidRPr="0088680E">
              <w:rPr>
                <w:rFonts w:ascii="Arial" w:hAnsi="Arial" w:cs="Arial"/>
                <w:noProof/>
                <w:webHidden/>
                <w:sz w:val="22"/>
                <w:szCs w:val="22"/>
              </w:rPr>
              <w:fldChar w:fldCharType="separate"/>
            </w:r>
            <w:r w:rsidR="005F4C44">
              <w:rPr>
                <w:rFonts w:ascii="Arial" w:hAnsi="Arial" w:cs="Arial"/>
                <w:noProof/>
                <w:webHidden/>
                <w:sz w:val="22"/>
                <w:szCs w:val="22"/>
              </w:rPr>
              <w:t>69</w:t>
            </w:r>
            <w:r w:rsidR="009C61FC" w:rsidRPr="0088680E">
              <w:rPr>
                <w:rFonts w:ascii="Arial" w:hAnsi="Arial" w:cs="Arial"/>
                <w:noProof/>
                <w:webHidden/>
                <w:sz w:val="22"/>
                <w:szCs w:val="22"/>
              </w:rPr>
              <w:fldChar w:fldCharType="end"/>
            </w:r>
          </w:hyperlink>
        </w:p>
        <w:p w14:paraId="7F6CCA3B" w14:textId="77777777" w:rsidR="0088680E" w:rsidRPr="0088680E" w:rsidRDefault="00AD3491">
          <w:pPr>
            <w:pStyle w:val="TOC2"/>
            <w:tabs>
              <w:tab w:val="right" w:leader="dot" w:pos="9350"/>
            </w:tabs>
            <w:rPr>
              <w:rFonts w:ascii="Arial" w:hAnsi="Arial" w:cs="Arial"/>
              <w:smallCaps w:val="0"/>
              <w:noProof/>
              <w:sz w:val="22"/>
              <w:szCs w:val="22"/>
            </w:rPr>
          </w:pPr>
          <w:hyperlink w:anchor="_Toc512947922" w:history="1">
            <w:r w:rsidR="0088680E" w:rsidRPr="0088680E">
              <w:rPr>
                <w:rStyle w:val="Hyperlink"/>
                <w:rFonts w:ascii="Arial" w:hAnsi="Arial" w:cs="Arial"/>
                <w:noProof/>
                <w:sz w:val="22"/>
                <w:szCs w:val="22"/>
              </w:rPr>
              <w:t>Registry of Motor Vehicles</w:t>
            </w:r>
            <w:r w:rsidR="0088680E" w:rsidRPr="0088680E">
              <w:rPr>
                <w:rFonts w:ascii="Arial" w:hAnsi="Arial" w:cs="Arial"/>
                <w:noProof/>
                <w:webHidden/>
                <w:sz w:val="22"/>
                <w:szCs w:val="22"/>
              </w:rPr>
              <w:tab/>
            </w:r>
            <w:r w:rsidR="009C61FC" w:rsidRPr="0088680E">
              <w:rPr>
                <w:rFonts w:ascii="Arial" w:hAnsi="Arial" w:cs="Arial"/>
                <w:noProof/>
                <w:webHidden/>
                <w:sz w:val="22"/>
                <w:szCs w:val="22"/>
              </w:rPr>
              <w:fldChar w:fldCharType="begin"/>
            </w:r>
            <w:r w:rsidR="0088680E" w:rsidRPr="0088680E">
              <w:rPr>
                <w:rFonts w:ascii="Arial" w:hAnsi="Arial" w:cs="Arial"/>
                <w:noProof/>
                <w:webHidden/>
                <w:sz w:val="22"/>
                <w:szCs w:val="22"/>
              </w:rPr>
              <w:instrText xml:space="preserve"> PAGEREF _Toc512947922 \h </w:instrText>
            </w:r>
            <w:r w:rsidR="009C61FC" w:rsidRPr="0088680E">
              <w:rPr>
                <w:rFonts w:ascii="Arial" w:hAnsi="Arial" w:cs="Arial"/>
                <w:noProof/>
                <w:webHidden/>
                <w:sz w:val="22"/>
                <w:szCs w:val="22"/>
              </w:rPr>
            </w:r>
            <w:r w:rsidR="009C61FC" w:rsidRPr="0088680E">
              <w:rPr>
                <w:rFonts w:ascii="Arial" w:hAnsi="Arial" w:cs="Arial"/>
                <w:noProof/>
                <w:webHidden/>
                <w:sz w:val="22"/>
                <w:szCs w:val="22"/>
              </w:rPr>
              <w:fldChar w:fldCharType="separate"/>
            </w:r>
            <w:r w:rsidR="005F4C44">
              <w:rPr>
                <w:rFonts w:ascii="Arial" w:hAnsi="Arial" w:cs="Arial"/>
                <w:noProof/>
                <w:webHidden/>
                <w:sz w:val="22"/>
                <w:szCs w:val="22"/>
              </w:rPr>
              <w:t>69</w:t>
            </w:r>
            <w:r w:rsidR="009C61FC" w:rsidRPr="0088680E">
              <w:rPr>
                <w:rFonts w:ascii="Arial" w:hAnsi="Arial" w:cs="Arial"/>
                <w:noProof/>
                <w:webHidden/>
                <w:sz w:val="22"/>
                <w:szCs w:val="22"/>
              </w:rPr>
              <w:fldChar w:fldCharType="end"/>
            </w:r>
          </w:hyperlink>
        </w:p>
        <w:p w14:paraId="0B974720" w14:textId="77777777" w:rsidR="0088680E" w:rsidRPr="0088680E" w:rsidRDefault="00AD3491">
          <w:pPr>
            <w:pStyle w:val="TOC2"/>
            <w:tabs>
              <w:tab w:val="right" w:leader="dot" w:pos="9350"/>
            </w:tabs>
            <w:rPr>
              <w:rFonts w:ascii="Arial" w:hAnsi="Arial" w:cs="Arial"/>
              <w:smallCaps w:val="0"/>
              <w:noProof/>
              <w:sz w:val="22"/>
              <w:szCs w:val="22"/>
            </w:rPr>
          </w:pPr>
          <w:hyperlink w:anchor="_Toc512947923" w:history="1">
            <w:r w:rsidR="0088680E" w:rsidRPr="0088680E">
              <w:rPr>
                <w:rStyle w:val="Hyperlink"/>
                <w:rFonts w:ascii="Arial" w:hAnsi="Arial" w:cs="Arial"/>
                <w:noProof/>
                <w:sz w:val="22"/>
                <w:szCs w:val="22"/>
              </w:rPr>
              <w:t>Regional Transit Authorities</w:t>
            </w:r>
            <w:r w:rsidR="0088680E" w:rsidRPr="0088680E">
              <w:rPr>
                <w:rFonts w:ascii="Arial" w:hAnsi="Arial" w:cs="Arial"/>
                <w:noProof/>
                <w:webHidden/>
                <w:sz w:val="22"/>
                <w:szCs w:val="22"/>
              </w:rPr>
              <w:tab/>
            </w:r>
            <w:r w:rsidR="009C61FC" w:rsidRPr="0088680E">
              <w:rPr>
                <w:rFonts w:ascii="Arial" w:hAnsi="Arial" w:cs="Arial"/>
                <w:noProof/>
                <w:webHidden/>
                <w:sz w:val="22"/>
                <w:szCs w:val="22"/>
              </w:rPr>
              <w:fldChar w:fldCharType="begin"/>
            </w:r>
            <w:r w:rsidR="0088680E" w:rsidRPr="0088680E">
              <w:rPr>
                <w:rFonts w:ascii="Arial" w:hAnsi="Arial" w:cs="Arial"/>
                <w:noProof/>
                <w:webHidden/>
                <w:sz w:val="22"/>
                <w:szCs w:val="22"/>
              </w:rPr>
              <w:instrText xml:space="preserve"> PAGEREF _Toc512947923 \h </w:instrText>
            </w:r>
            <w:r w:rsidR="009C61FC" w:rsidRPr="0088680E">
              <w:rPr>
                <w:rFonts w:ascii="Arial" w:hAnsi="Arial" w:cs="Arial"/>
                <w:noProof/>
                <w:webHidden/>
                <w:sz w:val="22"/>
                <w:szCs w:val="22"/>
              </w:rPr>
            </w:r>
            <w:r w:rsidR="009C61FC" w:rsidRPr="0088680E">
              <w:rPr>
                <w:rFonts w:ascii="Arial" w:hAnsi="Arial" w:cs="Arial"/>
                <w:noProof/>
                <w:webHidden/>
                <w:sz w:val="22"/>
                <w:szCs w:val="22"/>
              </w:rPr>
              <w:fldChar w:fldCharType="separate"/>
            </w:r>
            <w:r w:rsidR="005F4C44">
              <w:rPr>
                <w:rFonts w:ascii="Arial" w:hAnsi="Arial" w:cs="Arial"/>
                <w:noProof/>
                <w:webHidden/>
                <w:sz w:val="22"/>
                <w:szCs w:val="22"/>
              </w:rPr>
              <w:t>72</w:t>
            </w:r>
            <w:r w:rsidR="009C61FC" w:rsidRPr="0088680E">
              <w:rPr>
                <w:rFonts w:ascii="Arial" w:hAnsi="Arial" w:cs="Arial"/>
                <w:noProof/>
                <w:webHidden/>
                <w:sz w:val="22"/>
                <w:szCs w:val="22"/>
              </w:rPr>
              <w:fldChar w:fldCharType="end"/>
            </w:r>
          </w:hyperlink>
        </w:p>
        <w:p w14:paraId="45905CAF" w14:textId="77777777" w:rsidR="0088680E" w:rsidRPr="0088680E" w:rsidRDefault="00AD3491">
          <w:pPr>
            <w:pStyle w:val="TOC2"/>
            <w:tabs>
              <w:tab w:val="right" w:leader="dot" w:pos="9350"/>
            </w:tabs>
            <w:rPr>
              <w:rFonts w:ascii="Arial" w:hAnsi="Arial" w:cs="Arial"/>
              <w:smallCaps w:val="0"/>
              <w:noProof/>
              <w:sz w:val="22"/>
              <w:szCs w:val="22"/>
            </w:rPr>
          </w:pPr>
          <w:hyperlink w:anchor="_Toc512947924" w:history="1">
            <w:r w:rsidR="0088680E" w:rsidRPr="0088680E">
              <w:rPr>
                <w:rStyle w:val="Hyperlink"/>
                <w:rFonts w:ascii="Arial" w:hAnsi="Arial" w:cs="Arial"/>
                <w:noProof/>
                <w:sz w:val="22"/>
                <w:szCs w:val="22"/>
              </w:rPr>
              <w:t>Massachusetts Board of Library Commissioners</w:t>
            </w:r>
            <w:r w:rsidR="0088680E" w:rsidRPr="0088680E">
              <w:rPr>
                <w:rFonts w:ascii="Arial" w:hAnsi="Arial" w:cs="Arial"/>
                <w:noProof/>
                <w:webHidden/>
                <w:sz w:val="22"/>
                <w:szCs w:val="22"/>
              </w:rPr>
              <w:tab/>
            </w:r>
            <w:r w:rsidR="009C61FC" w:rsidRPr="0088680E">
              <w:rPr>
                <w:rFonts w:ascii="Arial" w:hAnsi="Arial" w:cs="Arial"/>
                <w:noProof/>
                <w:webHidden/>
                <w:sz w:val="22"/>
                <w:szCs w:val="22"/>
              </w:rPr>
              <w:fldChar w:fldCharType="begin"/>
            </w:r>
            <w:r w:rsidR="0088680E" w:rsidRPr="0088680E">
              <w:rPr>
                <w:rFonts w:ascii="Arial" w:hAnsi="Arial" w:cs="Arial"/>
                <w:noProof/>
                <w:webHidden/>
                <w:sz w:val="22"/>
                <w:szCs w:val="22"/>
              </w:rPr>
              <w:instrText xml:space="preserve"> PAGEREF _Toc512947924 \h </w:instrText>
            </w:r>
            <w:r w:rsidR="009C61FC" w:rsidRPr="0088680E">
              <w:rPr>
                <w:rFonts w:ascii="Arial" w:hAnsi="Arial" w:cs="Arial"/>
                <w:noProof/>
                <w:webHidden/>
                <w:sz w:val="22"/>
                <w:szCs w:val="22"/>
              </w:rPr>
            </w:r>
            <w:r w:rsidR="009C61FC" w:rsidRPr="0088680E">
              <w:rPr>
                <w:rFonts w:ascii="Arial" w:hAnsi="Arial" w:cs="Arial"/>
                <w:noProof/>
                <w:webHidden/>
                <w:sz w:val="22"/>
                <w:szCs w:val="22"/>
              </w:rPr>
              <w:fldChar w:fldCharType="separate"/>
            </w:r>
            <w:r w:rsidR="005F4C44">
              <w:rPr>
                <w:rFonts w:ascii="Arial" w:hAnsi="Arial" w:cs="Arial"/>
                <w:noProof/>
                <w:webHidden/>
                <w:sz w:val="22"/>
                <w:szCs w:val="22"/>
              </w:rPr>
              <w:t>74</w:t>
            </w:r>
            <w:r w:rsidR="009C61FC" w:rsidRPr="0088680E">
              <w:rPr>
                <w:rFonts w:ascii="Arial" w:hAnsi="Arial" w:cs="Arial"/>
                <w:noProof/>
                <w:webHidden/>
                <w:sz w:val="22"/>
                <w:szCs w:val="22"/>
              </w:rPr>
              <w:fldChar w:fldCharType="end"/>
            </w:r>
          </w:hyperlink>
        </w:p>
        <w:p w14:paraId="4E40790B" w14:textId="77777777" w:rsidR="0088680E" w:rsidRPr="0088680E" w:rsidRDefault="00AD3491">
          <w:pPr>
            <w:pStyle w:val="TOC2"/>
            <w:tabs>
              <w:tab w:val="right" w:leader="dot" w:pos="9350"/>
            </w:tabs>
            <w:rPr>
              <w:rFonts w:ascii="Arial" w:hAnsi="Arial" w:cs="Arial"/>
              <w:smallCaps w:val="0"/>
              <w:noProof/>
              <w:sz w:val="22"/>
              <w:szCs w:val="22"/>
            </w:rPr>
          </w:pPr>
          <w:hyperlink w:anchor="_Toc512947925" w:history="1">
            <w:r w:rsidR="0088680E" w:rsidRPr="0088680E">
              <w:rPr>
                <w:rStyle w:val="Hyperlink"/>
                <w:rFonts w:ascii="Arial" w:hAnsi="Arial" w:cs="Arial"/>
                <w:noProof/>
                <w:sz w:val="22"/>
                <w:szCs w:val="22"/>
              </w:rPr>
              <w:t>Department of Housing and Community Development</w:t>
            </w:r>
            <w:r w:rsidR="0088680E" w:rsidRPr="0088680E">
              <w:rPr>
                <w:rFonts w:ascii="Arial" w:hAnsi="Arial" w:cs="Arial"/>
                <w:noProof/>
                <w:webHidden/>
                <w:sz w:val="22"/>
                <w:szCs w:val="22"/>
              </w:rPr>
              <w:tab/>
            </w:r>
            <w:r w:rsidR="009C61FC" w:rsidRPr="0088680E">
              <w:rPr>
                <w:rFonts w:ascii="Arial" w:hAnsi="Arial" w:cs="Arial"/>
                <w:noProof/>
                <w:webHidden/>
                <w:sz w:val="22"/>
                <w:szCs w:val="22"/>
              </w:rPr>
              <w:fldChar w:fldCharType="begin"/>
            </w:r>
            <w:r w:rsidR="0088680E" w:rsidRPr="0088680E">
              <w:rPr>
                <w:rFonts w:ascii="Arial" w:hAnsi="Arial" w:cs="Arial"/>
                <w:noProof/>
                <w:webHidden/>
                <w:sz w:val="22"/>
                <w:szCs w:val="22"/>
              </w:rPr>
              <w:instrText xml:space="preserve"> PAGEREF _Toc512947925 \h </w:instrText>
            </w:r>
            <w:r w:rsidR="009C61FC" w:rsidRPr="0088680E">
              <w:rPr>
                <w:rFonts w:ascii="Arial" w:hAnsi="Arial" w:cs="Arial"/>
                <w:noProof/>
                <w:webHidden/>
                <w:sz w:val="22"/>
                <w:szCs w:val="22"/>
              </w:rPr>
            </w:r>
            <w:r w:rsidR="009C61FC" w:rsidRPr="0088680E">
              <w:rPr>
                <w:rFonts w:ascii="Arial" w:hAnsi="Arial" w:cs="Arial"/>
                <w:noProof/>
                <w:webHidden/>
                <w:sz w:val="22"/>
                <w:szCs w:val="22"/>
              </w:rPr>
              <w:fldChar w:fldCharType="separate"/>
            </w:r>
            <w:r w:rsidR="005F4C44">
              <w:rPr>
                <w:rFonts w:ascii="Arial" w:hAnsi="Arial" w:cs="Arial"/>
                <w:noProof/>
                <w:webHidden/>
                <w:sz w:val="22"/>
                <w:szCs w:val="22"/>
              </w:rPr>
              <w:t>76</w:t>
            </w:r>
            <w:r w:rsidR="009C61FC" w:rsidRPr="0088680E">
              <w:rPr>
                <w:rFonts w:ascii="Arial" w:hAnsi="Arial" w:cs="Arial"/>
                <w:noProof/>
                <w:webHidden/>
                <w:sz w:val="22"/>
                <w:szCs w:val="22"/>
              </w:rPr>
              <w:fldChar w:fldCharType="end"/>
            </w:r>
          </w:hyperlink>
        </w:p>
        <w:p w14:paraId="1A70822D" w14:textId="77777777" w:rsidR="0088680E" w:rsidRPr="0088680E" w:rsidRDefault="00AD3491">
          <w:pPr>
            <w:pStyle w:val="TOC2"/>
            <w:tabs>
              <w:tab w:val="right" w:leader="dot" w:pos="9350"/>
            </w:tabs>
            <w:rPr>
              <w:rFonts w:ascii="Arial" w:hAnsi="Arial" w:cs="Arial"/>
              <w:smallCaps w:val="0"/>
              <w:noProof/>
              <w:sz w:val="22"/>
              <w:szCs w:val="22"/>
            </w:rPr>
          </w:pPr>
          <w:hyperlink w:anchor="_Toc512947926" w:history="1">
            <w:r w:rsidR="0088680E" w:rsidRPr="0088680E">
              <w:rPr>
                <w:rStyle w:val="Hyperlink"/>
                <w:rFonts w:ascii="Arial" w:hAnsi="Arial" w:cs="Arial"/>
                <w:noProof/>
                <w:sz w:val="22"/>
                <w:szCs w:val="22"/>
              </w:rPr>
              <w:t>Department of Career Services</w:t>
            </w:r>
            <w:r w:rsidR="0088680E" w:rsidRPr="0088680E">
              <w:rPr>
                <w:rFonts w:ascii="Arial" w:hAnsi="Arial" w:cs="Arial"/>
                <w:noProof/>
                <w:webHidden/>
                <w:sz w:val="22"/>
                <w:szCs w:val="22"/>
              </w:rPr>
              <w:tab/>
            </w:r>
            <w:r w:rsidR="009C61FC" w:rsidRPr="0088680E">
              <w:rPr>
                <w:rFonts w:ascii="Arial" w:hAnsi="Arial" w:cs="Arial"/>
                <w:noProof/>
                <w:webHidden/>
                <w:sz w:val="22"/>
                <w:szCs w:val="22"/>
              </w:rPr>
              <w:fldChar w:fldCharType="begin"/>
            </w:r>
            <w:r w:rsidR="0088680E" w:rsidRPr="0088680E">
              <w:rPr>
                <w:rFonts w:ascii="Arial" w:hAnsi="Arial" w:cs="Arial"/>
                <w:noProof/>
                <w:webHidden/>
                <w:sz w:val="22"/>
                <w:szCs w:val="22"/>
              </w:rPr>
              <w:instrText xml:space="preserve"> PAGEREF _Toc512947926 \h </w:instrText>
            </w:r>
            <w:r w:rsidR="009C61FC" w:rsidRPr="0088680E">
              <w:rPr>
                <w:rFonts w:ascii="Arial" w:hAnsi="Arial" w:cs="Arial"/>
                <w:noProof/>
                <w:webHidden/>
                <w:sz w:val="22"/>
                <w:szCs w:val="22"/>
              </w:rPr>
            </w:r>
            <w:r w:rsidR="009C61FC" w:rsidRPr="0088680E">
              <w:rPr>
                <w:rFonts w:ascii="Arial" w:hAnsi="Arial" w:cs="Arial"/>
                <w:noProof/>
                <w:webHidden/>
                <w:sz w:val="22"/>
                <w:szCs w:val="22"/>
              </w:rPr>
              <w:fldChar w:fldCharType="separate"/>
            </w:r>
            <w:r w:rsidR="005F4C44">
              <w:rPr>
                <w:rFonts w:ascii="Arial" w:hAnsi="Arial" w:cs="Arial"/>
                <w:noProof/>
                <w:webHidden/>
                <w:sz w:val="22"/>
                <w:szCs w:val="22"/>
              </w:rPr>
              <w:t>79</w:t>
            </w:r>
            <w:r w:rsidR="009C61FC" w:rsidRPr="0088680E">
              <w:rPr>
                <w:rFonts w:ascii="Arial" w:hAnsi="Arial" w:cs="Arial"/>
                <w:noProof/>
                <w:webHidden/>
                <w:sz w:val="22"/>
                <w:szCs w:val="22"/>
              </w:rPr>
              <w:fldChar w:fldCharType="end"/>
            </w:r>
          </w:hyperlink>
        </w:p>
        <w:p w14:paraId="693EB064" w14:textId="77777777" w:rsidR="0088680E" w:rsidRDefault="0088680E">
          <w:pPr>
            <w:pStyle w:val="TOC1"/>
            <w:rPr>
              <w:rStyle w:val="Hyperlink"/>
              <w:b w:val="0"/>
              <w:bCs w:val="0"/>
              <w:caps w:val="0"/>
              <w:smallCaps/>
            </w:rPr>
          </w:pPr>
        </w:p>
        <w:p w14:paraId="2501E770" w14:textId="77777777" w:rsidR="0088680E" w:rsidRPr="0088680E" w:rsidRDefault="00AD3491">
          <w:pPr>
            <w:pStyle w:val="TOC1"/>
            <w:rPr>
              <w:rFonts w:ascii="Arial" w:hAnsi="Arial" w:cs="Arial"/>
              <w:b w:val="0"/>
              <w:bCs w:val="0"/>
              <w:caps w:val="0"/>
              <w:noProof/>
              <w:sz w:val="22"/>
              <w:szCs w:val="22"/>
            </w:rPr>
          </w:pPr>
          <w:hyperlink w:anchor="_Toc512947927" w:history="1">
            <w:r w:rsidR="0088680E" w:rsidRPr="0088680E">
              <w:rPr>
                <w:rStyle w:val="Hyperlink"/>
                <w:rFonts w:ascii="Arial" w:hAnsi="Arial" w:cs="Arial"/>
                <w:noProof/>
                <w:sz w:val="22"/>
                <w:szCs w:val="22"/>
              </w:rPr>
              <w:t>Appendix A: Glossary of Terms</w:t>
            </w:r>
            <w:r w:rsidR="0088680E" w:rsidRPr="0088680E">
              <w:rPr>
                <w:rFonts w:ascii="Arial" w:hAnsi="Arial" w:cs="Arial"/>
                <w:noProof/>
                <w:webHidden/>
                <w:sz w:val="22"/>
                <w:szCs w:val="22"/>
              </w:rPr>
              <w:tab/>
            </w:r>
            <w:r w:rsidR="009C61FC" w:rsidRPr="0088680E">
              <w:rPr>
                <w:rFonts w:ascii="Arial" w:hAnsi="Arial" w:cs="Arial"/>
                <w:noProof/>
                <w:webHidden/>
                <w:sz w:val="22"/>
                <w:szCs w:val="22"/>
              </w:rPr>
              <w:fldChar w:fldCharType="begin"/>
            </w:r>
            <w:r w:rsidR="0088680E" w:rsidRPr="0088680E">
              <w:rPr>
                <w:rFonts w:ascii="Arial" w:hAnsi="Arial" w:cs="Arial"/>
                <w:noProof/>
                <w:webHidden/>
                <w:sz w:val="22"/>
                <w:szCs w:val="22"/>
              </w:rPr>
              <w:instrText xml:space="preserve"> PAGEREF _Toc512947927 \h </w:instrText>
            </w:r>
            <w:r w:rsidR="009C61FC" w:rsidRPr="0088680E">
              <w:rPr>
                <w:rFonts w:ascii="Arial" w:hAnsi="Arial" w:cs="Arial"/>
                <w:noProof/>
                <w:webHidden/>
                <w:sz w:val="22"/>
                <w:szCs w:val="22"/>
              </w:rPr>
            </w:r>
            <w:r w:rsidR="009C61FC" w:rsidRPr="0088680E">
              <w:rPr>
                <w:rFonts w:ascii="Arial" w:hAnsi="Arial" w:cs="Arial"/>
                <w:noProof/>
                <w:webHidden/>
                <w:sz w:val="22"/>
                <w:szCs w:val="22"/>
              </w:rPr>
              <w:fldChar w:fldCharType="separate"/>
            </w:r>
            <w:r w:rsidR="005F4C44">
              <w:rPr>
                <w:rFonts w:ascii="Arial" w:hAnsi="Arial" w:cs="Arial"/>
                <w:noProof/>
                <w:webHidden/>
                <w:sz w:val="22"/>
                <w:szCs w:val="22"/>
              </w:rPr>
              <w:t>81</w:t>
            </w:r>
            <w:r w:rsidR="009C61FC" w:rsidRPr="0088680E">
              <w:rPr>
                <w:rFonts w:ascii="Arial" w:hAnsi="Arial" w:cs="Arial"/>
                <w:noProof/>
                <w:webHidden/>
                <w:sz w:val="22"/>
                <w:szCs w:val="22"/>
              </w:rPr>
              <w:fldChar w:fldCharType="end"/>
            </w:r>
          </w:hyperlink>
        </w:p>
        <w:p w14:paraId="551877DF" w14:textId="77777777" w:rsidR="0088680E" w:rsidRDefault="0088680E">
          <w:pPr>
            <w:pStyle w:val="TOC1"/>
            <w:rPr>
              <w:rStyle w:val="Hyperlink"/>
            </w:rPr>
          </w:pPr>
        </w:p>
        <w:p w14:paraId="26BB8B18" w14:textId="77777777" w:rsidR="0088680E" w:rsidRPr="0088680E" w:rsidRDefault="00AD3491">
          <w:pPr>
            <w:pStyle w:val="TOC1"/>
            <w:rPr>
              <w:rFonts w:ascii="Arial" w:hAnsi="Arial" w:cs="Arial"/>
              <w:b w:val="0"/>
              <w:bCs w:val="0"/>
              <w:caps w:val="0"/>
              <w:noProof/>
              <w:sz w:val="22"/>
              <w:szCs w:val="22"/>
            </w:rPr>
          </w:pPr>
          <w:hyperlink w:anchor="_Toc512947928" w:history="1">
            <w:r w:rsidR="0088680E" w:rsidRPr="0088680E">
              <w:rPr>
                <w:rStyle w:val="Hyperlink"/>
                <w:rFonts w:ascii="Arial" w:hAnsi="Arial" w:cs="Arial"/>
                <w:noProof/>
                <w:sz w:val="22"/>
                <w:szCs w:val="22"/>
              </w:rPr>
              <w:t>Appendix B: LGBTQ Youth Resources</w:t>
            </w:r>
            <w:r w:rsidR="0088680E" w:rsidRPr="0088680E">
              <w:rPr>
                <w:rFonts w:ascii="Arial" w:hAnsi="Arial" w:cs="Arial"/>
                <w:noProof/>
                <w:webHidden/>
                <w:sz w:val="22"/>
                <w:szCs w:val="22"/>
              </w:rPr>
              <w:tab/>
            </w:r>
            <w:r w:rsidR="009C61FC" w:rsidRPr="0088680E">
              <w:rPr>
                <w:rFonts w:ascii="Arial" w:hAnsi="Arial" w:cs="Arial"/>
                <w:noProof/>
                <w:webHidden/>
                <w:sz w:val="22"/>
                <w:szCs w:val="22"/>
              </w:rPr>
              <w:fldChar w:fldCharType="begin"/>
            </w:r>
            <w:r w:rsidR="0088680E" w:rsidRPr="0088680E">
              <w:rPr>
                <w:rFonts w:ascii="Arial" w:hAnsi="Arial" w:cs="Arial"/>
                <w:noProof/>
                <w:webHidden/>
                <w:sz w:val="22"/>
                <w:szCs w:val="22"/>
              </w:rPr>
              <w:instrText xml:space="preserve"> PAGEREF _Toc512947928 \h </w:instrText>
            </w:r>
            <w:r w:rsidR="009C61FC" w:rsidRPr="0088680E">
              <w:rPr>
                <w:rFonts w:ascii="Arial" w:hAnsi="Arial" w:cs="Arial"/>
                <w:noProof/>
                <w:webHidden/>
                <w:sz w:val="22"/>
                <w:szCs w:val="22"/>
              </w:rPr>
            </w:r>
            <w:r w:rsidR="009C61FC" w:rsidRPr="0088680E">
              <w:rPr>
                <w:rFonts w:ascii="Arial" w:hAnsi="Arial" w:cs="Arial"/>
                <w:noProof/>
                <w:webHidden/>
                <w:sz w:val="22"/>
                <w:szCs w:val="22"/>
              </w:rPr>
              <w:fldChar w:fldCharType="separate"/>
            </w:r>
            <w:r w:rsidR="005F4C44">
              <w:rPr>
                <w:rFonts w:ascii="Arial" w:hAnsi="Arial" w:cs="Arial"/>
                <w:noProof/>
                <w:webHidden/>
                <w:sz w:val="22"/>
                <w:szCs w:val="22"/>
              </w:rPr>
              <w:t>85</w:t>
            </w:r>
            <w:r w:rsidR="009C61FC" w:rsidRPr="0088680E">
              <w:rPr>
                <w:rFonts w:ascii="Arial" w:hAnsi="Arial" w:cs="Arial"/>
                <w:noProof/>
                <w:webHidden/>
                <w:sz w:val="22"/>
                <w:szCs w:val="22"/>
              </w:rPr>
              <w:fldChar w:fldCharType="end"/>
            </w:r>
          </w:hyperlink>
        </w:p>
        <w:p w14:paraId="03D3CC79" w14:textId="77777777" w:rsidR="0088680E" w:rsidRDefault="0088680E">
          <w:pPr>
            <w:pStyle w:val="TOC1"/>
            <w:rPr>
              <w:rStyle w:val="Hyperlink"/>
            </w:rPr>
          </w:pPr>
        </w:p>
        <w:p w14:paraId="6F57ECA3" w14:textId="77777777" w:rsidR="0088680E" w:rsidRPr="0088680E" w:rsidRDefault="00AD3491">
          <w:pPr>
            <w:pStyle w:val="TOC1"/>
            <w:rPr>
              <w:rFonts w:cstheme="minorBidi"/>
              <w:b w:val="0"/>
              <w:bCs w:val="0"/>
              <w:caps w:val="0"/>
              <w:noProof/>
              <w:sz w:val="22"/>
              <w:szCs w:val="22"/>
            </w:rPr>
          </w:pPr>
          <w:hyperlink w:anchor="_Toc512947933" w:history="1">
            <w:r w:rsidR="0088680E" w:rsidRPr="0088680E">
              <w:rPr>
                <w:rStyle w:val="Hyperlink"/>
                <w:rFonts w:ascii="Arial" w:hAnsi="Arial" w:cs="Arial"/>
                <w:noProof/>
                <w:sz w:val="22"/>
                <w:szCs w:val="22"/>
              </w:rPr>
              <w:t>Endnotes</w:t>
            </w:r>
            <w:r w:rsidR="0088680E" w:rsidRPr="0088680E">
              <w:rPr>
                <w:rFonts w:ascii="Arial" w:hAnsi="Arial" w:cs="Arial"/>
                <w:noProof/>
                <w:webHidden/>
                <w:sz w:val="22"/>
                <w:szCs w:val="22"/>
              </w:rPr>
              <w:tab/>
            </w:r>
            <w:r w:rsidR="009C61FC" w:rsidRPr="0088680E">
              <w:rPr>
                <w:rFonts w:ascii="Arial" w:hAnsi="Arial" w:cs="Arial"/>
                <w:noProof/>
                <w:webHidden/>
                <w:sz w:val="22"/>
                <w:szCs w:val="22"/>
              </w:rPr>
              <w:fldChar w:fldCharType="begin"/>
            </w:r>
            <w:r w:rsidR="0088680E" w:rsidRPr="0088680E">
              <w:rPr>
                <w:rFonts w:ascii="Arial" w:hAnsi="Arial" w:cs="Arial"/>
                <w:noProof/>
                <w:webHidden/>
                <w:sz w:val="22"/>
                <w:szCs w:val="22"/>
              </w:rPr>
              <w:instrText xml:space="preserve"> PAGEREF _Toc512947933 \h </w:instrText>
            </w:r>
            <w:r w:rsidR="009C61FC" w:rsidRPr="0088680E">
              <w:rPr>
                <w:rFonts w:ascii="Arial" w:hAnsi="Arial" w:cs="Arial"/>
                <w:noProof/>
                <w:webHidden/>
                <w:sz w:val="22"/>
                <w:szCs w:val="22"/>
              </w:rPr>
            </w:r>
            <w:r w:rsidR="009C61FC" w:rsidRPr="0088680E">
              <w:rPr>
                <w:rFonts w:ascii="Arial" w:hAnsi="Arial" w:cs="Arial"/>
                <w:noProof/>
                <w:webHidden/>
                <w:sz w:val="22"/>
                <w:szCs w:val="22"/>
              </w:rPr>
              <w:fldChar w:fldCharType="separate"/>
            </w:r>
            <w:r w:rsidR="005F4C44">
              <w:rPr>
                <w:rFonts w:ascii="Arial" w:hAnsi="Arial" w:cs="Arial"/>
                <w:noProof/>
                <w:webHidden/>
                <w:sz w:val="22"/>
                <w:szCs w:val="22"/>
              </w:rPr>
              <w:t>86</w:t>
            </w:r>
            <w:r w:rsidR="009C61FC" w:rsidRPr="0088680E">
              <w:rPr>
                <w:rFonts w:ascii="Arial" w:hAnsi="Arial" w:cs="Arial"/>
                <w:noProof/>
                <w:webHidden/>
                <w:sz w:val="22"/>
                <w:szCs w:val="22"/>
              </w:rPr>
              <w:fldChar w:fldCharType="end"/>
            </w:r>
          </w:hyperlink>
        </w:p>
        <w:p w14:paraId="1B1E0947" w14:textId="77777777" w:rsidR="00ED2A19" w:rsidRPr="0088680E" w:rsidRDefault="009C61FC" w:rsidP="00E8222F">
          <w:pPr>
            <w:pStyle w:val="TOC1"/>
            <w:rPr>
              <w:sz w:val="22"/>
              <w:szCs w:val="22"/>
            </w:rPr>
          </w:pPr>
          <w:r w:rsidRPr="0088680E">
            <w:rPr>
              <w:rFonts w:ascii="Arial" w:hAnsi="Arial" w:cs="Arial"/>
              <w:b w:val="0"/>
              <w:bCs w:val="0"/>
              <w:noProof/>
              <w:sz w:val="22"/>
              <w:szCs w:val="22"/>
            </w:rPr>
            <w:fldChar w:fldCharType="end"/>
          </w:r>
        </w:p>
      </w:sdtContent>
    </w:sdt>
    <w:p w14:paraId="6A56972C" w14:textId="77777777" w:rsidR="00400468" w:rsidRPr="0059635C" w:rsidRDefault="006E385A" w:rsidP="00ED2A19">
      <w:pPr>
        <w:pStyle w:val="Heading1"/>
      </w:pPr>
      <w:bookmarkStart w:id="1" w:name="_Toc512947879"/>
      <w:r>
        <w:rPr>
          <w:noProof/>
        </w:rPr>
        <w:lastRenderedPageBreak/>
        <w:drawing>
          <wp:anchor distT="0" distB="0" distL="114300" distR="114300" simplePos="0" relativeHeight="251714560" behindDoc="1" locked="0" layoutInCell="0" allowOverlap="1" wp14:anchorId="7B73E334" wp14:editId="27E03BBA">
            <wp:simplePos x="0" y="0"/>
            <wp:positionH relativeFrom="page">
              <wp:posOffset>887557</wp:posOffset>
            </wp:positionH>
            <wp:positionV relativeFrom="page">
              <wp:posOffset>872721</wp:posOffset>
            </wp:positionV>
            <wp:extent cx="5980430" cy="18415"/>
            <wp:effectExtent l="0" t="0" r="1270" b="63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anchor>
        </w:drawing>
      </w:r>
      <w:r w:rsidR="00400468" w:rsidRPr="0059635C">
        <w:t>A Letter from Commission Leadership</w:t>
      </w:r>
      <w:bookmarkEnd w:id="1"/>
    </w:p>
    <w:p w14:paraId="02E4F68F" w14:textId="77777777" w:rsidR="007C1EDE" w:rsidRDefault="007C1EDE" w:rsidP="00400468">
      <w:pPr>
        <w:spacing w:after="0"/>
        <w:rPr>
          <w:rFonts w:ascii="Arial" w:hAnsi="Arial" w:cs="Arial"/>
        </w:rPr>
      </w:pPr>
    </w:p>
    <w:p w14:paraId="24D37AEE" w14:textId="77777777" w:rsidR="007C1EDE" w:rsidRDefault="007C1EDE" w:rsidP="00400468">
      <w:pPr>
        <w:spacing w:after="0"/>
        <w:rPr>
          <w:rFonts w:ascii="Arial" w:hAnsi="Arial" w:cs="Arial"/>
        </w:rPr>
      </w:pPr>
    </w:p>
    <w:p w14:paraId="16F25D89" w14:textId="77777777" w:rsidR="00400468" w:rsidRDefault="006E385A" w:rsidP="00400468">
      <w:pPr>
        <w:spacing w:after="0"/>
        <w:rPr>
          <w:rFonts w:ascii="Arial" w:hAnsi="Arial" w:cs="Arial"/>
        </w:rPr>
      </w:pPr>
      <w:r>
        <w:rPr>
          <w:noProof/>
        </w:rPr>
        <w:drawing>
          <wp:anchor distT="0" distB="0" distL="114300" distR="114300" simplePos="0" relativeHeight="251716608" behindDoc="1" locked="0" layoutInCell="0" allowOverlap="1" wp14:anchorId="60600F88" wp14:editId="6040C0C0">
            <wp:simplePos x="0" y="0"/>
            <wp:positionH relativeFrom="page">
              <wp:posOffset>887095</wp:posOffset>
            </wp:positionH>
            <wp:positionV relativeFrom="page">
              <wp:posOffset>1213485</wp:posOffset>
            </wp:positionV>
            <wp:extent cx="5980430" cy="18415"/>
            <wp:effectExtent l="0" t="0" r="1270" b="63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anchor>
        </w:drawing>
      </w:r>
    </w:p>
    <w:p w14:paraId="6AFB0F7B" w14:textId="77777777" w:rsidR="00C64411" w:rsidRDefault="00C64411" w:rsidP="005A52B9">
      <w:pPr>
        <w:spacing w:after="0"/>
        <w:jc w:val="both"/>
        <w:rPr>
          <w:rFonts w:ascii="Arial" w:hAnsi="Arial" w:cs="Arial"/>
        </w:rPr>
      </w:pPr>
    </w:p>
    <w:p w14:paraId="3C8DE329" w14:textId="77777777" w:rsidR="00C64411" w:rsidRDefault="00C64411" w:rsidP="005A52B9">
      <w:pPr>
        <w:spacing w:after="0"/>
        <w:jc w:val="both"/>
        <w:rPr>
          <w:rFonts w:ascii="Arial" w:hAnsi="Arial" w:cs="Arial"/>
        </w:rPr>
      </w:pPr>
    </w:p>
    <w:p w14:paraId="2A5070F1" w14:textId="77777777" w:rsidR="005A52B9" w:rsidRPr="005A52B9" w:rsidRDefault="005A52B9" w:rsidP="005A52B9">
      <w:pPr>
        <w:spacing w:after="0"/>
        <w:jc w:val="both"/>
        <w:rPr>
          <w:rFonts w:ascii="Arial" w:hAnsi="Arial" w:cs="Arial"/>
        </w:rPr>
      </w:pPr>
      <w:r w:rsidRPr="005A52B9">
        <w:rPr>
          <w:rFonts w:ascii="Arial" w:hAnsi="Arial" w:cs="Arial"/>
        </w:rPr>
        <w:t>May 10, 2018</w:t>
      </w:r>
    </w:p>
    <w:p w14:paraId="6B09873E" w14:textId="77777777" w:rsidR="005A52B9" w:rsidRPr="005A52B9" w:rsidRDefault="005A52B9" w:rsidP="005A52B9">
      <w:pPr>
        <w:spacing w:after="0"/>
        <w:jc w:val="both"/>
        <w:rPr>
          <w:rFonts w:ascii="Arial" w:hAnsi="Arial" w:cs="Arial"/>
        </w:rPr>
      </w:pPr>
    </w:p>
    <w:p w14:paraId="6796507B" w14:textId="77777777" w:rsidR="00C64411" w:rsidRDefault="00C64411" w:rsidP="009210C8">
      <w:pPr>
        <w:spacing w:after="0"/>
        <w:jc w:val="both"/>
        <w:rPr>
          <w:rFonts w:ascii="Arial" w:hAnsi="Arial" w:cs="Arial"/>
        </w:rPr>
      </w:pPr>
    </w:p>
    <w:p w14:paraId="18B01971" w14:textId="1D6BB4D3" w:rsidR="009210C8" w:rsidRDefault="009210C8" w:rsidP="009210C8">
      <w:pPr>
        <w:spacing w:after="0"/>
        <w:jc w:val="both"/>
        <w:rPr>
          <w:rFonts w:ascii="Arial" w:hAnsi="Arial" w:cs="Arial"/>
        </w:rPr>
      </w:pPr>
      <w:r w:rsidRPr="009210C8">
        <w:rPr>
          <w:rFonts w:ascii="Arial" w:hAnsi="Arial" w:cs="Arial"/>
        </w:rPr>
        <w:t>Last year, we celebrated the twenty-fifth anniversary of the Massachusetts Commission on Lesbian, Gay, Bisexual, Transgender, Queer, and Questioning (LGBTQ) Youth. Founded as a Gover</w:t>
      </w:r>
      <w:r w:rsidR="009C41D2">
        <w:rPr>
          <w:rFonts w:ascii="Arial" w:hAnsi="Arial" w:cs="Arial"/>
        </w:rPr>
        <w:t>nor’s Commission in 1992 and re</w:t>
      </w:r>
      <w:r w:rsidRPr="009210C8">
        <w:rPr>
          <w:rFonts w:ascii="Arial" w:hAnsi="Arial" w:cs="Arial"/>
        </w:rPr>
        <w:t xml:space="preserve">established by the legislature as an independent commission in 2006, the Commission on LGBTQ Youth is tasked with </w:t>
      </w:r>
      <w:r w:rsidR="009C41D2">
        <w:rPr>
          <w:rFonts w:ascii="Arial" w:hAnsi="Arial" w:cs="Arial"/>
        </w:rPr>
        <w:t xml:space="preserve">addressing the high rates of bullying and suicidal contemplation faced by LGBTQ youth, </w:t>
      </w:r>
      <w:r w:rsidRPr="009210C8">
        <w:rPr>
          <w:rFonts w:ascii="Arial" w:hAnsi="Arial" w:cs="Arial"/>
        </w:rPr>
        <w:t xml:space="preserve">and making state services more </w:t>
      </w:r>
      <w:r w:rsidR="009C41D2">
        <w:rPr>
          <w:rFonts w:ascii="Arial" w:hAnsi="Arial" w:cs="Arial"/>
        </w:rPr>
        <w:t>accessible</w:t>
      </w:r>
      <w:r w:rsidRPr="009210C8">
        <w:rPr>
          <w:rFonts w:ascii="Arial" w:hAnsi="Arial" w:cs="Arial"/>
        </w:rPr>
        <w:t xml:space="preserve">. The Commission works closely with many agencies and executive offices to ensure that, to the fullest extent possible, these recommendations reflect shared goals and that the Commission </w:t>
      </w:r>
      <w:r w:rsidR="009B796D">
        <w:rPr>
          <w:rFonts w:ascii="Arial" w:hAnsi="Arial" w:cs="Arial"/>
        </w:rPr>
        <w:t>can support agencies in achieving them</w:t>
      </w:r>
      <w:r w:rsidRPr="009210C8">
        <w:rPr>
          <w:rFonts w:ascii="Arial" w:hAnsi="Arial" w:cs="Arial"/>
        </w:rPr>
        <w:t>.</w:t>
      </w:r>
      <w:r w:rsidR="007C1EDE">
        <w:rPr>
          <w:rFonts w:ascii="Arial" w:hAnsi="Arial" w:cs="Arial"/>
        </w:rPr>
        <w:t xml:space="preserve"> </w:t>
      </w:r>
    </w:p>
    <w:p w14:paraId="36CCB3EE" w14:textId="77777777" w:rsidR="00C64411" w:rsidRPr="009210C8" w:rsidRDefault="00C64411" w:rsidP="009210C8">
      <w:pPr>
        <w:spacing w:after="0"/>
        <w:jc w:val="both"/>
        <w:rPr>
          <w:rFonts w:ascii="Arial" w:hAnsi="Arial" w:cs="Arial"/>
        </w:rPr>
      </w:pPr>
    </w:p>
    <w:p w14:paraId="6394761E" w14:textId="3FC10B6D" w:rsidR="009210C8" w:rsidRDefault="009210C8" w:rsidP="009210C8">
      <w:pPr>
        <w:spacing w:after="0"/>
        <w:jc w:val="both"/>
        <w:rPr>
          <w:rFonts w:ascii="Arial" w:hAnsi="Arial" w:cs="Arial"/>
        </w:rPr>
      </w:pPr>
      <w:r w:rsidRPr="009210C8">
        <w:rPr>
          <w:rFonts w:ascii="Arial" w:hAnsi="Arial" w:cs="Arial"/>
        </w:rPr>
        <w:t xml:space="preserve">While this year’s recommendations to individual agencies largely represent an update from those that came before, they also contain a new section of “core recommendations” that go beyond what individual agencies can achieve. These recommendations </w:t>
      </w:r>
      <w:r w:rsidR="009B796D">
        <w:rPr>
          <w:rFonts w:ascii="Arial" w:hAnsi="Arial" w:cs="Arial"/>
        </w:rPr>
        <w:t>generally</w:t>
      </w:r>
      <w:r w:rsidRPr="009210C8">
        <w:rPr>
          <w:rFonts w:ascii="Arial" w:hAnsi="Arial" w:cs="Arial"/>
        </w:rPr>
        <w:t xml:space="preserve"> require action from the legislature, the Governor, or interagency collaboration. Some are straightforward and require the Commonwealth to </w:t>
      </w:r>
      <w:r w:rsidR="005F4C44">
        <w:rPr>
          <w:rFonts w:ascii="Arial" w:hAnsi="Arial" w:cs="Arial"/>
        </w:rPr>
        <w:t>follow</w:t>
      </w:r>
      <w:r w:rsidRPr="009210C8">
        <w:rPr>
          <w:rFonts w:ascii="Arial" w:hAnsi="Arial" w:cs="Arial"/>
        </w:rPr>
        <w:t xml:space="preserve"> states that have already taken action, such as our call to join the growing number of jurisdictions that have banned the pr</w:t>
      </w:r>
      <w:r w:rsidR="009C41D2">
        <w:rPr>
          <w:rFonts w:ascii="Arial" w:hAnsi="Arial" w:cs="Arial"/>
        </w:rPr>
        <w:t>actice of “conversion therapy.”</w:t>
      </w:r>
      <w:r w:rsidRPr="009210C8">
        <w:rPr>
          <w:rFonts w:ascii="Arial" w:hAnsi="Arial" w:cs="Arial"/>
        </w:rPr>
        <w:t xml:space="preserve"> Other recommendations require research, conversation, and novel solutions, and should serve as a call to action for all those in state government to work together.</w:t>
      </w:r>
      <w:r w:rsidR="007C1EDE">
        <w:rPr>
          <w:rFonts w:ascii="Arial" w:hAnsi="Arial" w:cs="Arial"/>
        </w:rPr>
        <w:t xml:space="preserve"> </w:t>
      </w:r>
    </w:p>
    <w:p w14:paraId="51843F81" w14:textId="77777777" w:rsidR="00C64411" w:rsidRPr="009210C8" w:rsidRDefault="00C64411" w:rsidP="009210C8">
      <w:pPr>
        <w:spacing w:after="0"/>
        <w:jc w:val="both"/>
        <w:rPr>
          <w:rFonts w:ascii="Arial" w:hAnsi="Arial" w:cs="Arial"/>
        </w:rPr>
      </w:pPr>
    </w:p>
    <w:p w14:paraId="59851333" w14:textId="2D57DA60" w:rsidR="009210C8" w:rsidRPr="009210C8" w:rsidRDefault="009210C8" w:rsidP="009210C8">
      <w:pPr>
        <w:spacing w:after="0"/>
        <w:jc w:val="both"/>
        <w:rPr>
          <w:rFonts w:ascii="Arial" w:hAnsi="Arial" w:cs="Arial"/>
        </w:rPr>
      </w:pPr>
      <w:r w:rsidRPr="009210C8">
        <w:rPr>
          <w:rFonts w:ascii="Arial" w:hAnsi="Arial" w:cs="Arial"/>
        </w:rPr>
        <w:t xml:space="preserve">The first set of core recommendations relate to addressing discrimination and bias, which the Commission </w:t>
      </w:r>
      <w:r w:rsidR="001A501C">
        <w:rPr>
          <w:rFonts w:ascii="Arial" w:hAnsi="Arial" w:cs="Arial"/>
        </w:rPr>
        <w:t xml:space="preserve">believes </w:t>
      </w:r>
      <w:r w:rsidR="009B796D">
        <w:rPr>
          <w:rFonts w:ascii="Arial" w:hAnsi="Arial" w:cs="Arial"/>
        </w:rPr>
        <w:t>have</w:t>
      </w:r>
      <w:r w:rsidRPr="009210C8">
        <w:rPr>
          <w:rFonts w:ascii="Arial" w:hAnsi="Arial" w:cs="Arial"/>
        </w:rPr>
        <w:t xml:space="preserve"> a particularly strong correlation to the issue of bullying and suicide prevention. State and national data continuously demonstrate that, despite some progress in achieving legal equality, LGBTQ people face significant barriers in attending school, accessing services, gaining employment, finding housing, and living safely in their communities. This reality is particularly troubling with respect to LGBTQ youth, who rely on state institutions and their families to help shield them from mistreatment. While the Commonwealth has taken key steps towards offering such protections, including </w:t>
      </w:r>
      <w:r w:rsidR="009C41D2" w:rsidRPr="009C41D2">
        <w:rPr>
          <w:rFonts w:ascii="Arial" w:hAnsi="Arial" w:cs="Arial"/>
        </w:rPr>
        <w:t xml:space="preserve">implementing anti-bullying </w:t>
      </w:r>
      <w:r w:rsidR="009C41D2">
        <w:rPr>
          <w:rFonts w:ascii="Arial" w:hAnsi="Arial" w:cs="Arial"/>
        </w:rPr>
        <w:t>initiatives and</w:t>
      </w:r>
      <w:r w:rsidR="009C41D2" w:rsidRPr="009C41D2">
        <w:rPr>
          <w:rFonts w:ascii="Arial" w:hAnsi="Arial" w:cs="Arial"/>
        </w:rPr>
        <w:t xml:space="preserve"> </w:t>
      </w:r>
      <w:r w:rsidRPr="009210C8">
        <w:rPr>
          <w:rFonts w:ascii="Arial" w:hAnsi="Arial" w:cs="Arial"/>
        </w:rPr>
        <w:t xml:space="preserve">banning discrimination </w:t>
      </w:r>
      <w:r w:rsidR="009C41D2">
        <w:rPr>
          <w:rFonts w:ascii="Arial" w:hAnsi="Arial" w:cs="Arial"/>
        </w:rPr>
        <w:t>based on</w:t>
      </w:r>
      <w:r w:rsidRPr="009210C8">
        <w:rPr>
          <w:rFonts w:ascii="Arial" w:hAnsi="Arial" w:cs="Arial"/>
        </w:rPr>
        <w:t xml:space="preserve"> sexual </w:t>
      </w:r>
      <w:r w:rsidR="009C41D2">
        <w:rPr>
          <w:rFonts w:ascii="Arial" w:hAnsi="Arial" w:cs="Arial"/>
        </w:rPr>
        <w:t>orientation and gender identity</w:t>
      </w:r>
      <w:r w:rsidRPr="009210C8">
        <w:rPr>
          <w:rFonts w:ascii="Arial" w:hAnsi="Arial" w:cs="Arial"/>
        </w:rPr>
        <w:t>, more can and should be done. The Commission’s recommendations call for more training on LGBTQ cultural competency, implementation of practices to recognize gender identity diversity, protecting and strengthening antidiscrimination measures, and beginning a conversation on family acceptance.</w:t>
      </w:r>
    </w:p>
    <w:p w14:paraId="613E7579" w14:textId="77777777" w:rsidR="009210C8" w:rsidRPr="009210C8" w:rsidRDefault="009210C8" w:rsidP="009210C8">
      <w:pPr>
        <w:spacing w:after="0"/>
        <w:jc w:val="both"/>
        <w:rPr>
          <w:rFonts w:ascii="Arial" w:hAnsi="Arial" w:cs="Arial"/>
        </w:rPr>
      </w:pPr>
    </w:p>
    <w:p w14:paraId="342D9D04" w14:textId="77777777" w:rsidR="00C64411" w:rsidRDefault="00C64411">
      <w:pPr>
        <w:rPr>
          <w:rFonts w:ascii="Arial" w:hAnsi="Arial" w:cs="Arial"/>
        </w:rPr>
      </w:pPr>
      <w:r>
        <w:rPr>
          <w:rFonts w:ascii="Arial" w:hAnsi="Arial" w:cs="Arial"/>
        </w:rPr>
        <w:br w:type="page"/>
      </w:r>
    </w:p>
    <w:p w14:paraId="35280208" w14:textId="77777777" w:rsidR="00C64411" w:rsidRDefault="00C64411" w:rsidP="009210C8">
      <w:pPr>
        <w:spacing w:after="0"/>
        <w:jc w:val="both"/>
        <w:rPr>
          <w:rFonts w:ascii="Arial" w:hAnsi="Arial" w:cs="Arial"/>
        </w:rPr>
      </w:pPr>
    </w:p>
    <w:p w14:paraId="74BDB864" w14:textId="77777777" w:rsidR="0017102D" w:rsidRDefault="0017102D" w:rsidP="009210C8">
      <w:pPr>
        <w:spacing w:after="0"/>
        <w:jc w:val="both"/>
        <w:rPr>
          <w:rFonts w:ascii="Arial" w:hAnsi="Arial" w:cs="Arial"/>
        </w:rPr>
      </w:pPr>
    </w:p>
    <w:p w14:paraId="5AE2C2C6" w14:textId="38857956" w:rsidR="009210C8" w:rsidRPr="009210C8" w:rsidRDefault="007C1EDE" w:rsidP="009210C8">
      <w:pPr>
        <w:spacing w:after="0"/>
        <w:jc w:val="both"/>
        <w:rPr>
          <w:rFonts w:ascii="Arial" w:hAnsi="Arial" w:cs="Arial"/>
        </w:rPr>
      </w:pPr>
      <w:r>
        <w:rPr>
          <w:rFonts w:ascii="Arial" w:hAnsi="Arial" w:cs="Arial"/>
        </w:rPr>
        <w:t>T</w:t>
      </w:r>
      <w:r w:rsidR="009210C8" w:rsidRPr="009210C8">
        <w:rPr>
          <w:rFonts w:ascii="Arial" w:hAnsi="Arial" w:cs="Arial"/>
        </w:rPr>
        <w:t xml:space="preserve">he Commission is also issuing core recommendations specifically related to its three focus areas: homelessness, criminal justice, and health. The Commission </w:t>
      </w:r>
      <w:r w:rsidR="009B796D">
        <w:rPr>
          <w:rFonts w:ascii="Arial" w:hAnsi="Arial" w:cs="Arial"/>
        </w:rPr>
        <w:t>selected</w:t>
      </w:r>
      <w:r w:rsidR="009210C8" w:rsidRPr="009210C8">
        <w:rPr>
          <w:rFonts w:ascii="Arial" w:hAnsi="Arial" w:cs="Arial"/>
        </w:rPr>
        <w:t xml:space="preserve"> these three focus areas </w:t>
      </w:r>
      <w:r w:rsidR="009B796D">
        <w:rPr>
          <w:rFonts w:ascii="Arial" w:hAnsi="Arial" w:cs="Arial"/>
        </w:rPr>
        <w:t>because of</w:t>
      </w:r>
      <w:r w:rsidR="009210C8" w:rsidRPr="009210C8">
        <w:rPr>
          <w:rFonts w:ascii="Arial" w:hAnsi="Arial" w:cs="Arial"/>
        </w:rPr>
        <w:t xml:space="preserve"> their individual and concurrent relationships with instances of bullying, discrimination, and biases faced by LGBTQ youth, especially those of color. Over the past year, the Commission has begun new relationships with community groups and governmental partners to identify why LGBTQ youth of color are disproportionately impacted by issues such as homelessness and incarceration</w:t>
      </w:r>
      <w:r w:rsidR="009B796D">
        <w:rPr>
          <w:rFonts w:ascii="Arial" w:hAnsi="Arial" w:cs="Arial"/>
        </w:rPr>
        <w:t>. These discussions, coupled with extensive research conducted by the Commission, led us to our selection of this year’s core recommendations. These recommendations begin on page 7 and are followed on page 13 with the findings of our research.</w:t>
      </w:r>
      <w:r w:rsidR="009210C8" w:rsidRPr="009210C8">
        <w:rPr>
          <w:rFonts w:ascii="Arial" w:hAnsi="Arial" w:cs="Arial"/>
        </w:rPr>
        <w:t xml:space="preserve"> </w:t>
      </w:r>
    </w:p>
    <w:p w14:paraId="4D8AAFA2" w14:textId="77777777" w:rsidR="00C64411" w:rsidRPr="009210C8" w:rsidRDefault="00C64411" w:rsidP="009210C8">
      <w:pPr>
        <w:spacing w:after="0"/>
        <w:jc w:val="both"/>
        <w:rPr>
          <w:rFonts w:ascii="Arial" w:hAnsi="Arial" w:cs="Arial"/>
        </w:rPr>
      </w:pPr>
    </w:p>
    <w:p w14:paraId="213A4E57" w14:textId="77777777" w:rsidR="007C1EDE" w:rsidRDefault="009210C8" w:rsidP="009210C8">
      <w:pPr>
        <w:spacing w:after="0"/>
        <w:jc w:val="both"/>
        <w:rPr>
          <w:rFonts w:ascii="Arial" w:hAnsi="Arial" w:cs="Arial"/>
        </w:rPr>
      </w:pPr>
      <w:r w:rsidRPr="009210C8">
        <w:rPr>
          <w:rFonts w:ascii="Arial" w:hAnsi="Arial" w:cs="Arial"/>
        </w:rPr>
        <w:t xml:space="preserve">The Commission has strived to recognize in the pages that follow the many successes that agencies have had in reaching their past goals and to celebrate the many champions of equality who work within our state government. At the same time, we would be remiss not to note the incredibly tenuous nature of the advancements that LGBTQ youth have seen, especially for those </w:t>
      </w:r>
      <w:r w:rsidR="004E6B4B">
        <w:rPr>
          <w:rFonts w:ascii="Arial" w:hAnsi="Arial" w:cs="Arial"/>
        </w:rPr>
        <w:t>facing</w:t>
      </w:r>
      <w:r w:rsidRPr="009210C8">
        <w:rPr>
          <w:rFonts w:ascii="Arial" w:hAnsi="Arial" w:cs="Arial"/>
        </w:rPr>
        <w:t xml:space="preserve"> </w:t>
      </w:r>
      <w:r w:rsidR="009B796D">
        <w:rPr>
          <w:rFonts w:ascii="Arial" w:hAnsi="Arial" w:cs="Arial"/>
        </w:rPr>
        <w:t>intersectional</w:t>
      </w:r>
      <w:r w:rsidRPr="009210C8">
        <w:rPr>
          <w:rFonts w:ascii="Arial" w:hAnsi="Arial" w:cs="Arial"/>
        </w:rPr>
        <w:t xml:space="preserve"> forms of discrimination. The past year has seen a shocking resurgence in white supremacy, and the Commission has heard from youth of color and White allies that the need to address racial justice – both for a better future and for their immediate safety in schools and communities – has never been greater. The #MeToo movement has shone light on widespread sexual harassment throughout all facets of our society, and the most recent statewide data shows that LGBTQ youth were three times as likely as others to have been forced into sexual contact against their will. Finally, the brave students leading the #NeverAgain campaign to end gun violence in schools are speaking to an issue that disproportionately affects LGBTQ youth in the Commonwealth, who are more than three times as likely as others to be injured or hurt with a weapon at school.</w:t>
      </w:r>
      <w:r w:rsidR="007C1EDE">
        <w:rPr>
          <w:rFonts w:ascii="Arial" w:hAnsi="Arial" w:cs="Arial"/>
        </w:rPr>
        <w:t xml:space="preserve"> </w:t>
      </w:r>
    </w:p>
    <w:p w14:paraId="1A05BC1B" w14:textId="77777777" w:rsidR="007C1EDE" w:rsidRDefault="007C1EDE" w:rsidP="009210C8">
      <w:pPr>
        <w:spacing w:after="0"/>
        <w:jc w:val="both"/>
        <w:rPr>
          <w:rFonts w:ascii="Arial" w:hAnsi="Arial" w:cs="Arial"/>
        </w:rPr>
      </w:pPr>
    </w:p>
    <w:p w14:paraId="4762D8B6" w14:textId="5AD69277" w:rsidR="009210C8" w:rsidRPr="009210C8" w:rsidRDefault="007C1EDE" w:rsidP="009210C8">
      <w:pPr>
        <w:spacing w:after="0"/>
        <w:jc w:val="both"/>
        <w:rPr>
          <w:rFonts w:ascii="Arial" w:hAnsi="Arial" w:cs="Arial"/>
        </w:rPr>
      </w:pPr>
      <w:r>
        <w:rPr>
          <w:rFonts w:ascii="Arial" w:hAnsi="Arial" w:cs="Arial"/>
        </w:rPr>
        <w:t xml:space="preserve">These challenging times nevertheless remind us of </w:t>
      </w:r>
      <w:r w:rsidR="0017102D">
        <w:rPr>
          <w:rFonts w:ascii="Arial" w:hAnsi="Arial" w:cs="Arial"/>
        </w:rPr>
        <w:t xml:space="preserve">the powerful things that can happen when we help lift each other’s voices and work together to create change. </w:t>
      </w:r>
      <w:r w:rsidR="009210C8" w:rsidRPr="009210C8">
        <w:rPr>
          <w:rFonts w:ascii="Arial" w:hAnsi="Arial" w:cs="Arial"/>
        </w:rPr>
        <w:t>As the Commonwealth prepares to enter a new fiscal year, the Commission hopes that these recommendations will provide a useful guide for structural steps – both large and small – that can be taken to reduce the many disparities faced by LGBTQ youth.</w:t>
      </w:r>
    </w:p>
    <w:p w14:paraId="36209F26" w14:textId="77777777" w:rsidR="005A52B9" w:rsidRPr="005A52B9" w:rsidRDefault="005A52B9" w:rsidP="005A52B9">
      <w:pPr>
        <w:spacing w:after="0"/>
        <w:rPr>
          <w:rFonts w:ascii="Arial" w:hAnsi="Arial" w:cs="Arial"/>
        </w:rPr>
      </w:pPr>
    </w:p>
    <w:p w14:paraId="68CE72BD" w14:textId="77777777" w:rsidR="00C64411" w:rsidRDefault="00C64411" w:rsidP="00400468">
      <w:pPr>
        <w:spacing w:after="0"/>
        <w:rPr>
          <w:rFonts w:ascii="Arial" w:hAnsi="Arial" w:cs="Arial"/>
        </w:rPr>
        <w:sectPr w:rsidR="00C64411">
          <w:endnotePr>
            <w:numFmt w:val="decimal"/>
          </w:endnotePr>
          <w:type w:val="continuous"/>
          <w:pgSz w:w="12240" w:h="15840"/>
          <w:pgMar w:top="1440" w:right="1440" w:bottom="1440" w:left="1440" w:header="720" w:footer="0" w:gutter="0"/>
          <w:cols w:space="720"/>
          <w:docGrid w:linePitch="360"/>
        </w:sectPr>
      </w:pPr>
    </w:p>
    <w:p w14:paraId="5314AEDA" w14:textId="77777777" w:rsidR="00354DAF" w:rsidRDefault="00246D1F" w:rsidP="00400468">
      <w:pPr>
        <w:spacing w:after="0"/>
        <w:rPr>
          <w:rFonts w:ascii="Arial" w:hAnsi="Arial" w:cs="Arial"/>
        </w:rPr>
        <w:sectPr w:rsidR="00354DAF">
          <w:endnotePr>
            <w:numFmt w:val="decimal"/>
          </w:endnotePr>
          <w:type w:val="continuous"/>
          <w:pgSz w:w="12240" w:h="15840"/>
          <w:pgMar w:top="1440" w:right="1440" w:bottom="1440" w:left="1440" w:header="720" w:footer="0" w:gutter="0"/>
          <w:cols w:space="720"/>
          <w:docGrid w:linePitch="360"/>
        </w:sectPr>
      </w:pPr>
      <w:r>
        <w:rPr>
          <w:rFonts w:ascii="Arial" w:hAnsi="Arial" w:cs="Arial"/>
          <w:noProof/>
        </w:rPr>
        <w:lastRenderedPageBreak/>
        <w:drawing>
          <wp:anchor distT="0" distB="0" distL="114300" distR="114300" simplePos="0" relativeHeight="251717632" behindDoc="1" locked="0" layoutInCell="1" allowOverlap="1" wp14:anchorId="2F2F789E" wp14:editId="4B330A55">
            <wp:simplePos x="0" y="0"/>
            <wp:positionH relativeFrom="column">
              <wp:posOffset>3731838</wp:posOffset>
            </wp:positionH>
            <wp:positionV relativeFrom="paragraph">
              <wp:posOffset>170122</wp:posOffset>
            </wp:positionV>
            <wp:extent cx="1097280" cy="507589"/>
            <wp:effectExtent l="0" t="0" r="762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b="4727"/>
                    <a:stretch/>
                  </pic:blipFill>
                  <pic:spPr bwMode="auto">
                    <a:xfrm>
                      <a:off x="0" y="0"/>
                      <a:ext cx="1097280" cy="507589"/>
                    </a:xfrm>
                    <a:prstGeom prst="rect">
                      <a:avLst/>
                    </a:prstGeom>
                    <a:noFill/>
                    <a:ln>
                      <a:noFill/>
                    </a:ln>
                    <a:extLst>
                      <a:ext uri="{53640926-AAD7-44D8-BBD7-CCE9431645EC}">
                        <a14:shadowObscured xmlns:a14="http://schemas.microsoft.com/office/drawing/2010/main"/>
                      </a:ext>
                    </a:extLst>
                  </pic:spPr>
                </pic:pic>
              </a:graphicData>
            </a:graphic>
          </wp:anchor>
        </w:drawing>
      </w:r>
      <w:r w:rsidR="009210C8">
        <w:rPr>
          <w:rFonts w:ascii="Arial" w:hAnsi="Arial" w:cs="Arial"/>
        </w:rPr>
        <w:t>Sincerely,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35"/>
        <w:gridCol w:w="2925"/>
        <w:gridCol w:w="3382"/>
      </w:tblGrid>
      <w:tr w:rsidR="009C41D2" w14:paraId="4D69274B" w14:textId="77777777">
        <w:trPr>
          <w:trHeight w:val="1204"/>
        </w:trPr>
        <w:tc>
          <w:tcPr>
            <w:tcW w:w="3035" w:type="dxa"/>
            <w:vAlign w:val="bottom"/>
          </w:tcPr>
          <w:p w14:paraId="5B84B424" w14:textId="77777777" w:rsidR="009C41D2" w:rsidRDefault="009C41D2" w:rsidP="009C41D2">
            <w:pPr>
              <w:rPr>
                <w:rFonts w:ascii="Arial" w:hAnsi="Arial" w:cs="Arial"/>
              </w:rPr>
            </w:pPr>
            <w:r>
              <w:rPr>
                <w:noProof/>
              </w:rPr>
              <w:lastRenderedPageBreak/>
              <w:drawing>
                <wp:inline distT="0" distB="0" distL="0" distR="0" wp14:anchorId="00203CEB" wp14:editId="6FCDB545">
                  <wp:extent cx="1554480" cy="440575"/>
                  <wp:effectExtent l="0" t="0" r="762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54703" cy="440638"/>
                          </a:xfrm>
                          <a:prstGeom prst="rect">
                            <a:avLst/>
                          </a:prstGeom>
                        </pic:spPr>
                      </pic:pic>
                    </a:graphicData>
                  </a:graphic>
                </wp:inline>
              </w:drawing>
            </w:r>
          </w:p>
          <w:p w14:paraId="0CFFA5D8" w14:textId="77777777" w:rsidR="009C41D2" w:rsidRPr="009C41D2" w:rsidRDefault="009C41D2" w:rsidP="009C41D2">
            <w:pPr>
              <w:rPr>
                <w:rFonts w:ascii="Arial" w:hAnsi="Arial" w:cs="Arial"/>
              </w:rPr>
            </w:pPr>
            <w:r w:rsidRPr="009C41D2">
              <w:rPr>
                <w:rFonts w:ascii="Arial" w:hAnsi="Arial" w:cs="Arial"/>
              </w:rPr>
              <w:t>Alexander A. Nally</w:t>
            </w:r>
          </w:p>
          <w:p w14:paraId="4689FE00" w14:textId="77777777" w:rsidR="009C41D2" w:rsidRDefault="009C41D2" w:rsidP="009C41D2">
            <w:pPr>
              <w:rPr>
                <w:rFonts w:ascii="Arial" w:hAnsi="Arial" w:cs="Arial"/>
              </w:rPr>
            </w:pPr>
            <w:r w:rsidRPr="009C41D2">
              <w:rPr>
                <w:rFonts w:ascii="Arial" w:hAnsi="Arial" w:cs="Arial"/>
              </w:rPr>
              <w:t>Chair</w:t>
            </w:r>
          </w:p>
        </w:tc>
        <w:tc>
          <w:tcPr>
            <w:tcW w:w="2925" w:type="dxa"/>
            <w:vAlign w:val="bottom"/>
          </w:tcPr>
          <w:p w14:paraId="36E2181F" w14:textId="77777777" w:rsidR="00246D1F" w:rsidRDefault="009C41D2" w:rsidP="009C41D2">
            <w:pPr>
              <w:rPr>
                <w:rFonts w:ascii="Arial" w:hAnsi="Arial" w:cs="Arial"/>
              </w:rPr>
            </w:pPr>
            <w:r>
              <w:rPr>
                <w:rFonts w:ascii="Arial" w:hAnsi="Arial" w:cs="Arial"/>
                <w:noProof/>
              </w:rPr>
              <w:drawing>
                <wp:inline distT="0" distB="0" distL="0" distR="0" wp14:anchorId="41B01739" wp14:editId="1B77B103">
                  <wp:extent cx="1349837" cy="449945"/>
                  <wp:effectExtent l="0" t="0" r="3175"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9000" contrast="63000"/>
                                    </a14:imgEffect>
                                  </a14:imgLayer>
                                </a14:imgProps>
                              </a:ext>
                              <a:ext uri="{28A0092B-C50C-407E-A947-70E740481C1C}">
                                <a14:useLocalDpi xmlns:a14="http://schemas.microsoft.com/office/drawing/2010/main" val="0"/>
                              </a:ext>
                            </a:extLst>
                          </a:blip>
                          <a:srcRect/>
                          <a:stretch>
                            <a:fillRect/>
                          </a:stretch>
                        </pic:blipFill>
                        <pic:spPr bwMode="auto">
                          <a:xfrm>
                            <a:off x="0" y="0"/>
                            <a:ext cx="1349701" cy="449900"/>
                          </a:xfrm>
                          <a:prstGeom prst="rect">
                            <a:avLst/>
                          </a:prstGeom>
                          <a:noFill/>
                          <a:ln>
                            <a:noFill/>
                          </a:ln>
                        </pic:spPr>
                      </pic:pic>
                    </a:graphicData>
                  </a:graphic>
                </wp:inline>
              </w:drawing>
            </w:r>
          </w:p>
          <w:p w14:paraId="1AC43A1A" w14:textId="77777777" w:rsidR="009C41D2" w:rsidRDefault="009C41D2" w:rsidP="009C41D2">
            <w:pPr>
              <w:rPr>
                <w:rFonts w:ascii="Arial" w:hAnsi="Arial" w:cs="Arial"/>
              </w:rPr>
            </w:pPr>
            <w:r>
              <w:rPr>
                <w:rFonts w:ascii="Arial" w:hAnsi="Arial" w:cs="Arial"/>
              </w:rPr>
              <w:t>Sasha Goodfriend</w:t>
            </w:r>
          </w:p>
          <w:p w14:paraId="74F5ACF1" w14:textId="77777777" w:rsidR="009C41D2" w:rsidRDefault="009C41D2" w:rsidP="009C41D2">
            <w:pPr>
              <w:rPr>
                <w:rFonts w:ascii="Arial" w:hAnsi="Arial" w:cs="Arial"/>
              </w:rPr>
            </w:pPr>
            <w:r w:rsidRPr="00354DAF">
              <w:rPr>
                <w:rFonts w:ascii="Arial" w:hAnsi="Arial" w:cs="Arial"/>
              </w:rPr>
              <w:t xml:space="preserve">Vice Chair </w:t>
            </w:r>
          </w:p>
        </w:tc>
        <w:tc>
          <w:tcPr>
            <w:tcW w:w="3382" w:type="dxa"/>
            <w:vAlign w:val="bottom"/>
          </w:tcPr>
          <w:p w14:paraId="0FF88DEB" w14:textId="77777777" w:rsidR="009C41D2" w:rsidRDefault="00246D1F" w:rsidP="00246D1F">
            <w:pPr>
              <w:rPr>
                <w:rFonts w:ascii="Arial" w:hAnsi="Arial" w:cs="Arial"/>
              </w:rPr>
            </w:pPr>
            <w:r>
              <w:rPr>
                <w:rFonts w:ascii="Arial" w:hAnsi="Arial" w:cs="Arial"/>
              </w:rPr>
              <w:t>C</w:t>
            </w:r>
            <w:r w:rsidR="009C41D2">
              <w:rPr>
                <w:rFonts w:ascii="Arial" w:hAnsi="Arial" w:cs="Arial"/>
              </w:rPr>
              <w:t>orey Prachniak-Rincón Director</w:t>
            </w:r>
          </w:p>
        </w:tc>
      </w:tr>
    </w:tbl>
    <w:p w14:paraId="36E38699" w14:textId="77777777" w:rsidR="00354DAF" w:rsidRDefault="00354DAF">
      <w:pPr>
        <w:rPr>
          <w:rFonts w:ascii="Arial" w:hAnsi="Arial" w:cs="Arial"/>
        </w:rPr>
        <w:sectPr w:rsidR="00354DAF">
          <w:endnotePr>
            <w:numFmt w:val="decimal"/>
          </w:endnotePr>
          <w:type w:val="continuous"/>
          <w:pgSz w:w="12240" w:h="15840"/>
          <w:pgMar w:top="1440" w:right="1440" w:bottom="1440" w:left="1440" w:header="720" w:footer="0" w:gutter="0"/>
          <w:cols w:space="720"/>
          <w:docGrid w:linePitch="360"/>
        </w:sectPr>
      </w:pPr>
    </w:p>
    <w:p w14:paraId="51AF5F8B" w14:textId="77777777" w:rsidR="00294445" w:rsidRDefault="00294445">
      <w:pPr>
        <w:rPr>
          <w:rFonts w:ascii="Arial" w:hAnsi="Arial" w:cs="Arial"/>
        </w:rPr>
      </w:pPr>
    </w:p>
    <w:p w14:paraId="4FF127AB" w14:textId="1A3B9FAB" w:rsidR="00294445" w:rsidRPr="00ED7524" w:rsidRDefault="00294445" w:rsidP="00ED2A19">
      <w:pPr>
        <w:pStyle w:val="Heading1"/>
        <w:rPr>
          <w:sz w:val="30"/>
          <w:szCs w:val="30"/>
        </w:rPr>
      </w:pPr>
      <w:bookmarkStart w:id="2" w:name="_Toc512947880"/>
      <w:r w:rsidRPr="00ED7524">
        <w:rPr>
          <w:sz w:val="30"/>
          <w:szCs w:val="30"/>
        </w:rPr>
        <w:lastRenderedPageBreak/>
        <w:t xml:space="preserve">Core Recommendations to the </w:t>
      </w:r>
      <w:bookmarkEnd w:id="2"/>
      <w:r w:rsidR="0017102D" w:rsidRPr="00ED7524">
        <w:rPr>
          <w:sz w:val="30"/>
          <w:szCs w:val="30"/>
        </w:rPr>
        <w:t>Legislature and Executive Branch</w:t>
      </w:r>
    </w:p>
    <w:p w14:paraId="718BB298" w14:textId="77777777" w:rsidR="00294445" w:rsidRDefault="00025253" w:rsidP="00294445">
      <w:pPr>
        <w:spacing w:after="0"/>
        <w:rPr>
          <w:rFonts w:ascii="Arial" w:hAnsi="Arial" w:cs="Arial"/>
        </w:rPr>
      </w:pPr>
      <w:r>
        <w:rPr>
          <w:noProof/>
        </w:rPr>
        <w:drawing>
          <wp:anchor distT="0" distB="0" distL="114300" distR="114300" simplePos="0" relativeHeight="251721728" behindDoc="1" locked="0" layoutInCell="0" allowOverlap="1" wp14:anchorId="59CE889F" wp14:editId="635C0F01">
            <wp:simplePos x="0" y="0"/>
            <wp:positionH relativeFrom="column">
              <wp:posOffset>-14605</wp:posOffset>
            </wp:positionH>
            <wp:positionV relativeFrom="paragraph">
              <wp:posOffset>-1905</wp:posOffset>
            </wp:positionV>
            <wp:extent cx="5980430" cy="27305"/>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80430" cy="27305"/>
                    </a:xfrm>
                    <a:prstGeom prst="rect">
                      <a:avLst/>
                    </a:prstGeom>
                    <a:noFill/>
                  </pic:spPr>
                </pic:pic>
              </a:graphicData>
            </a:graphic>
          </wp:anchor>
        </w:drawing>
      </w:r>
    </w:p>
    <w:p w14:paraId="174F6B81" w14:textId="77777777" w:rsidR="009B2188" w:rsidRDefault="009B2188" w:rsidP="00294445">
      <w:pPr>
        <w:spacing w:after="0"/>
        <w:rPr>
          <w:rFonts w:ascii="Arial" w:hAnsi="Arial" w:cs="Arial"/>
        </w:rPr>
      </w:pPr>
    </w:p>
    <w:p w14:paraId="5CDBF81F" w14:textId="77777777" w:rsidR="005A52B9" w:rsidRDefault="005A52B9" w:rsidP="00AE516D">
      <w:pPr>
        <w:spacing w:after="0"/>
        <w:jc w:val="both"/>
        <w:rPr>
          <w:rFonts w:ascii="Arial" w:hAnsi="Arial" w:cs="Arial"/>
        </w:rPr>
      </w:pPr>
      <w:r>
        <w:rPr>
          <w:rFonts w:ascii="Arial" w:hAnsi="Arial" w:cs="Arial"/>
        </w:rPr>
        <w:t xml:space="preserve">For Fiscal Year 2019, the Commission hereby issues the following core recommendations to the Executive and Legislative branches of the government of the Commonwealth. These recommendations are followed </w:t>
      </w:r>
      <w:r w:rsidR="00A2496E">
        <w:rPr>
          <w:rFonts w:ascii="Arial" w:hAnsi="Arial" w:cs="Arial"/>
        </w:rPr>
        <w:t xml:space="preserve">at page </w:t>
      </w:r>
      <w:r w:rsidR="008528EE">
        <w:rPr>
          <w:rFonts w:ascii="Arial" w:hAnsi="Arial" w:cs="Arial"/>
        </w:rPr>
        <w:t>13</w:t>
      </w:r>
      <w:r w:rsidR="00A2496E">
        <w:rPr>
          <w:rFonts w:ascii="Arial" w:hAnsi="Arial" w:cs="Arial"/>
        </w:rPr>
        <w:t xml:space="preserve"> with </w:t>
      </w:r>
      <w:r>
        <w:rPr>
          <w:rFonts w:ascii="Arial" w:hAnsi="Arial" w:cs="Arial"/>
        </w:rPr>
        <w:t xml:space="preserve">a detailed report, “The State of LGBTQ Youth in the Commonwealth,” which </w:t>
      </w:r>
      <w:r w:rsidR="000C6E9B">
        <w:rPr>
          <w:rFonts w:ascii="Arial" w:hAnsi="Arial" w:cs="Arial"/>
        </w:rPr>
        <w:t>explains their importance</w:t>
      </w:r>
      <w:r w:rsidR="00AE516D">
        <w:rPr>
          <w:rFonts w:ascii="Arial" w:hAnsi="Arial" w:cs="Arial"/>
        </w:rPr>
        <w:t xml:space="preserve"> for addressing the disparities that LGBTQ youth, particularly those of color, face today</w:t>
      </w:r>
      <w:r w:rsidR="000C6E9B">
        <w:rPr>
          <w:rFonts w:ascii="Arial" w:hAnsi="Arial" w:cs="Arial"/>
        </w:rPr>
        <w:t>.</w:t>
      </w:r>
    </w:p>
    <w:p w14:paraId="7DCAA94E" w14:textId="77777777" w:rsidR="000C6E9B" w:rsidRDefault="000C6E9B" w:rsidP="000C6E9B">
      <w:pPr>
        <w:spacing w:after="0"/>
      </w:pPr>
    </w:p>
    <w:p w14:paraId="62CE12B0" w14:textId="240AE146" w:rsidR="004B3725" w:rsidRDefault="00892706" w:rsidP="000511F2">
      <w:pPr>
        <w:pStyle w:val="Heading2"/>
      </w:pPr>
      <w:bookmarkStart w:id="3" w:name="_Toc512947881"/>
      <w:r>
        <w:t>Reducing</w:t>
      </w:r>
      <w:r w:rsidR="000C6E9B">
        <w:t xml:space="preserve"> Bullying By </w:t>
      </w:r>
      <w:r>
        <w:t>Addressing</w:t>
      </w:r>
      <w:r w:rsidR="005A52B9">
        <w:t xml:space="preserve"> Bias</w:t>
      </w:r>
      <w:bookmarkEnd w:id="3"/>
    </w:p>
    <w:p w14:paraId="16AFE5CC" w14:textId="5070F6BF" w:rsidR="004B3725" w:rsidRDefault="00E7214E" w:rsidP="00294445">
      <w:pPr>
        <w:spacing w:after="0"/>
        <w:rPr>
          <w:rFonts w:ascii="Arial" w:hAnsi="Arial" w:cs="Arial"/>
        </w:rPr>
      </w:pPr>
      <w:r>
        <w:rPr>
          <w:noProof/>
        </w:rPr>
        <w:drawing>
          <wp:anchor distT="0" distB="0" distL="114300" distR="114300" simplePos="0" relativeHeight="251723776" behindDoc="1" locked="0" layoutInCell="0" allowOverlap="1" wp14:anchorId="5DB891FF" wp14:editId="54E08769">
            <wp:simplePos x="0" y="0"/>
            <wp:positionH relativeFrom="page">
              <wp:posOffset>895350</wp:posOffset>
            </wp:positionH>
            <wp:positionV relativeFrom="page">
              <wp:posOffset>3023410</wp:posOffset>
            </wp:positionV>
            <wp:extent cx="3200400" cy="2413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00400" cy="24130"/>
                    </a:xfrm>
                    <a:prstGeom prst="rect">
                      <a:avLst/>
                    </a:prstGeom>
                    <a:noFill/>
                  </pic:spPr>
                </pic:pic>
              </a:graphicData>
            </a:graphic>
          </wp:anchor>
        </w:drawing>
      </w:r>
    </w:p>
    <w:p w14:paraId="750F803F" w14:textId="77777777" w:rsidR="00F37159" w:rsidRPr="00F37159" w:rsidRDefault="00F37159" w:rsidP="002125FF">
      <w:pPr>
        <w:spacing w:after="0"/>
        <w:jc w:val="both"/>
        <w:rPr>
          <w:rFonts w:ascii="Arial" w:hAnsi="Arial" w:cs="Arial"/>
          <w:i/>
        </w:rPr>
      </w:pPr>
      <w:r>
        <w:rPr>
          <w:rFonts w:ascii="Arial" w:hAnsi="Arial" w:cs="Arial"/>
          <w:i/>
        </w:rPr>
        <w:t xml:space="preserve">See </w:t>
      </w:r>
      <w:r w:rsidR="006901B3">
        <w:rPr>
          <w:rFonts w:ascii="Arial" w:hAnsi="Arial" w:cs="Arial"/>
          <w:i/>
        </w:rPr>
        <w:t>background of this topic</w:t>
      </w:r>
      <w:r>
        <w:rPr>
          <w:rFonts w:ascii="Arial" w:hAnsi="Arial" w:cs="Arial"/>
          <w:i/>
        </w:rPr>
        <w:t xml:space="preserve"> on page </w:t>
      </w:r>
      <w:r w:rsidR="008528EE">
        <w:rPr>
          <w:rFonts w:ascii="Arial" w:hAnsi="Arial" w:cs="Arial"/>
          <w:i/>
        </w:rPr>
        <w:t>14</w:t>
      </w:r>
    </w:p>
    <w:p w14:paraId="6EB7F97A" w14:textId="77777777" w:rsidR="00F37159" w:rsidRDefault="00F37159" w:rsidP="002125FF">
      <w:pPr>
        <w:spacing w:after="0"/>
        <w:jc w:val="both"/>
        <w:rPr>
          <w:rFonts w:ascii="Arial" w:hAnsi="Arial" w:cs="Arial"/>
        </w:rPr>
      </w:pPr>
    </w:p>
    <w:p w14:paraId="22EAC29F" w14:textId="77777777" w:rsidR="005A52B9" w:rsidRPr="005A52B9" w:rsidRDefault="006B6BE9" w:rsidP="002125FF">
      <w:pPr>
        <w:spacing w:after="0"/>
        <w:jc w:val="both"/>
        <w:rPr>
          <w:rFonts w:ascii="Arial" w:hAnsi="Arial" w:cs="Arial"/>
        </w:rPr>
      </w:pPr>
      <w:r>
        <w:rPr>
          <w:rFonts w:ascii="Arial" w:hAnsi="Arial" w:cs="Arial"/>
        </w:rPr>
        <w:t xml:space="preserve">1. </w:t>
      </w:r>
      <w:r w:rsidR="00A6673E">
        <w:rPr>
          <w:rFonts w:ascii="Arial" w:hAnsi="Arial" w:cs="Arial"/>
        </w:rPr>
        <w:t>Require</w:t>
      </w:r>
      <w:r>
        <w:rPr>
          <w:rFonts w:ascii="Arial" w:hAnsi="Arial" w:cs="Arial"/>
        </w:rPr>
        <w:t xml:space="preserve"> </w:t>
      </w:r>
      <w:r w:rsidR="005A52B9" w:rsidRPr="005A52B9">
        <w:rPr>
          <w:rFonts w:ascii="Arial" w:hAnsi="Arial" w:cs="Arial"/>
        </w:rPr>
        <w:t xml:space="preserve">basic LGBTQ competency training </w:t>
      </w:r>
      <w:r w:rsidR="00A6673E">
        <w:rPr>
          <w:rFonts w:ascii="Arial" w:hAnsi="Arial" w:cs="Arial"/>
        </w:rPr>
        <w:t>for</w:t>
      </w:r>
      <w:r w:rsidR="005A52B9" w:rsidRPr="005A52B9">
        <w:rPr>
          <w:rFonts w:ascii="Arial" w:hAnsi="Arial" w:cs="Arial"/>
        </w:rPr>
        <w:t xml:space="preserve"> all state employees and contractors.</w:t>
      </w:r>
    </w:p>
    <w:p w14:paraId="233906A2" w14:textId="77777777" w:rsidR="005A52B9" w:rsidRPr="005A52B9" w:rsidRDefault="005A52B9" w:rsidP="002125FF">
      <w:pPr>
        <w:spacing w:after="0"/>
        <w:jc w:val="both"/>
        <w:rPr>
          <w:rFonts w:ascii="Arial" w:hAnsi="Arial" w:cs="Arial"/>
        </w:rPr>
      </w:pPr>
    </w:p>
    <w:p w14:paraId="5DC04985" w14:textId="60337746" w:rsidR="007F2B55" w:rsidRDefault="009619C1" w:rsidP="00F54963">
      <w:pPr>
        <w:spacing w:after="0"/>
        <w:ind w:left="720"/>
        <w:jc w:val="both"/>
        <w:rPr>
          <w:rFonts w:ascii="Arial" w:hAnsi="Arial" w:cs="Arial"/>
        </w:rPr>
      </w:pPr>
      <w:r>
        <w:rPr>
          <w:rFonts w:ascii="Arial" w:hAnsi="Arial" w:cs="Arial"/>
          <w:noProof/>
        </w:rPr>
        <mc:AlternateContent>
          <mc:Choice Requires="wps">
            <w:drawing>
              <wp:anchor distT="0" distB="0" distL="114300" distR="114300" simplePos="0" relativeHeight="251819008" behindDoc="0" locked="0" layoutInCell="1" allowOverlap="1" wp14:anchorId="1B8C65C4" wp14:editId="42EC727C">
                <wp:simplePos x="0" y="0"/>
                <wp:positionH relativeFrom="column">
                  <wp:posOffset>23495</wp:posOffset>
                </wp:positionH>
                <wp:positionV relativeFrom="paragraph">
                  <wp:posOffset>1609725</wp:posOffset>
                </wp:positionV>
                <wp:extent cx="5948680" cy="814705"/>
                <wp:effectExtent l="0" t="0" r="13970" b="23495"/>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8680" cy="814705"/>
                        </a:xfrm>
                        <a:prstGeom prst="rect">
                          <a:avLst/>
                        </a:prstGeom>
                        <a:solidFill>
                          <a:schemeClr val="lt1"/>
                        </a:solidFill>
                        <a:ln w="19050">
                          <a:solidFill>
                            <a:srgbClr val="FFBC37"/>
                          </a:solidFill>
                        </a:ln>
                      </wps:spPr>
                      <wps:txbx>
                        <w:txbxContent>
                          <w:p w14:paraId="4AF97F45" w14:textId="77777777" w:rsidR="00411ECA" w:rsidRPr="00AA19D0" w:rsidRDefault="00411ECA" w:rsidP="008159A7">
                            <w:pPr>
                              <w:spacing w:after="0"/>
                              <w:jc w:val="both"/>
                              <w:rPr>
                                <w:rFonts w:ascii="Arial" w:hAnsi="Arial" w:cs="Arial"/>
                                <w:i/>
                              </w:rPr>
                            </w:pPr>
                            <w:r w:rsidRPr="00AA19D0">
                              <w:rPr>
                                <w:rFonts w:ascii="Arial" w:hAnsi="Arial" w:cs="Arial"/>
                                <w:i/>
                              </w:rPr>
                              <w:t>“Some adults aren’t well educated. I’ve had to explain nonbinary and genderfluid to both of my parents. People should be better informed to know more.”</w:t>
                            </w:r>
                          </w:p>
                          <w:p w14:paraId="60945CE4" w14:textId="77777777" w:rsidR="00411ECA" w:rsidRPr="00495C0F" w:rsidRDefault="00411ECA" w:rsidP="008159A7">
                            <w:pPr>
                              <w:spacing w:after="0"/>
                              <w:jc w:val="both"/>
                              <w:rPr>
                                <w:rFonts w:ascii="Arial" w:hAnsi="Arial" w:cs="Arial"/>
                              </w:rPr>
                            </w:pPr>
                          </w:p>
                          <w:p w14:paraId="36BC73F7" w14:textId="54DF1563" w:rsidR="00411ECA" w:rsidRPr="00495C0F" w:rsidRDefault="00411ECA" w:rsidP="008159A7">
                            <w:pPr>
                              <w:spacing w:after="0"/>
                              <w:jc w:val="both"/>
                              <w:rPr>
                                <w:rFonts w:ascii="Arial" w:hAnsi="Arial" w:cs="Arial"/>
                              </w:rPr>
                            </w:pPr>
                            <w:r w:rsidRPr="00495C0F">
                              <w:rPr>
                                <w:rFonts w:ascii="Arial" w:hAnsi="Arial" w:cs="Arial"/>
                              </w:rPr>
                              <w:t>– Youth</w:t>
                            </w:r>
                            <w:r>
                              <w:rPr>
                                <w:rFonts w:ascii="Arial" w:hAnsi="Arial" w:cs="Arial"/>
                              </w:rPr>
                              <w:t>, Massachusetts</w:t>
                            </w:r>
                          </w:p>
                          <w:p w14:paraId="76B99C19" w14:textId="77777777" w:rsidR="00411ECA" w:rsidRDefault="00411ECA" w:rsidP="008159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left:0;text-align:left;margin-left:1.85pt;margin-top:126.75pt;width:468.4pt;height:64.1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" fillcolor="white [3201]" strokecolor="#ffbc37" strokeweight="1.5pt">
                <v:path arrowok="t"/>
                <v:textbox>
                  <w:txbxContent>
                    <w:p w14:paraId="4AF97F45" w14:textId="77777777" w:rsidR="00411ECA" w:rsidRPr="00AA19D0" w:rsidRDefault="00411ECA" w:rsidP="008159A7">
                      <w:pPr>
                        <w:spacing w:after="0"/>
                        <w:jc w:val="both"/>
                        <w:rPr>
                          <w:rFonts w:ascii="Arial" w:hAnsi="Arial" w:cs="Arial"/>
                          <w:i/>
                        </w:rPr>
                      </w:pPr>
                      <w:r w:rsidRPr="00AA19D0">
                        <w:rPr>
                          <w:rFonts w:ascii="Arial" w:hAnsi="Arial" w:cs="Arial"/>
                          <w:i/>
                        </w:rPr>
                        <w:t xml:space="preserve">“Some adults aren’t well educated. I’ve had to explain </w:t>
                      </w:r>
                      <w:proofErr w:type="spellStart"/>
                      <w:r w:rsidRPr="00AA19D0">
                        <w:rPr>
                          <w:rFonts w:ascii="Arial" w:hAnsi="Arial" w:cs="Arial"/>
                          <w:i/>
                        </w:rPr>
                        <w:t>nonbinary</w:t>
                      </w:r>
                      <w:proofErr w:type="spellEnd"/>
                      <w:r w:rsidRPr="00AA19D0">
                        <w:rPr>
                          <w:rFonts w:ascii="Arial" w:hAnsi="Arial" w:cs="Arial"/>
                          <w:i/>
                        </w:rPr>
                        <w:t xml:space="preserve"> and </w:t>
                      </w:r>
                      <w:proofErr w:type="spellStart"/>
                      <w:r w:rsidRPr="00AA19D0">
                        <w:rPr>
                          <w:rFonts w:ascii="Arial" w:hAnsi="Arial" w:cs="Arial"/>
                          <w:i/>
                        </w:rPr>
                        <w:t>genderfluid</w:t>
                      </w:r>
                      <w:proofErr w:type="spellEnd"/>
                      <w:r w:rsidRPr="00AA19D0">
                        <w:rPr>
                          <w:rFonts w:ascii="Arial" w:hAnsi="Arial" w:cs="Arial"/>
                          <w:i/>
                        </w:rPr>
                        <w:t xml:space="preserve"> to both of my parents. People should be better informed to know more.”</w:t>
                      </w:r>
                    </w:p>
                    <w:p w14:paraId="60945CE4" w14:textId="77777777" w:rsidR="00411ECA" w:rsidRPr="00495C0F" w:rsidRDefault="00411ECA" w:rsidP="008159A7">
                      <w:pPr>
                        <w:spacing w:after="0"/>
                        <w:jc w:val="both"/>
                        <w:rPr>
                          <w:rFonts w:ascii="Arial" w:hAnsi="Arial" w:cs="Arial"/>
                        </w:rPr>
                      </w:pPr>
                    </w:p>
                    <w:p w14:paraId="36BC73F7" w14:textId="54DF1563" w:rsidR="00411ECA" w:rsidRPr="00495C0F" w:rsidRDefault="00411ECA" w:rsidP="008159A7">
                      <w:pPr>
                        <w:spacing w:after="0"/>
                        <w:jc w:val="both"/>
                        <w:rPr>
                          <w:rFonts w:ascii="Arial" w:hAnsi="Arial" w:cs="Arial"/>
                        </w:rPr>
                      </w:pPr>
                      <w:r w:rsidRPr="00495C0F">
                        <w:rPr>
                          <w:rFonts w:ascii="Arial" w:hAnsi="Arial" w:cs="Arial"/>
                        </w:rPr>
                        <w:t>– Youth</w:t>
                      </w:r>
                      <w:r>
                        <w:rPr>
                          <w:rFonts w:ascii="Arial" w:hAnsi="Arial" w:cs="Arial"/>
                        </w:rPr>
                        <w:t>, Massachusetts</w:t>
                      </w:r>
                    </w:p>
                    <w:p w14:paraId="76B99C19" w14:textId="77777777" w:rsidR="00411ECA" w:rsidRDefault="00411ECA" w:rsidP="008159A7"/>
                  </w:txbxContent>
                </v:textbox>
                <w10:wrap type="square"/>
              </v:shape>
            </w:pict>
          </mc:Fallback>
        </mc:AlternateContent>
      </w:r>
      <w:r w:rsidR="005A52B9" w:rsidRPr="005A52B9">
        <w:rPr>
          <w:rFonts w:ascii="Arial" w:hAnsi="Arial" w:cs="Arial"/>
        </w:rPr>
        <w:t>The Commission recommends that all state employees and contractors receive basic training in delivering competent and equitable services to LGBTQ individuals</w:t>
      </w:r>
      <w:r w:rsidR="00892706">
        <w:rPr>
          <w:rFonts w:ascii="Arial" w:hAnsi="Arial" w:cs="Arial"/>
        </w:rPr>
        <w:t>, free of bias and discrimination</w:t>
      </w:r>
      <w:r w:rsidR="005A52B9" w:rsidRPr="005A52B9">
        <w:rPr>
          <w:rFonts w:ascii="Arial" w:hAnsi="Arial" w:cs="Arial"/>
        </w:rPr>
        <w:t xml:space="preserve">. The Commission has </w:t>
      </w:r>
      <w:r w:rsidR="006B6BE9">
        <w:rPr>
          <w:rFonts w:ascii="Arial" w:hAnsi="Arial" w:cs="Arial"/>
        </w:rPr>
        <w:t xml:space="preserve">developed </w:t>
      </w:r>
      <w:r w:rsidR="00623437">
        <w:rPr>
          <w:rFonts w:ascii="Arial" w:hAnsi="Arial" w:cs="Arial"/>
        </w:rPr>
        <w:t>draft</w:t>
      </w:r>
      <w:r w:rsidR="005A52B9" w:rsidRPr="005A52B9">
        <w:rPr>
          <w:rFonts w:ascii="Arial" w:hAnsi="Arial" w:cs="Arial"/>
        </w:rPr>
        <w:t xml:space="preserve"> interagency training content, which </w:t>
      </w:r>
      <w:r w:rsidR="009B796D">
        <w:rPr>
          <w:rFonts w:ascii="Arial" w:hAnsi="Arial" w:cs="Arial"/>
        </w:rPr>
        <w:t>could serve as a</w:t>
      </w:r>
      <w:r w:rsidR="005A52B9" w:rsidRPr="005A52B9">
        <w:rPr>
          <w:rFonts w:ascii="Arial" w:hAnsi="Arial" w:cs="Arial"/>
        </w:rPr>
        <w:t xml:space="preserve"> starting point or example for the </w:t>
      </w:r>
      <w:r w:rsidR="00892706">
        <w:rPr>
          <w:rFonts w:ascii="Arial" w:hAnsi="Arial" w:cs="Arial"/>
        </w:rPr>
        <w:t>Commonwealth</w:t>
      </w:r>
      <w:r w:rsidR="005A52B9" w:rsidRPr="005A52B9">
        <w:rPr>
          <w:rFonts w:ascii="Arial" w:hAnsi="Arial" w:cs="Arial"/>
        </w:rPr>
        <w:t xml:space="preserve"> to offer or require training for all. </w:t>
      </w:r>
      <w:r w:rsidR="00A6673E">
        <w:rPr>
          <w:rFonts w:ascii="Arial" w:hAnsi="Arial" w:cs="Arial"/>
        </w:rPr>
        <w:t>Also of interest in considering how to achieve this goal are the training programs that have come out of several individual agencies, including the Department of Youth Services (DYS) and Department of Mental Health (DMH), as well as the recently-completed training of the state Trial Court system.</w:t>
      </w:r>
      <w:r w:rsidR="00F54963">
        <w:rPr>
          <w:rFonts w:ascii="Arial" w:hAnsi="Arial" w:cs="Arial"/>
        </w:rPr>
        <w:t xml:space="preserve"> </w:t>
      </w:r>
    </w:p>
    <w:p w14:paraId="3173A7ED" w14:textId="77777777" w:rsidR="009B796D" w:rsidRDefault="009B796D" w:rsidP="002125FF">
      <w:pPr>
        <w:spacing w:after="0"/>
        <w:jc w:val="both"/>
        <w:rPr>
          <w:rFonts w:ascii="Arial" w:hAnsi="Arial" w:cs="Arial"/>
        </w:rPr>
      </w:pPr>
    </w:p>
    <w:p w14:paraId="5DFF7864" w14:textId="77777777" w:rsidR="005A52B9" w:rsidRPr="005A52B9" w:rsidRDefault="005A52B9" w:rsidP="002125FF">
      <w:pPr>
        <w:spacing w:after="0"/>
        <w:jc w:val="both"/>
        <w:rPr>
          <w:rFonts w:ascii="Arial" w:hAnsi="Arial" w:cs="Arial"/>
        </w:rPr>
      </w:pPr>
      <w:r w:rsidRPr="005A52B9">
        <w:rPr>
          <w:rFonts w:ascii="Arial" w:hAnsi="Arial" w:cs="Arial"/>
        </w:rPr>
        <w:t>2. Adopt policies that recognize gender identity diversity in state workplaces.</w:t>
      </w:r>
    </w:p>
    <w:p w14:paraId="2CBA6F11" w14:textId="77777777" w:rsidR="005A52B9" w:rsidRPr="005A52B9" w:rsidRDefault="005A52B9" w:rsidP="002125FF">
      <w:pPr>
        <w:spacing w:after="0"/>
        <w:jc w:val="both"/>
        <w:rPr>
          <w:rFonts w:ascii="Arial" w:hAnsi="Arial" w:cs="Arial"/>
        </w:rPr>
      </w:pPr>
    </w:p>
    <w:p w14:paraId="0743B7BF" w14:textId="135C651C" w:rsidR="005A52B9" w:rsidRPr="005A52B9" w:rsidRDefault="005A52B9" w:rsidP="002125FF">
      <w:pPr>
        <w:spacing w:after="0"/>
        <w:ind w:left="720"/>
        <w:jc w:val="both"/>
        <w:rPr>
          <w:rFonts w:ascii="Arial" w:hAnsi="Arial" w:cs="Arial"/>
        </w:rPr>
      </w:pPr>
      <w:r w:rsidRPr="005A52B9">
        <w:rPr>
          <w:rFonts w:ascii="Arial" w:hAnsi="Arial" w:cs="Arial"/>
        </w:rPr>
        <w:t>The Commission last year issued policy guidance entitled “Workplace Practices to Recognize Gender Identity Diversity.”</w:t>
      </w:r>
      <w:r w:rsidR="002125FF">
        <w:rPr>
          <w:rStyle w:val="EndnoteReference"/>
          <w:rFonts w:ascii="Arial" w:hAnsi="Arial" w:cs="Arial"/>
        </w:rPr>
        <w:endnoteReference w:id="2"/>
      </w:r>
      <w:r w:rsidRPr="005A52B9">
        <w:rPr>
          <w:rFonts w:ascii="Arial" w:hAnsi="Arial" w:cs="Arial"/>
        </w:rPr>
        <w:t xml:space="preserve"> </w:t>
      </w:r>
      <w:r w:rsidR="005F4C44">
        <w:rPr>
          <w:rFonts w:ascii="Arial" w:hAnsi="Arial" w:cs="Arial"/>
        </w:rPr>
        <w:t>The Commission</w:t>
      </w:r>
      <w:r w:rsidRPr="005A52B9">
        <w:rPr>
          <w:rFonts w:ascii="Arial" w:hAnsi="Arial" w:cs="Arial"/>
        </w:rPr>
        <w:t xml:space="preserve"> recommend</w:t>
      </w:r>
      <w:r w:rsidR="00892706">
        <w:rPr>
          <w:rFonts w:ascii="Arial" w:hAnsi="Arial" w:cs="Arial"/>
        </w:rPr>
        <w:t>s</w:t>
      </w:r>
      <w:r w:rsidRPr="005A52B9">
        <w:rPr>
          <w:rFonts w:ascii="Arial" w:hAnsi="Arial" w:cs="Arial"/>
        </w:rPr>
        <w:t xml:space="preserve"> that state agencies review this guidance and share it with employees, either encouraging them to </w:t>
      </w:r>
      <w:r w:rsidR="00E06353">
        <w:rPr>
          <w:rFonts w:ascii="Arial" w:hAnsi="Arial" w:cs="Arial"/>
        </w:rPr>
        <w:t xml:space="preserve">voluntarily </w:t>
      </w:r>
      <w:r w:rsidRPr="005A52B9">
        <w:rPr>
          <w:rFonts w:ascii="Arial" w:hAnsi="Arial" w:cs="Arial"/>
        </w:rPr>
        <w:t xml:space="preserve">share their </w:t>
      </w:r>
      <w:r w:rsidR="002125FF">
        <w:rPr>
          <w:rFonts w:ascii="Arial" w:hAnsi="Arial" w:cs="Arial"/>
        </w:rPr>
        <w:t xml:space="preserve">gender </w:t>
      </w:r>
      <w:r w:rsidR="00E06353">
        <w:rPr>
          <w:rFonts w:ascii="Arial" w:hAnsi="Arial" w:cs="Arial"/>
        </w:rPr>
        <w:t>pronouns</w:t>
      </w:r>
      <w:r w:rsidRPr="005A52B9">
        <w:rPr>
          <w:rFonts w:ascii="Arial" w:hAnsi="Arial" w:cs="Arial"/>
        </w:rPr>
        <w:t xml:space="preserve"> or</w:t>
      </w:r>
      <w:r w:rsidR="00E06353">
        <w:rPr>
          <w:rFonts w:ascii="Arial" w:hAnsi="Arial" w:cs="Arial"/>
        </w:rPr>
        <w:t>,</w:t>
      </w:r>
      <w:r w:rsidRPr="005A52B9">
        <w:rPr>
          <w:rFonts w:ascii="Arial" w:hAnsi="Arial" w:cs="Arial"/>
        </w:rPr>
        <w:t xml:space="preserve"> </w:t>
      </w:r>
      <w:r w:rsidR="002125FF">
        <w:rPr>
          <w:rFonts w:ascii="Arial" w:hAnsi="Arial" w:cs="Arial"/>
        </w:rPr>
        <w:t>at a minimum</w:t>
      </w:r>
      <w:r w:rsidR="00E06353">
        <w:rPr>
          <w:rFonts w:ascii="Arial" w:hAnsi="Arial" w:cs="Arial"/>
        </w:rPr>
        <w:t>,</w:t>
      </w:r>
      <w:r w:rsidR="002125FF">
        <w:rPr>
          <w:rFonts w:ascii="Arial" w:hAnsi="Arial" w:cs="Arial"/>
        </w:rPr>
        <w:t xml:space="preserve"> </w:t>
      </w:r>
      <w:r w:rsidRPr="005A52B9">
        <w:rPr>
          <w:rFonts w:ascii="Arial" w:hAnsi="Arial" w:cs="Arial"/>
        </w:rPr>
        <w:t>making all employees aware of why some of their colleagues and clients may share their</w:t>
      </w:r>
      <w:r w:rsidR="002125FF">
        <w:rPr>
          <w:rFonts w:ascii="Arial" w:hAnsi="Arial" w:cs="Arial"/>
        </w:rPr>
        <w:t xml:space="preserve"> gender</w:t>
      </w:r>
      <w:r w:rsidRPr="005A52B9">
        <w:rPr>
          <w:rFonts w:ascii="Arial" w:hAnsi="Arial" w:cs="Arial"/>
        </w:rPr>
        <w:t xml:space="preserve"> pronouns. </w:t>
      </w:r>
    </w:p>
    <w:p w14:paraId="4BECC253" w14:textId="77777777" w:rsidR="005A52B9" w:rsidRPr="005A52B9" w:rsidRDefault="005A52B9" w:rsidP="002125FF">
      <w:pPr>
        <w:spacing w:after="0"/>
        <w:jc w:val="both"/>
        <w:rPr>
          <w:rFonts w:ascii="Arial" w:hAnsi="Arial" w:cs="Arial"/>
        </w:rPr>
      </w:pPr>
    </w:p>
    <w:p w14:paraId="54E7BCDF" w14:textId="77777777" w:rsidR="005A52B9" w:rsidRPr="005A52B9" w:rsidRDefault="005A52B9" w:rsidP="002125FF">
      <w:pPr>
        <w:spacing w:after="0"/>
        <w:jc w:val="both"/>
        <w:rPr>
          <w:rFonts w:ascii="Arial" w:hAnsi="Arial" w:cs="Arial"/>
        </w:rPr>
      </w:pPr>
      <w:r w:rsidRPr="005A52B9">
        <w:rPr>
          <w:rFonts w:ascii="Arial" w:hAnsi="Arial" w:cs="Arial"/>
        </w:rPr>
        <w:t xml:space="preserve">3. Eliminate </w:t>
      </w:r>
      <w:r w:rsidR="006F66DB">
        <w:rPr>
          <w:rFonts w:ascii="Arial" w:hAnsi="Arial" w:cs="Arial"/>
        </w:rPr>
        <w:t>discrimination on the basis of gender identity</w:t>
      </w:r>
      <w:r w:rsidRPr="005A52B9">
        <w:rPr>
          <w:rFonts w:ascii="Arial" w:hAnsi="Arial" w:cs="Arial"/>
        </w:rPr>
        <w:t xml:space="preserve"> </w:t>
      </w:r>
      <w:r w:rsidR="000170F7">
        <w:rPr>
          <w:rFonts w:ascii="Arial" w:hAnsi="Arial" w:cs="Arial"/>
        </w:rPr>
        <w:t xml:space="preserve">and sexual orientation </w:t>
      </w:r>
      <w:r w:rsidRPr="005A52B9">
        <w:rPr>
          <w:rFonts w:ascii="Arial" w:hAnsi="Arial" w:cs="Arial"/>
        </w:rPr>
        <w:t>in all settings.</w:t>
      </w:r>
    </w:p>
    <w:p w14:paraId="5945A53B" w14:textId="77777777" w:rsidR="005A52B9" w:rsidRPr="005A52B9" w:rsidRDefault="005A52B9" w:rsidP="002125FF">
      <w:pPr>
        <w:spacing w:after="0"/>
        <w:jc w:val="both"/>
        <w:rPr>
          <w:rFonts w:ascii="Arial" w:hAnsi="Arial" w:cs="Arial"/>
        </w:rPr>
      </w:pPr>
    </w:p>
    <w:p w14:paraId="5FE0A9B0" w14:textId="594E94DA" w:rsidR="005A52B9" w:rsidRPr="005A52B9" w:rsidRDefault="000170F7" w:rsidP="00A2496E">
      <w:pPr>
        <w:spacing w:after="0"/>
        <w:ind w:left="720"/>
        <w:jc w:val="both"/>
        <w:rPr>
          <w:rFonts w:ascii="Arial" w:hAnsi="Arial" w:cs="Arial"/>
        </w:rPr>
      </w:pPr>
      <w:r>
        <w:rPr>
          <w:rFonts w:ascii="Arial" w:hAnsi="Arial" w:cs="Arial"/>
        </w:rPr>
        <w:t>LGBTQ youth, especially t</w:t>
      </w:r>
      <w:r w:rsidR="005A52B9" w:rsidRPr="005A52B9">
        <w:rPr>
          <w:rFonts w:ascii="Arial" w:hAnsi="Arial" w:cs="Arial"/>
        </w:rPr>
        <w:t xml:space="preserve">ransgender and gender-nonconforming </w:t>
      </w:r>
      <w:r>
        <w:rPr>
          <w:rFonts w:ascii="Arial" w:hAnsi="Arial" w:cs="Arial"/>
        </w:rPr>
        <w:t>youth,</w:t>
      </w:r>
      <w:r w:rsidR="005A52B9" w:rsidRPr="005A52B9">
        <w:rPr>
          <w:rFonts w:ascii="Arial" w:hAnsi="Arial" w:cs="Arial"/>
        </w:rPr>
        <w:t xml:space="preserve"> face widespread discrimination that can only be </w:t>
      </w:r>
      <w:r w:rsidR="00F3567A">
        <w:rPr>
          <w:rFonts w:ascii="Arial" w:hAnsi="Arial" w:cs="Arial"/>
        </w:rPr>
        <w:t xml:space="preserve">stemmed </w:t>
      </w:r>
      <w:r w:rsidR="006F66DB">
        <w:rPr>
          <w:rFonts w:ascii="Arial" w:hAnsi="Arial" w:cs="Arial"/>
        </w:rPr>
        <w:t>by</w:t>
      </w:r>
      <w:r w:rsidR="005A52B9" w:rsidRPr="005A52B9">
        <w:rPr>
          <w:rFonts w:ascii="Arial" w:hAnsi="Arial" w:cs="Arial"/>
        </w:rPr>
        <w:t xml:space="preserve"> state protections, including in public accommodations, schools, workplaces, and state services. The </w:t>
      </w:r>
      <w:r w:rsidR="006F66DB">
        <w:rPr>
          <w:rFonts w:ascii="Arial" w:hAnsi="Arial" w:cs="Arial"/>
        </w:rPr>
        <w:t>Commonwealth</w:t>
      </w:r>
      <w:r w:rsidR="005A52B9" w:rsidRPr="005A52B9">
        <w:rPr>
          <w:rFonts w:ascii="Arial" w:hAnsi="Arial" w:cs="Arial"/>
        </w:rPr>
        <w:t xml:space="preserve"> </w:t>
      </w:r>
      <w:r w:rsidR="005A52B9" w:rsidRPr="005A52B9">
        <w:rPr>
          <w:rFonts w:ascii="Arial" w:hAnsi="Arial" w:cs="Arial"/>
        </w:rPr>
        <w:lastRenderedPageBreak/>
        <w:t xml:space="preserve">should do everything in its power to prohibit discrimination </w:t>
      </w:r>
      <w:r w:rsidR="00F3567A" w:rsidRPr="005A52B9">
        <w:rPr>
          <w:rFonts w:ascii="Arial" w:hAnsi="Arial" w:cs="Arial"/>
        </w:rPr>
        <w:t>based on</w:t>
      </w:r>
      <w:r w:rsidR="005A52B9" w:rsidRPr="005A52B9">
        <w:rPr>
          <w:rFonts w:ascii="Arial" w:hAnsi="Arial" w:cs="Arial"/>
        </w:rPr>
        <w:t xml:space="preserve"> gender identity </w:t>
      </w:r>
      <w:r>
        <w:rPr>
          <w:rFonts w:ascii="Arial" w:hAnsi="Arial" w:cs="Arial"/>
        </w:rPr>
        <w:t xml:space="preserve">and sexual orientation </w:t>
      </w:r>
      <w:r w:rsidR="005A52B9" w:rsidRPr="005A52B9">
        <w:rPr>
          <w:rFonts w:ascii="Arial" w:hAnsi="Arial" w:cs="Arial"/>
        </w:rPr>
        <w:t xml:space="preserve">in all settings, </w:t>
      </w:r>
      <w:r w:rsidR="00F3567A">
        <w:rPr>
          <w:rFonts w:ascii="Arial" w:hAnsi="Arial" w:cs="Arial"/>
        </w:rPr>
        <w:t>as well as</w:t>
      </w:r>
      <w:r w:rsidR="005A52B9" w:rsidRPr="005A52B9">
        <w:rPr>
          <w:rFonts w:ascii="Arial" w:hAnsi="Arial" w:cs="Arial"/>
        </w:rPr>
        <w:t xml:space="preserve"> </w:t>
      </w:r>
      <w:r w:rsidR="00FD7486">
        <w:rPr>
          <w:rFonts w:ascii="Arial" w:hAnsi="Arial" w:cs="Arial"/>
        </w:rPr>
        <w:t xml:space="preserve">to </w:t>
      </w:r>
      <w:r w:rsidR="005A52B9" w:rsidRPr="005A52B9">
        <w:rPr>
          <w:rFonts w:ascii="Arial" w:hAnsi="Arial" w:cs="Arial"/>
        </w:rPr>
        <w:t xml:space="preserve">ensure that the lived experience of </w:t>
      </w:r>
      <w:r>
        <w:rPr>
          <w:rFonts w:ascii="Arial" w:hAnsi="Arial" w:cs="Arial"/>
        </w:rPr>
        <w:t xml:space="preserve">LGBTQ youth </w:t>
      </w:r>
      <w:r w:rsidR="001B51B7">
        <w:rPr>
          <w:rFonts w:ascii="Arial" w:hAnsi="Arial" w:cs="Arial"/>
        </w:rPr>
        <w:t xml:space="preserve">reflects </w:t>
      </w:r>
      <w:r w:rsidR="005A52B9" w:rsidRPr="005A52B9">
        <w:rPr>
          <w:rFonts w:ascii="Arial" w:hAnsi="Arial" w:cs="Arial"/>
        </w:rPr>
        <w:t xml:space="preserve">true </w:t>
      </w:r>
      <w:r w:rsidR="001B51B7">
        <w:rPr>
          <w:rFonts w:ascii="Arial" w:hAnsi="Arial" w:cs="Arial"/>
        </w:rPr>
        <w:t xml:space="preserve">inclusion </w:t>
      </w:r>
      <w:r w:rsidR="005A52B9" w:rsidRPr="005A52B9">
        <w:rPr>
          <w:rFonts w:ascii="Arial" w:hAnsi="Arial" w:cs="Arial"/>
        </w:rPr>
        <w:t xml:space="preserve">and </w:t>
      </w:r>
      <w:r w:rsidR="006F66DB">
        <w:rPr>
          <w:rFonts w:ascii="Arial" w:hAnsi="Arial" w:cs="Arial"/>
        </w:rPr>
        <w:t xml:space="preserve">full </w:t>
      </w:r>
      <w:r w:rsidR="005A52B9" w:rsidRPr="005A52B9">
        <w:rPr>
          <w:rFonts w:ascii="Arial" w:hAnsi="Arial" w:cs="Arial"/>
        </w:rPr>
        <w:t>participation as members of society.</w:t>
      </w:r>
      <w:r w:rsidR="002D759D">
        <w:rPr>
          <w:rFonts w:ascii="Arial" w:hAnsi="Arial" w:cs="Arial"/>
        </w:rPr>
        <w:t xml:space="preserve"> This might include programs to specifically aid transgender and gender-nonconforming youth in finding educational and employment opportunities to counter the exclusion they often face in these settings.</w:t>
      </w:r>
    </w:p>
    <w:p w14:paraId="48DABC4C" w14:textId="77777777" w:rsidR="005A52B9" w:rsidRPr="005A52B9" w:rsidRDefault="005A52B9" w:rsidP="002125FF">
      <w:pPr>
        <w:spacing w:after="0"/>
        <w:jc w:val="both"/>
        <w:rPr>
          <w:rFonts w:ascii="Arial" w:hAnsi="Arial" w:cs="Arial"/>
        </w:rPr>
      </w:pPr>
    </w:p>
    <w:p w14:paraId="0A769704" w14:textId="77777777" w:rsidR="005A52B9" w:rsidRPr="005A52B9" w:rsidRDefault="005A52B9" w:rsidP="002125FF">
      <w:pPr>
        <w:spacing w:after="0"/>
        <w:jc w:val="both"/>
        <w:rPr>
          <w:rFonts w:ascii="Arial" w:hAnsi="Arial" w:cs="Arial"/>
        </w:rPr>
      </w:pPr>
      <w:r w:rsidRPr="005A52B9">
        <w:rPr>
          <w:rFonts w:ascii="Arial" w:hAnsi="Arial" w:cs="Arial"/>
        </w:rPr>
        <w:t>4. Establish an interagency collaboration to address famil</w:t>
      </w:r>
      <w:r w:rsidR="00A6673E">
        <w:rPr>
          <w:rFonts w:ascii="Arial" w:hAnsi="Arial" w:cs="Arial"/>
        </w:rPr>
        <w:t>ial</w:t>
      </w:r>
      <w:r w:rsidRPr="005A52B9">
        <w:rPr>
          <w:rFonts w:ascii="Arial" w:hAnsi="Arial" w:cs="Arial"/>
        </w:rPr>
        <w:t xml:space="preserve"> rejection of LGBTQ youth.</w:t>
      </w:r>
    </w:p>
    <w:p w14:paraId="028C1B0C" w14:textId="77777777" w:rsidR="005A52B9" w:rsidRPr="005A52B9" w:rsidRDefault="005A52B9" w:rsidP="002125FF">
      <w:pPr>
        <w:spacing w:after="0"/>
        <w:jc w:val="both"/>
        <w:rPr>
          <w:rFonts w:ascii="Arial" w:hAnsi="Arial" w:cs="Arial"/>
        </w:rPr>
      </w:pPr>
    </w:p>
    <w:p w14:paraId="53F63D60" w14:textId="7C2E3FC0" w:rsidR="005A52B9" w:rsidRPr="005A52B9" w:rsidRDefault="005A52B9" w:rsidP="008159A7">
      <w:pPr>
        <w:spacing w:after="0"/>
        <w:ind w:left="720"/>
        <w:jc w:val="both"/>
        <w:rPr>
          <w:rFonts w:ascii="Arial" w:hAnsi="Arial" w:cs="Arial"/>
        </w:rPr>
      </w:pPr>
      <w:r w:rsidRPr="005A52B9">
        <w:rPr>
          <w:rFonts w:ascii="Arial" w:hAnsi="Arial" w:cs="Arial"/>
        </w:rPr>
        <w:t xml:space="preserve">As discussed in the research that follows these recommendations, family rejection is </w:t>
      </w:r>
      <w:r w:rsidR="006F66DB">
        <w:rPr>
          <w:rFonts w:ascii="Arial" w:hAnsi="Arial" w:cs="Arial"/>
        </w:rPr>
        <w:t>a root cause</w:t>
      </w:r>
      <w:r w:rsidRPr="005A52B9">
        <w:rPr>
          <w:rFonts w:ascii="Arial" w:hAnsi="Arial" w:cs="Arial"/>
        </w:rPr>
        <w:t xml:space="preserve"> of many</w:t>
      </w:r>
      <w:r w:rsidR="006F66DB">
        <w:rPr>
          <w:rFonts w:ascii="Arial" w:hAnsi="Arial" w:cs="Arial"/>
        </w:rPr>
        <w:t xml:space="preserve"> other</w:t>
      </w:r>
      <w:r w:rsidRPr="005A52B9">
        <w:rPr>
          <w:rFonts w:ascii="Arial" w:hAnsi="Arial" w:cs="Arial"/>
        </w:rPr>
        <w:t xml:space="preserve"> disparities faced by LGBTQ youth, including </w:t>
      </w:r>
      <w:r w:rsidR="006F66DB">
        <w:rPr>
          <w:rFonts w:ascii="Arial" w:hAnsi="Arial" w:cs="Arial"/>
        </w:rPr>
        <w:t>with respect to</w:t>
      </w:r>
      <w:r w:rsidRPr="005A52B9">
        <w:rPr>
          <w:rFonts w:ascii="Arial" w:hAnsi="Arial" w:cs="Arial"/>
        </w:rPr>
        <w:t xml:space="preserve"> homelessness, criminal justice, health, and more. </w:t>
      </w:r>
      <w:r w:rsidR="006F66DB">
        <w:rPr>
          <w:rFonts w:ascii="Arial" w:hAnsi="Arial" w:cs="Arial"/>
        </w:rPr>
        <w:t xml:space="preserve">In </w:t>
      </w:r>
      <w:r w:rsidR="005F4C44">
        <w:rPr>
          <w:rFonts w:ascii="Arial" w:hAnsi="Arial" w:cs="Arial"/>
        </w:rPr>
        <w:t>Fiscal Year</w:t>
      </w:r>
      <w:r w:rsidR="006F66DB">
        <w:rPr>
          <w:rFonts w:ascii="Arial" w:hAnsi="Arial" w:cs="Arial"/>
        </w:rPr>
        <w:t xml:space="preserve"> 2019, t</w:t>
      </w:r>
      <w:r w:rsidRPr="005A52B9">
        <w:rPr>
          <w:rFonts w:ascii="Arial" w:hAnsi="Arial" w:cs="Arial"/>
        </w:rPr>
        <w:t xml:space="preserve">he Commission will </w:t>
      </w:r>
      <w:r w:rsidR="001B51B7">
        <w:rPr>
          <w:rFonts w:ascii="Arial" w:hAnsi="Arial" w:cs="Arial"/>
        </w:rPr>
        <w:t>invite</w:t>
      </w:r>
      <w:r w:rsidRPr="005A52B9">
        <w:rPr>
          <w:rFonts w:ascii="Arial" w:hAnsi="Arial" w:cs="Arial"/>
        </w:rPr>
        <w:t xml:space="preserve"> representatives from various government agencies </w:t>
      </w:r>
      <w:r w:rsidR="001B51B7">
        <w:rPr>
          <w:rFonts w:ascii="Arial" w:hAnsi="Arial" w:cs="Arial"/>
        </w:rPr>
        <w:t xml:space="preserve">and nonprofits to convene and discuss how to better understand and address the issue of familial rejection </w:t>
      </w:r>
      <w:r w:rsidR="005F4C44">
        <w:rPr>
          <w:rFonts w:ascii="Arial" w:hAnsi="Arial" w:cs="Arial"/>
        </w:rPr>
        <w:t>of LGBTQ youth in</w:t>
      </w:r>
      <w:r w:rsidR="001B51B7">
        <w:rPr>
          <w:rFonts w:ascii="Arial" w:hAnsi="Arial" w:cs="Arial"/>
        </w:rPr>
        <w:t xml:space="preserve"> Massachusetts. The Commission hopes that this effort will result in </w:t>
      </w:r>
      <w:r w:rsidR="00D46E35">
        <w:rPr>
          <w:rFonts w:ascii="Arial" w:hAnsi="Arial" w:cs="Arial"/>
        </w:rPr>
        <w:t>various strategies to address this central cause of LGBTQ disparities through the action of both public and private entities.</w:t>
      </w:r>
      <w:r w:rsidR="001B51B7">
        <w:rPr>
          <w:rFonts w:ascii="Arial" w:hAnsi="Arial" w:cs="Arial"/>
        </w:rPr>
        <w:t xml:space="preserve"> The Commission</w:t>
      </w:r>
      <w:r w:rsidRPr="005A52B9">
        <w:rPr>
          <w:rFonts w:ascii="Arial" w:hAnsi="Arial" w:cs="Arial"/>
        </w:rPr>
        <w:t xml:space="preserve"> </w:t>
      </w:r>
      <w:r w:rsidR="006F66DB">
        <w:rPr>
          <w:rFonts w:ascii="Arial" w:hAnsi="Arial" w:cs="Arial"/>
        </w:rPr>
        <w:t>will encourage</w:t>
      </w:r>
      <w:r w:rsidRPr="005A52B9">
        <w:rPr>
          <w:rFonts w:ascii="Arial" w:hAnsi="Arial" w:cs="Arial"/>
        </w:rPr>
        <w:t xml:space="preserve"> agencies to participate in this process </w:t>
      </w:r>
      <w:r w:rsidR="006F66DB">
        <w:rPr>
          <w:rFonts w:ascii="Arial" w:hAnsi="Arial" w:cs="Arial"/>
        </w:rPr>
        <w:t>and to</w:t>
      </w:r>
      <w:r w:rsidRPr="005A52B9">
        <w:rPr>
          <w:rFonts w:ascii="Arial" w:hAnsi="Arial" w:cs="Arial"/>
        </w:rPr>
        <w:t xml:space="preserve"> work to address this issue within their own agency.</w:t>
      </w:r>
    </w:p>
    <w:p w14:paraId="289D778D" w14:textId="77777777" w:rsidR="004B3725" w:rsidRDefault="004B3725" w:rsidP="002125FF">
      <w:pPr>
        <w:spacing w:after="0"/>
        <w:jc w:val="both"/>
        <w:rPr>
          <w:rFonts w:ascii="Arial" w:hAnsi="Arial" w:cs="Arial"/>
        </w:rPr>
      </w:pPr>
    </w:p>
    <w:p w14:paraId="3C002760" w14:textId="77777777" w:rsidR="004B3725" w:rsidRDefault="000C6E9B" w:rsidP="002125FF">
      <w:pPr>
        <w:pStyle w:val="Heading2"/>
        <w:jc w:val="both"/>
      </w:pPr>
      <w:bookmarkStart w:id="4" w:name="_Toc512947882"/>
      <w:r>
        <w:t xml:space="preserve">Preventing &amp; Treating </w:t>
      </w:r>
      <w:r w:rsidR="004B3725">
        <w:t>Homelessness</w:t>
      </w:r>
      <w:bookmarkEnd w:id="4"/>
    </w:p>
    <w:p w14:paraId="6CF36ED4" w14:textId="77777777" w:rsidR="004B3725" w:rsidRDefault="00A2496E" w:rsidP="002125FF">
      <w:pPr>
        <w:spacing w:after="0"/>
        <w:jc w:val="both"/>
        <w:rPr>
          <w:rFonts w:ascii="Arial" w:hAnsi="Arial" w:cs="Arial"/>
        </w:rPr>
      </w:pPr>
      <w:r>
        <w:rPr>
          <w:noProof/>
        </w:rPr>
        <w:drawing>
          <wp:anchor distT="0" distB="0" distL="114300" distR="114300" simplePos="0" relativeHeight="251810816" behindDoc="0" locked="0" layoutInCell="0" allowOverlap="1" wp14:anchorId="7428DEF3" wp14:editId="56FD6ECF">
            <wp:simplePos x="0" y="0"/>
            <wp:positionH relativeFrom="page">
              <wp:posOffset>912495</wp:posOffset>
            </wp:positionH>
            <wp:positionV relativeFrom="page">
              <wp:posOffset>4772178</wp:posOffset>
            </wp:positionV>
            <wp:extent cx="3200400" cy="2413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00400" cy="24130"/>
                    </a:xfrm>
                    <a:prstGeom prst="rect">
                      <a:avLst/>
                    </a:prstGeom>
                    <a:noFill/>
                  </pic:spPr>
                </pic:pic>
              </a:graphicData>
            </a:graphic>
          </wp:anchor>
        </w:drawing>
      </w:r>
    </w:p>
    <w:p w14:paraId="51EFBCDE" w14:textId="77777777" w:rsidR="006901B3" w:rsidRPr="006901B3" w:rsidRDefault="006901B3" w:rsidP="002125FF">
      <w:pPr>
        <w:spacing w:after="0"/>
        <w:jc w:val="both"/>
        <w:rPr>
          <w:rFonts w:ascii="Arial" w:hAnsi="Arial" w:cs="Arial"/>
          <w:i/>
        </w:rPr>
      </w:pPr>
      <w:r>
        <w:rPr>
          <w:rFonts w:ascii="Arial" w:hAnsi="Arial" w:cs="Arial"/>
          <w:i/>
        </w:rPr>
        <w:t xml:space="preserve">See background of this topic on page </w:t>
      </w:r>
      <w:r w:rsidR="008528EE">
        <w:rPr>
          <w:rFonts w:ascii="Arial" w:hAnsi="Arial" w:cs="Arial"/>
          <w:i/>
        </w:rPr>
        <w:t>16</w:t>
      </w:r>
    </w:p>
    <w:p w14:paraId="752D623E" w14:textId="77777777" w:rsidR="006901B3" w:rsidRDefault="006901B3" w:rsidP="002125FF">
      <w:pPr>
        <w:spacing w:after="0"/>
        <w:jc w:val="both"/>
        <w:rPr>
          <w:rFonts w:ascii="Arial" w:hAnsi="Arial" w:cs="Arial"/>
        </w:rPr>
      </w:pPr>
    </w:p>
    <w:p w14:paraId="691EDD4E" w14:textId="77777777" w:rsidR="000C6E9B" w:rsidRPr="000C6E9B" w:rsidRDefault="000C6E9B" w:rsidP="002125FF">
      <w:pPr>
        <w:spacing w:after="0"/>
        <w:jc w:val="both"/>
        <w:rPr>
          <w:rFonts w:ascii="Arial" w:hAnsi="Arial" w:cs="Arial"/>
        </w:rPr>
      </w:pPr>
      <w:r w:rsidRPr="000C6E9B">
        <w:rPr>
          <w:rFonts w:ascii="Arial" w:hAnsi="Arial" w:cs="Arial"/>
        </w:rPr>
        <w:t>1. Restore to previous levels the</w:t>
      </w:r>
      <w:r w:rsidR="006F66DB">
        <w:rPr>
          <w:rFonts w:ascii="Arial" w:hAnsi="Arial" w:cs="Arial"/>
        </w:rPr>
        <w:t xml:space="preserve"> budget</w:t>
      </w:r>
      <w:r w:rsidRPr="000C6E9B">
        <w:rPr>
          <w:rFonts w:ascii="Arial" w:hAnsi="Arial" w:cs="Arial"/>
        </w:rPr>
        <w:t xml:space="preserve"> line items for prevention of youth homelessness and services for youth experiencing homelessness. </w:t>
      </w:r>
    </w:p>
    <w:p w14:paraId="601CF20B" w14:textId="77777777" w:rsidR="000C6E9B" w:rsidRPr="000C6E9B" w:rsidRDefault="000C6E9B" w:rsidP="002125FF">
      <w:pPr>
        <w:spacing w:after="0"/>
        <w:jc w:val="both"/>
        <w:rPr>
          <w:rFonts w:ascii="Arial" w:hAnsi="Arial" w:cs="Arial"/>
        </w:rPr>
      </w:pPr>
    </w:p>
    <w:p w14:paraId="517E81BD" w14:textId="546293E2" w:rsidR="00F54963" w:rsidRDefault="000C6E9B" w:rsidP="00F54963">
      <w:pPr>
        <w:spacing w:after="0"/>
        <w:ind w:left="720"/>
        <w:jc w:val="both"/>
        <w:rPr>
          <w:rFonts w:ascii="Arial" w:hAnsi="Arial" w:cs="Arial"/>
        </w:rPr>
      </w:pPr>
      <w:r w:rsidRPr="000C6E9B">
        <w:rPr>
          <w:rFonts w:ascii="Arial" w:hAnsi="Arial" w:cs="Arial"/>
        </w:rPr>
        <w:t xml:space="preserve">Funding is </w:t>
      </w:r>
      <w:r w:rsidR="006F66DB">
        <w:rPr>
          <w:rFonts w:ascii="Arial" w:hAnsi="Arial" w:cs="Arial"/>
        </w:rPr>
        <w:t>imperative</w:t>
      </w:r>
      <w:r w:rsidRPr="000C6E9B">
        <w:rPr>
          <w:rFonts w:ascii="Arial" w:hAnsi="Arial" w:cs="Arial"/>
        </w:rPr>
        <w:t xml:space="preserve"> to address homelessness among youth and young adults, specifically the line items for unaccompanied homeless youth services (4000-0007), the Residential Assistance for Families in Transition homelessness prevention program (7004-9316), and funding for LGBTQ young adults in the state’s Housing First Initiative (7004-0104). </w:t>
      </w:r>
      <w:r w:rsidR="006F66DB">
        <w:rPr>
          <w:rFonts w:ascii="Arial" w:hAnsi="Arial" w:cs="Arial"/>
        </w:rPr>
        <w:t xml:space="preserve">The Commission also recommends funding at or above previous levels </w:t>
      </w:r>
      <w:r w:rsidRPr="000C6E9B">
        <w:rPr>
          <w:rFonts w:ascii="Arial" w:hAnsi="Arial" w:cs="Arial"/>
        </w:rPr>
        <w:t xml:space="preserve">the </w:t>
      </w:r>
      <w:r w:rsidR="006F66DB">
        <w:rPr>
          <w:rFonts w:ascii="Arial" w:hAnsi="Arial" w:cs="Arial"/>
        </w:rPr>
        <w:t xml:space="preserve">budget </w:t>
      </w:r>
      <w:r w:rsidRPr="000C6E9B">
        <w:rPr>
          <w:rFonts w:ascii="Arial" w:hAnsi="Arial" w:cs="Arial"/>
        </w:rPr>
        <w:t xml:space="preserve">line item for Youth At Risk Grants (YARG), which </w:t>
      </w:r>
      <w:r w:rsidR="005F4C44">
        <w:rPr>
          <w:rFonts w:ascii="Arial" w:hAnsi="Arial" w:cs="Arial"/>
        </w:rPr>
        <w:t>support</w:t>
      </w:r>
      <w:r w:rsidRPr="000C6E9B">
        <w:rPr>
          <w:rFonts w:ascii="Arial" w:hAnsi="Arial" w:cs="Arial"/>
        </w:rPr>
        <w:t xml:space="preserve"> safety net programs that can both prevent and aid in responding to homelessness</w:t>
      </w:r>
      <w:r w:rsidR="006F66DB">
        <w:rPr>
          <w:rFonts w:ascii="Arial" w:hAnsi="Arial" w:cs="Arial"/>
        </w:rPr>
        <w:t>.</w:t>
      </w:r>
    </w:p>
    <w:p w14:paraId="7D43FF28" w14:textId="2BC6C0A5" w:rsidR="00892706" w:rsidRDefault="00ED7524" w:rsidP="00A2496E">
      <w:pPr>
        <w:spacing w:after="0"/>
        <w:jc w:val="both"/>
        <w:rPr>
          <w:rFonts w:ascii="Arial" w:hAnsi="Arial" w:cs="Arial"/>
        </w:rPr>
      </w:pPr>
      <w:r>
        <w:rPr>
          <w:rFonts w:ascii="Arial" w:hAnsi="Arial" w:cs="Arial"/>
          <w:noProof/>
        </w:rPr>
        <mc:AlternateContent>
          <mc:Choice Requires="wps">
            <w:drawing>
              <wp:anchor distT="0" distB="0" distL="114300" distR="114300" simplePos="0" relativeHeight="251679744" behindDoc="0" locked="0" layoutInCell="1" allowOverlap="1" wp14:anchorId="533E36D7" wp14:editId="02D93969">
                <wp:simplePos x="0" y="0"/>
                <wp:positionH relativeFrom="column">
                  <wp:posOffset>0</wp:posOffset>
                </wp:positionH>
                <wp:positionV relativeFrom="paragraph">
                  <wp:posOffset>189865</wp:posOffset>
                </wp:positionV>
                <wp:extent cx="5960110" cy="1412875"/>
                <wp:effectExtent l="0" t="0" r="21590" b="158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110" cy="1412875"/>
                        </a:xfrm>
                        <a:prstGeom prst="rect">
                          <a:avLst/>
                        </a:prstGeom>
                        <a:solidFill>
                          <a:srgbClr val="FFFFFF"/>
                        </a:solidFill>
                        <a:ln w="19050">
                          <a:solidFill>
                            <a:srgbClr val="FFBC37"/>
                          </a:solidFill>
                          <a:miter lim="800000"/>
                          <a:headEnd/>
                          <a:tailEnd/>
                        </a:ln>
                      </wps:spPr>
                      <wps:txbx>
                        <w:txbxContent>
                          <w:p w14:paraId="11EFCFF1" w14:textId="77777777" w:rsidR="00411ECA" w:rsidRPr="00467ECB" w:rsidRDefault="00411ECA" w:rsidP="00C84E4E">
                            <w:pPr>
                              <w:pStyle w:val="CommentText"/>
                              <w:spacing w:line="276" w:lineRule="auto"/>
                              <w:jc w:val="both"/>
                              <w:rPr>
                                <w:rFonts w:ascii="Arial" w:hAnsi="Arial" w:cs="Arial"/>
                                <w:i/>
                                <w:sz w:val="22"/>
                                <w:szCs w:val="22"/>
                                <w:shd w:val="clear" w:color="auto" w:fill="FFFFFF"/>
                              </w:rPr>
                            </w:pPr>
                            <w:r w:rsidRPr="00467ECB">
                              <w:rPr>
                                <w:rFonts w:ascii="Arial" w:hAnsi="Arial" w:cs="Arial"/>
                                <w:i/>
                                <w:sz w:val="22"/>
                                <w:szCs w:val="22"/>
                                <w:shd w:val="clear" w:color="auto" w:fill="FFFFFF"/>
                              </w:rPr>
                              <w:t>“I'm a clinical social worker and therapist who has worked with LGBTQ youth</w:t>
                            </w:r>
                            <w:r>
                              <w:rPr>
                                <w:rFonts w:ascii="Arial" w:hAnsi="Arial" w:cs="Arial"/>
                                <w:i/>
                                <w:sz w:val="22"/>
                                <w:szCs w:val="22"/>
                                <w:shd w:val="clear" w:color="auto" w:fill="FFFFFF"/>
                              </w:rPr>
                              <w:t>,</w:t>
                            </w:r>
                            <w:r w:rsidRPr="00467ECB">
                              <w:rPr>
                                <w:rFonts w:ascii="Arial" w:hAnsi="Arial" w:cs="Arial"/>
                                <w:i/>
                                <w:sz w:val="22"/>
                                <w:szCs w:val="22"/>
                                <w:shd w:val="clear" w:color="auto" w:fill="FFFFFF"/>
                              </w:rPr>
                              <w:t xml:space="preserve"> and my clients have shared concerns about lack of housing resources for youth experiencing housing instability, as well as a need for more programming and social services specific to LGBTQ youth of color. Youth on Fire and Boston GLASS are two amazing resources in the Boston area, but we definitely need more” </w:t>
                            </w:r>
                          </w:p>
                          <w:p w14:paraId="3808FB69" w14:textId="77777777" w:rsidR="00411ECA" w:rsidRPr="00467ECB" w:rsidRDefault="00411ECA" w:rsidP="00F54963">
                            <w:pPr>
                              <w:pStyle w:val="CommentText"/>
                              <w:rPr>
                                <w:rFonts w:ascii="Arial" w:hAnsi="Arial" w:cs="Arial"/>
                                <w:sz w:val="22"/>
                                <w:szCs w:val="22"/>
                                <w:shd w:val="clear" w:color="auto" w:fill="FFFFFF"/>
                              </w:rPr>
                            </w:pPr>
                            <w:r w:rsidRPr="00467ECB">
                              <w:rPr>
                                <w:rFonts w:ascii="Arial" w:hAnsi="Arial" w:cs="Arial"/>
                              </w:rPr>
                              <w:t xml:space="preserve">– </w:t>
                            </w:r>
                            <w:r w:rsidRPr="00467ECB">
                              <w:rPr>
                                <w:rFonts w:ascii="Arial" w:hAnsi="Arial" w:cs="Arial"/>
                                <w:sz w:val="22"/>
                                <w:szCs w:val="22"/>
                                <w:shd w:val="clear" w:color="auto" w:fill="FFFFFF"/>
                              </w:rPr>
                              <w:t>Provider, Greater Boston Area</w:t>
                            </w:r>
                          </w:p>
                          <w:p w14:paraId="4BA1C116" w14:textId="77777777" w:rsidR="00411ECA" w:rsidRDefault="00411ECA" w:rsidP="00F54963"/>
                          <w:p w14:paraId="17794FF2" w14:textId="77777777" w:rsidR="00411ECA" w:rsidRDefault="00411ECA" w:rsidP="00F549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0;margin-top:14.95pt;width:469.3pt;height:1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" strokecolor="#ffbc37" strokeweight="1.5pt">
                <v:textbox>
                  <w:txbxContent>
                    <w:p w14:paraId="11EFCFF1" w14:textId="77777777" w:rsidR="00411ECA" w:rsidRPr="00467ECB" w:rsidRDefault="00411ECA" w:rsidP="00C84E4E">
                      <w:pPr>
                        <w:pStyle w:val="CommentText"/>
                        <w:spacing w:line="276" w:lineRule="auto"/>
                        <w:jc w:val="both"/>
                        <w:rPr>
                          <w:rFonts w:ascii="Arial" w:hAnsi="Arial" w:cs="Arial"/>
                          <w:i/>
                          <w:sz w:val="22"/>
                          <w:szCs w:val="22"/>
                          <w:shd w:val="clear" w:color="auto" w:fill="FFFFFF"/>
                        </w:rPr>
                      </w:pPr>
                      <w:r w:rsidRPr="00467ECB">
                        <w:rPr>
                          <w:rFonts w:ascii="Arial" w:hAnsi="Arial" w:cs="Arial"/>
                          <w:i/>
                          <w:sz w:val="22"/>
                          <w:szCs w:val="22"/>
                          <w:shd w:val="clear" w:color="auto" w:fill="FFFFFF"/>
                        </w:rPr>
                        <w:t>“I'm a clinical social worker and therapist who has worked with LGBTQ youth</w:t>
                      </w:r>
                      <w:r>
                        <w:rPr>
                          <w:rFonts w:ascii="Arial" w:hAnsi="Arial" w:cs="Arial"/>
                          <w:i/>
                          <w:sz w:val="22"/>
                          <w:szCs w:val="22"/>
                          <w:shd w:val="clear" w:color="auto" w:fill="FFFFFF"/>
                        </w:rPr>
                        <w:t>,</w:t>
                      </w:r>
                      <w:r w:rsidRPr="00467ECB">
                        <w:rPr>
                          <w:rFonts w:ascii="Arial" w:hAnsi="Arial" w:cs="Arial"/>
                          <w:i/>
                          <w:sz w:val="22"/>
                          <w:szCs w:val="22"/>
                          <w:shd w:val="clear" w:color="auto" w:fill="FFFFFF"/>
                        </w:rPr>
                        <w:t xml:space="preserve"> and my clients have shared concerns about lack of housing resources for youth experiencing housing instability, as well as a need for more programming and social services specific to LGBTQ youth of color. Youth on Fire and Boston GLASS are two amazing resources in the Boston area, but we definitely need more” </w:t>
                      </w:r>
                    </w:p>
                    <w:p w14:paraId="3808FB69" w14:textId="77777777" w:rsidR="00411ECA" w:rsidRPr="00467ECB" w:rsidRDefault="00411ECA" w:rsidP="00F54963">
                      <w:pPr>
                        <w:pStyle w:val="CommentText"/>
                        <w:rPr>
                          <w:rFonts w:ascii="Arial" w:hAnsi="Arial" w:cs="Arial"/>
                          <w:sz w:val="22"/>
                          <w:szCs w:val="22"/>
                          <w:shd w:val="clear" w:color="auto" w:fill="FFFFFF"/>
                        </w:rPr>
                      </w:pPr>
                      <w:r w:rsidRPr="00467ECB">
                        <w:rPr>
                          <w:rFonts w:ascii="Arial" w:hAnsi="Arial" w:cs="Arial"/>
                        </w:rPr>
                        <w:t xml:space="preserve">– </w:t>
                      </w:r>
                      <w:r w:rsidRPr="00467ECB">
                        <w:rPr>
                          <w:rFonts w:ascii="Arial" w:hAnsi="Arial" w:cs="Arial"/>
                          <w:sz w:val="22"/>
                          <w:szCs w:val="22"/>
                          <w:shd w:val="clear" w:color="auto" w:fill="FFFFFF"/>
                        </w:rPr>
                        <w:t>Provider, Greater Boston Area</w:t>
                      </w:r>
                    </w:p>
                    <w:p w14:paraId="4BA1C116" w14:textId="77777777" w:rsidR="00411ECA" w:rsidRDefault="00411ECA" w:rsidP="00F54963"/>
                    <w:p w14:paraId="17794FF2" w14:textId="77777777" w:rsidR="00411ECA" w:rsidRDefault="00411ECA" w:rsidP="00F54963"/>
                  </w:txbxContent>
                </v:textbox>
                <w10:wrap type="square"/>
              </v:shape>
            </w:pict>
          </mc:Fallback>
        </mc:AlternateContent>
      </w:r>
    </w:p>
    <w:p w14:paraId="34A09705" w14:textId="77777777" w:rsidR="000C6E9B" w:rsidRPr="000C6E9B" w:rsidRDefault="000C6E9B" w:rsidP="002125FF">
      <w:pPr>
        <w:spacing w:after="0"/>
        <w:jc w:val="both"/>
        <w:rPr>
          <w:rFonts w:ascii="Arial" w:hAnsi="Arial" w:cs="Arial"/>
        </w:rPr>
      </w:pPr>
      <w:r w:rsidRPr="000C6E9B">
        <w:rPr>
          <w:rFonts w:ascii="Arial" w:hAnsi="Arial" w:cs="Arial"/>
        </w:rPr>
        <w:lastRenderedPageBreak/>
        <w:t xml:space="preserve">2. Prioritize funds allocated to homelessness prevention and services for release as early in the fiscal year as possible. </w:t>
      </w:r>
    </w:p>
    <w:p w14:paraId="0FCE6D77" w14:textId="77777777" w:rsidR="000C6E9B" w:rsidRPr="000C6E9B" w:rsidRDefault="000C6E9B" w:rsidP="002125FF">
      <w:pPr>
        <w:spacing w:after="0"/>
        <w:jc w:val="both"/>
        <w:rPr>
          <w:rFonts w:ascii="Arial" w:hAnsi="Arial" w:cs="Arial"/>
        </w:rPr>
      </w:pPr>
    </w:p>
    <w:p w14:paraId="7D4A2F1D" w14:textId="77777777" w:rsidR="000C6E9B" w:rsidRPr="000C6E9B" w:rsidRDefault="000C6E9B" w:rsidP="002125FF">
      <w:pPr>
        <w:spacing w:after="0"/>
        <w:ind w:left="720"/>
        <w:jc w:val="both"/>
        <w:rPr>
          <w:rFonts w:ascii="Arial" w:hAnsi="Arial" w:cs="Arial"/>
        </w:rPr>
      </w:pPr>
      <w:r w:rsidRPr="000C6E9B">
        <w:rPr>
          <w:rFonts w:ascii="Arial" w:hAnsi="Arial" w:cs="Arial"/>
        </w:rPr>
        <w:t>Delays in the release of funding for homelessness prevention and services cause irreparable harm to the affected population and the organizations that serve them, and should be avoided by prioritizing release of these funds.</w:t>
      </w:r>
    </w:p>
    <w:p w14:paraId="21FE7747" w14:textId="79B68613" w:rsidR="000C6E9B" w:rsidRPr="000C6E9B" w:rsidRDefault="009619C1" w:rsidP="002125FF">
      <w:pPr>
        <w:spacing w:after="0"/>
        <w:jc w:val="both"/>
        <w:rPr>
          <w:rFonts w:ascii="Arial" w:hAnsi="Arial" w:cs="Arial"/>
        </w:rPr>
      </w:pPr>
      <w:r>
        <w:rPr>
          <w:rFonts w:ascii="Arial" w:hAnsi="Arial" w:cs="Arial"/>
          <w:noProof/>
        </w:rPr>
        <mc:AlternateContent>
          <mc:Choice Requires="wps">
            <w:drawing>
              <wp:anchor distT="0" distB="0" distL="114300" distR="114300" simplePos="0" relativeHeight="251719680" behindDoc="0" locked="0" layoutInCell="1" allowOverlap="1" wp14:anchorId="14CAC78D" wp14:editId="72E942D9">
                <wp:simplePos x="0" y="0"/>
                <wp:positionH relativeFrom="column">
                  <wp:posOffset>-8890</wp:posOffset>
                </wp:positionH>
                <wp:positionV relativeFrom="paragraph">
                  <wp:posOffset>109220</wp:posOffset>
                </wp:positionV>
                <wp:extent cx="5960110" cy="1016000"/>
                <wp:effectExtent l="0" t="0" r="21590" b="12700"/>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110" cy="1016000"/>
                        </a:xfrm>
                        <a:prstGeom prst="rect">
                          <a:avLst/>
                        </a:prstGeom>
                        <a:solidFill>
                          <a:srgbClr val="FFFFFF"/>
                        </a:solidFill>
                        <a:ln w="19050">
                          <a:solidFill>
                            <a:srgbClr val="FFBC37"/>
                          </a:solidFill>
                          <a:miter lim="800000"/>
                          <a:headEnd/>
                          <a:tailEnd/>
                        </a:ln>
                      </wps:spPr>
                      <wps:txbx>
                        <w:txbxContent>
                          <w:p w14:paraId="326EA9FB" w14:textId="77777777" w:rsidR="00411ECA" w:rsidRPr="00467ECB" w:rsidRDefault="00411ECA" w:rsidP="00F36E46">
                            <w:pPr>
                              <w:pStyle w:val="CommentText"/>
                              <w:spacing w:line="276" w:lineRule="auto"/>
                              <w:rPr>
                                <w:rFonts w:ascii="Arial" w:hAnsi="Arial" w:cs="Arial"/>
                                <w:i/>
                                <w:sz w:val="22"/>
                                <w:szCs w:val="22"/>
                                <w:shd w:val="clear" w:color="auto" w:fill="FFFFFF"/>
                              </w:rPr>
                            </w:pPr>
                            <w:r>
                              <w:rPr>
                                <w:rFonts w:ascii="Arial" w:hAnsi="Arial" w:cs="Arial"/>
                                <w:i/>
                                <w:sz w:val="22"/>
                                <w:szCs w:val="22"/>
                                <w:shd w:val="clear" w:color="auto" w:fill="FFFFFF"/>
                              </w:rPr>
                              <w:t>“</w:t>
                            </w:r>
                            <w:r w:rsidRPr="00F36E46">
                              <w:rPr>
                                <w:rFonts w:ascii="Arial" w:hAnsi="Arial" w:cs="Arial"/>
                                <w:i/>
                                <w:sz w:val="22"/>
                                <w:szCs w:val="22"/>
                                <w:shd w:val="clear" w:color="auto" w:fill="FFFFFF"/>
                              </w:rPr>
                              <w:t>I always think about the fact that, in the absence of clearly defined public policy and support for LGBTQ youth, they are at higher risk of being traumatized, abused, disadvantaged, [and made] homeless, by the very system that is sworn to protect them.”</w:t>
                            </w:r>
                          </w:p>
                          <w:p w14:paraId="5A7BC53E" w14:textId="77777777" w:rsidR="00411ECA" w:rsidRPr="00467ECB" w:rsidRDefault="00411ECA" w:rsidP="00F36E46">
                            <w:pPr>
                              <w:pStyle w:val="CommentText"/>
                              <w:rPr>
                                <w:rFonts w:ascii="Arial" w:hAnsi="Arial" w:cs="Arial"/>
                                <w:sz w:val="22"/>
                                <w:szCs w:val="22"/>
                                <w:shd w:val="clear" w:color="auto" w:fill="FFFFFF"/>
                              </w:rPr>
                            </w:pPr>
                            <w:r w:rsidRPr="00467ECB">
                              <w:rPr>
                                <w:rFonts w:ascii="Arial" w:hAnsi="Arial" w:cs="Arial"/>
                              </w:rPr>
                              <w:t xml:space="preserve">– </w:t>
                            </w:r>
                            <w:r>
                              <w:rPr>
                                <w:rFonts w:ascii="Arial" w:hAnsi="Arial" w:cs="Arial"/>
                                <w:sz w:val="22"/>
                                <w:szCs w:val="22"/>
                                <w:shd w:val="clear" w:color="auto" w:fill="FFFFFF"/>
                              </w:rPr>
                              <w:t>Parent and Advocate</w:t>
                            </w:r>
                            <w:r w:rsidRPr="00467ECB">
                              <w:rPr>
                                <w:rFonts w:ascii="Arial" w:hAnsi="Arial" w:cs="Arial"/>
                                <w:sz w:val="22"/>
                                <w:szCs w:val="22"/>
                                <w:shd w:val="clear" w:color="auto" w:fill="FFFFFF"/>
                              </w:rPr>
                              <w:t xml:space="preserve">, </w:t>
                            </w:r>
                            <w:r>
                              <w:rPr>
                                <w:rFonts w:ascii="Arial" w:hAnsi="Arial" w:cs="Arial"/>
                                <w:sz w:val="22"/>
                                <w:szCs w:val="22"/>
                                <w:shd w:val="clear" w:color="auto" w:fill="FFFFFF"/>
                              </w:rPr>
                              <w:t>Worcester</w:t>
                            </w:r>
                          </w:p>
                          <w:p w14:paraId="594ACB2A" w14:textId="77777777" w:rsidR="00411ECA" w:rsidRDefault="00411ECA" w:rsidP="00F36E46"/>
                          <w:p w14:paraId="2560FCD3" w14:textId="77777777" w:rsidR="00411ECA" w:rsidRDefault="00411ECA" w:rsidP="00F36E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7pt;margin-top:8.6pt;width:469.3pt;height:80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" strokecolor="#ffbc37" strokeweight="1.5pt">
                <v:textbox>
                  <w:txbxContent>
                    <w:p w14:paraId="326EA9FB" w14:textId="77777777" w:rsidR="00411ECA" w:rsidRPr="00467ECB" w:rsidRDefault="00411ECA" w:rsidP="00F36E46">
                      <w:pPr>
                        <w:pStyle w:val="CommentText"/>
                        <w:spacing w:line="276" w:lineRule="auto"/>
                        <w:rPr>
                          <w:rFonts w:ascii="Arial" w:hAnsi="Arial" w:cs="Arial"/>
                          <w:i/>
                          <w:sz w:val="22"/>
                          <w:szCs w:val="22"/>
                          <w:shd w:val="clear" w:color="auto" w:fill="FFFFFF"/>
                        </w:rPr>
                      </w:pPr>
                      <w:r>
                        <w:rPr>
                          <w:rFonts w:ascii="Arial" w:hAnsi="Arial" w:cs="Arial"/>
                          <w:i/>
                          <w:sz w:val="22"/>
                          <w:szCs w:val="22"/>
                          <w:shd w:val="clear" w:color="auto" w:fill="FFFFFF"/>
                        </w:rPr>
                        <w:t>“</w:t>
                      </w:r>
                      <w:r w:rsidRPr="00F36E46">
                        <w:rPr>
                          <w:rFonts w:ascii="Arial" w:hAnsi="Arial" w:cs="Arial"/>
                          <w:i/>
                          <w:sz w:val="22"/>
                          <w:szCs w:val="22"/>
                          <w:shd w:val="clear" w:color="auto" w:fill="FFFFFF"/>
                        </w:rPr>
                        <w:t>I always think about the fact that, in the absence of clearly defined public policy and support for LGBTQ youth, they are at higher risk of being traumatized, abused, disadvantaged, [and made] homeless, by the very system that is sworn to protect them.”</w:t>
                      </w:r>
                    </w:p>
                    <w:p w14:paraId="5A7BC53E" w14:textId="77777777" w:rsidR="00411ECA" w:rsidRPr="00467ECB" w:rsidRDefault="00411ECA" w:rsidP="00F36E46">
                      <w:pPr>
                        <w:pStyle w:val="CommentText"/>
                        <w:rPr>
                          <w:rFonts w:ascii="Arial" w:hAnsi="Arial" w:cs="Arial"/>
                          <w:sz w:val="22"/>
                          <w:szCs w:val="22"/>
                          <w:shd w:val="clear" w:color="auto" w:fill="FFFFFF"/>
                        </w:rPr>
                      </w:pPr>
                      <w:r w:rsidRPr="00467ECB">
                        <w:rPr>
                          <w:rFonts w:ascii="Arial" w:hAnsi="Arial" w:cs="Arial"/>
                        </w:rPr>
                        <w:t xml:space="preserve">– </w:t>
                      </w:r>
                      <w:r>
                        <w:rPr>
                          <w:rFonts w:ascii="Arial" w:hAnsi="Arial" w:cs="Arial"/>
                          <w:sz w:val="22"/>
                          <w:szCs w:val="22"/>
                          <w:shd w:val="clear" w:color="auto" w:fill="FFFFFF"/>
                        </w:rPr>
                        <w:t>Parent and Advocate</w:t>
                      </w:r>
                      <w:r w:rsidRPr="00467ECB">
                        <w:rPr>
                          <w:rFonts w:ascii="Arial" w:hAnsi="Arial" w:cs="Arial"/>
                          <w:sz w:val="22"/>
                          <w:szCs w:val="22"/>
                          <w:shd w:val="clear" w:color="auto" w:fill="FFFFFF"/>
                        </w:rPr>
                        <w:t xml:space="preserve">, </w:t>
                      </w:r>
                      <w:r>
                        <w:rPr>
                          <w:rFonts w:ascii="Arial" w:hAnsi="Arial" w:cs="Arial"/>
                          <w:sz w:val="22"/>
                          <w:szCs w:val="22"/>
                          <w:shd w:val="clear" w:color="auto" w:fill="FFFFFF"/>
                        </w:rPr>
                        <w:t>Worcester</w:t>
                      </w:r>
                    </w:p>
                    <w:p w14:paraId="594ACB2A" w14:textId="77777777" w:rsidR="00411ECA" w:rsidRDefault="00411ECA" w:rsidP="00F36E46"/>
                    <w:p w14:paraId="2560FCD3" w14:textId="77777777" w:rsidR="00411ECA" w:rsidRDefault="00411ECA" w:rsidP="00F36E46"/>
                  </w:txbxContent>
                </v:textbox>
                <w10:wrap type="square"/>
              </v:shape>
            </w:pict>
          </mc:Fallback>
        </mc:AlternateContent>
      </w:r>
    </w:p>
    <w:p w14:paraId="3A32AF7E" w14:textId="77777777" w:rsidR="000C6E9B" w:rsidRPr="000C6E9B" w:rsidRDefault="000C6E9B" w:rsidP="002125FF">
      <w:pPr>
        <w:spacing w:after="0"/>
        <w:jc w:val="both"/>
        <w:rPr>
          <w:rFonts w:ascii="Arial" w:hAnsi="Arial" w:cs="Arial"/>
        </w:rPr>
      </w:pPr>
      <w:r w:rsidRPr="000C6E9B">
        <w:rPr>
          <w:rFonts w:ascii="Arial" w:hAnsi="Arial" w:cs="Arial"/>
        </w:rPr>
        <w:t>3. Improve access to state IDs for youth experiencing homelessness.</w:t>
      </w:r>
    </w:p>
    <w:p w14:paraId="4583404D" w14:textId="77777777" w:rsidR="000C6E9B" w:rsidRPr="000C6E9B" w:rsidRDefault="000C6E9B" w:rsidP="002125FF">
      <w:pPr>
        <w:spacing w:after="0"/>
        <w:jc w:val="both"/>
        <w:rPr>
          <w:rFonts w:ascii="Arial" w:hAnsi="Arial" w:cs="Arial"/>
        </w:rPr>
      </w:pPr>
    </w:p>
    <w:p w14:paraId="5746A768" w14:textId="3FBE1A3E" w:rsidR="00305B85" w:rsidRDefault="005F4C44" w:rsidP="00F36E46">
      <w:pPr>
        <w:spacing w:after="0"/>
        <w:ind w:left="720"/>
        <w:jc w:val="both"/>
        <w:rPr>
          <w:rFonts w:ascii="Arial" w:hAnsi="Arial" w:cs="Arial"/>
        </w:rPr>
      </w:pPr>
      <w:r>
        <w:rPr>
          <w:rFonts w:ascii="Arial" w:hAnsi="Arial" w:cs="Arial"/>
        </w:rPr>
        <w:t>Proper</w:t>
      </w:r>
      <w:r w:rsidR="000C6E9B" w:rsidRPr="000C6E9B">
        <w:rPr>
          <w:rFonts w:ascii="Arial" w:hAnsi="Arial" w:cs="Arial"/>
        </w:rPr>
        <w:t xml:space="preserve"> identification is </w:t>
      </w:r>
      <w:r>
        <w:rPr>
          <w:rFonts w:ascii="Arial" w:hAnsi="Arial" w:cs="Arial"/>
        </w:rPr>
        <w:t>needed</w:t>
      </w:r>
      <w:r w:rsidR="000C6E9B" w:rsidRPr="000C6E9B">
        <w:rPr>
          <w:rFonts w:ascii="Arial" w:hAnsi="Arial" w:cs="Arial"/>
        </w:rPr>
        <w:t xml:space="preserve"> for youth to access services, housing, and employment</w:t>
      </w:r>
      <w:r>
        <w:rPr>
          <w:rFonts w:ascii="Arial" w:hAnsi="Arial" w:cs="Arial"/>
        </w:rPr>
        <w:t>, and is</w:t>
      </w:r>
      <w:r w:rsidR="000C6E9B" w:rsidRPr="000C6E9B">
        <w:rPr>
          <w:rFonts w:ascii="Arial" w:hAnsi="Arial" w:cs="Arial"/>
        </w:rPr>
        <w:t xml:space="preserve"> especially important for LGBTQ youth, who are more likely to face housing instability and discrimination in accessing services. Policies such as that represented in H. 2737 / S. 1906 of</w:t>
      </w:r>
      <w:r w:rsidR="006F66DB">
        <w:rPr>
          <w:rFonts w:ascii="Arial" w:hAnsi="Arial" w:cs="Arial"/>
        </w:rPr>
        <w:t xml:space="preserve"> the</w:t>
      </w:r>
      <w:r w:rsidR="000C6E9B" w:rsidRPr="000C6E9B">
        <w:rPr>
          <w:rFonts w:ascii="Arial" w:hAnsi="Arial" w:cs="Arial"/>
        </w:rPr>
        <w:t xml:space="preserve"> 2017-2018</w:t>
      </w:r>
      <w:r w:rsidR="006F66DB">
        <w:rPr>
          <w:rFonts w:ascii="Arial" w:hAnsi="Arial" w:cs="Arial"/>
        </w:rPr>
        <w:t xml:space="preserve"> legislative session</w:t>
      </w:r>
      <w:r w:rsidR="00D46E35">
        <w:rPr>
          <w:rFonts w:ascii="Arial" w:hAnsi="Arial" w:cs="Arial"/>
        </w:rPr>
        <w:t>, which seeks to make access to IDs less costly and onerous for youth experiencing homelessness,</w:t>
      </w:r>
      <w:r w:rsidR="00F36E46">
        <w:rPr>
          <w:rFonts w:ascii="Arial" w:hAnsi="Arial" w:cs="Arial"/>
        </w:rPr>
        <w:t xml:space="preserve"> would improve access. </w:t>
      </w:r>
    </w:p>
    <w:p w14:paraId="4C912E07" w14:textId="77777777" w:rsidR="00305B85" w:rsidRPr="000C6E9B" w:rsidRDefault="00305B85" w:rsidP="002125FF">
      <w:pPr>
        <w:spacing w:after="0"/>
        <w:jc w:val="both"/>
        <w:rPr>
          <w:rFonts w:ascii="Arial" w:hAnsi="Arial" w:cs="Arial"/>
        </w:rPr>
      </w:pPr>
    </w:p>
    <w:p w14:paraId="789F95EF" w14:textId="77777777" w:rsidR="000C6E9B" w:rsidRPr="000C6E9B" w:rsidRDefault="000C6E9B" w:rsidP="002125FF">
      <w:pPr>
        <w:spacing w:after="0"/>
        <w:jc w:val="both"/>
        <w:rPr>
          <w:rFonts w:ascii="Arial" w:hAnsi="Arial" w:cs="Arial"/>
        </w:rPr>
      </w:pPr>
      <w:r w:rsidRPr="000C6E9B">
        <w:rPr>
          <w:rFonts w:ascii="Arial" w:hAnsi="Arial" w:cs="Arial"/>
        </w:rPr>
        <w:t>4. Create a bill of rights for people experiencing homelessness.</w:t>
      </w:r>
    </w:p>
    <w:p w14:paraId="1D47F866" w14:textId="77777777" w:rsidR="000C6E9B" w:rsidRPr="000C6E9B" w:rsidRDefault="000C6E9B" w:rsidP="002125FF">
      <w:pPr>
        <w:spacing w:after="0"/>
        <w:jc w:val="both"/>
        <w:rPr>
          <w:rFonts w:ascii="Arial" w:hAnsi="Arial" w:cs="Arial"/>
        </w:rPr>
      </w:pPr>
    </w:p>
    <w:p w14:paraId="6D111D38" w14:textId="09DA7F17" w:rsidR="000C6E9B" w:rsidRPr="000C6E9B" w:rsidRDefault="000C6E9B" w:rsidP="002125FF">
      <w:pPr>
        <w:spacing w:after="0"/>
        <w:ind w:left="720"/>
        <w:jc w:val="both"/>
        <w:rPr>
          <w:rFonts w:ascii="Arial" w:hAnsi="Arial" w:cs="Arial"/>
        </w:rPr>
      </w:pPr>
      <w:r w:rsidRPr="000C6E9B">
        <w:rPr>
          <w:rFonts w:ascii="Arial" w:hAnsi="Arial" w:cs="Arial"/>
        </w:rPr>
        <w:t>LGBTQ youth are already more likely than others to face discrimination in their daily lives</w:t>
      </w:r>
      <w:r w:rsidR="008307CD">
        <w:rPr>
          <w:rFonts w:ascii="Arial" w:hAnsi="Arial" w:cs="Arial"/>
        </w:rPr>
        <w:t>,</w:t>
      </w:r>
      <w:r w:rsidRPr="000C6E9B">
        <w:rPr>
          <w:rFonts w:ascii="Arial" w:hAnsi="Arial" w:cs="Arial"/>
        </w:rPr>
        <w:t xml:space="preserve"> and are also more likely to experience homelessness</w:t>
      </w:r>
      <w:r w:rsidR="00FD7486">
        <w:rPr>
          <w:rFonts w:ascii="Arial" w:hAnsi="Arial" w:cs="Arial"/>
        </w:rPr>
        <w:t>, a status that greatly increases the risk of facing bias and discrimination</w:t>
      </w:r>
      <w:r w:rsidR="008307CD">
        <w:rPr>
          <w:rFonts w:ascii="Arial" w:hAnsi="Arial" w:cs="Arial"/>
        </w:rPr>
        <w:t>. T</w:t>
      </w:r>
      <w:r w:rsidRPr="000C6E9B">
        <w:rPr>
          <w:rFonts w:ascii="Arial" w:hAnsi="Arial" w:cs="Arial"/>
        </w:rPr>
        <w:t>he Commission recommends the creation of</w:t>
      </w:r>
      <w:r w:rsidR="005F4C44">
        <w:rPr>
          <w:rFonts w:ascii="Arial" w:hAnsi="Arial" w:cs="Arial"/>
        </w:rPr>
        <w:t xml:space="preserve"> an</w:t>
      </w:r>
      <w:r w:rsidRPr="000C6E9B">
        <w:rPr>
          <w:rFonts w:ascii="Arial" w:hAnsi="Arial" w:cs="Arial"/>
        </w:rPr>
        <w:t xml:space="preserve"> explicit </w:t>
      </w:r>
      <w:r w:rsidR="005F4C44">
        <w:rPr>
          <w:rFonts w:ascii="Arial" w:hAnsi="Arial" w:cs="Arial"/>
        </w:rPr>
        <w:t xml:space="preserve">bill of </w:t>
      </w:r>
      <w:r w:rsidRPr="000C6E9B">
        <w:rPr>
          <w:rFonts w:ascii="Arial" w:hAnsi="Arial" w:cs="Arial"/>
        </w:rPr>
        <w:t>rights for people experiencing homeless</w:t>
      </w:r>
      <w:r w:rsidR="00E06353">
        <w:rPr>
          <w:rFonts w:ascii="Arial" w:hAnsi="Arial" w:cs="Arial"/>
        </w:rPr>
        <w:t>ness that reflect</w:t>
      </w:r>
      <w:r w:rsidR="005F4C44">
        <w:rPr>
          <w:rFonts w:ascii="Arial" w:hAnsi="Arial" w:cs="Arial"/>
        </w:rPr>
        <w:t>s</w:t>
      </w:r>
      <w:r w:rsidR="00E06353">
        <w:rPr>
          <w:rFonts w:ascii="Arial" w:hAnsi="Arial" w:cs="Arial"/>
        </w:rPr>
        <w:t xml:space="preserve"> common concerns raised by this population</w:t>
      </w:r>
      <w:r w:rsidRPr="000C6E9B">
        <w:rPr>
          <w:rFonts w:ascii="Arial" w:hAnsi="Arial" w:cs="Arial"/>
        </w:rPr>
        <w:t xml:space="preserve">. </w:t>
      </w:r>
      <w:r w:rsidR="005F4C44">
        <w:rPr>
          <w:rFonts w:ascii="Arial" w:hAnsi="Arial" w:cs="Arial"/>
        </w:rPr>
        <w:t>It</w:t>
      </w:r>
      <w:r w:rsidRPr="000C6E9B">
        <w:rPr>
          <w:rFonts w:ascii="Arial" w:hAnsi="Arial" w:cs="Arial"/>
        </w:rPr>
        <w:t xml:space="preserve"> should include the right</w:t>
      </w:r>
      <w:r w:rsidR="00E06353">
        <w:rPr>
          <w:rFonts w:ascii="Arial" w:hAnsi="Arial" w:cs="Arial"/>
        </w:rPr>
        <w:t>s</w:t>
      </w:r>
      <w:r w:rsidRPr="000C6E9B">
        <w:rPr>
          <w:rFonts w:ascii="Arial" w:hAnsi="Arial" w:cs="Arial"/>
        </w:rPr>
        <w:t xml:space="preserve"> to move freely while in public spaces, to be treated equitably by government agencies, to receive care in emergencies, and others such as those proposed in H. 695 / S. 46 of </w:t>
      </w:r>
      <w:r w:rsidR="006F66DB">
        <w:rPr>
          <w:rFonts w:ascii="Arial" w:hAnsi="Arial" w:cs="Arial"/>
        </w:rPr>
        <w:t xml:space="preserve">the </w:t>
      </w:r>
      <w:r w:rsidRPr="000C6E9B">
        <w:rPr>
          <w:rFonts w:ascii="Arial" w:hAnsi="Arial" w:cs="Arial"/>
        </w:rPr>
        <w:t>2017-2018</w:t>
      </w:r>
      <w:r w:rsidR="006F66DB">
        <w:rPr>
          <w:rFonts w:ascii="Arial" w:hAnsi="Arial" w:cs="Arial"/>
        </w:rPr>
        <w:t xml:space="preserve"> legislative session</w:t>
      </w:r>
      <w:r w:rsidRPr="000C6E9B">
        <w:rPr>
          <w:rFonts w:ascii="Arial" w:hAnsi="Arial" w:cs="Arial"/>
        </w:rPr>
        <w:t>.</w:t>
      </w:r>
      <w:r w:rsidR="00E06353">
        <w:rPr>
          <w:rFonts w:ascii="Arial" w:hAnsi="Arial" w:cs="Arial"/>
        </w:rPr>
        <w:t xml:space="preserve"> </w:t>
      </w:r>
    </w:p>
    <w:p w14:paraId="449AE814" w14:textId="77777777" w:rsidR="000C6E9B" w:rsidRPr="000C6E9B" w:rsidRDefault="000C6E9B" w:rsidP="002125FF">
      <w:pPr>
        <w:spacing w:after="0"/>
        <w:jc w:val="both"/>
        <w:rPr>
          <w:rFonts w:ascii="Arial" w:hAnsi="Arial" w:cs="Arial"/>
        </w:rPr>
      </w:pPr>
    </w:p>
    <w:p w14:paraId="05C60F20" w14:textId="77777777" w:rsidR="000C6E9B" w:rsidRPr="000C6E9B" w:rsidRDefault="000C6E9B" w:rsidP="002125FF">
      <w:pPr>
        <w:spacing w:after="0"/>
        <w:jc w:val="both"/>
        <w:rPr>
          <w:rFonts w:ascii="Arial" w:hAnsi="Arial" w:cs="Arial"/>
        </w:rPr>
      </w:pPr>
      <w:r w:rsidRPr="000C6E9B">
        <w:rPr>
          <w:rFonts w:ascii="Arial" w:hAnsi="Arial" w:cs="Arial"/>
        </w:rPr>
        <w:t xml:space="preserve">5. </w:t>
      </w:r>
      <w:r w:rsidR="006F66DB">
        <w:rPr>
          <w:rFonts w:ascii="Arial" w:hAnsi="Arial" w:cs="Arial"/>
        </w:rPr>
        <w:t>Improve</w:t>
      </w:r>
      <w:r w:rsidRPr="000C6E9B">
        <w:rPr>
          <w:rFonts w:ascii="Arial" w:hAnsi="Arial" w:cs="Arial"/>
        </w:rPr>
        <w:t xml:space="preserve"> the Youth Count survey </w:t>
      </w:r>
      <w:r w:rsidR="00892706">
        <w:rPr>
          <w:rFonts w:ascii="Arial" w:hAnsi="Arial" w:cs="Arial"/>
        </w:rPr>
        <w:t xml:space="preserve">and ensure LGBTQ inclusion. </w:t>
      </w:r>
    </w:p>
    <w:p w14:paraId="1A3EF985" w14:textId="77777777" w:rsidR="000C6E9B" w:rsidRPr="000C6E9B" w:rsidRDefault="000C6E9B" w:rsidP="002125FF">
      <w:pPr>
        <w:spacing w:after="0"/>
        <w:jc w:val="both"/>
        <w:rPr>
          <w:rFonts w:ascii="Arial" w:hAnsi="Arial" w:cs="Arial"/>
        </w:rPr>
      </w:pPr>
    </w:p>
    <w:p w14:paraId="7CF7344F" w14:textId="77777777" w:rsidR="004B3725" w:rsidRPr="000C6E9B" w:rsidRDefault="000C6E9B" w:rsidP="002125FF">
      <w:pPr>
        <w:spacing w:after="0"/>
        <w:ind w:left="720"/>
        <w:jc w:val="both"/>
        <w:rPr>
          <w:rFonts w:ascii="Arial" w:hAnsi="Arial" w:cs="Arial"/>
        </w:rPr>
      </w:pPr>
      <w:r w:rsidRPr="000C6E9B">
        <w:rPr>
          <w:rFonts w:ascii="Arial" w:hAnsi="Arial" w:cs="Arial"/>
        </w:rPr>
        <w:t xml:space="preserve">The Youth Count </w:t>
      </w:r>
      <w:r w:rsidR="006F66DB">
        <w:rPr>
          <w:rFonts w:ascii="Arial" w:hAnsi="Arial" w:cs="Arial"/>
        </w:rPr>
        <w:t>i</w:t>
      </w:r>
      <w:r w:rsidRPr="000C6E9B">
        <w:rPr>
          <w:rFonts w:ascii="Arial" w:hAnsi="Arial" w:cs="Arial"/>
        </w:rPr>
        <w:t xml:space="preserve">s a critical source of data on LGBTQ and other youth who are experiencing homelessness or </w:t>
      </w:r>
      <w:r w:rsidR="00305B85">
        <w:rPr>
          <w:rFonts w:ascii="Arial" w:hAnsi="Arial" w:cs="Arial"/>
        </w:rPr>
        <w:t xml:space="preserve">who are </w:t>
      </w:r>
      <w:r w:rsidRPr="000C6E9B">
        <w:rPr>
          <w:rFonts w:ascii="Arial" w:hAnsi="Arial" w:cs="Arial"/>
        </w:rPr>
        <w:t xml:space="preserve">at risk for </w:t>
      </w:r>
      <w:r w:rsidR="006F66DB">
        <w:rPr>
          <w:rFonts w:ascii="Arial" w:hAnsi="Arial" w:cs="Arial"/>
        </w:rPr>
        <w:t xml:space="preserve">becoming </w:t>
      </w:r>
      <w:r w:rsidRPr="000C6E9B">
        <w:rPr>
          <w:rFonts w:ascii="Arial" w:hAnsi="Arial" w:cs="Arial"/>
        </w:rPr>
        <w:t xml:space="preserve">homeless. </w:t>
      </w:r>
      <w:r w:rsidR="00305B85">
        <w:rPr>
          <w:rFonts w:ascii="Arial" w:hAnsi="Arial" w:cs="Arial"/>
        </w:rPr>
        <w:t>This valuable collaboration between state and nonprofit entities, and the data it generates, can be strengthened through additional funding and participation. To ensure that LGBTQ youth are fully represented, the Commission specifically recommends increasing the number and diversity of the</w:t>
      </w:r>
      <w:r w:rsidR="00305B85" w:rsidRPr="00305B85">
        <w:rPr>
          <w:rFonts w:ascii="Arial" w:hAnsi="Arial" w:cs="Arial"/>
        </w:rPr>
        <w:t xml:space="preserve"> youth ambassadors</w:t>
      </w:r>
      <w:r w:rsidR="00305B85">
        <w:rPr>
          <w:rFonts w:ascii="Arial" w:hAnsi="Arial" w:cs="Arial"/>
        </w:rPr>
        <w:t xml:space="preserve"> who assist in the collection of data</w:t>
      </w:r>
      <w:r w:rsidR="00305B85" w:rsidRPr="00305B85">
        <w:rPr>
          <w:rFonts w:ascii="Arial" w:hAnsi="Arial" w:cs="Arial"/>
        </w:rPr>
        <w:t xml:space="preserve"> and growing </w:t>
      </w:r>
      <w:r w:rsidR="00305B85">
        <w:rPr>
          <w:rFonts w:ascii="Arial" w:hAnsi="Arial" w:cs="Arial"/>
        </w:rPr>
        <w:t>the</w:t>
      </w:r>
      <w:r w:rsidR="00305B85" w:rsidRPr="00305B85">
        <w:rPr>
          <w:rFonts w:ascii="Arial" w:hAnsi="Arial" w:cs="Arial"/>
        </w:rPr>
        <w:t xml:space="preserve"> capacity </w:t>
      </w:r>
      <w:r w:rsidR="00305B85">
        <w:rPr>
          <w:rFonts w:ascii="Arial" w:hAnsi="Arial" w:cs="Arial"/>
        </w:rPr>
        <w:t xml:space="preserve">of the entities involved </w:t>
      </w:r>
      <w:r w:rsidR="00305B85" w:rsidRPr="00305B85">
        <w:rPr>
          <w:rFonts w:ascii="Arial" w:hAnsi="Arial" w:cs="Arial"/>
        </w:rPr>
        <w:t>to reach diverse youth</w:t>
      </w:r>
      <w:r w:rsidR="00305B85">
        <w:rPr>
          <w:rFonts w:ascii="Arial" w:hAnsi="Arial" w:cs="Arial"/>
        </w:rPr>
        <w:t xml:space="preserve"> across the state</w:t>
      </w:r>
      <w:r w:rsidR="00305B85" w:rsidRPr="00305B85">
        <w:rPr>
          <w:rFonts w:ascii="Arial" w:hAnsi="Arial" w:cs="Arial"/>
        </w:rPr>
        <w:t>.</w:t>
      </w:r>
      <w:r>
        <w:rPr>
          <w:rFonts w:ascii="Arial" w:hAnsi="Arial" w:cs="Arial"/>
        </w:rPr>
        <w:t xml:space="preserve"> </w:t>
      </w:r>
    </w:p>
    <w:p w14:paraId="329EC877" w14:textId="77777777" w:rsidR="008159A7" w:rsidRDefault="008159A7">
      <w:pPr>
        <w:rPr>
          <w:rFonts w:ascii="Arial" w:eastAsiaTheme="majorEastAsia" w:hAnsi="Arial" w:cstheme="majorBidi"/>
          <w:b/>
          <w:bCs/>
          <w:color w:val="000000" w:themeColor="text1"/>
          <w:sz w:val="26"/>
          <w:szCs w:val="26"/>
        </w:rPr>
      </w:pPr>
      <w:r>
        <w:br w:type="page"/>
      </w:r>
    </w:p>
    <w:p w14:paraId="107D4A2F" w14:textId="77777777" w:rsidR="004B3725" w:rsidRDefault="00025253" w:rsidP="002125FF">
      <w:pPr>
        <w:pStyle w:val="Heading2"/>
        <w:jc w:val="both"/>
      </w:pPr>
      <w:bookmarkStart w:id="5" w:name="_Toc512947883"/>
      <w:r>
        <w:rPr>
          <w:noProof/>
        </w:rPr>
        <w:lastRenderedPageBreak/>
        <w:drawing>
          <wp:anchor distT="0" distB="0" distL="114300" distR="114300" simplePos="0" relativeHeight="251736064" behindDoc="0" locked="0" layoutInCell="0" allowOverlap="1" wp14:anchorId="42561FD9" wp14:editId="7D10A770">
            <wp:simplePos x="0" y="0"/>
            <wp:positionH relativeFrom="page">
              <wp:posOffset>890649</wp:posOffset>
            </wp:positionH>
            <wp:positionV relativeFrom="page">
              <wp:posOffset>1128156</wp:posOffset>
            </wp:positionV>
            <wp:extent cx="3200400" cy="2413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00400" cy="24130"/>
                    </a:xfrm>
                    <a:prstGeom prst="rect">
                      <a:avLst/>
                    </a:prstGeom>
                    <a:noFill/>
                  </pic:spPr>
                </pic:pic>
              </a:graphicData>
            </a:graphic>
          </wp:anchor>
        </w:drawing>
      </w:r>
      <w:r w:rsidR="000C6E9B">
        <w:t xml:space="preserve">Reforming </w:t>
      </w:r>
      <w:r w:rsidR="004B3725">
        <w:t xml:space="preserve">Criminal </w:t>
      </w:r>
      <w:r w:rsidR="00B11139">
        <w:t xml:space="preserve">&amp; Juvenile </w:t>
      </w:r>
      <w:r w:rsidR="004B3725">
        <w:t>Justice</w:t>
      </w:r>
      <w:bookmarkEnd w:id="5"/>
    </w:p>
    <w:p w14:paraId="3193B575" w14:textId="77777777" w:rsidR="004B3725" w:rsidRDefault="004B3725" w:rsidP="002125FF">
      <w:pPr>
        <w:spacing w:after="0"/>
        <w:jc w:val="both"/>
        <w:rPr>
          <w:rFonts w:ascii="Arial" w:hAnsi="Arial" w:cs="Arial"/>
        </w:rPr>
      </w:pPr>
    </w:p>
    <w:p w14:paraId="0AA50ED1" w14:textId="77777777" w:rsidR="006901B3" w:rsidRPr="006901B3" w:rsidRDefault="006901B3" w:rsidP="002125FF">
      <w:pPr>
        <w:spacing w:after="0"/>
        <w:jc w:val="both"/>
        <w:rPr>
          <w:rFonts w:ascii="Arial" w:hAnsi="Arial" w:cs="Arial"/>
          <w:i/>
        </w:rPr>
      </w:pPr>
      <w:r>
        <w:rPr>
          <w:rFonts w:ascii="Arial" w:hAnsi="Arial" w:cs="Arial"/>
          <w:i/>
        </w:rPr>
        <w:t xml:space="preserve">See background of this topic on page </w:t>
      </w:r>
      <w:r w:rsidR="008528EE">
        <w:rPr>
          <w:rFonts w:ascii="Arial" w:hAnsi="Arial" w:cs="Arial"/>
          <w:i/>
        </w:rPr>
        <w:t>20</w:t>
      </w:r>
    </w:p>
    <w:p w14:paraId="79361C13" w14:textId="77777777" w:rsidR="006901B3" w:rsidRDefault="006901B3" w:rsidP="002125FF">
      <w:pPr>
        <w:spacing w:after="0"/>
        <w:jc w:val="both"/>
        <w:rPr>
          <w:rFonts w:ascii="Arial" w:hAnsi="Arial" w:cs="Arial"/>
        </w:rPr>
      </w:pPr>
    </w:p>
    <w:p w14:paraId="2BDFEEED" w14:textId="77777777" w:rsidR="000C6E9B" w:rsidRPr="000C6E9B" w:rsidRDefault="000C6E9B" w:rsidP="002125FF">
      <w:pPr>
        <w:spacing w:after="0"/>
        <w:jc w:val="both"/>
        <w:rPr>
          <w:rFonts w:ascii="Arial" w:hAnsi="Arial" w:cs="Arial"/>
        </w:rPr>
      </w:pPr>
      <w:r w:rsidRPr="000C6E9B">
        <w:rPr>
          <w:rFonts w:ascii="Arial" w:hAnsi="Arial" w:cs="Arial"/>
        </w:rPr>
        <w:t>1. Support organizations seeking to eliminate the school-to-prison pipeline and explore how to develop a comprehensive state plan to do so.</w:t>
      </w:r>
    </w:p>
    <w:p w14:paraId="48DDD4D6" w14:textId="77777777" w:rsidR="000C6E9B" w:rsidRPr="000C6E9B" w:rsidRDefault="000C6E9B" w:rsidP="002125FF">
      <w:pPr>
        <w:spacing w:after="0"/>
        <w:jc w:val="both"/>
        <w:rPr>
          <w:rFonts w:ascii="Arial" w:hAnsi="Arial" w:cs="Arial"/>
        </w:rPr>
      </w:pPr>
    </w:p>
    <w:p w14:paraId="013AEE50" w14:textId="1297282B" w:rsidR="000C6E9B" w:rsidRPr="000C6E9B" w:rsidRDefault="000C6E9B" w:rsidP="002125FF">
      <w:pPr>
        <w:spacing w:after="0"/>
        <w:ind w:left="720"/>
        <w:jc w:val="both"/>
        <w:rPr>
          <w:rFonts w:ascii="Arial" w:hAnsi="Arial" w:cs="Arial"/>
        </w:rPr>
      </w:pPr>
      <w:r w:rsidRPr="000C6E9B">
        <w:rPr>
          <w:rFonts w:ascii="Arial" w:hAnsi="Arial" w:cs="Arial"/>
        </w:rPr>
        <w:t xml:space="preserve">The school-to-prison pipeline is a pervasive problem that disproportionately </w:t>
      </w:r>
      <w:r w:rsidR="00343712">
        <w:rPr>
          <w:rFonts w:ascii="Arial" w:hAnsi="Arial" w:cs="Arial"/>
        </w:rPr>
        <w:t>a</w:t>
      </w:r>
      <w:r w:rsidRPr="000C6E9B">
        <w:rPr>
          <w:rFonts w:ascii="Arial" w:hAnsi="Arial" w:cs="Arial"/>
        </w:rPr>
        <w:t>ffects LGBTQ youth</w:t>
      </w:r>
      <w:r w:rsidR="00343712">
        <w:rPr>
          <w:rFonts w:ascii="Arial" w:hAnsi="Arial" w:cs="Arial"/>
        </w:rPr>
        <w:t xml:space="preserve"> and youth of color</w:t>
      </w:r>
      <w:r w:rsidRPr="000C6E9B">
        <w:rPr>
          <w:rFonts w:ascii="Arial" w:hAnsi="Arial" w:cs="Arial"/>
        </w:rPr>
        <w:t xml:space="preserve">. The state should support work currently being done and explore a statewide plan that includes considerations of gender and sexuality, such as those presented in </w:t>
      </w:r>
      <w:r w:rsidRPr="006F66DB">
        <w:rPr>
          <w:rFonts w:ascii="Arial" w:hAnsi="Arial" w:cs="Arial"/>
          <w:i/>
        </w:rPr>
        <w:t>Project Focus: Girls of Color</w:t>
      </w:r>
      <w:r w:rsidRPr="000C6E9B">
        <w:rPr>
          <w:rFonts w:ascii="Arial" w:hAnsi="Arial" w:cs="Arial"/>
        </w:rPr>
        <w:t xml:space="preserve">'s recommendations on school culture and discipline reform in Boston-area schools for girls and young women of color. The </w:t>
      </w:r>
      <w:r w:rsidR="00712923">
        <w:rPr>
          <w:rFonts w:ascii="Arial" w:hAnsi="Arial" w:cs="Arial"/>
        </w:rPr>
        <w:t>Commonwealth</w:t>
      </w:r>
      <w:r w:rsidRPr="000C6E9B">
        <w:rPr>
          <w:rFonts w:ascii="Arial" w:hAnsi="Arial" w:cs="Arial"/>
        </w:rPr>
        <w:t xml:space="preserve"> should consider how to </w:t>
      </w:r>
      <w:r w:rsidR="00343712">
        <w:rPr>
          <w:rFonts w:ascii="Arial" w:hAnsi="Arial" w:cs="Arial"/>
        </w:rPr>
        <w:t>allocate</w:t>
      </w:r>
      <w:r w:rsidRPr="000C6E9B">
        <w:rPr>
          <w:rFonts w:ascii="Arial" w:hAnsi="Arial" w:cs="Arial"/>
        </w:rPr>
        <w:t xml:space="preserve"> </w:t>
      </w:r>
      <w:r w:rsidR="00343712">
        <w:rPr>
          <w:rFonts w:ascii="Arial" w:hAnsi="Arial" w:cs="Arial"/>
        </w:rPr>
        <w:t xml:space="preserve">more </w:t>
      </w:r>
      <w:r w:rsidRPr="000C6E9B">
        <w:rPr>
          <w:rFonts w:ascii="Arial" w:hAnsi="Arial" w:cs="Arial"/>
        </w:rPr>
        <w:t xml:space="preserve">resources towards counselors and others trained to implement restorative justice rather </w:t>
      </w:r>
      <w:r w:rsidR="00343712">
        <w:rPr>
          <w:rFonts w:ascii="Arial" w:hAnsi="Arial" w:cs="Arial"/>
        </w:rPr>
        <w:t xml:space="preserve">than to </w:t>
      </w:r>
      <w:r w:rsidR="00712923" w:rsidRPr="00712923">
        <w:rPr>
          <w:rFonts w:ascii="Arial" w:hAnsi="Arial" w:cs="Arial"/>
        </w:rPr>
        <w:t xml:space="preserve">seek additional resources for </w:t>
      </w:r>
      <w:r w:rsidR="00343712">
        <w:rPr>
          <w:rFonts w:ascii="Arial" w:hAnsi="Arial" w:cs="Arial"/>
        </w:rPr>
        <w:t>school resource officers (SROs)</w:t>
      </w:r>
      <w:r w:rsidR="00712923" w:rsidRPr="00712923">
        <w:rPr>
          <w:rFonts w:ascii="Arial" w:hAnsi="Arial" w:cs="Arial"/>
        </w:rPr>
        <w:t xml:space="preserve"> </w:t>
      </w:r>
      <w:r w:rsidR="007A048B">
        <w:rPr>
          <w:rFonts w:ascii="Arial" w:hAnsi="Arial" w:cs="Arial"/>
        </w:rPr>
        <w:t xml:space="preserve">. </w:t>
      </w:r>
      <w:r w:rsidR="006409E8">
        <w:rPr>
          <w:rFonts w:ascii="Arial" w:hAnsi="Arial" w:cs="Arial"/>
        </w:rPr>
        <w:t xml:space="preserve">Eradicating </w:t>
      </w:r>
      <w:r w:rsidR="00D258B4">
        <w:rPr>
          <w:rFonts w:ascii="Arial" w:hAnsi="Arial" w:cs="Arial"/>
        </w:rPr>
        <w:t xml:space="preserve">the </w:t>
      </w:r>
      <w:r w:rsidR="006409E8">
        <w:rPr>
          <w:rFonts w:ascii="Arial" w:hAnsi="Arial" w:cs="Arial"/>
        </w:rPr>
        <w:t>school-to-</w:t>
      </w:r>
      <w:r w:rsidR="00D258B4">
        <w:rPr>
          <w:rFonts w:ascii="Arial" w:hAnsi="Arial" w:cs="Arial"/>
        </w:rPr>
        <w:t xml:space="preserve">pipeline will also require the involvement of other entities involved in youth entering the juvenile and criminal justice systems, such as the child welfare system, which </w:t>
      </w:r>
      <w:r w:rsidR="006409E8">
        <w:rPr>
          <w:rFonts w:ascii="Arial" w:hAnsi="Arial" w:cs="Arial"/>
        </w:rPr>
        <w:t xml:space="preserve">also </w:t>
      </w:r>
      <w:r w:rsidR="00D258B4">
        <w:rPr>
          <w:rFonts w:ascii="Arial" w:hAnsi="Arial" w:cs="Arial"/>
        </w:rPr>
        <w:t>serves a disproportionate number of LGBTQ youth.</w:t>
      </w:r>
    </w:p>
    <w:p w14:paraId="4CD51B00" w14:textId="77777777" w:rsidR="000C6E9B" w:rsidRPr="000C6E9B" w:rsidRDefault="000C6E9B" w:rsidP="002125FF">
      <w:pPr>
        <w:spacing w:after="0"/>
        <w:jc w:val="both"/>
        <w:rPr>
          <w:rFonts w:ascii="Arial" w:hAnsi="Arial" w:cs="Arial"/>
        </w:rPr>
      </w:pPr>
    </w:p>
    <w:p w14:paraId="2679A1B9" w14:textId="55376188" w:rsidR="000C6E9B" w:rsidRPr="000C6E9B" w:rsidRDefault="000C6E9B" w:rsidP="002125FF">
      <w:pPr>
        <w:spacing w:after="0"/>
        <w:jc w:val="both"/>
        <w:rPr>
          <w:rFonts w:ascii="Arial" w:hAnsi="Arial" w:cs="Arial"/>
        </w:rPr>
      </w:pPr>
      <w:r w:rsidRPr="000C6E9B">
        <w:rPr>
          <w:rFonts w:ascii="Arial" w:hAnsi="Arial" w:cs="Arial"/>
        </w:rPr>
        <w:t xml:space="preserve">2. Increase </w:t>
      </w:r>
      <w:r w:rsidR="00551BAF">
        <w:rPr>
          <w:rFonts w:ascii="Arial" w:hAnsi="Arial" w:cs="Arial"/>
        </w:rPr>
        <w:t>collection of data</w:t>
      </w:r>
      <w:r w:rsidRPr="000C6E9B">
        <w:rPr>
          <w:rFonts w:ascii="Arial" w:hAnsi="Arial" w:cs="Arial"/>
        </w:rPr>
        <w:t xml:space="preserve"> on sexual orientation and gender identity throughout the juvenile and criminal justice systems.</w:t>
      </w:r>
    </w:p>
    <w:p w14:paraId="233E0988" w14:textId="77777777" w:rsidR="000C6E9B" w:rsidRPr="000C6E9B" w:rsidRDefault="000C6E9B" w:rsidP="002125FF">
      <w:pPr>
        <w:spacing w:after="0"/>
        <w:jc w:val="both"/>
        <w:rPr>
          <w:rFonts w:ascii="Arial" w:hAnsi="Arial" w:cs="Arial"/>
        </w:rPr>
      </w:pPr>
    </w:p>
    <w:p w14:paraId="1E005949" w14:textId="1CE0D3D5" w:rsidR="000C6E9B" w:rsidRPr="000C6E9B" w:rsidRDefault="000C6E9B" w:rsidP="002125FF">
      <w:pPr>
        <w:spacing w:after="0"/>
        <w:ind w:left="720"/>
        <w:jc w:val="both"/>
        <w:rPr>
          <w:rFonts w:ascii="Arial" w:hAnsi="Arial" w:cs="Arial"/>
        </w:rPr>
      </w:pPr>
      <w:r w:rsidRPr="000C6E9B">
        <w:rPr>
          <w:rFonts w:ascii="Arial" w:hAnsi="Arial" w:cs="Arial"/>
        </w:rPr>
        <w:t xml:space="preserve">Data </w:t>
      </w:r>
      <w:r w:rsidR="00712923">
        <w:rPr>
          <w:rFonts w:ascii="Arial" w:hAnsi="Arial" w:cs="Arial"/>
        </w:rPr>
        <w:t>can provide insight into</w:t>
      </w:r>
      <w:r w:rsidR="00312DB8">
        <w:rPr>
          <w:rFonts w:ascii="Arial" w:hAnsi="Arial" w:cs="Arial"/>
        </w:rPr>
        <w:t xml:space="preserve"> the</w:t>
      </w:r>
      <w:r w:rsidRPr="000C6E9B">
        <w:rPr>
          <w:rFonts w:ascii="Arial" w:hAnsi="Arial" w:cs="Arial"/>
        </w:rPr>
        <w:t xml:space="preserve"> disparities</w:t>
      </w:r>
      <w:r w:rsidR="00712923">
        <w:rPr>
          <w:rFonts w:ascii="Arial" w:hAnsi="Arial" w:cs="Arial"/>
        </w:rPr>
        <w:t xml:space="preserve"> experienced </w:t>
      </w:r>
      <w:r w:rsidR="00213266">
        <w:rPr>
          <w:rFonts w:ascii="Arial" w:hAnsi="Arial" w:cs="Arial"/>
        </w:rPr>
        <w:t xml:space="preserve">and </w:t>
      </w:r>
      <w:r w:rsidR="00804DE4">
        <w:rPr>
          <w:rFonts w:ascii="Arial" w:hAnsi="Arial" w:cs="Arial"/>
        </w:rPr>
        <w:t xml:space="preserve">the </w:t>
      </w:r>
      <w:r w:rsidR="00213266">
        <w:rPr>
          <w:rFonts w:ascii="Arial" w:hAnsi="Arial" w:cs="Arial"/>
        </w:rPr>
        <w:t>needs faced by</w:t>
      </w:r>
      <w:r w:rsidRPr="000C6E9B">
        <w:rPr>
          <w:rFonts w:ascii="Arial" w:hAnsi="Arial" w:cs="Arial"/>
        </w:rPr>
        <w:t xml:space="preserve"> LGBTQ </w:t>
      </w:r>
      <w:r w:rsidR="00712923">
        <w:rPr>
          <w:rFonts w:ascii="Arial" w:hAnsi="Arial" w:cs="Arial"/>
        </w:rPr>
        <w:t>youth</w:t>
      </w:r>
      <w:r w:rsidRPr="000C6E9B">
        <w:rPr>
          <w:rFonts w:ascii="Arial" w:hAnsi="Arial" w:cs="Arial"/>
        </w:rPr>
        <w:t xml:space="preserve"> who are in the juvenile and criminal justice systems. New entities exploring these systems as created by S. 2371 of </w:t>
      </w:r>
      <w:r w:rsidR="00712923">
        <w:rPr>
          <w:rFonts w:ascii="Arial" w:hAnsi="Arial" w:cs="Arial"/>
        </w:rPr>
        <w:t xml:space="preserve">the </w:t>
      </w:r>
      <w:r w:rsidRPr="000C6E9B">
        <w:rPr>
          <w:rFonts w:ascii="Arial" w:hAnsi="Arial" w:cs="Arial"/>
        </w:rPr>
        <w:t>2017-2018</w:t>
      </w:r>
      <w:r w:rsidR="00712923">
        <w:rPr>
          <w:rFonts w:ascii="Arial" w:hAnsi="Arial" w:cs="Arial"/>
        </w:rPr>
        <w:t xml:space="preserve"> legislative session</w:t>
      </w:r>
      <w:r w:rsidRPr="000C6E9B">
        <w:rPr>
          <w:rFonts w:ascii="Arial" w:hAnsi="Arial" w:cs="Arial"/>
        </w:rPr>
        <w:t xml:space="preserve">, such as the special commission </w:t>
      </w:r>
      <w:r w:rsidR="00712923">
        <w:rPr>
          <w:rFonts w:ascii="Arial" w:hAnsi="Arial" w:cs="Arial"/>
        </w:rPr>
        <w:t>regarding</w:t>
      </w:r>
      <w:r w:rsidRPr="000C6E9B">
        <w:rPr>
          <w:rFonts w:ascii="Arial" w:hAnsi="Arial" w:cs="Arial"/>
        </w:rPr>
        <w:t xml:space="preserve"> LGBTQ persons </w:t>
      </w:r>
      <w:r w:rsidR="00712923">
        <w:rPr>
          <w:rFonts w:ascii="Arial" w:hAnsi="Arial" w:cs="Arial"/>
        </w:rPr>
        <w:t xml:space="preserve">in prison </w:t>
      </w:r>
      <w:r w:rsidRPr="000C6E9B">
        <w:rPr>
          <w:rFonts w:ascii="Arial" w:hAnsi="Arial" w:cs="Arial"/>
        </w:rPr>
        <w:t xml:space="preserve">and the </w:t>
      </w:r>
      <w:r w:rsidR="00712923">
        <w:rPr>
          <w:rFonts w:ascii="Arial" w:hAnsi="Arial" w:cs="Arial"/>
        </w:rPr>
        <w:t>J</w:t>
      </w:r>
      <w:r w:rsidRPr="000C6E9B">
        <w:rPr>
          <w:rFonts w:ascii="Arial" w:hAnsi="Arial" w:cs="Arial"/>
        </w:rPr>
        <w:t xml:space="preserve">uvenile </w:t>
      </w:r>
      <w:r w:rsidR="00712923">
        <w:rPr>
          <w:rFonts w:ascii="Arial" w:hAnsi="Arial" w:cs="Arial"/>
        </w:rPr>
        <w:t>J</w:t>
      </w:r>
      <w:r w:rsidRPr="000C6E9B">
        <w:rPr>
          <w:rFonts w:ascii="Arial" w:hAnsi="Arial" w:cs="Arial"/>
        </w:rPr>
        <w:t xml:space="preserve">ustice </w:t>
      </w:r>
      <w:r w:rsidR="00712923">
        <w:rPr>
          <w:rFonts w:ascii="Arial" w:hAnsi="Arial" w:cs="Arial"/>
        </w:rPr>
        <w:t>B</w:t>
      </w:r>
      <w:r w:rsidRPr="000C6E9B">
        <w:rPr>
          <w:rFonts w:ascii="Arial" w:hAnsi="Arial" w:cs="Arial"/>
        </w:rPr>
        <w:t>oard, might be approp</w:t>
      </w:r>
      <w:r w:rsidR="00623437">
        <w:rPr>
          <w:rFonts w:ascii="Arial" w:hAnsi="Arial" w:cs="Arial"/>
        </w:rPr>
        <w:t xml:space="preserve">riate venues to explore options. The state should increase its collection of sexual orientation and gender identity </w:t>
      </w:r>
      <w:r w:rsidR="00C33A87">
        <w:rPr>
          <w:rFonts w:ascii="Arial" w:hAnsi="Arial" w:cs="Arial"/>
        </w:rPr>
        <w:t xml:space="preserve">(SOGI) </w:t>
      </w:r>
      <w:r w:rsidR="00623437">
        <w:rPr>
          <w:rFonts w:ascii="Arial" w:hAnsi="Arial" w:cs="Arial"/>
        </w:rPr>
        <w:t>data wherever possible in the criminal and juvenile justice systems,</w:t>
      </w:r>
      <w:r w:rsidRPr="000C6E9B">
        <w:rPr>
          <w:rFonts w:ascii="Arial" w:hAnsi="Arial" w:cs="Arial"/>
        </w:rPr>
        <w:t xml:space="preserve"> such as the proposal presented in Amen</w:t>
      </w:r>
      <w:r w:rsidR="00623437">
        <w:rPr>
          <w:rFonts w:ascii="Arial" w:hAnsi="Arial" w:cs="Arial"/>
        </w:rPr>
        <w:t xml:space="preserve">dment 57 to S.2185 of </w:t>
      </w:r>
      <w:r w:rsidR="00712923">
        <w:rPr>
          <w:rFonts w:ascii="Arial" w:hAnsi="Arial" w:cs="Arial"/>
        </w:rPr>
        <w:t xml:space="preserve">the </w:t>
      </w:r>
      <w:r w:rsidR="00623437">
        <w:rPr>
          <w:rFonts w:ascii="Arial" w:hAnsi="Arial" w:cs="Arial"/>
        </w:rPr>
        <w:t>2017-2018</w:t>
      </w:r>
      <w:r w:rsidR="00712923">
        <w:rPr>
          <w:rFonts w:ascii="Arial" w:hAnsi="Arial" w:cs="Arial"/>
        </w:rPr>
        <w:t xml:space="preserve"> legislative session</w:t>
      </w:r>
      <w:r w:rsidR="00623437">
        <w:rPr>
          <w:rFonts w:ascii="Arial" w:hAnsi="Arial" w:cs="Arial"/>
        </w:rPr>
        <w:t xml:space="preserve">, which would have mandated that </w:t>
      </w:r>
      <w:r w:rsidR="00C33A87">
        <w:rPr>
          <w:rFonts w:ascii="Arial" w:hAnsi="Arial" w:cs="Arial"/>
        </w:rPr>
        <w:t xml:space="preserve">vital records personnel </w:t>
      </w:r>
      <w:r w:rsidR="00551BAF">
        <w:rPr>
          <w:rFonts w:ascii="Arial" w:hAnsi="Arial" w:cs="Arial"/>
        </w:rPr>
        <w:t>gather</w:t>
      </w:r>
      <w:r w:rsidR="00C33A87">
        <w:rPr>
          <w:rFonts w:ascii="Arial" w:hAnsi="Arial" w:cs="Arial"/>
        </w:rPr>
        <w:t xml:space="preserve"> SOGI data when an individual dies </w:t>
      </w:r>
      <w:r w:rsidR="00312DB8">
        <w:rPr>
          <w:rFonts w:ascii="Arial" w:hAnsi="Arial" w:cs="Arial"/>
        </w:rPr>
        <w:t xml:space="preserve">as the result of a crime or </w:t>
      </w:r>
      <w:r w:rsidR="00C33A87">
        <w:rPr>
          <w:rFonts w:ascii="Arial" w:hAnsi="Arial" w:cs="Arial"/>
        </w:rPr>
        <w:t>while incarcerated.</w:t>
      </w:r>
    </w:p>
    <w:p w14:paraId="0E6E05D0" w14:textId="77777777" w:rsidR="000C6E9B" w:rsidRPr="000C6E9B" w:rsidRDefault="000C6E9B" w:rsidP="002125FF">
      <w:pPr>
        <w:spacing w:after="0"/>
        <w:jc w:val="both"/>
        <w:rPr>
          <w:rFonts w:ascii="Arial" w:hAnsi="Arial" w:cs="Arial"/>
        </w:rPr>
      </w:pPr>
    </w:p>
    <w:p w14:paraId="2DE1AA32" w14:textId="77777777" w:rsidR="000C6E9B" w:rsidRPr="000C6E9B" w:rsidRDefault="000C6E9B" w:rsidP="002125FF">
      <w:pPr>
        <w:spacing w:after="0"/>
        <w:jc w:val="both"/>
        <w:rPr>
          <w:rFonts w:ascii="Arial" w:hAnsi="Arial" w:cs="Arial"/>
        </w:rPr>
      </w:pPr>
      <w:r w:rsidRPr="000C6E9B">
        <w:rPr>
          <w:rFonts w:ascii="Arial" w:hAnsi="Arial" w:cs="Arial"/>
        </w:rPr>
        <w:t xml:space="preserve">3. Ensure that memorandums of understanding (MOUs) regarding school resource officers (SROs) address LGBTQ disparities. </w:t>
      </w:r>
    </w:p>
    <w:p w14:paraId="454B0B64" w14:textId="77777777" w:rsidR="000C6E9B" w:rsidRPr="000C6E9B" w:rsidRDefault="000C6E9B" w:rsidP="002125FF">
      <w:pPr>
        <w:spacing w:after="0"/>
        <w:jc w:val="both"/>
        <w:rPr>
          <w:rFonts w:ascii="Arial" w:hAnsi="Arial" w:cs="Arial"/>
        </w:rPr>
      </w:pPr>
    </w:p>
    <w:p w14:paraId="6B00E340" w14:textId="5560106C" w:rsidR="000C6E9B" w:rsidRPr="000C6E9B" w:rsidRDefault="007A048B" w:rsidP="00841892">
      <w:pPr>
        <w:spacing w:after="0"/>
        <w:ind w:left="720"/>
        <w:jc w:val="both"/>
        <w:rPr>
          <w:rFonts w:ascii="Arial" w:hAnsi="Arial" w:cs="Arial"/>
        </w:rPr>
      </w:pPr>
      <w:r>
        <w:rPr>
          <w:rFonts w:ascii="Arial" w:hAnsi="Arial" w:cs="Arial"/>
        </w:rPr>
        <w:t xml:space="preserve">For schools that choose to use SROs, the </w:t>
      </w:r>
      <w:r w:rsidR="000C6E9B" w:rsidRPr="000C6E9B">
        <w:rPr>
          <w:rFonts w:ascii="Arial" w:hAnsi="Arial" w:cs="Arial"/>
        </w:rPr>
        <w:t>MOUs between chiefs of police and school superint</w:t>
      </w:r>
      <w:r>
        <w:rPr>
          <w:rFonts w:ascii="Arial" w:hAnsi="Arial" w:cs="Arial"/>
        </w:rPr>
        <w:t>endents (</w:t>
      </w:r>
      <w:r w:rsidR="000C6E9B" w:rsidRPr="000C6E9B">
        <w:rPr>
          <w:rFonts w:ascii="Arial" w:hAnsi="Arial" w:cs="Arial"/>
        </w:rPr>
        <w:t xml:space="preserve">as newly required under Section 27 of S. 2371 of </w:t>
      </w:r>
      <w:r w:rsidR="00712923">
        <w:rPr>
          <w:rFonts w:ascii="Arial" w:hAnsi="Arial" w:cs="Arial"/>
        </w:rPr>
        <w:t xml:space="preserve">the </w:t>
      </w:r>
      <w:r w:rsidR="000C6E9B" w:rsidRPr="000C6E9B">
        <w:rPr>
          <w:rFonts w:ascii="Arial" w:hAnsi="Arial" w:cs="Arial"/>
        </w:rPr>
        <w:t>2017-2018</w:t>
      </w:r>
      <w:r w:rsidR="00712923">
        <w:rPr>
          <w:rFonts w:ascii="Arial" w:hAnsi="Arial" w:cs="Arial"/>
        </w:rPr>
        <w:t xml:space="preserve"> legislative session</w:t>
      </w:r>
      <w:r>
        <w:rPr>
          <w:rFonts w:ascii="Arial" w:hAnsi="Arial" w:cs="Arial"/>
        </w:rPr>
        <w:t>)</w:t>
      </w:r>
      <w:r w:rsidR="000C6E9B" w:rsidRPr="000C6E9B">
        <w:rPr>
          <w:rFonts w:ascii="Arial" w:hAnsi="Arial" w:cs="Arial"/>
        </w:rPr>
        <w:t xml:space="preserve"> should be inclusive of the needs facing LGBTQ students. This </w:t>
      </w:r>
      <w:r>
        <w:rPr>
          <w:rFonts w:ascii="Arial" w:hAnsi="Arial" w:cs="Arial"/>
        </w:rPr>
        <w:t>should</w:t>
      </w:r>
      <w:r w:rsidR="000C6E9B" w:rsidRPr="000C6E9B">
        <w:rPr>
          <w:rFonts w:ascii="Arial" w:hAnsi="Arial" w:cs="Arial"/>
        </w:rPr>
        <w:t xml:space="preserve"> include </w:t>
      </w:r>
      <w:r>
        <w:rPr>
          <w:rFonts w:ascii="Arial" w:hAnsi="Arial" w:cs="Arial"/>
        </w:rPr>
        <w:t>a training requirement</w:t>
      </w:r>
      <w:r w:rsidR="006409E8">
        <w:rPr>
          <w:rFonts w:ascii="Arial" w:hAnsi="Arial" w:cs="Arial"/>
        </w:rPr>
        <w:t xml:space="preserve"> for SROs and school staff</w:t>
      </w:r>
      <w:r>
        <w:rPr>
          <w:rFonts w:ascii="Arial" w:hAnsi="Arial" w:cs="Arial"/>
        </w:rPr>
        <w:t xml:space="preserve"> </w:t>
      </w:r>
      <w:r w:rsidR="00CA634C">
        <w:rPr>
          <w:rFonts w:ascii="Arial" w:hAnsi="Arial" w:cs="Arial"/>
        </w:rPr>
        <w:t xml:space="preserve">that includes </w:t>
      </w:r>
      <w:r w:rsidR="000C6E9B" w:rsidRPr="000C6E9B">
        <w:rPr>
          <w:rFonts w:ascii="Arial" w:hAnsi="Arial" w:cs="Arial"/>
        </w:rPr>
        <w:t xml:space="preserve">LGBTQ cultural competency, </w:t>
      </w:r>
      <w:r w:rsidR="006409E8">
        <w:rPr>
          <w:rFonts w:ascii="Arial" w:hAnsi="Arial" w:cs="Arial"/>
        </w:rPr>
        <w:t xml:space="preserve">implicit bias, </w:t>
      </w:r>
      <w:r w:rsidR="000C6E9B" w:rsidRPr="000C6E9B">
        <w:rPr>
          <w:rFonts w:ascii="Arial" w:hAnsi="Arial" w:cs="Arial"/>
        </w:rPr>
        <w:t>best practices for address</w:t>
      </w:r>
      <w:r w:rsidR="006409E8">
        <w:rPr>
          <w:rFonts w:ascii="Arial" w:hAnsi="Arial" w:cs="Arial"/>
        </w:rPr>
        <w:t>ing</w:t>
      </w:r>
      <w:r w:rsidR="000C6E9B" w:rsidRPr="000C6E9B">
        <w:rPr>
          <w:rFonts w:ascii="Arial" w:hAnsi="Arial" w:cs="Arial"/>
        </w:rPr>
        <w:t xml:space="preserve"> bullying, </w:t>
      </w:r>
      <w:r w:rsidR="001D69C5">
        <w:rPr>
          <w:rFonts w:ascii="Arial" w:hAnsi="Arial" w:cs="Arial"/>
        </w:rPr>
        <w:t xml:space="preserve">restorative justice models, </w:t>
      </w:r>
      <w:r w:rsidR="000C6E9B" w:rsidRPr="000C6E9B">
        <w:rPr>
          <w:rFonts w:ascii="Arial" w:hAnsi="Arial" w:cs="Arial"/>
        </w:rPr>
        <w:t xml:space="preserve">and </w:t>
      </w:r>
      <w:r w:rsidR="00884325">
        <w:rPr>
          <w:rFonts w:ascii="Arial" w:hAnsi="Arial" w:cs="Arial"/>
        </w:rPr>
        <w:t>alternatives to</w:t>
      </w:r>
      <w:r w:rsidR="00884325" w:rsidRPr="000C6E9B">
        <w:rPr>
          <w:rFonts w:ascii="Arial" w:hAnsi="Arial" w:cs="Arial"/>
        </w:rPr>
        <w:t xml:space="preserve"> </w:t>
      </w:r>
      <w:r w:rsidR="000C6E9B" w:rsidRPr="000C6E9B">
        <w:rPr>
          <w:rFonts w:ascii="Arial" w:hAnsi="Arial" w:cs="Arial"/>
        </w:rPr>
        <w:t>disciplinary action</w:t>
      </w:r>
      <w:r w:rsidR="00884325">
        <w:rPr>
          <w:rFonts w:ascii="Arial" w:hAnsi="Arial" w:cs="Arial"/>
        </w:rPr>
        <w:t xml:space="preserve">. </w:t>
      </w:r>
      <w:r>
        <w:rPr>
          <w:rFonts w:ascii="Arial" w:hAnsi="Arial" w:cs="Arial"/>
        </w:rPr>
        <w:t xml:space="preserve">Additionally, MOUs should include language about which disciplinary actions can be referred to counselors or restorative justice practitioners </w:t>
      </w:r>
      <w:r w:rsidR="00841892">
        <w:rPr>
          <w:rFonts w:ascii="Arial" w:hAnsi="Arial" w:cs="Arial"/>
        </w:rPr>
        <w:t>instead of</w:t>
      </w:r>
      <w:r>
        <w:rPr>
          <w:rFonts w:ascii="Arial" w:hAnsi="Arial" w:cs="Arial"/>
        </w:rPr>
        <w:t xml:space="preserve"> the juvenile and criminal justice systems</w:t>
      </w:r>
      <w:r w:rsidR="00841892">
        <w:rPr>
          <w:rFonts w:ascii="Arial" w:hAnsi="Arial" w:cs="Arial"/>
        </w:rPr>
        <w:t>.</w:t>
      </w:r>
    </w:p>
    <w:p w14:paraId="1C1B0BFB" w14:textId="77777777" w:rsidR="000C6E9B" w:rsidRPr="000C6E9B" w:rsidRDefault="000C6E9B" w:rsidP="002125FF">
      <w:pPr>
        <w:spacing w:after="0"/>
        <w:jc w:val="both"/>
        <w:rPr>
          <w:rFonts w:ascii="Arial" w:hAnsi="Arial" w:cs="Arial"/>
        </w:rPr>
      </w:pPr>
      <w:r w:rsidRPr="000C6E9B">
        <w:rPr>
          <w:rFonts w:ascii="Arial" w:hAnsi="Arial" w:cs="Arial"/>
        </w:rPr>
        <w:lastRenderedPageBreak/>
        <w:t>4. Decriminalize consensual sexual relations among parties close in age.</w:t>
      </w:r>
    </w:p>
    <w:p w14:paraId="54A76E3B" w14:textId="77777777" w:rsidR="000C6E9B" w:rsidRPr="000C6E9B" w:rsidRDefault="000C6E9B" w:rsidP="002125FF">
      <w:pPr>
        <w:spacing w:after="0"/>
        <w:jc w:val="both"/>
        <w:rPr>
          <w:rFonts w:ascii="Arial" w:hAnsi="Arial" w:cs="Arial"/>
        </w:rPr>
      </w:pPr>
    </w:p>
    <w:p w14:paraId="363CA34D" w14:textId="6162E12A" w:rsidR="000C6E9B" w:rsidRPr="000C6E9B" w:rsidRDefault="000C6E9B" w:rsidP="002125FF">
      <w:pPr>
        <w:spacing w:after="0"/>
        <w:ind w:left="720"/>
        <w:jc w:val="both"/>
        <w:rPr>
          <w:rFonts w:ascii="Arial" w:hAnsi="Arial" w:cs="Arial"/>
        </w:rPr>
      </w:pPr>
      <w:r w:rsidRPr="000C6E9B">
        <w:rPr>
          <w:rFonts w:ascii="Arial" w:hAnsi="Arial" w:cs="Arial"/>
        </w:rPr>
        <w:t xml:space="preserve">Criminalization of consensual sexual relationships between minors discourages use of critical health services and contributes to the school-to-prison pipeline. </w:t>
      </w:r>
      <w:r w:rsidR="00F22C72">
        <w:rPr>
          <w:rFonts w:ascii="Arial" w:hAnsi="Arial" w:cs="Arial"/>
        </w:rPr>
        <w:t>I</w:t>
      </w:r>
      <w:r w:rsidRPr="000C6E9B">
        <w:rPr>
          <w:rFonts w:ascii="Arial" w:hAnsi="Arial" w:cs="Arial"/>
        </w:rPr>
        <w:t xml:space="preserve">t also presents the opportunity for </w:t>
      </w:r>
      <w:r w:rsidR="00F22C72">
        <w:rPr>
          <w:rFonts w:ascii="Arial" w:hAnsi="Arial" w:cs="Arial"/>
        </w:rPr>
        <w:t xml:space="preserve">LGBTQ youth to be targeted with </w:t>
      </w:r>
      <w:r w:rsidRPr="000C6E9B">
        <w:rPr>
          <w:rFonts w:ascii="Arial" w:hAnsi="Arial" w:cs="Arial"/>
        </w:rPr>
        <w:t xml:space="preserve">discriminatory use </w:t>
      </w:r>
      <w:r w:rsidR="00CA634C">
        <w:rPr>
          <w:rFonts w:ascii="Arial" w:hAnsi="Arial" w:cs="Arial"/>
        </w:rPr>
        <w:t xml:space="preserve">of these laws </w:t>
      </w:r>
      <w:r w:rsidRPr="000C6E9B">
        <w:rPr>
          <w:rFonts w:ascii="Arial" w:hAnsi="Arial" w:cs="Arial"/>
        </w:rPr>
        <w:t>as a means of punishing stigmatized relationships between LGBTQ young people. These relationships should be decriminalized with a policy such as that proposed in</w:t>
      </w:r>
      <w:r w:rsidR="00F22C72">
        <w:rPr>
          <w:rFonts w:ascii="Arial" w:hAnsi="Arial" w:cs="Arial"/>
        </w:rPr>
        <w:t xml:space="preserve"> an amendment to</w:t>
      </w:r>
      <w:r w:rsidRPr="000C6E9B">
        <w:rPr>
          <w:rFonts w:ascii="Arial" w:hAnsi="Arial" w:cs="Arial"/>
        </w:rPr>
        <w:t xml:space="preserve"> H.3065 of 2017-2018</w:t>
      </w:r>
      <w:r w:rsidR="00C33A87">
        <w:rPr>
          <w:rFonts w:ascii="Arial" w:hAnsi="Arial" w:cs="Arial"/>
        </w:rPr>
        <w:t>, which would have removed criminal penalties for consensual relations among youth close in age</w:t>
      </w:r>
      <w:r w:rsidRPr="000C6E9B">
        <w:rPr>
          <w:rFonts w:ascii="Arial" w:hAnsi="Arial" w:cs="Arial"/>
        </w:rPr>
        <w:t>.</w:t>
      </w:r>
    </w:p>
    <w:p w14:paraId="4F51A0F5" w14:textId="77777777" w:rsidR="000C6E9B" w:rsidRPr="000C6E9B" w:rsidRDefault="000C6E9B" w:rsidP="002125FF">
      <w:pPr>
        <w:spacing w:after="0"/>
        <w:jc w:val="both"/>
        <w:rPr>
          <w:rFonts w:ascii="Arial" w:hAnsi="Arial" w:cs="Arial"/>
        </w:rPr>
      </w:pPr>
    </w:p>
    <w:p w14:paraId="0998A4A2" w14:textId="77777777" w:rsidR="000C6E9B" w:rsidRPr="000C6E9B" w:rsidRDefault="000C6E9B" w:rsidP="002125FF">
      <w:pPr>
        <w:spacing w:after="0"/>
        <w:jc w:val="both"/>
        <w:rPr>
          <w:rFonts w:ascii="Arial" w:hAnsi="Arial" w:cs="Arial"/>
        </w:rPr>
      </w:pPr>
      <w:r w:rsidRPr="000C6E9B">
        <w:rPr>
          <w:rFonts w:ascii="Arial" w:hAnsi="Arial" w:cs="Arial"/>
        </w:rPr>
        <w:t>5. Issue guidance on reporting consensual sexual relations between minors.</w:t>
      </w:r>
    </w:p>
    <w:p w14:paraId="3FF09539" w14:textId="77777777" w:rsidR="000C6E9B" w:rsidRPr="000C6E9B" w:rsidRDefault="000C6E9B" w:rsidP="002125FF">
      <w:pPr>
        <w:spacing w:after="0"/>
        <w:jc w:val="both"/>
        <w:rPr>
          <w:rFonts w:ascii="Arial" w:hAnsi="Arial" w:cs="Arial"/>
        </w:rPr>
      </w:pPr>
    </w:p>
    <w:p w14:paraId="0B99724B" w14:textId="3EFEBE40" w:rsidR="004B3725" w:rsidRPr="000C6E9B" w:rsidRDefault="000C6E9B" w:rsidP="002125FF">
      <w:pPr>
        <w:spacing w:after="0"/>
        <w:ind w:left="720"/>
        <w:jc w:val="both"/>
        <w:rPr>
          <w:rFonts w:ascii="Arial" w:hAnsi="Arial" w:cs="Arial"/>
        </w:rPr>
      </w:pPr>
      <w:r w:rsidRPr="000C6E9B">
        <w:rPr>
          <w:rFonts w:ascii="Arial" w:hAnsi="Arial" w:cs="Arial"/>
        </w:rPr>
        <w:t>Given the harmful effects of the criminalization of consensual sexual relationships between minors as noted above, state entities can play a role in clarifying when such reporting sh</w:t>
      </w:r>
      <w:r w:rsidR="009B2188">
        <w:rPr>
          <w:rFonts w:ascii="Arial" w:hAnsi="Arial" w:cs="Arial"/>
        </w:rPr>
        <w:t>ould occur</w:t>
      </w:r>
      <w:r w:rsidRPr="000C6E9B">
        <w:rPr>
          <w:rFonts w:ascii="Arial" w:hAnsi="Arial" w:cs="Arial"/>
        </w:rPr>
        <w:t xml:space="preserve"> and in helping make clear to youth when they are </w:t>
      </w:r>
      <w:r w:rsidR="009B2188">
        <w:rPr>
          <w:rFonts w:ascii="Arial" w:hAnsi="Arial" w:cs="Arial"/>
        </w:rPr>
        <w:t>able to seek</w:t>
      </w:r>
      <w:r w:rsidRPr="000C6E9B">
        <w:rPr>
          <w:rFonts w:ascii="Arial" w:hAnsi="Arial" w:cs="Arial"/>
        </w:rPr>
        <w:t xml:space="preserve"> services without fear of </w:t>
      </w:r>
      <w:r w:rsidR="009B2188">
        <w:rPr>
          <w:rFonts w:ascii="Arial" w:hAnsi="Arial" w:cs="Arial"/>
        </w:rPr>
        <w:t>punishment</w:t>
      </w:r>
      <w:r w:rsidRPr="000C6E9B">
        <w:rPr>
          <w:rFonts w:ascii="Arial" w:hAnsi="Arial" w:cs="Arial"/>
        </w:rPr>
        <w:t>.</w:t>
      </w:r>
    </w:p>
    <w:p w14:paraId="18C25EC5" w14:textId="77777777" w:rsidR="004B3725" w:rsidRDefault="004B3725" w:rsidP="002125FF">
      <w:pPr>
        <w:spacing w:after="0"/>
        <w:jc w:val="both"/>
        <w:rPr>
          <w:rFonts w:ascii="Arial" w:hAnsi="Arial" w:cs="Arial"/>
        </w:rPr>
      </w:pPr>
    </w:p>
    <w:p w14:paraId="73BA75E4" w14:textId="77777777" w:rsidR="004B3725" w:rsidRPr="004B3725" w:rsidRDefault="000C6E9B" w:rsidP="002125FF">
      <w:pPr>
        <w:pStyle w:val="Heading2"/>
        <w:jc w:val="both"/>
      </w:pPr>
      <w:bookmarkStart w:id="6" w:name="_Toc512947884"/>
      <w:r>
        <w:t xml:space="preserve">Improving </w:t>
      </w:r>
      <w:r w:rsidR="004B3725">
        <w:t>Health</w:t>
      </w:r>
      <w:bookmarkEnd w:id="6"/>
    </w:p>
    <w:p w14:paraId="5349B339" w14:textId="77777777" w:rsidR="00294445" w:rsidRDefault="0061191B" w:rsidP="002125FF">
      <w:pPr>
        <w:spacing w:after="0"/>
        <w:jc w:val="both"/>
        <w:rPr>
          <w:rFonts w:ascii="Arial" w:hAnsi="Arial" w:cs="Arial"/>
        </w:rPr>
      </w:pPr>
      <w:r>
        <w:rPr>
          <w:noProof/>
        </w:rPr>
        <w:drawing>
          <wp:anchor distT="0" distB="0" distL="114300" distR="114300" simplePos="0" relativeHeight="251740160" behindDoc="1" locked="0" layoutInCell="0" allowOverlap="1" wp14:anchorId="02F46B34" wp14:editId="1357673C">
            <wp:simplePos x="0" y="0"/>
            <wp:positionH relativeFrom="page">
              <wp:posOffset>904875</wp:posOffset>
            </wp:positionH>
            <wp:positionV relativeFrom="page">
              <wp:posOffset>4413059</wp:posOffset>
            </wp:positionV>
            <wp:extent cx="3200400" cy="2413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00400" cy="24130"/>
                    </a:xfrm>
                    <a:prstGeom prst="rect">
                      <a:avLst/>
                    </a:prstGeom>
                    <a:noFill/>
                  </pic:spPr>
                </pic:pic>
              </a:graphicData>
            </a:graphic>
          </wp:anchor>
        </w:drawing>
      </w:r>
    </w:p>
    <w:p w14:paraId="4D6D743D" w14:textId="77777777" w:rsidR="006901B3" w:rsidRPr="006901B3" w:rsidRDefault="006901B3" w:rsidP="002125FF">
      <w:pPr>
        <w:spacing w:after="0"/>
        <w:jc w:val="both"/>
        <w:rPr>
          <w:rFonts w:ascii="Arial" w:hAnsi="Arial" w:cs="Arial"/>
          <w:i/>
        </w:rPr>
      </w:pPr>
      <w:r>
        <w:rPr>
          <w:rFonts w:ascii="Arial" w:hAnsi="Arial" w:cs="Arial"/>
          <w:i/>
        </w:rPr>
        <w:t xml:space="preserve">See background of this topic on page </w:t>
      </w:r>
      <w:r w:rsidR="008528EE">
        <w:rPr>
          <w:rFonts w:ascii="Arial" w:hAnsi="Arial" w:cs="Arial"/>
          <w:i/>
        </w:rPr>
        <w:t>25</w:t>
      </w:r>
    </w:p>
    <w:p w14:paraId="7B111C87" w14:textId="77777777" w:rsidR="00674F57" w:rsidRDefault="00674F57" w:rsidP="002125FF">
      <w:pPr>
        <w:spacing w:after="0"/>
        <w:jc w:val="both"/>
        <w:rPr>
          <w:rFonts w:ascii="Arial" w:hAnsi="Arial" w:cs="Arial"/>
        </w:rPr>
      </w:pPr>
    </w:p>
    <w:p w14:paraId="5A80551D" w14:textId="77777777" w:rsidR="000C6E9B" w:rsidRPr="000C6E9B" w:rsidRDefault="000C6E9B" w:rsidP="002125FF">
      <w:pPr>
        <w:spacing w:after="0"/>
        <w:jc w:val="both"/>
        <w:rPr>
          <w:rFonts w:ascii="Arial" w:hAnsi="Arial" w:cs="Arial"/>
        </w:rPr>
      </w:pPr>
      <w:r w:rsidRPr="000C6E9B">
        <w:rPr>
          <w:rFonts w:ascii="Arial" w:hAnsi="Arial" w:cs="Arial"/>
        </w:rPr>
        <w:t>1. Ban the harmful and discredited</w:t>
      </w:r>
      <w:r w:rsidR="009B2188">
        <w:rPr>
          <w:rFonts w:ascii="Arial" w:hAnsi="Arial" w:cs="Arial"/>
        </w:rPr>
        <w:t xml:space="preserve"> practice of conversion therapy.</w:t>
      </w:r>
    </w:p>
    <w:p w14:paraId="084E0CEF" w14:textId="77777777" w:rsidR="000C6E9B" w:rsidRPr="000C6E9B" w:rsidRDefault="000C6E9B" w:rsidP="002125FF">
      <w:pPr>
        <w:spacing w:after="0"/>
        <w:jc w:val="both"/>
        <w:rPr>
          <w:rFonts w:ascii="Arial" w:hAnsi="Arial" w:cs="Arial"/>
        </w:rPr>
      </w:pPr>
    </w:p>
    <w:p w14:paraId="3552E6AB" w14:textId="34745BF4" w:rsidR="000C6E9B" w:rsidRDefault="000C6E9B" w:rsidP="002125FF">
      <w:pPr>
        <w:spacing w:after="0"/>
        <w:ind w:left="720"/>
        <w:jc w:val="both"/>
        <w:rPr>
          <w:rFonts w:ascii="Arial" w:hAnsi="Arial" w:cs="Arial"/>
        </w:rPr>
      </w:pPr>
      <w:r w:rsidRPr="000C6E9B">
        <w:rPr>
          <w:rFonts w:ascii="Arial" w:hAnsi="Arial" w:cs="Arial"/>
        </w:rPr>
        <w:t xml:space="preserve">Eleven states and the District of Columbia have banned the practice of “conversion therapy” against minors, </w:t>
      </w:r>
      <w:r w:rsidR="009B2188" w:rsidRPr="009B2188">
        <w:rPr>
          <w:rFonts w:ascii="Arial" w:hAnsi="Arial" w:cs="Arial"/>
        </w:rPr>
        <w:t xml:space="preserve">in which attempts are made to change the sexual orientation or gender identity of young people. </w:t>
      </w:r>
      <w:r w:rsidR="00E50173">
        <w:rPr>
          <w:rFonts w:ascii="Arial" w:hAnsi="Arial" w:cs="Arial"/>
        </w:rPr>
        <w:t>Prohibiting</w:t>
      </w:r>
      <w:r w:rsidR="002550C8">
        <w:rPr>
          <w:rFonts w:ascii="Arial" w:hAnsi="Arial" w:cs="Arial"/>
        </w:rPr>
        <w:t xml:space="preserve"> </w:t>
      </w:r>
      <w:r w:rsidR="0033297F">
        <w:rPr>
          <w:rFonts w:ascii="Arial" w:hAnsi="Arial" w:cs="Arial"/>
        </w:rPr>
        <w:t>conversion therapy</w:t>
      </w:r>
      <w:r w:rsidR="00851126" w:rsidRPr="00851126">
        <w:rPr>
          <w:rFonts w:ascii="Arial" w:hAnsi="Arial" w:cs="Arial"/>
        </w:rPr>
        <w:t xml:space="preserve"> protect</w:t>
      </w:r>
      <w:r w:rsidR="002550C8">
        <w:rPr>
          <w:rFonts w:ascii="Arial" w:hAnsi="Arial" w:cs="Arial"/>
        </w:rPr>
        <w:t>s</w:t>
      </w:r>
      <w:r w:rsidR="00851126" w:rsidRPr="00851126">
        <w:rPr>
          <w:rFonts w:ascii="Arial" w:hAnsi="Arial" w:cs="Arial"/>
        </w:rPr>
        <w:t xml:space="preserve"> children and adolescents from </w:t>
      </w:r>
      <w:r w:rsidR="00851126">
        <w:rPr>
          <w:rFonts w:ascii="Arial" w:hAnsi="Arial" w:cs="Arial"/>
        </w:rPr>
        <w:t>being subjected</w:t>
      </w:r>
      <w:r w:rsidR="00851126" w:rsidRPr="00851126">
        <w:rPr>
          <w:rFonts w:ascii="Arial" w:hAnsi="Arial" w:cs="Arial"/>
        </w:rPr>
        <w:t xml:space="preserve"> to harm through a practice that has proven not to work, inflicts suffering, and is outside the bounds of ethical or acceptable medical practice.</w:t>
      </w:r>
      <w:r w:rsidR="00851126">
        <w:rPr>
          <w:rFonts w:ascii="Arial" w:hAnsi="Arial" w:cs="Arial"/>
        </w:rPr>
        <w:t xml:space="preserve"> </w:t>
      </w:r>
      <w:r w:rsidRPr="000C6E9B">
        <w:rPr>
          <w:rFonts w:ascii="Arial" w:hAnsi="Arial" w:cs="Arial"/>
        </w:rPr>
        <w:t xml:space="preserve">The Commission urges Massachusetts to protect youth from </w:t>
      </w:r>
      <w:r w:rsidR="00851126">
        <w:rPr>
          <w:rFonts w:ascii="Arial" w:hAnsi="Arial" w:cs="Arial"/>
        </w:rPr>
        <w:t>this harm</w:t>
      </w:r>
      <w:r w:rsidRPr="000C6E9B">
        <w:rPr>
          <w:rFonts w:ascii="Arial" w:hAnsi="Arial" w:cs="Arial"/>
        </w:rPr>
        <w:t>, ideally by passing legislation, such as H.1190 of 2017-2018.</w:t>
      </w:r>
    </w:p>
    <w:p w14:paraId="486810A7" w14:textId="33456135" w:rsidR="009B2188" w:rsidRDefault="009619C1" w:rsidP="008159A7">
      <w:pPr>
        <w:spacing w:after="0"/>
        <w:jc w:val="both"/>
        <w:rPr>
          <w:rFonts w:ascii="Arial" w:hAnsi="Arial" w:cs="Arial"/>
        </w:rPr>
      </w:pPr>
      <w:r>
        <w:rPr>
          <w:rFonts w:ascii="Arial" w:hAnsi="Arial" w:cs="Arial"/>
          <w:noProof/>
        </w:rPr>
        <mc:AlternateContent>
          <mc:Choice Requires="wps">
            <w:drawing>
              <wp:anchor distT="0" distB="0" distL="114300" distR="114300" simplePos="0" relativeHeight="251681792" behindDoc="0" locked="0" layoutInCell="1" allowOverlap="1" wp14:anchorId="1489C373" wp14:editId="1473A31E">
                <wp:simplePos x="0" y="0"/>
                <wp:positionH relativeFrom="column">
                  <wp:posOffset>-12700</wp:posOffset>
                </wp:positionH>
                <wp:positionV relativeFrom="paragraph">
                  <wp:posOffset>151765</wp:posOffset>
                </wp:positionV>
                <wp:extent cx="6003925" cy="1397000"/>
                <wp:effectExtent l="0" t="0" r="15875" b="127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925" cy="1397000"/>
                        </a:xfrm>
                        <a:prstGeom prst="rect">
                          <a:avLst/>
                        </a:prstGeom>
                        <a:solidFill>
                          <a:srgbClr val="FFFFFF"/>
                        </a:solidFill>
                        <a:ln w="19050">
                          <a:solidFill>
                            <a:srgbClr val="FFBC37"/>
                          </a:solidFill>
                          <a:miter lim="800000"/>
                          <a:headEnd/>
                          <a:tailEnd/>
                        </a:ln>
                      </wps:spPr>
                      <wps:txbx>
                        <w:txbxContent>
                          <w:p w14:paraId="09B9996D" w14:textId="58A3EE2D" w:rsidR="00411ECA" w:rsidRPr="00467ECB" w:rsidRDefault="00411ECA" w:rsidP="00C84E4E">
                            <w:pPr>
                              <w:pStyle w:val="CommentText"/>
                              <w:spacing w:line="276" w:lineRule="auto"/>
                              <w:jc w:val="both"/>
                              <w:rPr>
                                <w:rFonts w:ascii="Arial" w:hAnsi="Arial" w:cs="Arial"/>
                                <w:i/>
                                <w:sz w:val="22"/>
                                <w:szCs w:val="22"/>
                                <w:shd w:val="clear" w:color="auto" w:fill="FFFFFF"/>
                              </w:rPr>
                            </w:pPr>
                            <w:r w:rsidRPr="00467ECB">
                              <w:rPr>
                                <w:rFonts w:ascii="Arial" w:hAnsi="Arial" w:cs="Arial"/>
                                <w:i/>
                                <w:sz w:val="22"/>
                                <w:szCs w:val="22"/>
                              </w:rPr>
                              <w:t>“</w:t>
                            </w:r>
                            <w:r w:rsidRPr="00467ECB">
                              <w:rPr>
                                <w:rFonts w:ascii="Arial" w:hAnsi="Arial" w:cs="Arial"/>
                                <w:i/>
                                <w:sz w:val="22"/>
                                <w:szCs w:val="22"/>
                                <w:shd w:val="clear" w:color="auto" w:fill="FFFFFF"/>
                              </w:rPr>
                              <w:t>Conversion therapy has proven to be psychologically damaging to LGBTQ youth and poses a public health risk in mental health to a vulnerable population. Massachusetts should be leading on this issue, especially since the Commonwealth has enacted successful anti-bullying and anti-discrimination laws. The LGBTQ youth of Massachusetts can’t wait any longer</w:t>
                            </w:r>
                            <w:r w:rsidR="00CA634C">
                              <w:rPr>
                                <w:rFonts w:ascii="Arial" w:hAnsi="Arial" w:cs="Arial"/>
                                <w:i/>
                                <w:sz w:val="22"/>
                                <w:szCs w:val="22"/>
                                <w:shd w:val="clear" w:color="auto" w:fill="FFFFFF"/>
                              </w:rPr>
                              <w:t>.</w:t>
                            </w:r>
                            <w:r w:rsidRPr="00467ECB">
                              <w:rPr>
                                <w:rFonts w:ascii="Arial" w:hAnsi="Arial" w:cs="Arial"/>
                                <w:i/>
                                <w:sz w:val="22"/>
                                <w:szCs w:val="22"/>
                                <w:shd w:val="clear" w:color="auto" w:fill="FFFFFF"/>
                              </w:rPr>
                              <w:t>”</w:t>
                            </w:r>
                          </w:p>
                          <w:p w14:paraId="303F9B01" w14:textId="77777777" w:rsidR="00411ECA" w:rsidRPr="00467ECB" w:rsidRDefault="00411ECA" w:rsidP="00674F57">
                            <w:pPr>
                              <w:pStyle w:val="CommentText"/>
                              <w:spacing w:line="276" w:lineRule="auto"/>
                              <w:rPr>
                                <w:rFonts w:ascii="Arial" w:hAnsi="Arial" w:cs="Arial"/>
                                <w:sz w:val="22"/>
                                <w:szCs w:val="22"/>
                                <w:shd w:val="clear" w:color="auto" w:fill="FFFFFF"/>
                              </w:rPr>
                            </w:pPr>
                            <w:r w:rsidRPr="00467ECB">
                              <w:rPr>
                                <w:rFonts w:ascii="Arial" w:hAnsi="Arial" w:cs="Arial"/>
                                <w:sz w:val="22"/>
                                <w:szCs w:val="22"/>
                                <w:shd w:val="clear" w:color="auto" w:fill="FFFFFF"/>
                              </w:rPr>
                              <w:t xml:space="preserve"> </w:t>
                            </w:r>
                            <w:r w:rsidRPr="00467ECB">
                              <w:rPr>
                                <w:rFonts w:ascii="Arial" w:hAnsi="Arial" w:cs="Arial"/>
                              </w:rPr>
                              <w:t xml:space="preserve">– </w:t>
                            </w:r>
                            <w:r>
                              <w:rPr>
                                <w:rFonts w:ascii="Arial" w:hAnsi="Arial" w:cs="Arial"/>
                                <w:sz w:val="22"/>
                                <w:szCs w:val="22"/>
                                <w:shd w:val="clear" w:color="auto" w:fill="FFFFFF"/>
                              </w:rPr>
                              <w:t>Youth Advocate</w:t>
                            </w:r>
                            <w:r w:rsidRPr="00467ECB">
                              <w:rPr>
                                <w:rFonts w:ascii="Arial" w:hAnsi="Arial" w:cs="Arial"/>
                                <w:sz w:val="22"/>
                                <w:szCs w:val="22"/>
                                <w:shd w:val="clear" w:color="auto" w:fill="FFFFFF"/>
                              </w:rPr>
                              <w:t>, Greater Boston</w:t>
                            </w:r>
                          </w:p>
                          <w:p w14:paraId="132A35E1" w14:textId="77777777" w:rsidR="00411ECA" w:rsidRDefault="00411ECA" w:rsidP="00674F57"/>
                          <w:p w14:paraId="5561BB46" w14:textId="77777777" w:rsidR="00411ECA" w:rsidRDefault="00411ECA" w:rsidP="00674F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pt;margin-top:11.95pt;width:472.75pt;height:11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" strokecolor="#ffbc37" strokeweight="1.5pt">
                <v:textbox>
                  <w:txbxContent>
                    <w:p w14:paraId="09B9996D" w14:textId="58A3EE2D" w:rsidR="00411ECA" w:rsidRPr="00467ECB" w:rsidRDefault="00411ECA" w:rsidP="00C84E4E">
                      <w:pPr>
                        <w:pStyle w:val="CommentText"/>
                        <w:spacing w:line="276" w:lineRule="auto"/>
                        <w:jc w:val="both"/>
                        <w:rPr>
                          <w:rFonts w:ascii="Arial" w:hAnsi="Arial" w:cs="Arial"/>
                          <w:i/>
                          <w:sz w:val="22"/>
                          <w:szCs w:val="22"/>
                          <w:shd w:val="clear" w:color="auto" w:fill="FFFFFF"/>
                        </w:rPr>
                      </w:pPr>
                      <w:r w:rsidRPr="00467ECB">
                        <w:rPr>
                          <w:rFonts w:ascii="Arial" w:hAnsi="Arial" w:cs="Arial"/>
                          <w:i/>
                          <w:sz w:val="22"/>
                          <w:szCs w:val="22"/>
                        </w:rPr>
                        <w:t>“</w:t>
                      </w:r>
                      <w:r w:rsidRPr="00467ECB">
                        <w:rPr>
                          <w:rFonts w:ascii="Arial" w:hAnsi="Arial" w:cs="Arial"/>
                          <w:i/>
                          <w:sz w:val="22"/>
                          <w:szCs w:val="22"/>
                          <w:shd w:val="clear" w:color="auto" w:fill="FFFFFF"/>
                        </w:rPr>
                        <w:t>Conversion therapy has proven to be psychologically damaging to LGBTQ youth and poses a public health risk in mental health to a vulnerable population. Massachusetts should be leading on this issue, especially since the Commonwealth has enacted successful anti-bullying and anti-discrimination laws. The LGBTQ youth of Massachusetts can’t wait any longer</w:t>
                      </w:r>
                      <w:r w:rsidR="00CA634C">
                        <w:rPr>
                          <w:rFonts w:ascii="Arial" w:hAnsi="Arial" w:cs="Arial"/>
                          <w:i/>
                          <w:sz w:val="22"/>
                          <w:szCs w:val="22"/>
                          <w:shd w:val="clear" w:color="auto" w:fill="FFFFFF"/>
                        </w:rPr>
                        <w:t>.</w:t>
                      </w:r>
                      <w:r w:rsidRPr="00467ECB">
                        <w:rPr>
                          <w:rFonts w:ascii="Arial" w:hAnsi="Arial" w:cs="Arial"/>
                          <w:i/>
                          <w:sz w:val="22"/>
                          <w:szCs w:val="22"/>
                          <w:shd w:val="clear" w:color="auto" w:fill="FFFFFF"/>
                        </w:rPr>
                        <w:t>”</w:t>
                      </w:r>
                    </w:p>
                    <w:p w14:paraId="303F9B01" w14:textId="77777777" w:rsidR="00411ECA" w:rsidRPr="00467ECB" w:rsidRDefault="00411ECA" w:rsidP="00674F57">
                      <w:pPr>
                        <w:pStyle w:val="CommentText"/>
                        <w:spacing w:line="276" w:lineRule="auto"/>
                        <w:rPr>
                          <w:rFonts w:ascii="Arial" w:hAnsi="Arial" w:cs="Arial"/>
                          <w:sz w:val="22"/>
                          <w:szCs w:val="22"/>
                          <w:shd w:val="clear" w:color="auto" w:fill="FFFFFF"/>
                        </w:rPr>
                      </w:pPr>
                      <w:r w:rsidRPr="00467ECB">
                        <w:rPr>
                          <w:rFonts w:ascii="Arial" w:hAnsi="Arial" w:cs="Arial"/>
                          <w:sz w:val="22"/>
                          <w:szCs w:val="22"/>
                          <w:shd w:val="clear" w:color="auto" w:fill="FFFFFF"/>
                        </w:rPr>
                        <w:t xml:space="preserve"> </w:t>
                      </w:r>
                      <w:r w:rsidRPr="00467ECB">
                        <w:rPr>
                          <w:rFonts w:ascii="Arial" w:hAnsi="Arial" w:cs="Arial"/>
                        </w:rPr>
                        <w:t xml:space="preserve">– </w:t>
                      </w:r>
                      <w:r>
                        <w:rPr>
                          <w:rFonts w:ascii="Arial" w:hAnsi="Arial" w:cs="Arial"/>
                          <w:sz w:val="22"/>
                          <w:szCs w:val="22"/>
                          <w:shd w:val="clear" w:color="auto" w:fill="FFFFFF"/>
                        </w:rPr>
                        <w:t>Youth Advocate</w:t>
                      </w:r>
                      <w:r w:rsidRPr="00467ECB">
                        <w:rPr>
                          <w:rFonts w:ascii="Arial" w:hAnsi="Arial" w:cs="Arial"/>
                          <w:sz w:val="22"/>
                          <w:szCs w:val="22"/>
                          <w:shd w:val="clear" w:color="auto" w:fill="FFFFFF"/>
                        </w:rPr>
                        <w:t>, Greater Boston</w:t>
                      </w:r>
                    </w:p>
                    <w:p w14:paraId="132A35E1" w14:textId="77777777" w:rsidR="00411ECA" w:rsidRDefault="00411ECA" w:rsidP="00674F57"/>
                    <w:p w14:paraId="5561BB46" w14:textId="77777777" w:rsidR="00411ECA" w:rsidRDefault="00411ECA" w:rsidP="00674F57"/>
                  </w:txbxContent>
                </v:textbox>
                <w10:wrap type="square"/>
              </v:shape>
            </w:pict>
          </mc:Fallback>
        </mc:AlternateContent>
      </w:r>
    </w:p>
    <w:p w14:paraId="5B53AB09" w14:textId="2964F19C" w:rsidR="000C6E9B" w:rsidRPr="000C6E9B" w:rsidRDefault="000C6E9B" w:rsidP="002125FF">
      <w:pPr>
        <w:spacing w:after="0"/>
        <w:jc w:val="both"/>
        <w:rPr>
          <w:rFonts w:ascii="Arial" w:hAnsi="Arial" w:cs="Arial"/>
        </w:rPr>
      </w:pPr>
      <w:r w:rsidRPr="000C6E9B">
        <w:rPr>
          <w:rFonts w:ascii="Arial" w:hAnsi="Arial" w:cs="Arial"/>
        </w:rPr>
        <w:t>2. Ensure that comprehensive, age-appropriate, and LGBTQ-inclusive sexual health education</w:t>
      </w:r>
      <w:r w:rsidR="00CA634C">
        <w:rPr>
          <w:rFonts w:ascii="Arial" w:hAnsi="Arial" w:cs="Arial"/>
        </w:rPr>
        <w:t xml:space="preserve"> is</w:t>
      </w:r>
      <w:r w:rsidRPr="000C6E9B">
        <w:rPr>
          <w:rFonts w:ascii="Arial" w:hAnsi="Arial" w:cs="Arial"/>
        </w:rPr>
        <w:t xml:space="preserve"> </w:t>
      </w:r>
      <w:r w:rsidR="00F22C72">
        <w:rPr>
          <w:rFonts w:ascii="Arial" w:hAnsi="Arial" w:cs="Arial"/>
        </w:rPr>
        <w:t>given</w:t>
      </w:r>
      <w:r w:rsidR="00035184" w:rsidRPr="000C6E9B">
        <w:rPr>
          <w:rFonts w:ascii="Arial" w:hAnsi="Arial" w:cs="Arial"/>
        </w:rPr>
        <w:t xml:space="preserve"> </w:t>
      </w:r>
      <w:r w:rsidRPr="000C6E9B">
        <w:rPr>
          <w:rFonts w:ascii="Arial" w:hAnsi="Arial" w:cs="Arial"/>
        </w:rPr>
        <w:t>in every school district and supported with adequate funding.</w:t>
      </w:r>
    </w:p>
    <w:p w14:paraId="33D56657" w14:textId="77777777" w:rsidR="000C6E9B" w:rsidRPr="000C6E9B" w:rsidRDefault="000C6E9B" w:rsidP="002125FF">
      <w:pPr>
        <w:spacing w:after="0"/>
        <w:jc w:val="both"/>
        <w:rPr>
          <w:rFonts w:ascii="Arial" w:hAnsi="Arial" w:cs="Arial"/>
        </w:rPr>
      </w:pPr>
    </w:p>
    <w:p w14:paraId="23185F57" w14:textId="2C4B1CFD" w:rsidR="006533EB" w:rsidRDefault="000C6E9B" w:rsidP="00F22C72">
      <w:pPr>
        <w:ind w:left="720"/>
        <w:jc w:val="both"/>
        <w:rPr>
          <w:rFonts w:ascii="Arial" w:hAnsi="Arial" w:cs="Arial"/>
        </w:rPr>
      </w:pPr>
      <w:r w:rsidRPr="000C6E9B">
        <w:rPr>
          <w:rFonts w:ascii="Arial" w:hAnsi="Arial" w:cs="Arial"/>
        </w:rPr>
        <w:lastRenderedPageBreak/>
        <w:t>LGBTQ youth, especially those in areas that lack LGBTQ-focused health clinic</w:t>
      </w:r>
      <w:r w:rsidR="00B422C6">
        <w:rPr>
          <w:rFonts w:ascii="Arial" w:hAnsi="Arial" w:cs="Arial"/>
        </w:rPr>
        <w:t xml:space="preserve">s, rely on schools to provide </w:t>
      </w:r>
      <w:r w:rsidRPr="000C6E9B">
        <w:rPr>
          <w:rFonts w:ascii="Arial" w:hAnsi="Arial" w:cs="Arial"/>
        </w:rPr>
        <w:t>basic education</w:t>
      </w:r>
      <w:r w:rsidR="007A048B">
        <w:rPr>
          <w:rFonts w:ascii="Arial" w:hAnsi="Arial" w:cs="Arial"/>
        </w:rPr>
        <w:t xml:space="preserve"> on sexual health. Not only do</w:t>
      </w:r>
      <w:r w:rsidR="009B2188">
        <w:rPr>
          <w:rFonts w:ascii="Arial" w:hAnsi="Arial" w:cs="Arial"/>
        </w:rPr>
        <w:t>es</w:t>
      </w:r>
      <w:r w:rsidR="00CA634C">
        <w:rPr>
          <w:rFonts w:ascii="Arial" w:hAnsi="Arial" w:cs="Arial"/>
        </w:rPr>
        <w:t xml:space="preserve"> sexual health education </w:t>
      </w:r>
      <w:r w:rsidRPr="000C6E9B">
        <w:rPr>
          <w:rFonts w:ascii="Arial" w:hAnsi="Arial" w:cs="Arial"/>
        </w:rPr>
        <w:t xml:space="preserve">need to be inclusive and comprehensive, but </w:t>
      </w:r>
      <w:r w:rsidR="009B2188">
        <w:rPr>
          <w:rFonts w:ascii="Arial" w:hAnsi="Arial" w:cs="Arial"/>
        </w:rPr>
        <w:t>it</w:t>
      </w:r>
      <w:r w:rsidRPr="000C6E9B">
        <w:rPr>
          <w:rFonts w:ascii="Arial" w:hAnsi="Arial" w:cs="Arial"/>
        </w:rPr>
        <w:t xml:space="preserve"> also must be provided at every school. To facilitate this, the state should ensure that adequate funding is allocated to </w:t>
      </w:r>
      <w:r w:rsidR="009B2188">
        <w:rPr>
          <w:rFonts w:ascii="Arial" w:hAnsi="Arial" w:cs="Arial"/>
        </w:rPr>
        <w:t>support</w:t>
      </w:r>
      <w:r w:rsidRPr="000C6E9B">
        <w:rPr>
          <w:rFonts w:ascii="Arial" w:hAnsi="Arial" w:cs="Arial"/>
        </w:rPr>
        <w:t xml:space="preserve"> sexual</w:t>
      </w:r>
      <w:r w:rsidR="00E376AC">
        <w:rPr>
          <w:rFonts w:ascii="Arial" w:hAnsi="Arial" w:cs="Arial"/>
        </w:rPr>
        <w:t xml:space="preserve"> health programming in schools, </w:t>
      </w:r>
      <w:r w:rsidRPr="000C6E9B">
        <w:rPr>
          <w:rFonts w:ascii="Arial" w:hAnsi="Arial" w:cs="Arial"/>
        </w:rPr>
        <w:t xml:space="preserve">and </w:t>
      </w:r>
      <w:r w:rsidR="00B422C6">
        <w:rPr>
          <w:rFonts w:ascii="Arial" w:hAnsi="Arial" w:cs="Arial"/>
        </w:rPr>
        <w:t>supplement the state budget in areas where federal cuts might otherwise</w:t>
      </w:r>
      <w:r w:rsidRPr="000C6E9B">
        <w:rPr>
          <w:rFonts w:ascii="Arial" w:hAnsi="Arial" w:cs="Arial"/>
        </w:rPr>
        <w:t xml:space="preserve"> result in a reduction in staffing. </w:t>
      </w:r>
    </w:p>
    <w:p w14:paraId="790E4CE4" w14:textId="01B68B8E" w:rsidR="006533EB" w:rsidRPr="000C6E9B" w:rsidRDefault="009619C1" w:rsidP="002125FF">
      <w:pPr>
        <w:spacing w:after="0"/>
        <w:ind w:left="720"/>
        <w:jc w:val="both"/>
        <w:rPr>
          <w:rFonts w:ascii="Arial" w:hAnsi="Arial" w:cs="Arial"/>
        </w:rPr>
      </w:pPr>
      <w:r>
        <w:rPr>
          <w:rFonts w:ascii="Arial" w:hAnsi="Arial" w:cs="Arial"/>
          <w:noProof/>
        </w:rPr>
        <mc:AlternateContent>
          <mc:Choice Requires="wps">
            <w:drawing>
              <wp:anchor distT="0" distB="0" distL="114300" distR="114300" simplePos="0" relativeHeight="251683840" behindDoc="0" locked="0" layoutInCell="1" allowOverlap="1" wp14:anchorId="041BC881" wp14:editId="4D599BB0">
                <wp:simplePos x="0" y="0"/>
                <wp:positionH relativeFrom="column">
                  <wp:posOffset>25400</wp:posOffset>
                </wp:positionH>
                <wp:positionV relativeFrom="paragraph">
                  <wp:posOffset>135255</wp:posOffset>
                </wp:positionV>
                <wp:extent cx="5937250" cy="1104900"/>
                <wp:effectExtent l="0" t="0" r="2540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7250" cy="1104900"/>
                        </a:xfrm>
                        <a:prstGeom prst="rect">
                          <a:avLst/>
                        </a:prstGeom>
                        <a:solidFill>
                          <a:schemeClr val="lt1"/>
                        </a:solidFill>
                        <a:ln w="19050">
                          <a:solidFill>
                            <a:srgbClr val="FFBC37"/>
                          </a:solidFill>
                        </a:ln>
                      </wps:spPr>
                      <wps:txbx>
                        <w:txbxContent>
                          <w:p w14:paraId="20FB8315" w14:textId="77777777" w:rsidR="00411ECA" w:rsidRPr="00467ECB" w:rsidRDefault="00411ECA" w:rsidP="00C84E4E">
                            <w:pPr>
                              <w:contextualSpacing/>
                              <w:jc w:val="both"/>
                              <w:rPr>
                                <w:rFonts w:ascii="Arial" w:hAnsi="Arial" w:cs="Arial"/>
                                <w:i/>
                              </w:rPr>
                            </w:pPr>
                            <w:r w:rsidRPr="00467ECB">
                              <w:rPr>
                                <w:rFonts w:ascii="Arial" w:hAnsi="Arial" w:cs="Arial"/>
                                <w:i/>
                              </w:rPr>
                              <w:t>“</w:t>
                            </w:r>
                            <w:r>
                              <w:rPr>
                                <w:rFonts w:ascii="Arial" w:hAnsi="Arial" w:cs="Arial"/>
                                <w:i/>
                              </w:rPr>
                              <w:t>Q</w:t>
                            </w:r>
                            <w:r w:rsidRPr="00467ECB">
                              <w:rPr>
                                <w:rFonts w:ascii="Arial" w:hAnsi="Arial" w:cs="Arial"/>
                                <w:i/>
                              </w:rPr>
                              <w:t>ueer</w:t>
                            </w:r>
                            <w:r>
                              <w:rPr>
                                <w:rFonts w:ascii="Arial" w:hAnsi="Arial" w:cs="Arial"/>
                                <w:i/>
                              </w:rPr>
                              <w:t xml:space="preserve">-inclusive sex </w:t>
                            </w:r>
                            <w:r w:rsidRPr="00467ECB">
                              <w:rPr>
                                <w:rFonts w:ascii="Arial" w:hAnsi="Arial" w:cs="Arial"/>
                                <w:i/>
                              </w:rPr>
                              <w:t>ed is important because without it, there is no way for queer kids, without the resources, to know themselves to practice safe sex. In addition, proper queer sex</w:t>
                            </w:r>
                            <w:r>
                              <w:rPr>
                                <w:rFonts w:ascii="Arial" w:hAnsi="Arial" w:cs="Arial"/>
                                <w:i/>
                              </w:rPr>
                              <w:t xml:space="preserve"> ed would help destigmatize… </w:t>
                            </w:r>
                            <w:r w:rsidRPr="00467ECB">
                              <w:rPr>
                                <w:rFonts w:ascii="Arial" w:hAnsi="Arial" w:cs="Arial"/>
                                <w:i/>
                              </w:rPr>
                              <w:t>queer relationships.”</w:t>
                            </w:r>
                          </w:p>
                          <w:p w14:paraId="6BE0896E" w14:textId="77777777" w:rsidR="00411ECA" w:rsidRPr="00467ECB" w:rsidRDefault="00411ECA" w:rsidP="006533EB">
                            <w:pPr>
                              <w:contextualSpacing/>
                              <w:rPr>
                                <w:rFonts w:ascii="Arial" w:hAnsi="Arial" w:cs="Arial"/>
                              </w:rPr>
                            </w:pPr>
                          </w:p>
                          <w:p w14:paraId="200521C5" w14:textId="77777777" w:rsidR="00411ECA" w:rsidRPr="00467ECB" w:rsidRDefault="00411ECA" w:rsidP="006533EB">
                            <w:pPr>
                              <w:contextualSpacing/>
                              <w:rPr>
                                <w:rFonts w:ascii="Arial" w:hAnsi="Arial" w:cs="Arial"/>
                              </w:rPr>
                            </w:pPr>
                            <w:r w:rsidRPr="00467ECB">
                              <w:rPr>
                                <w:rFonts w:ascii="Arial" w:hAnsi="Arial" w:cs="Arial"/>
                              </w:rPr>
                              <w:t xml:space="preserve"> – High school student, GSA Leadership Council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0" type="#_x0000_t202" style="position:absolute;left:0;text-align:left;margin-left:2pt;margin-top:10.65pt;width:467.5pt;height:8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" fillcolor="white [3201]" strokecolor="#ffbc37" strokeweight="1.5pt">
                <v:path arrowok="t"/>
                <v:textbox>
                  <w:txbxContent>
                    <w:p w14:paraId="20FB8315" w14:textId="77777777" w:rsidR="00411ECA" w:rsidRPr="00467ECB" w:rsidRDefault="00411ECA" w:rsidP="00C84E4E">
                      <w:pPr>
                        <w:contextualSpacing/>
                        <w:jc w:val="both"/>
                        <w:rPr>
                          <w:rFonts w:ascii="Arial" w:hAnsi="Arial" w:cs="Arial"/>
                          <w:i/>
                        </w:rPr>
                      </w:pPr>
                      <w:r w:rsidRPr="00467ECB">
                        <w:rPr>
                          <w:rFonts w:ascii="Arial" w:hAnsi="Arial" w:cs="Arial"/>
                          <w:i/>
                        </w:rPr>
                        <w:t>“</w:t>
                      </w:r>
                      <w:r>
                        <w:rPr>
                          <w:rFonts w:ascii="Arial" w:hAnsi="Arial" w:cs="Arial"/>
                          <w:i/>
                        </w:rPr>
                        <w:t>Q</w:t>
                      </w:r>
                      <w:r w:rsidRPr="00467ECB">
                        <w:rPr>
                          <w:rFonts w:ascii="Arial" w:hAnsi="Arial" w:cs="Arial"/>
                          <w:i/>
                        </w:rPr>
                        <w:t>ueer</w:t>
                      </w:r>
                      <w:r>
                        <w:rPr>
                          <w:rFonts w:ascii="Arial" w:hAnsi="Arial" w:cs="Arial"/>
                          <w:i/>
                        </w:rPr>
                        <w:t xml:space="preserve">-inclusive sex </w:t>
                      </w:r>
                      <w:proofErr w:type="spellStart"/>
                      <w:r w:rsidRPr="00467ECB">
                        <w:rPr>
                          <w:rFonts w:ascii="Arial" w:hAnsi="Arial" w:cs="Arial"/>
                          <w:i/>
                        </w:rPr>
                        <w:t>ed</w:t>
                      </w:r>
                      <w:proofErr w:type="spellEnd"/>
                      <w:r w:rsidRPr="00467ECB">
                        <w:rPr>
                          <w:rFonts w:ascii="Arial" w:hAnsi="Arial" w:cs="Arial"/>
                          <w:i/>
                        </w:rPr>
                        <w:t xml:space="preserve"> is important because without it, there is no way for queer kids, without the resources, to know themselves to practice safe sex. In addition, proper queer sex</w:t>
                      </w:r>
                      <w:r>
                        <w:rPr>
                          <w:rFonts w:ascii="Arial" w:hAnsi="Arial" w:cs="Arial"/>
                          <w:i/>
                        </w:rPr>
                        <w:t xml:space="preserve"> </w:t>
                      </w:r>
                      <w:proofErr w:type="spellStart"/>
                      <w:r>
                        <w:rPr>
                          <w:rFonts w:ascii="Arial" w:hAnsi="Arial" w:cs="Arial"/>
                          <w:i/>
                        </w:rPr>
                        <w:t>ed</w:t>
                      </w:r>
                      <w:proofErr w:type="spellEnd"/>
                      <w:r>
                        <w:rPr>
                          <w:rFonts w:ascii="Arial" w:hAnsi="Arial" w:cs="Arial"/>
                          <w:i/>
                        </w:rPr>
                        <w:t xml:space="preserve"> would help destigmatize… </w:t>
                      </w:r>
                      <w:r w:rsidRPr="00467ECB">
                        <w:rPr>
                          <w:rFonts w:ascii="Arial" w:hAnsi="Arial" w:cs="Arial"/>
                          <w:i/>
                        </w:rPr>
                        <w:t>queer relationships.”</w:t>
                      </w:r>
                    </w:p>
                    <w:p w14:paraId="6BE0896E" w14:textId="77777777" w:rsidR="00411ECA" w:rsidRPr="00467ECB" w:rsidRDefault="00411ECA" w:rsidP="006533EB">
                      <w:pPr>
                        <w:contextualSpacing/>
                        <w:rPr>
                          <w:rFonts w:ascii="Arial" w:hAnsi="Arial" w:cs="Arial"/>
                        </w:rPr>
                      </w:pPr>
                    </w:p>
                    <w:p w14:paraId="200521C5" w14:textId="77777777" w:rsidR="00411ECA" w:rsidRPr="00467ECB" w:rsidRDefault="00411ECA" w:rsidP="006533EB">
                      <w:pPr>
                        <w:contextualSpacing/>
                        <w:rPr>
                          <w:rFonts w:ascii="Arial" w:hAnsi="Arial" w:cs="Arial"/>
                        </w:rPr>
                      </w:pPr>
                      <w:r w:rsidRPr="00467ECB">
                        <w:rPr>
                          <w:rFonts w:ascii="Arial" w:hAnsi="Arial" w:cs="Arial"/>
                        </w:rPr>
                        <w:t xml:space="preserve"> – High school student, GSA Leadership Council</w:t>
                      </w:r>
                    </w:p>
                  </w:txbxContent>
                </v:textbox>
              </v:shape>
            </w:pict>
          </mc:Fallback>
        </mc:AlternateContent>
      </w:r>
    </w:p>
    <w:p w14:paraId="34A8C130" w14:textId="77777777" w:rsidR="000C6E9B" w:rsidRDefault="000C6E9B" w:rsidP="002125FF">
      <w:pPr>
        <w:spacing w:after="0"/>
        <w:jc w:val="both"/>
        <w:rPr>
          <w:rFonts w:ascii="Arial" w:hAnsi="Arial" w:cs="Arial"/>
        </w:rPr>
      </w:pPr>
    </w:p>
    <w:p w14:paraId="490819BD" w14:textId="77777777" w:rsidR="006533EB" w:rsidRDefault="006533EB" w:rsidP="002125FF">
      <w:pPr>
        <w:spacing w:after="0"/>
        <w:jc w:val="both"/>
        <w:rPr>
          <w:rFonts w:ascii="Arial" w:hAnsi="Arial" w:cs="Arial"/>
        </w:rPr>
      </w:pPr>
    </w:p>
    <w:p w14:paraId="56D0568E" w14:textId="77777777" w:rsidR="006533EB" w:rsidRDefault="006533EB" w:rsidP="002125FF">
      <w:pPr>
        <w:spacing w:after="0"/>
        <w:jc w:val="both"/>
        <w:rPr>
          <w:rFonts w:ascii="Arial" w:hAnsi="Arial" w:cs="Arial"/>
        </w:rPr>
      </w:pPr>
    </w:p>
    <w:p w14:paraId="119558D6" w14:textId="77777777" w:rsidR="006533EB" w:rsidRDefault="006533EB" w:rsidP="002125FF">
      <w:pPr>
        <w:spacing w:after="0"/>
        <w:jc w:val="both"/>
        <w:rPr>
          <w:rFonts w:ascii="Arial" w:hAnsi="Arial" w:cs="Arial"/>
        </w:rPr>
      </w:pPr>
    </w:p>
    <w:p w14:paraId="297DB5A7" w14:textId="77777777" w:rsidR="006533EB" w:rsidRDefault="006533EB" w:rsidP="002125FF">
      <w:pPr>
        <w:spacing w:after="0"/>
        <w:jc w:val="both"/>
        <w:rPr>
          <w:rFonts w:ascii="Arial" w:hAnsi="Arial" w:cs="Arial"/>
        </w:rPr>
      </w:pPr>
    </w:p>
    <w:p w14:paraId="56AE8C14" w14:textId="77777777" w:rsidR="006533EB" w:rsidRDefault="006533EB" w:rsidP="002125FF">
      <w:pPr>
        <w:spacing w:after="0"/>
        <w:jc w:val="both"/>
        <w:rPr>
          <w:rFonts w:ascii="Arial" w:hAnsi="Arial" w:cs="Arial"/>
        </w:rPr>
      </w:pPr>
    </w:p>
    <w:p w14:paraId="0140AEE4" w14:textId="77777777" w:rsidR="00635992" w:rsidRDefault="00635992" w:rsidP="002125FF">
      <w:pPr>
        <w:spacing w:after="0"/>
        <w:jc w:val="both"/>
        <w:rPr>
          <w:rFonts w:ascii="Arial" w:hAnsi="Arial" w:cs="Arial"/>
        </w:rPr>
      </w:pPr>
    </w:p>
    <w:p w14:paraId="29820937" w14:textId="77777777" w:rsidR="000C6E9B" w:rsidRPr="000C6E9B" w:rsidRDefault="000C6E9B" w:rsidP="002125FF">
      <w:pPr>
        <w:spacing w:after="0"/>
        <w:jc w:val="both"/>
        <w:rPr>
          <w:rFonts w:ascii="Arial" w:hAnsi="Arial" w:cs="Arial"/>
        </w:rPr>
      </w:pPr>
      <w:r w:rsidRPr="000C6E9B">
        <w:rPr>
          <w:rFonts w:ascii="Arial" w:hAnsi="Arial" w:cs="Arial"/>
        </w:rPr>
        <w:t xml:space="preserve">3. Provide level or </w:t>
      </w:r>
      <w:r w:rsidR="007A048B">
        <w:rPr>
          <w:rFonts w:ascii="Arial" w:hAnsi="Arial" w:cs="Arial"/>
        </w:rPr>
        <w:t>increased</w:t>
      </w:r>
      <w:r w:rsidRPr="000C6E9B">
        <w:rPr>
          <w:rFonts w:ascii="Arial" w:hAnsi="Arial" w:cs="Arial"/>
        </w:rPr>
        <w:t xml:space="preserve"> funding for the HIV line item (4512-0103) that provides critical services for LGBTQ youth, particularly LGBTQ youth of color. </w:t>
      </w:r>
    </w:p>
    <w:p w14:paraId="7CA85925" w14:textId="77777777" w:rsidR="000C6E9B" w:rsidRPr="000C6E9B" w:rsidRDefault="000C6E9B" w:rsidP="002125FF">
      <w:pPr>
        <w:spacing w:after="0"/>
        <w:jc w:val="both"/>
        <w:rPr>
          <w:rFonts w:ascii="Arial" w:hAnsi="Arial" w:cs="Arial"/>
        </w:rPr>
      </w:pPr>
    </w:p>
    <w:p w14:paraId="6170E7CC" w14:textId="49F75525" w:rsidR="000C6E9B" w:rsidRPr="000C6E9B" w:rsidRDefault="00F22C72" w:rsidP="002125FF">
      <w:pPr>
        <w:spacing w:after="0"/>
        <w:ind w:left="720"/>
        <w:jc w:val="both"/>
        <w:rPr>
          <w:rFonts w:ascii="Arial" w:hAnsi="Arial" w:cs="Arial"/>
        </w:rPr>
      </w:pPr>
      <w:r>
        <w:rPr>
          <w:rFonts w:ascii="Arial" w:hAnsi="Arial" w:cs="Arial"/>
        </w:rPr>
        <w:t>LGBTQ youth are disproportionately impacted by HIV, with LGBTQ youth of color facing the highest disparities</w:t>
      </w:r>
      <w:r w:rsidR="000C6E9B" w:rsidRPr="000C6E9B">
        <w:rPr>
          <w:rFonts w:ascii="Arial" w:hAnsi="Arial" w:cs="Arial"/>
        </w:rPr>
        <w:t>. While there have been some favorable developments in</w:t>
      </w:r>
      <w:r w:rsidR="007A048B">
        <w:rPr>
          <w:rFonts w:ascii="Arial" w:hAnsi="Arial" w:cs="Arial"/>
        </w:rPr>
        <w:t xml:space="preserve"> preventing</w:t>
      </w:r>
      <w:r w:rsidR="000C6E9B" w:rsidRPr="000C6E9B">
        <w:rPr>
          <w:rFonts w:ascii="Arial" w:hAnsi="Arial" w:cs="Arial"/>
        </w:rPr>
        <w:t xml:space="preserve"> the spread of HIV, the rate among young </w:t>
      </w:r>
      <w:r w:rsidR="007A048B">
        <w:rPr>
          <w:rFonts w:ascii="Arial" w:hAnsi="Arial" w:cs="Arial"/>
        </w:rPr>
        <w:t>people continues to</w:t>
      </w:r>
      <w:r w:rsidR="000C6E9B" w:rsidRPr="000C6E9B">
        <w:rPr>
          <w:rFonts w:ascii="Arial" w:hAnsi="Arial" w:cs="Arial"/>
        </w:rPr>
        <w:t xml:space="preserve"> rise, and </w:t>
      </w:r>
      <w:r w:rsidR="007A048B">
        <w:rPr>
          <w:rFonts w:ascii="Arial" w:hAnsi="Arial" w:cs="Arial"/>
        </w:rPr>
        <w:t>the uptake</w:t>
      </w:r>
      <w:r w:rsidR="000C6E9B" w:rsidRPr="000C6E9B">
        <w:rPr>
          <w:rFonts w:ascii="Arial" w:hAnsi="Arial" w:cs="Arial"/>
        </w:rPr>
        <w:t xml:space="preserve"> of </w:t>
      </w:r>
      <w:r w:rsidR="00E06353">
        <w:rPr>
          <w:rFonts w:ascii="Arial" w:hAnsi="Arial" w:cs="Arial"/>
        </w:rPr>
        <w:t>pre-exposure prophylaxis (</w:t>
      </w:r>
      <w:r w:rsidR="000C6E9B" w:rsidRPr="000C6E9B">
        <w:rPr>
          <w:rFonts w:ascii="Arial" w:hAnsi="Arial" w:cs="Arial"/>
        </w:rPr>
        <w:t>PrEP</w:t>
      </w:r>
      <w:r w:rsidR="00E06353">
        <w:rPr>
          <w:rFonts w:ascii="Arial" w:hAnsi="Arial" w:cs="Arial"/>
        </w:rPr>
        <w:t>)</w:t>
      </w:r>
      <w:r w:rsidR="000C6E9B" w:rsidRPr="000C6E9B">
        <w:rPr>
          <w:rFonts w:ascii="Arial" w:hAnsi="Arial" w:cs="Arial"/>
        </w:rPr>
        <w:t xml:space="preserve"> as preventive treatment has been low. The state must remain vigilant and continue to support HIV servi</w:t>
      </w:r>
      <w:r w:rsidR="00FD42CE">
        <w:rPr>
          <w:rFonts w:ascii="Arial" w:hAnsi="Arial" w:cs="Arial"/>
        </w:rPr>
        <w:t>ces at or above previous levels, with a particular focus on LGBTQ youth of color, including for services relating to PrEP and safer sex education.</w:t>
      </w:r>
    </w:p>
    <w:p w14:paraId="43796F60" w14:textId="77777777" w:rsidR="000C6E9B" w:rsidRPr="000C6E9B" w:rsidRDefault="000C6E9B" w:rsidP="002125FF">
      <w:pPr>
        <w:spacing w:after="0"/>
        <w:jc w:val="both"/>
        <w:rPr>
          <w:rFonts w:ascii="Arial" w:hAnsi="Arial" w:cs="Arial"/>
        </w:rPr>
      </w:pPr>
    </w:p>
    <w:p w14:paraId="24B28FCA" w14:textId="77777777" w:rsidR="000C6E9B" w:rsidRPr="000C6E9B" w:rsidRDefault="000C6E9B" w:rsidP="002125FF">
      <w:pPr>
        <w:spacing w:after="0"/>
        <w:jc w:val="both"/>
        <w:rPr>
          <w:rFonts w:ascii="Arial" w:hAnsi="Arial" w:cs="Arial"/>
        </w:rPr>
      </w:pPr>
      <w:r w:rsidRPr="000C6E9B">
        <w:rPr>
          <w:rFonts w:ascii="Arial" w:hAnsi="Arial" w:cs="Arial"/>
        </w:rPr>
        <w:t xml:space="preserve">4. Prioritize funds allocated to sexual health for release as early in the fiscal year as possible. </w:t>
      </w:r>
    </w:p>
    <w:p w14:paraId="71431105" w14:textId="77777777" w:rsidR="000C6E9B" w:rsidRPr="000C6E9B" w:rsidRDefault="000C6E9B" w:rsidP="002125FF">
      <w:pPr>
        <w:spacing w:after="0"/>
        <w:jc w:val="both"/>
        <w:rPr>
          <w:rFonts w:ascii="Arial" w:hAnsi="Arial" w:cs="Arial"/>
        </w:rPr>
      </w:pPr>
    </w:p>
    <w:p w14:paraId="34F0E873" w14:textId="308A4828" w:rsidR="000C6E9B" w:rsidRPr="000C6E9B" w:rsidRDefault="007A048B" w:rsidP="002125FF">
      <w:pPr>
        <w:spacing w:after="0"/>
        <w:ind w:left="720"/>
        <w:jc w:val="both"/>
        <w:rPr>
          <w:rFonts w:ascii="Arial" w:hAnsi="Arial" w:cs="Arial"/>
        </w:rPr>
      </w:pPr>
      <w:r>
        <w:rPr>
          <w:rFonts w:ascii="Arial" w:hAnsi="Arial" w:cs="Arial"/>
        </w:rPr>
        <w:t xml:space="preserve">Delaying </w:t>
      </w:r>
      <w:r w:rsidR="000C6E9B" w:rsidRPr="000C6E9B">
        <w:rPr>
          <w:rFonts w:ascii="Arial" w:hAnsi="Arial" w:cs="Arial"/>
        </w:rPr>
        <w:t>the release of funds for HIV services causes irreparable harm to community organizations and the youth they serve</w:t>
      </w:r>
      <w:r w:rsidR="00F22C72">
        <w:rPr>
          <w:rFonts w:ascii="Arial" w:hAnsi="Arial" w:cs="Arial"/>
        </w:rPr>
        <w:t>, with LGBTQ youth of color being most affected</w:t>
      </w:r>
      <w:r w:rsidR="000C6E9B" w:rsidRPr="000C6E9B">
        <w:rPr>
          <w:rFonts w:ascii="Arial" w:hAnsi="Arial" w:cs="Arial"/>
        </w:rPr>
        <w:t xml:space="preserve">. Given the critical need of those seeking HIV-related services, this funding </w:t>
      </w:r>
      <w:r>
        <w:rPr>
          <w:rFonts w:ascii="Arial" w:hAnsi="Arial" w:cs="Arial"/>
        </w:rPr>
        <w:t>must</w:t>
      </w:r>
      <w:r w:rsidR="000C6E9B" w:rsidRPr="000C6E9B">
        <w:rPr>
          <w:rFonts w:ascii="Arial" w:hAnsi="Arial" w:cs="Arial"/>
        </w:rPr>
        <w:t xml:space="preserve"> be prioritized for release as early in the fiscal year as possible.</w:t>
      </w:r>
    </w:p>
    <w:p w14:paraId="19125288" w14:textId="77777777" w:rsidR="000C6E9B" w:rsidRPr="000C6E9B" w:rsidRDefault="000C6E9B" w:rsidP="002125FF">
      <w:pPr>
        <w:spacing w:after="0"/>
        <w:jc w:val="both"/>
        <w:rPr>
          <w:rFonts w:ascii="Arial" w:hAnsi="Arial" w:cs="Arial"/>
        </w:rPr>
      </w:pPr>
    </w:p>
    <w:p w14:paraId="6EF4DB35" w14:textId="77777777" w:rsidR="000C6E9B" w:rsidRPr="000C6E9B" w:rsidRDefault="000C6E9B" w:rsidP="002125FF">
      <w:pPr>
        <w:spacing w:after="0"/>
        <w:jc w:val="both"/>
        <w:rPr>
          <w:rFonts w:ascii="Arial" w:hAnsi="Arial" w:cs="Arial"/>
        </w:rPr>
      </w:pPr>
      <w:r w:rsidRPr="000C6E9B">
        <w:rPr>
          <w:rFonts w:ascii="Arial" w:hAnsi="Arial" w:cs="Arial"/>
        </w:rPr>
        <w:t>5. Ensure that the response to the opioid crisis takes into account the specific needs of LGBTQ youth.</w:t>
      </w:r>
    </w:p>
    <w:p w14:paraId="428A7C1C" w14:textId="77777777" w:rsidR="000C6E9B" w:rsidRPr="000C6E9B" w:rsidRDefault="000C6E9B" w:rsidP="002125FF">
      <w:pPr>
        <w:spacing w:after="0"/>
        <w:jc w:val="both"/>
        <w:rPr>
          <w:rFonts w:ascii="Arial" w:hAnsi="Arial" w:cs="Arial"/>
        </w:rPr>
      </w:pPr>
    </w:p>
    <w:p w14:paraId="55C821C0" w14:textId="43FEE698" w:rsidR="00400468" w:rsidRDefault="000C6E9B" w:rsidP="007A048B">
      <w:pPr>
        <w:spacing w:after="0"/>
        <w:ind w:left="720"/>
        <w:jc w:val="both"/>
        <w:rPr>
          <w:rFonts w:ascii="Arial" w:hAnsi="Arial" w:cs="Arial"/>
        </w:rPr>
      </w:pPr>
      <w:r w:rsidRPr="000C6E9B">
        <w:rPr>
          <w:rFonts w:ascii="Arial" w:hAnsi="Arial" w:cs="Arial"/>
        </w:rPr>
        <w:t>LGBTQ youth use heroin at 6.7 times the rate of non-LGBTQ youth in Massachusetts,</w:t>
      </w:r>
      <w:r w:rsidR="00F22C72">
        <w:rPr>
          <w:rStyle w:val="EndnoteReference"/>
          <w:rFonts w:ascii="Arial" w:hAnsi="Arial" w:cs="Arial"/>
        </w:rPr>
        <w:endnoteReference w:id="3"/>
      </w:r>
      <w:r w:rsidRPr="000C6E9B">
        <w:rPr>
          <w:rFonts w:ascii="Arial" w:hAnsi="Arial" w:cs="Arial"/>
        </w:rPr>
        <w:t xml:space="preserve"> and given the preexisting higher rates of HIV among the LGBTQ youth population, they may also be disproportionately impacted by the spread of HIV</w:t>
      </w:r>
      <w:r w:rsidR="00B11139">
        <w:rPr>
          <w:rFonts w:ascii="Arial" w:hAnsi="Arial" w:cs="Arial"/>
        </w:rPr>
        <w:t xml:space="preserve"> and Hepatitis C</w:t>
      </w:r>
      <w:r w:rsidRPr="000C6E9B">
        <w:rPr>
          <w:rFonts w:ascii="Arial" w:hAnsi="Arial" w:cs="Arial"/>
        </w:rPr>
        <w:t xml:space="preserve"> related to increased opioid use. Any state plan regarding the opioid crisis and spending to combat this problem should identify LGBTQ youth as a priority population</w:t>
      </w:r>
      <w:r w:rsidR="00B11139">
        <w:rPr>
          <w:rFonts w:ascii="Arial" w:hAnsi="Arial" w:cs="Arial"/>
        </w:rPr>
        <w:t xml:space="preserve"> and ensure that youth, including LGBTQ youth and youth of color, have access to clean needles</w:t>
      </w:r>
      <w:r w:rsidRPr="000C6E9B">
        <w:rPr>
          <w:rFonts w:ascii="Arial" w:hAnsi="Arial" w:cs="Arial"/>
        </w:rPr>
        <w:t>.</w:t>
      </w:r>
      <w:r w:rsidR="00400468">
        <w:rPr>
          <w:rFonts w:ascii="Arial" w:hAnsi="Arial" w:cs="Arial"/>
        </w:rPr>
        <w:br w:type="page"/>
      </w:r>
    </w:p>
    <w:p w14:paraId="79C3ABF2" w14:textId="77777777" w:rsidR="00400468" w:rsidRPr="00400468" w:rsidRDefault="00025253" w:rsidP="0059635C">
      <w:pPr>
        <w:pStyle w:val="Heading1"/>
      </w:pPr>
      <w:bookmarkStart w:id="7" w:name="_Toc512947885"/>
      <w:r>
        <w:rPr>
          <w:noProof/>
        </w:rPr>
        <w:lastRenderedPageBreak/>
        <w:drawing>
          <wp:anchor distT="0" distB="0" distL="114300" distR="114300" simplePos="0" relativeHeight="251742208" behindDoc="1" locked="0" layoutInCell="0" allowOverlap="1" wp14:anchorId="38E7B968" wp14:editId="2CC09BA1">
            <wp:simplePos x="0" y="0"/>
            <wp:positionH relativeFrom="column">
              <wp:posOffset>4445</wp:posOffset>
            </wp:positionH>
            <wp:positionV relativeFrom="paragraph">
              <wp:posOffset>389255</wp:posOffset>
            </wp:positionV>
            <wp:extent cx="5980430" cy="27305"/>
            <wp:effectExtent l="0" t="0" r="127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80430" cy="27305"/>
                    </a:xfrm>
                    <a:prstGeom prst="rect">
                      <a:avLst/>
                    </a:prstGeom>
                    <a:noFill/>
                  </pic:spPr>
                </pic:pic>
              </a:graphicData>
            </a:graphic>
          </wp:anchor>
        </w:drawing>
      </w:r>
      <w:r w:rsidR="005A52B9">
        <w:t>The State of</w:t>
      </w:r>
      <w:r w:rsidR="00F37FB7">
        <w:t xml:space="preserve"> LGBTQ Youth in the Commonwealth</w:t>
      </w:r>
      <w:bookmarkEnd w:id="7"/>
    </w:p>
    <w:p w14:paraId="62A86404" w14:textId="77777777" w:rsidR="00400468" w:rsidRDefault="00400468" w:rsidP="00400468">
      <w:pPr>
        <w:spacing w:after="0"/>
        <w:rPr>
          <w:rFonts w:ascii="Arial" w:hAnsi="Arial" w:cs="Arial"/>
        </w:rPr>
      </w:pPr>
    </w:p>
    <w:p w14:paraId="7111C617" w14:textId="77777777" w:rsidR="00D01B7B" w:rsidRDefault="00D01B7B" w:rsidP="00F37FB7">
      <w:pPr>
        <w:spacing w:after="0"/>
        <w:jc w:val="both"/>
        <w:rPr>
          <w:rFonts w:ascii="Arial" w:hAnsi="Arial" w:cs="Arial"/>
        </w:rPr>
      </w:pPr>
    </w:p>
    <w:p w14:paraId="51E95BFD" w14:textId="0AA2BC8E" w:rsidR="00FD42CE" w:rsidRDefault="00F15508" w:rsidP="00F37FB7">
      <w:pPr>
        <w:spacing w:after="0"/>
        <w:jc w:val="both"/>
        <w:rPr>
          <w:rFonts w:ascii="Arial" w:hAnsi="Arial" w:cs="Arial"/>
        </w:rPr>
      </w:pPr>
      <w:r>
        <w:rPr>
          <w:rFonts w:ascii="Arial" w:hAnsi="Arial" w:cs="Arial"/>
        </w:rPr>
        <w:t xml:space="preserve">In the twenty-six years since the Commission was founded by Governor William Weld, </w:t>
      </w:r>
      <w:r w:rsidR="0018684B">
        <w:rPr>
          <w:rFonts w:ascii="Arial" w:hAnsi="Arial" w:cs="Arial"/>
        </w:rPr>
        <w:t xml:space="preserve">there have been remarkable improvements </w:t>
      </w:r>
      <w:r w:rsidR="00BA4D6C">
        <w:rPr>
          <w:rFonts w:ascii="Arial" w:hAnsi="Arial" w:cs="Arial"/>
        </w:rPr>
        <w:t>in</w:t>
      </w:r>
      <w:r w:rsidR="0018684B">
        <w:rPr>
          <w:rFonts w:ascii="Arial" w:hAnsi="Arial" w:cs="Arial"/>
        </w:rPr>
        <w:t xml:space="preserve"> </w:t>
      </w:r>
      <w:r>
        <w:rPr>
          <w:rFonts w:ascii="Arial" w:hAnsi="Arial" w:cs="Arial"/>
        </w:rPr>
        <w:t xml:space="preserve">LGBTQ </w:t>
      </w:r>
      <w:r w:rsidR="00CA634C">
        <w:rPr>
          <w:rFonts w:ascii="Arial" w:hAnsi="Arial" w:cs="Arial"/>
        </w:rPr>
        <w:t>equality</w:t>
      </w:r>
      <w:r>
        <w:rPr>
          <w:rFonts w:ascii="Arial" w:hAnsi="Arial" w:cs="Arial"/>
        </w:rPr>
        <w:t xml:space="preserve">. Increased visibility, acceptance, and civil rights of the LGBTQ community at large have likely </w:t>
      </w:r>
      <w:r w:rsidR="00CA634C">
        <w:rPr>
          <w:rFonts w:ascii="Arial" w:hAnsi="Arial" w:cs="Arial"/>
        </w:rPr>
        <w:t>contributed to</w:t>
      </w:r>
      <w:r>
        <w:rPr>
          <w:rFonts w:ascii="Arial" w:hAnsi="Arial" w:cs="Arial"/>
        </w:rPr>
        <w:t xml:space="preserve"> what the Commission has noted as an increase in the number of youth</w:t>
      </w:r>
      <w:r w:rsidR="00CA634C">
        <w:rPr>
          <w:rFonts w:ascii="Arial" w:hAnsi="Arial" w:cs="Arial"/>
        </w:rPr>
        <w:t xml:space="preserve"> openly</w:t>
      </w:r>
      <w:r>
        <w:rPr>
          <w:rFonts w:ascii="Arial" w:hAnsi="Arial" w:cs="Arial"/>
        </w:rPr>
        <w:t xml:space="preserve"> identifying as LGBTQ and in youth coming out at earlier ages. However, many aspects of the mainstream LGBTQ movement – including its focus on same-sex marriage – have not had a proportionate effect on LGBTQ youth, especially </w:t>
      </w:r>
      <w:r w:rsidR="00F93281">
        <w:rPr>
          <w:rFonts w:ascii="Arial" w:hAnsi="Arial" w:cs="Arial"/>
        </w:rPr>
        <w:t>subpopulations such as</w:t>
      </w:r>
      <w:r>
        <w:rPr>
          <w:rFonts w:ascii="Arial" w:hAnsi="Arial" w:cs="Arial"/>
        </w:rPr>
        <w:t xml:space="preserve"> youth of color and those who identify as bisexual, queer, transgender, intersex, and asexual. </w:t>
      </w:r>
      <w:r w:rsidR="00F93281">
        <w:rPr>
          <w:rFonts w:ascii="Arial" w:hAnsi="Arial" w:cs="Arial"/>
        </w:rPr>
        <w:t xml:space="preserve">The data </w:t>
      </w:r>
      <w:r w:rsidR="00056937">
        <w:rPr>
          <w:rFonts w:ascii="Arial" w:hAnsi="Arial" w:cs="Arial"/>
        </w:rPr>
        <w:t>are</w:t>
      </w:r>
      <w:r w:rsidR="00F93281">
        <w:rPr>
          <w:rFonts w:ascii="Arial" w:hAnsi="Arial" w:cs="Arial"/>
        </w:rPr>
        <w:t xml:space="preserve"> clear that LGBTQ youth, especially these marginalized subpopulations, still face high levels of bullying, stigma, and discrimination, </w:t>
      </w:r>
      <w:r w:rsidR="00BA4D6C">
        <w:rPr>
          <w:rFonts w:ascii="Arial" w:hAnsi="Arial" w:cs="Arial"/>
        </w:rPr>
        <w:t>which has resulted</w:t>
      </w:r>
      <w:r w:rsidR="00035184">
        <w:rPr>
          <w:rFonts w:ascii="Arial" w:hAnsi="Arial" w:cs="Arial"/>
        </w:rPr>
        <w:t xml:space="preserve"> in </w:t>
      </w:r>
      <w:r w:rsidR="00F93281">
        <w:rPr>
          <w:rFonts w:ascii="Arial" w:hAnsi="Arial" w:cs="Arial"/>
        </w:rPr>
        <w:t xml:space="preserve">socioeconomic and health </w:t>
      </w:r>
      <w:r w:rsidR="00CA634C">
        <w:rPr>
          <w:rFonts w:ascii="Arial" w:hAnsi="Arial" w:cs="Arial"/>
        </w:rPr>
        <w:t>disparities</w:t>
      </w:r>
      <w:r w:rsidR="00F93281">
        <w:rPr>
          <w:rFonts w:ascii="Arial" w:hAnsi="Arial" w:cs="Arial"/>
        </w:rPr>
        <w:t xml:space="preserve">. </w:t>
      </w:r>
    </w:p>
    <w:p w14:paraId="007AC7AA" w14:textId="77777777" w:rsidR="00FD42CE" w:rsidRDefault="00FD42CE" w:rsidP="00F37FB7">
      <w:pPr>
        <w:spacing w:after="0"/>
        <w:jc w:val="both"/>
        <w:rPr>
          <w:rFonts w:ascii="Arial" w:hAnsi="Arial" w:cs="Arial"/>
        </w:rPr>
      </w:pPr>
    </w:p>
    <w:p w14:paraId="20668DCF" w14:textId="1E772FE7" w:rsidR="00400468" w:rsidRDefault="00CA634C" w:rsidP="00F37FB7">
      <w:pPr>
        <w:spacing w:after="0"/>
        <w:jc w:val="both"/>
        <w:rPr>
          <w:rFonts w:ascii="Arial" w:hAnsi="Arial" w:cs="Arial"/>
        </w:rPr>
      </w:pPr>
      <w:r w:rsidRPr="00CA634C">
        <w:rPr>
          <w:rFonts w:ascii="Arial" w:hAnsi="Arial" w:cs="Arial"/>
        </w:rPr>
        <w:t>This report is divided into four sections, which roughly correspond with the four sections of core recommendations issued immediately above: bullying, abuse, and suicide risk; homelessness; juvenile and criminal justice; and health. While this report is not meant to serve as a comprehensive guide to all of the disparities that affect LGBTQ youth in Massachusetts, it does help to frame the Commission’s recommendations and to provide data on some of the areas in which these youth are most disparately impacted. The Commission sees all of these topics as relating back to the stigma, bias, and discrimination faced by LGBTQ youth, and the research is clear that they are all interrelated in powerful ways. Fully addressing issues like bullying and suicide risk among this population requires that the state examine both the root causes of these problems and the impacts that they have on things like criminal involvement and housing instability, and this report is designed to begin that conversation.</w:t>
      </w:r>
    </w:p>
    <w:p w14:paraId="5D756FC8" w14:textId="77777777" w:rsidR="00CA634C" w:rsidRPr="00400468" w:rsidRDefault="00CA634C" w:rsidP="00F37FB7">
      <w:pPr>
        <w:spacing w:after="0"/>
        <w:jc w:val="both"/>
        <w:rPr>
          <w:rFonts w:ascii="Arial" w:hAnsi="Arial" w:cs="Arial"/>
        </w:rPr>
      </w:pPr>
    </w:p>
    <w:p w14:paraId="195B06D8" w14:textId="00221723" w:rsidR="00D74A61" w:rsidRDefault="00CA634C" w:rsidP="00F37FB7">
      <w:pPr>
        <w:spacing w:after="0"/>
        <w:jc w:val="both"/>
        <w:rPr>
          <w:rFonts w:ascii="Arial" w:hAnsi="Arial" w:cs="Arial"/>
        </w:rPr>
      </w:pPr>
      <w:r w:rsidRPr="00CA634C">
        <w:rPr>
          <w:rFonts w:ascii="Arial" w:hAnsi="Arial" w:cs="Arial"/>
        </w:rPr>
        <w:t>According to the 2015 Massachusetts Youth Risk Behavior Survey (MYRBS), the most recent survey currently available as of the publication of this report, 12.5% of Massachusetts high school students identify as LGBTQ. This figure includes 11.1% of students who describe themselves as gay, lesbian, bisexual, or questioning their sexual orientation, and 2.9% of students who are transgender or are questioning their gender identity, with significant overlap between these two groups resulting in the 12.5% total</w:t>
      </w:r>
      <w:r w:rsidR="00400468" w:rsidRPr="00400468">
        <w:rPr>
          <w:rFonts w:ascii="Arial" w:hAnsi="Arial" w:cs="Arial"/>
        </w:rPr>
        <w:t>.</w:t>
      </w:r>
      <w:r w:rsidR="009512A5">
        <w:rPr>
          <w:rStyle w:val="EndnoteReference"/>
          <w:rFonts w:ascii="Arial" w:hAnsi="Arial" w:cs="Arial"/>
        </w:rPr>
        <w:endnoteReference w:id="4"/>
      </w:r>
      <w:r w:rsidR="00400468" w:rsidRPr="00400468">
        <w:rPr>
          <w:rFonts w:ascii="Arial" w:hAnsi="Arial" w:cs="Arial"/>
        </w:rPr>
        <w:t xml:space="preserve"> </w:t>
      </w:r>
      <w:r w:rsidRPr="00CA634C">
        <w:rPr>
          <w:rFonts w:ascii="Arial" w:hAnsi="Arial" w:cs="Arial"/>
        </w:rPr>
        <w:t>Notably, the percent of students who identify as LGBTQ varies by gender and race. More female-identified than male-identified students reported being LGBTQ: 15.4% versus 9.4%, respectively. Among racial and ethnic groups, 18% of Latinx youth, 13% of multi-racial youth, 12% of White youth, 10% of Black youth, and 10% of Asian youth identified as LGBTQ</w:t>
      </w:r>
      <w:r w:rsidR="00400468" w:rsidRPr="00400468">
        <w:rPr>
          <w:rFonts w:ascii="Arial" w:hAnsi="Arial" w:cs="Arial"/>
        </w:rPr>
        <w:t>.</w:t>
      </w:r>
      <w:r w:rsidR="009512A5">
        <w:rPr>
          <w:rStyle w:val="EndnoteReference"/>
          <w:rFonts w:ascii="Arial" w:hAnsi="Arial" w:cs="Arial"/>
        </w:rPr>
        <w:endnoteReference w:id="5"/>
      </w:r>
      <w:r w:rsidR="00400468" w:rsidRPr="00400468">
        <w:rPr>
          <w:rFonts w:ascii="Arial" w:hAnsi="Arial" w:cs="Arial"/>
        </w:rPr>
        <w:t xml:space="preserve"> </w:t>
      </w:r>
    </w:p>
    <w:p w14:paraId="54223FFB" w14:textId="77777777" w:rsidR="009512A5" w:rsidRDefault="009512A5" w:rsidP="00F37FB7">
      <w:pPr>
        <w:spacing w:after="0"/>
        <w:jc w:val="both"/>
        <w:rPr>
          <w:rFonts w:ascii="Arial" w:hAnsi="Arial" w:cs="Arial"/>
        </w:rPr>
      </w:pPr>
    </w:p>
    <w:p w14:paraId="40FD6886" w14:textId="46FE4DAF" w:rsidR="00D01B7B" w:rsidRPr="00400468" w:rsidRDefault="009512A5" w:rsidP="00F37FB7">
      <w:pPr>
        <w:spacing w:after="0"/>
        <w:jc w:val="both"/>
        <w:rPr>
          <w:rFonts w:ascii="Arial" w:hAnsi="Arial" w:cs="Arial"/>
        </w:rPr>
      </w:pPr>
      <w:r w:rsidRPr="009512A5">
        <w:rPr>
          <w:rFonts w:ascii="Arial" w:hAnsi="Arial" w:cs="Arial"/>
        </w:rPr>
        <w:t>When discussing LGBTQ youth, it is important to note that young people conceptualize themselves and their identities in a variety of ways not limited to prevailing definitions of lesbian, gay, bisexual, transgender, queer, or questioning.</w:t>
      </w:r>
      <w:r w:rsidR="007A048B">
        <w:rPr>
          <w:rFonts w:ascii="Arial" w:hAnsi="Arial" w:cs="Arial"/>
        </w:rPr>
        <w:t xml:space="preserve"> The Commission uses </w:t>
      </w:r>
      <w:r w:rsidR="000B0C84">
        <w:rPr>
          <w:rFonts w:ascii="Arial" w:hAnsi="Arial" w:cs="Arial"/>
        </w:rPr>
        <w:t>the acronym</w:t>
      </w:r>
      <w:r w:rsidR="007A048B">
        <w:rPr>
          <w:rFonts w:ascii="Arial" w:hAnsi="Arial" w:cs="Arial"/>
        </w:rPr>
        <w:t xml:space="preserve"> “LGBTQ” to describe the community</w:t>
      </w:r>
      <w:r w:rsidR="000B0C84">
        <w:rPr>
          <w:rFonts w:ascii="Arial" w:hAnsi="Arial" w:cs="Arial"/>
        </w:rPr>
        <w:t xml:space="preserve"> in its broadest terms, even though it is not explicitly inclusive through letters like “I” to represent intersex youth or “A” to represent asexual youth; this is to reflect the acronym based on the current enacting legislation of the Commission and is not a reflection of </w:t>
      </w:r>
      <w:r w:rsidR="000B0C84">
        <w:rPr>
          <w:rFonts w:ascii="Arial" w:hAnsi="Arial" w:cs="Arial"/>
        </w:rPr>
        <w:lastRenderedPageBreak/>
        <w:t>the omission of these identities. For the purposes of this report, “LGBTQ” should be read as broadly as possible except where indicated. The terms</w:t>
      </w:r>
      <w:r w:rsidR="007A048B">
        <w:rPr>
          <w:rFonts w:ascii="Arial" w:hAnsi="Arial" w:cs="Arial"/>
        </w:rPr>
        <w:t xml:space="preserve"> “</w:t>
      </w:r>
      <w:r w:rsidR="000B0C84">
        <w:rPr>
          <w:rFonts w:ascii="Arial" w:hAnsi="Arial" w:cs="Arial"/>
        </w:rPr>
        <w:t>LGB,</w:t>
      </w:r>
      <w:r w:rsidR="007A048B">
        <w:rPr>
          <w:rFonts w:ascii="Arial" w:hAnsi="Arial" w:cs="Arial"/>
        </w:rPr>
        <w:t>”</w:t>
      </w:r>
      <w:r w:rsidR="000B0C84">
        <w:rPr>
          <w:rFonts w:ascii="Arial" w:hAnsi="Arial" w:cs="Arial"/>
        </w:rPr>
        <w:t xml:space="preserve"> “LGBQ,”</w:t>
      </w:r>
      <w:r w:rsidR="007A048B">
        <w:rPr>
          <w:rFonts w:ascii="Arial" w:hAnsi="Arial" w:cs="Arial"/>
        </w:rPr>
        <w:t xml:space="preserve"> or “sexual minority”</w:t>
      </w:r>
      <w:r w:rsidR="000B0C84">
        <w:rPr>
          <w:rFonts w:ascii="Arial" w:hAnsi="Arial" w:cs="Arial"/>
        </w:rPr>
        <w:t xml:space="preserve"> are </w:t>
      </w:r>
      <w:r w:rsidR="00CA634C" w:rsidRPr="00CA634C">
        <w:rPr>
          <w:rFonts w:ascii="Arial" w:hAnsi="Arial" w:cs="Arial"/>
        </w:rPr>
        <w:t>sometimes used when describing data that does not include transgender or gender-nonconforming youth, and the terms “transgender” and “gender-nonconforming” are themselves used to represent a variety of people whose gender identity is something other than cisgender. Because summarizing the methodology of complex reports can be difficult with only a few words, the Commission encourages readers to refer back to the source material when they have questions about the exact population measured in a given statistic. For further information on language related to LGBTQ youth, see the glossary of terms provided in Appendix A.</w:t>
      </w:r>
    </w:p>
    <w:p w14:paraId="549FA0DD" w14:textId="77777777" w:rsidR="00400468" w:rsidRPr="00400468" w:rsidRDefault="00400468" w:rsidP="00F37FB7">
      <w:pPr>
        <w:spacing w:after="0"/>
        <w:jc w:val="both"/>
        <w:rPr>
          <w:rFonts w:ascii="Arial" w:hAnsi="Arial" w:cs="Arial"/>
        </w:rPr>
      </w:pPr>
      <w:r w:rsidRPr="00400468">
        <w:rPr>
          <w:rFonts w:ascii="Arial" w:hAnsi="Arial" w:cs="Arial"/>
        </w:rPr>
        <w:t xml:space="preserve"> </w:t>
      </w:r>
    </w:p>
    <w:p w14:paraId="0AEB235E" w14:textId="77777777" w:rsidR="00400468" w:rsidRPr="00F37FB7" w:rsidRDefault="00D01B7B" w:rsidP="0059635C">
      <w:pPr>
        <w:pStyle w:val="Heading2"/>
      </w:pPr>
      <w:bookmarkStart w:id="8" w:name="_Toc512947886"/>
      <w:r>
        <w:t xml:space="preserve">I. </w:t>
      </w:r>
      <w:r w:rsidR="00F37159">
        <w:t xml:space="preserve">Bullying, Abuse, and </w:t>
      </w:r>
      <w:r w:rsidR="0077615F">
        <w:t>Suicide Risk</w:t>
      </w:r>
      <w:bookmarkEnd w:id="8"/>
    </w:p>
    <w:p w14:paraId="79B881E5" w14:textId="77777777" w:rsidR="00400468" w:rsidRDefault="00245435" w:rsidP="00F37FB7">
      <w:pPr>
        <w:spacing w:after="0"/>
        <w:jc w:val="both"/>
        <w:rPr>
          <w:rFonts w:ascii="Arial" w:hAnsi="Arial" w:cs="Arial"/>
        </w:rPr>
      </w:pPr>
      <w:r>
        <w:rPr>
          <w:noProof/>
        </w:rPr>
        <w:drawing>
          <wp:anchor distT="0" distB="0" distL="114300" distR="114300" simplePos="0" relativeHeight="251744256" behindDoc="1" locked="0" layoutInCell="0" allowOverlap="1" wp14:anchorId="741F48F3" wp14:editId="6F3E8DD5">
            <wp:simplePos x="0" y="0"/>
            <wp:positionH relativeFrom="page">
              <wp:posOffset>895350</wp:posOffset>
            </wp:positionH>
            <wp:positionV relativeFrom="page">
              <wp:posOffset>3126105</wp:posOffset>
            </wp:positionV>
            <wp:extent cx="3200400" cy="2413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00400" cy="24130"/>
                    </a:xfrm>
                    <a:prstGeom prst="rect">
                      <a:avLst/>
                    </a:prstGeom>
                    <a:noFill/>
                  </pic:spPr>
                </pic:pic>
              </a:graphicData>
            </a:graphic>
          </wp:anchor>
        </w:drawing>
      </w:r>
    </w:p>
    <w:p w14:paraId="365C2999" w14:textId="77777777" w:rsidR="00F37159" w:rsidRPr="00F37159" w:rsidRDefault="00F37159" w:rsidP="00F37159">
      <w:pPr>
        <w:spacing w:after="0"/>
        <w:jc w:val="both"/>
        <w:rPr>
          <w:rFonts w:ascii="Arial" w:hAnsi="Arial" w:cs="Arial"/>
          <w:i/>
        </w:rPr>
      </w:pPr>
      <w:r>
        <w:rPr>
          <w:rFonts w:ascii="Arial" w:hAnsi="Arial" w:cs="Arial"/>
          <w:i/>
        </w:rPr>
        <w:t xml:space="preserve">See related recommendations on page </w:t>
      </w:r>
      <w:r w:rsidR="008528EE">
        <w:rPr>
          <w:rFonts w:ascii="Arial" w:hAnsi="Arial" w:cs="Arial"/>
          <w:i/>
        </w:rPr>
        <w:t>7</w:t>
      </w:r>
    </w:p>
    <w:p w14:paraId="08B4B2B8" w14:textId="77777777" w:rsidR="00F37159" w:rsidRDefault="00F37159" w:rsidP="00F37FB7">
      <w:pPr>
        <w:spacing w:after="0"/>
        <w:jc w:val="both"/>
        <w:rPr>
          <w:rFonts w:ascii="Arial" w:hAnsi="Arial" w:cs="Arial"/>
        </w:rPr>
      </w:pPr>
    </w:p>
    <w:p w14:paraId="7EAA687C" w14:textId="580D4F7E" w:rsidR="0077615F" w:rsidRDefault="00CA634C" w:rsidP="002D194E">
      <w:pPr>
        <w:spacing w:after="0"/>
        <w:jc w:val="both"/>
        <w:rPr>
          <w:rFonts w:ascii="Arial" w:hAnsi="Arial" w:cs="Arial"/>
        </w:rPr>
      </w:pPr>
      <w:r w:rsidRPr="00CA634C">
        <w:rPr>
          <w:rFonts w:ascii="Arial" w:hAnsi="Arial" w:cs="Arial"/>
        </w:rPr>
        <w:t>Many of the disparities that LGBTQ youth face – including with respect to the Commission’s focus areas of homelessness, criminal justice, and health – relate back to issues of bullying, abuse, and rejection. These issues, in turn, reflect bias, stigma, and discriminatory attitudes that are deeply embedded in many aspects of society, including in core civic institutions that are designed to protect youth. For many years, the Commission has tracked trends relating to bullying and other forms of abuse faced by LGBTQ youth, and has regularly reported on these issues in its annual recommendations. Furthermore, the prevention of bullying and suicide remain at the core of the Commission’s work through its Safe Schools Program, which is run in collaboration with the Department of Elementary and Secondary Education (DESE). At its heart, bullying must be addressed by tackling the underlying issues of bias and discrimination that affect not only schools, but also other state institutions, families, and communities.</w:t>
      </w:r>
    </w:p>
    <w:p w14:paraId="11AF8877" w14:textId="77777777" w:rsidR="00CA634C" w:rsidRDefault="00CA634C" w:rsidP="002D194E">
      <w:pPr>
        <w:spacing w:after="0"/>
        <w:jc w:val="both"/>
        <w:rPr>
          <w:rFonts w:ascii="Arial" w:hAnsi="Arial" w:cs="Arial"/>
        </w:rPr>
      </w:pPr>
    </w:p>
    <w:p w14:paraId="6A774ABD" w14:textId="77777777" w:rsidR="0077615F" w:rsidRPr="00E47388" w:rsidRDefault="0077615F" w:rsidP="00E47388">
      <w:pPr>
        <w:pStyle w:val="Heading3"/>
        <w:rPr>
          <w:rFonts w:cs="Arial"/>
        </w:rPr>
      </w:pPr>
      <w:bookmarkStart w:id="9" w:name="_Toc512947887"/>
      <w:r w:rsidRPr="00E47388">
        <w:rPr>
          <w:rFonts w:cs="Arial"/>
        </w:rPr>
        <w:t>A. Bullying</w:t>
      </w:r>
      <w:bookmarkEnd w:id="9"/>
    </w:p>
    <w:p w14:paraId="7D7B31DD" w14:textId="77777777" w:rsidR="008D4422" w:rsidRDefault="008D4422" w:rsidP="002D194E">
      <w:pPr>
        <w:spacing w:after="0"/>
        <w:jc w:val="both"/>
        <w:rPr>
          <w:rFonts w:ascii="Arial" w:hAnsi="Arial" w:cs="Arial"/>
        </w:rPr>
      </w:pPr>
    </w:p>
    <w:p w14:paraId="3A42B9DC" w14:textId="2318BC65" w:rsidR="00E7214E" w:rsidRDefault="008D4422" w:rsidP="002D194E">
      <w:pPr>
        <w:spacing w:after="0"/>
        <w:jc w:val="both"/>
        <w:rPr>
          <w:rFonts w:ascii="Arial" w:hAnsi="Arial" w:cs="Arial"/>
        </w:rPr>
      </w:pPr>
      <w:r>
        <w:rPr>
          <w:rFonts w:ascii="Arial" w:hAnsi="Arial" w:cs="Arial"/>
        </w:rPr>
        <w:t xml:space="preserve">The most recent available data shows that LGBTQ students in Massachusetts are twice as likely to experience </w:t>
      </w:r>
      <w:r w:rsidRPr="008D4422">
        <w:rPr>
          <w:rFonts w:ascii="Arial" w:hAnsi="Arial" w:cs="Arial"/>
        </w:rPr>
        <w:t xml:space="preserve">bullying </w:t>
      </w:r>
      <w:r w:rsidR="000B0C84">
        <w:rPr>
          <w:rFonts w:ascii="Arial" w:hAnsi="Arial" w:cs="Arial"/>
        </w:rPr>
        <w:t>in</w:t>
      </w:r>
      <w:r w:rsidRPr="008D4422">
        <w:rPr>
          <w:rFonts w:ascii="Arial" w:hAnsi="Arial" w:cs="Arial"/>
        </w:rPr>
        <w:t xml:space="preserve"> school as </w:t>
      </w:r>
      <w:r>
        <w:rPr>
          <w:rFonts w:ascii="Arial" w:hAnsi="Arial" w:cs="Arial"/>
        </w:rPr>
        <w:t xml:space="preserve">are </w:t>
      </w:r>
      <w:r w:rsidRPr="008D4422">
        <w:rPr>
          <w:rFonts w:ascii="Arial" w:hAnsi="Arial" w:cs="Arial"/>
        </w:rPr>
        <w:t xml:space="preserve">their </w:t>
      </w:r>
      <w:r>
        <w:rPr>
          <w:rFonts w:ascii="Arial" w:hAnsi="Arial" w:cs="Arial"/>
        </w:rPr>
        <w:t xml:space="preserve">non-LGBTQ </w:t>
      </w:r>
      <w:r w:rsidRPr="008D4422">
        <w:rPr>
          <w:rFonts w:ascii="Arial" w:hAnsi="Arial" w:cs="Arial"/>
        </w:rPr>
        <w:t>peers</w:t>
      </w:r>
      <w:r>
        <w:rPr>
          <w:rFonts w:ascii="Arial" w:hAnsi="Arial" w:cs="Arial"/>
        </w:rPr>
        <w:t>,</w:t>
      </w:r>
      <w:r w:rsidRPr="008D4422">
        <w:rPr>
          <w:rFonts w:ascii="Arial" w:hAnsi="Arial" w:cs="Arial"/>
        </w:rPr>
        <w:t xml:space="preserve"> and</w:t>
      </w:r>
      <w:r>
        <w:rPr>
          <w:rFonts w:ascii="Arial" w:hAnsi="Arial" w:cs="Arial"/>
        </w:rPr>
        <w:t xml:space="preserve"> are</w:t>
      </w:r>
      <w:r w:rsidRPr="008D4422">
        <w:rPr>
          <w:rFonts w:ascii="Arial" w:hAnsi="Arial" w:cs="Arial"/>
        </w:rPr>
        <w:t xml:space="preserve"> three times as lik</w:t>
      </w:r>
      <w:r>
        <w:rPr>
          <w:rFonts w:ascii="Arial" w:hAnsi="Arial" w:cs="Arial"/>
        </w:rPr>
        <w:t>ely as others to experience cyberbullying</w:t>
      </w:r>
      <w:r w:rsidR="00E7214E">
        <w:rPr>
          <w:rFonts w:ascii="Arial" w:hAnsi="Arial" w:cs="Arial"/>
        </w:rPr>
        <w:t>,</w:t>
      </w:r>
      <w:r w:rsidR="00E7214E" w:rsidRPr="00E7214E">
        <w:rPr>
          <w:rFonts w:ascii="Arial" w:hAnsi="Arial" w:cs="Arial"/>
          <w:vertAlign w:val="superscript"/>
        </w:rPr>
        <w:t xml:space="preserve"> </w:t>
      </w:r>
      <w:r w:rsidR="00E7214E" w:rsidRPr="002D194E">
        <w:rPr>
          <w:rFonts w:ascii="Arial" w:hAnsi="Arial" w:cs="Arial"/>
          <w:vertAlign w:val="superscript"/>
        </w:rPr>
        <w:endnoteReference w:id="6"/>
      </w:r>
      <w:r w:rsidR="00E7214E">
        <w:rPr>
          <w:rFonts w:ascii="Arial" w:hAnsi="Arial" w:cs="Arial"/>
        </w:rPr>
        <w:t xml:space="preserve"> a trend which is also seen nationally</w:t>
      </w:r>
      <w:r w:rsidR="00710ECE">
        <w:rPr>
          <w:rFonts w:ascii="Arial" w:hAnsi="Arial" w:cs="Arial"/>
        </w:rPr>
        <w:t>.</w:t>
      </w:r>
      <w:r w:rsidR="00710ECE">
        <w:rPr>
          <w:rStyle w:val="EndnoteReference"/>
          <w:rFonts w:ascii="Arial" w:hAnsi="Arial" w:cs="Arial"/>
        </w:rPr>
        <w:endnoteReference w:id="7"/>
      </w:r>
      <w:r w:rsidR="00710ECE">
        <w:rPr>
          <w:rFonts w:ascii="Arial" w:hAnsi="Arial" w:cs="Arial"/>
        </w:rPr>
        <w:t xml:space="preserve"> </w:t>
      </w:r>
      <w:r w:rsidR="00E7214E">
        <w:rPr>
          <w:rFonts w:ascii="Arial" w:hAnsi="Arial" w:cs="Arial"/>
        </w:rPr>
        <w:t>Research has shown that school-based victimization against LGBTQ youth is linked to their mental health, and can cause higher levels of depression as well as suicidal ideation.</w:t>
      </w:r>
      <w:r w:rsidR="00E7214E">
        <w:rPr>
          <w:rStyle w:val="EndnoteReference"/>
          <w:rFonts w:ascii="Arial" w:hAnsi="Arial" w:cs="Arial"/>
        </w:rPr>
        <w:endnoteReference w:id="8"/>
      </w:r>
      <w:r w:rsidR="00E7214E">
        <w:rPr>
          <w:rFonts w:ascii="Arial" w:hAnsi="Arial" w:cs="Arial"/>
        </w:rPr>
        <w:t xml:space="preserve"> Therefore, the disparate rate of bullying faced by LGBTQ youth is also tied to the community’s higher suicide risk, as discussed in detail below.</w:t>
      </w:r>
    </w:p>
    <w:p w14:paraId="4CBC7BD1" w14:textId="77777777" w:rsidR="00E7214E" w:rsidRDefault="00E7214E" w:rsidP="002D194E">
      <w:pPr>
        <w:spacing w:after="0"/>
        <w:jc w:val="both"/>
        <w:rPr>
          <w:rFonts w:ascii="Arial" w:hAnsi="Arial" w:cs="Arial"/>
        </w:rPr>
      </w:pPr>
    </w:p>
    <w:p w14:paraId="39BD6F04" w14:textId="3B1F9010" w:rsidR="007F34BD" w:rsidRDefault="008D4422" w:rsidP="002D194E">
      <w:pPr>
        <w:spacing w:after="0"/>
        <w:jc w:val="both"/>
        <w:rPr>
          <w:rFonts w:ascii="Arial" w:hAnsi="Arial" w:cs="Arial"/>
        </w:rPr>
      </w:pPr>
      <w:r w:rsidRPr="002D194E">
        <w:rPr>
          <w:rFonts w:ascii="Arial" w:hAnsi="Arial" w:cs="Arial"/>
        </w:rPr>
        <w:t>LGBTQ students</w:t>
      </w:r>
      <w:r>
        <w:rPr>
          <w:rFonts w:ascii="Arial" w:hAnsi="Arial" w:cs="Arial"/>
        </w:rPr>
        <w:t xml:space="preserve"> in Massachusetts</w:t>
      </w:r>
      <w:r w:rsidRPr="002D194E">
        <w:rPr>
          <w:rFonts w:ascii="Arial" w:hAnsi="Arial" w:cs="Arial"/>
        </w:rPr>
        <w:t xml:space="preserve"> are </w:t>
      </w:r>
      <w:r w:rsidR="00E7214E">
        <w:rPr>
          <w:rFonts w:ascii="Arial" w:hAnsi="Arial" w:cs="Arial"/>
        </w:rPr>
        <w:t xml:space="preserve">also </w:t>
      </w:r>
      <w:r w:rsidRPr="002D194E">
        <w:rPr>
          <w:rFonts w:ascii="Arial" w:hAnsi="Arial" w:cs="Arial"/>
        </w:rPr>
        <w:t xml:space="preserve">three times </w:t>
      </w:r>
      <w:r>
        <w:rPr>
          <w:rFonts w:ascii="Arial" w:hAnsi="Arial" w:cs="Arial"/>
        </w:rPr>
        <w:t>as</w:t>
      </w:r>
      <w:r w:rsidRPr="002D194E">
        <w:rPr>
          <w:rFonts w:ascii="Arial" w:hAnsi="Arial" w:cs="Arial"/>
        </w:rPr>
        <w:t xml:space="preserve"> likely </w:t>
      </w:r>
      <w:r>
        <w:rPr>
          <w:rFonts w:ascii="Arial" w:hAnsi="Arial" w:cs="Arial"/>
        </w:rPr>
        <w:t>as</w:t>
      </w:r>
      <w:r w:rsidRPr="002D194E">
        <w:rPr>
          <w:rFonts w:ascii="Arial" w:hAnsi="Arial" w:cs="Arial"/>
        </w:rPr>
        <w:t xml:space="preserve"> their peers to report being threatened or injured with a weapon at school in the past yea</w:t>
      </w:r>
      <w:r w:rsidR="000B0C84">
        <w:rPr>
          <w:rFonts w:ascii="Arial" w:hAnsi="Arial" w:cs="Arial"/>
        </w:rPr>
        <w:t>r</w:t>
      </w:r>
      <w:r w:rsidRPr="002D194E">
        <w:rPr>
          <w:rFonts w:ascii="Arial" w:hAnsi="Arial" w:cs="Arial"/>
        </w:rPr>
        <w:t xml:space="preserve"> and</w:t>
      </w:r>
      <w:r>
        <w:rPr>
          <w:rFonts w:ascii="Arial" w:hAnsi="Arial" w:cs="Arial"/>
        </w:rPr>
        <w:t xml:space="preserve"> are</w:t>
      </w:r>
      <w:r w:rsidRPr="002D194E">
        <w:rPr>
          <w:rFonts w:ascii="Arial" w:hAnsi="Arial" w:cs="Arial"/>
        </w:rPr>
        <w:t xml:space="preserve"> twice as likely to say they carried a weapon to school in the past 30 days.</w:t>
      </w:r>
      <w:r w:rsidRPr="002D194E">
        <w:rPr>
          <w:rFonts w:ascii="Arial" w:hAnsi="Arial" w:cs="Arial"/>
          <w:vertAlign w:val="superscript"/>
        </w:rPr>
        <w:endnoteReference w:id="9"/>
      </w:r>
      <w:r w:rsidRPr="002D194E">
        <w:rPr>
          <w:rFonts w:ascii="Arial" w:hAnsi="Arial" w:cs="Arial"/>
        </w:rPr>
        <w:t xml:space="preserve"> Additionally, LGBTQ students are less likely to report feeling that they can talk to a teacher or school staff member about a problem</w:t>
      </w:r>
      <w:r w:rsidR="000B0C84">
        <w:rPr>
          <w:rFonts w:ascii="Arial" w:hAnsi="Arial" w:cs="Arial"/>
        </w:rPr>
        <w:t xml:space="preserve"> they are having</w:t>
      </w:r>
      <w:r w:rsidRPr="002D194E">
        <w:rPr>
          <w:rFonts w:ascii="Arial" w:hAnsi="Arial" w:cs="Arial"/>
        </w:rPr>
        <w:t>.</w:t>
      </w:r>
      <w:r w:rsidRPr="002D194E">
        <w:rPr>
          <w:rFonts w:ascii="Arial" w:hAnsi="Arial" w:cs="Arial"/>
          <w:vertAlign w:val="superscript"/>
        </w:rPr>
        <w:endnoteReference w:id="10"/>
      </w:r>
      <w:r w:rsidRPr="002D194E">
        <w:rPr>
          <w:rFonts w:ascii="Arial" w:hAnsi="Arial" w:cs="Arial"/>
        </w:rPr>
        <w:t xml:space="preserve"> </w:t>
      </w:r>
      <w:r>
        <w:rPr>
          <w:rFonts w:ascii="Arial" w:hAnsi="Arial" w:cs="Arial"/>
        </w:rPr>
        <w:t xml:space="preserve">It is therefore not surprising that </w:t>
      </w:r>
      <w:r w:rsidR="002D194E" w:rsidRPr="002D194E">
        <w:rPr>
          <w:rFonts w:ascii="Arial" w:hAnsi="Arial" w:cs="Arial"/>
        </w:rPr>
        <w:t xml:space="preserve">LGBTQ students </w:t>
      </w:r>
      <w:r>
        <w:rPr>
          <w:rFonts w:ascii="Arial" w:hAnsi="Arial" w:cs="Arial"/>
        </w:rPr>
        <w:t xml:space="preserve">in Massachusetts </w:t>
      </w:r>
      <w:r w:rsidR="002D194E" w:rsidRPr="002D194E">
        <w:rPr>
          <w:rFonts w:ascii="Arial" w:hAnsi="Arial" w:cs="Arial"/>
        </w:rPr>
        <w:t xml:space="preserve">remain more than four times as likely </w:t>
      </w:r>
      <w:r w:rsidR="002D194E">
        <w:rPr>
          <w:rFonts w:ascii="Arial" w:hAnsi="Arial" w:cs="Arial"/>
        </w:rPr>
        <w:t>as</w:t>
      </w:r>
      <w:r w:rsidR="002D194E" w:rsidRPr="002D194E">
        <w:rPr>
          <w:rFonts w:ascii="Arial" w:hAnsi="Arial" w:cs="Arial"/>
        </w:rPr>
        <w:t xml:space="preserve"> their classmates to sk</w:t>
      </w:r>
      <w:r>
        <w:rPr>
          <w:rFonts w:ascii="Arial" w:hAnsi="Arial" w:cs="Arial"/>
        </w:rPr>
        <w:t>ip school due to feeling unsafe.</w:t>
      </w:r>
      <w:r w:rsidRPr="002D194E">
        <w:rPr>
          <w:rFonts w:ascii="Arial" w:hAnsi="Arial" w:cs="Arial"/>
          <w:vertAlign w:val="superscript"/>
        </w:rPr>
        <w:endnoteReference w:id="11"/>
      </w:r>
      <w:r w:rsidRPr="002D194E">
        <w:rPr>
          <w:rFonts w:ascii="Arial" w:hAnsi="Arial" w:cs="Arial"/>
        </w:rPr>
        <w:t xml:space="preserve"> </w:t>
      </w:r>
      <w:r w:rsidR="00E7214E">
        <w:rPr>
          <w:rFonts w:ascii="Arial" w:hAnsi="Arial" w:cs="Arial"/>
        </w:rPr>
        <w:t>This fact</w:t>
      </w:r>
      <w:r>
        <w:rPr>
          <w:rFonts w:ascii="Arial" w:hAnsi="Arial" w:cs="Arial"/>
        </w:rPr>
        <w:t xml:space="preserve"> helps to explain the disparate rates of homel</w:t>
      </w:r>
      <w:r w:rsidR="00035184">
        <w:rPr>
          <w:rFonts w:ascii="Arial" w:hAnsi="Arial" w:cs="Arial"/>
        </w:rPr>
        <w:t>ess</w:t>
      </w:r>
      <w:r>
        <w:rPr>
          <w:rFonts w:ascii="Arial" w:hAnsi="Arial" w:cs="Arial"/>
        </w:rPr>
        <w:t>ness, criminal justice involvement, and health disparities</w:t>
      </w:r>
      <w:r w:rsidR="000B0C84">
        <w:rPr>
          <w:rFonts w:ascii="Arial" w:hAnsi="Arial" w:cs="Arial"/>
        </w:rPr>
        <w:t xml:space="preserve"> </w:t>
      </w:r>
      <w:r w:rsidR="000B0C84">
        <w:rPr>
          <w:rFonts w:ascii="Arial" w:hAnsi="Arial" w:cs="Arial"/>
        </w:rPr>
        <w:lastRenderedPageBreak/>
        <w:t>that the population faces</w:t>
      </w:r>
      <w:r>
        <w:rPr>
          <w:rFonts w:ascii="Arial" w:hAnsi="Arial" w:cs="Arial"/>
        </w:rPr>
        <w:t xml:space="preserve">, </w:t>
      </w:r>
      <w:r w:rsidR="007F34BD">
        <w:rPr>
          <w:rFonts w:ascii="Arial" w:hAnsi="Arial" w:cs="Arial"/>
        </w:rPr>
        <w:t xml:space="preserve">and </w:t>
      </w:r>
      <w:r w:rsidR="00E7214E">
        <w:rPr>
          <w:rFonts w:ascii="Arial" w:hAnsi="Arial" w:cs="Arial"/>
        </w:rPr>
        <w:t>indicates</w:t>
      </w:r>
      <w:r w:rsidR="007F34BD">
        <w:rPr>
          <w:rFonts w:ascii="Arial" w:hAnsi="Arial" w:cs="Arial"/>
        </w:rPr>
        <w:t xml:space="preserve"> why the Commission has chosen these fields as its three priority areas.</w:t>
      </w:r>
      <w:r w:rsidR="002D194E" w:rsidRPr="002D194E">
        <w:rPr>
          <w:rFonts w:ascii="Arial" w:hAnsi="Arial" w:cs="Arial"/>
        </w:rPr>
        <w:t xml:space="preserve"> </w:t>
      </w:r>
    </w:p>
    <w:p w14:paraId="6FF57A54" w14:textId="77777777" w:rsidR="002D194E" w:rsidRDefault="002D194E" w:rsidP="002D194E">
      <w:pPr>
        <w:spacing w:after="0"/>
        <w:jc w:val="both"/>
        <w:rPr>
          <w:rFonts w:ascii="Arial" w:hAnsi="Arial" w:cs="Arial"/>
        </w:rPr>
      </w:pPr>
    </w:p>
    <w:p w14:paraId="3762E293" w14:textId="77777777" w:rsidR="0077615F" w:rsidRPr="00E47388" w:rsidRDefault="0077615F" w:rsidP="00E47388">
      <w:pPr>
        <w:pStyle w:val="Heading3"/>
        <w:rPr>
          <w:rFonts w:cs="Arial"/>
        </w:rPr>
      </w:pPr>
      <w:bookmarkStart w:id="10" w:name="_Toc512947888"/>
      <w:r w:rsidRPr="00E47388">
        <w:rPr>
          <w:rFonts w:cs="Arial"/>
        </w:rPr>
        <w:t>B. Abuse</w:t>
      </w:r>
      <w:bookmarkEnd w:id="10"/>
    </w:p>
    <w:p w14:paraId="679AF731" w14:textId="77777777" w:rsidR="0077615F" w:rsidRPr="002D194E" w:rsidRDefault="0077615F" w:rsidP="002D194E">
      <w:pPr>
        <w:spacing w:after="0"/>
        <w:jc w:val="both"/>
        <w:rPr>
          <w:rFonts w:ascii="Arial" w:hAnsi="Arial" w:cs="Arial"/>
        </w:rPr>
      </w:pPr>
    </w:p>
    <w:p w14:paraId="3F0A122E" w14:textId="44E699FE" w:rsidR="002D194E" w:rsidRPr="002D194E" w:rsidRDefault="002D194E" w:rsidP="002D194E">
      <w:pPr>
        <w:spacing w:after="0"/>
        <w:jc w:val="both"/>
        <w:rPr>
          <w:rFonts w:ascii="Arial" w:hAnsi="Arial" w:cs="Arial"/>
        </w:rPr>
      </w:pPr>
      <w:r w:rsidRPr="002D194E">
        <w:rPr>
          <w:rFonts w:ascii="Arial" w:hAnsi="Arial" w:cs="Arial"/>
        </w:rPr>
        <w:t xml:space="preserve">Data </w:t>
      </w:r>
      <w:r w:rsidR="008E6D16">
        <w:rPr>
          <w:rFonts w:ascii="Arial" w:hAnsi="Arial" w:cs="Arial"/>
        </w:rPr>
        <w:t xml:space="preserve">also </w:t>
      </w:r>
      <w:r w:rsidRPr="002D194E">
        <w:rPr>
          <w:rFonts w:ascii="Arial" w:hAnsi="Arial" w:cs="Arial"/>
        </w:rPr>
        <w:t xml:space="preserve">point to disturbing rates of physical and sexual victimization among LGBTQ youth. </w:t>
      </w:r>
      <w:r w:rsidR="008E6D16">
        <w:rPr>
          <w:rFonts w:ascii="Arial" w:hAnsi="Arial" w:cs="Arial"/>
        </w:rPr>
        <w:t>For example,</w:t>
      </w:r>
      <w:r w:rsidRPr="002D194E">
        <w:rPr>
          <w:rFonts w:ascii="Arial" w:hAnsi="Arial" w:cs="Arial"/>
        </w:rPr>
        <w:t xml:space="preserve"> among students who have been on a date, 22.5% of LGBT</w:t>
      </w:r>
      <w:r w:rsidR="008E6D16">
        <w:rPr>
          <w:rFonts w:ascii="Arial" w:hAnsi="Arial" w:cs="Arial"/>
        </w:rPr>
        <w:t>Q</w:t>
      </w:r>
      <w:r w:rsidRPr="002D194E">
        <w:rPr>
          <w:rFonts w:ascii="Arial" w:hAnsi="Arial" w:cs="Arial"/>
        </w:rPr>
        <w:t xml:space="preserve"> respondents reported that a date hurt them physically, compared to 7.5% </w:t>
      </w:r>
      <w:r w:rsidR="008E6D16">
        <w:rPr>
          <w:rFonts w:ascii="Arial" w:hAnsi="Arial" w:cs="Arial"/>
        </w:rPr>
        <w:t>non-LGBTQ</w:t>
      </w:r>
      <w:r w:rsidRPr="002D194E">
        <w:rPr>
          <w:rFonts w:ascii="Arial" w:hAnsi="Arial" w:cs="Arial"/>
        </w:rPr>
        <w:t xml:space="preserve"> respondents</w:t>
      </w:r>
      <w:r w:rsidR="008E6D16">
        <w:rPr>
          <w:rFonts w:ascii="Arial" w:hAnsi="Arial" w:cs="Arial"/>
        </w:rPr>
        <w:t xml:space="preserve"> reporting the same</w:t>
      </w:r>
      <w:r w:rsidRPr="002D194E">
        <w:rPr>
          <w:rFonts w:ascii="Arial" w:hAnsi="Arial" w:cs="Arial"/>
        </w:rPr>
        <w:t>.</w:t>
      </w:r>
      <w:r w:rsidR="000B0C84" w:rsidRPr="002D194E">
        <w:rPr>
          <w:rFonts w:ascii="Arial" w:hAnsi="Arial" w:cs="Arial"/>
          <w:vertAlign w:val="superscript"/>
        </w:rPr>
        <w:endnoteReference w:id="12"/>
      </w:r>
      <w:r w:rsidRPr="002D194E">
        <w:rPr>
          <w:rFonts w:ascii="Arial" w:hAnsi="Arial" w:cs="Arial"/>
        </w:rPr>
        <w:t xml:space="preserve"> Additionally, </w:t>
      </w:r>
      <w:r w:rsidR="008E6D16">
        <w:rPr>
          <w:rFonts w:ascii="Arial" w:hAnsi="Arial" w:cs="Arial"/>
        </w:rPr>
        <w:t>state data shows that</w:t>
      </w:r>
      <w:r w:rsidRPr="002D194E">
        <w:rPr>
          <w:rFonts w:ascii="Arial" w:hAnsi="Arial" w:cs="Arial"/>
        </w:rPr>
        <w:t xml:space="preserve"> LGBT</w:t>
      </w:r>
      <w:r w:rsidR="008E6D16">
        <w:rPr>
          <w:rFonts w:ascii="Arial" w:hAnsi="Arial" w:cs="Arial"/>
        </w:rPr>
        <w:t>Q</w:t>
      </w:r>
      <w:r w:rsidRPr="002D194E">
        <w:rPr>
          <w:rFonts w:ascii="Arial" w:hAnsi="Arial" w:cs="Arial"/>
        </w:rPr>
        <w:t xml:space="preserve"> youth </w:t>
      </w:r>
      <w:r w:rsidR="008E6D16">
        <w:rPr>
          <w:rFonts w:ascii="Arial" w:hAnsi="Arial" w:cs="Arial"/>
        </w:rPr>
        <w:t>have experienced</w:t>
      </w:r>
      <w:r w:rsidRPr="002D194E">
        <w:rPr>
          <w:rFonts w:ascii="Arial" w:hAnsi="Arial" w:cs="Arial"/>
        </w:rPr>
        <w:t xml:space="preserve"> sexual contact against their will at six times the rate of their peers.</w:t>
      </w:r>
      <w:r w:rsidRPr="002D194E">
        <w:rPr>
          <w:rFonts w:ascii="Arial" w:hAnsi="Arial" w:cs="Arial"/>
          <w:vertAlign w:val="superscript"/>
        </w:rPr>
        <w:endnoteReference w:id="13"/>
      </w:r>
      <w:r w:rsidR="008E6D16">
        <w:rPr>
          <w:rFonts w:ascii="Arial" w:hAnsi="Arial" w:cs="Arial"/>
        </w:rPr>
        <w:t xml:space="preserve"> This fact highlights the importance of conversations about consent that are inclusive, age-appropriate, and science-based.</w:t>
      </w:r>
    </w:p>
    <w:p w14:paraId="00684076" w14:textId="77777777" w:rsidR="002D194E" w:rsidRPr="002D194E" w:rsidRDefault="002D194E" w:rsidP="002D194E">
      <w:pPr>
        <w:spacing w:after="0"/>
        <w:jc w:val="both"/>
        <w:rPr>
          <w:rFonts w:ascii="Arial" w:hAnsi="Arial" w:cs="Arial"/>
        </w:rPr>
      </w:pPr>
    </w:p>
    <w:p w14:paraId="3A7DA8DD" w14:textId="6D18EE75" w:rsidR="002D194E" w:rsidRPr="002D194E" w:rsidRDefault="00CA634C" w:rsidP="002D194E">
      <w:pPr>
        <w:spacing w:after="0"/>
        <w:jc w:val="both"/>
        <w:rPr>
          <w:rFonts w:ascii="Arial" w:hAnsi="Arial" w:cs="Arial"/>
        </w:rPr>
      </w:pPr>
      <w:r w:rsidRPr="00CA634C">
        <w:rPr>
          <w:rFonts w:ascii="Arial" w:hAnsi="Arial" w:cs="Arial"/>
        </w:rPr>
        <w:t>While the main sources of state data on youth health do not report on abuse by parents or guardians, other research indicates that this is also a risk. A report on LGBTQ youth of color in Boston found that more than half reported experiencing psychological abuse by an adult in their home “sometimes,” “often,” or “very often” before they turned 18, and more than one in three reported physical abuse</w:t>
      </w:r>
      <w:r w:rsidR="002D194E" w:rsidRPr="002D194E">
        <w:rPr>
          <w:rFonts w:ascii="Arial" w:hAnsi="Arial" w:cs="Arial"/>
        </w:rPr>
        <w:t>.</w:t>
      </w:r>
      <w:r w:rsidR="002D194E" w:rsidRPr="002D194E">
        <w:rPr>
          <w:rFonts w:ascii="Arial" w:hAnsi="Arial" w:cs="Arial"/>
          <w:vertAlign w:val="superscript"/>
        </w:rPr>
        <w:endnoteReference w:id="14"/>
      </w:r>
      <w:r w:rsidR="000B0C84">
        <w:rPr>
          <w:rFonts w:ascii="Arial" w:hAnsi="Arial" w:cs="Arial"/>
        </w:rPr>
        <w:t xml:space="preserve"> In addition to those facing abuse</w:t>
      </w:r>
      <w:r w:rsidR="002D194E" w:rsidRPr="002D194E">
        <w:rPr>
          <w:rFonts w:ascii="Arial" w:hAnsi="Arial" w:cs="Arial"/>
        </w:rPr>
        <w:t>, many LGBTQ youth feel less supported by their families than do their non-LGBTQ peers. National research suggests that bisexual youth may be less likely to have an adult in their family to talk to when they are sad, when compared to gay and lesbian youth.</w:t>
      </w:r>
      <w:r w:rsidR="002D194E" w:rsidRPr="002D194E">
        <w:rPr>
          <w:rFonts w:ascii="Arial" w:hAnsi="Arial" w:cs="Arial"/>
          <w:vertAlign w:val="superscript"/>
        </w:rPr>
        <w:endnoteReference w:id="15"/>
      </w:r>
      <w:r w:rsidR="004831C5">
        <w:rPr>
          <w:rFonts w:ascii="Arial" w:hAnsi="Arial" w:cs="Arial"/>
        </w:rPr>
        <w:t xml:space="preserve"> </w:t>
      </w:r>
      <w:r w:rsidR="004831C5" w:rsidRPr="004831C5">
        <w:rPr>
          <w:rFonts w:ascii="Arial" w:hAnsi="Arial" w:cs="Arial"/>
        </w:rPr>
        <w:t>A</w:t>
      </w:r>
      <w:r w:rsidR="000B0C84">
        <w:rPr>
          <w:rFonts w:ascii="Arial" w:hAnsi="Arial" w:cs="Arial"/>
        </w:rPr>
        <w:t>nother</w:t>
      </w:r>
      <w:r w:rsidR="004831C5" w:rsidRPr="004831C5">
        <w:rPr>
          <w:rFonts w:ascii="Arial" w:hAnsi="Arial" w:cs="Arial"/>
        </w:rPr>
        <w:t xml:space="preserve"> national study </w:t>
      </w:r>
      <w:r w:rsidR="000B0C84">
        <w:rPr>
          <w:rFonts w:ascii="Arial" w:hAnsi="Arial" w:cs="Arial"/>
        </w:rPr>
        <w:t>found</w:t>
      </w:r>
      <w:r w:rsidR="004831C5" w:rsidRPr="004831C5">
        <w:rPr>
          <w:rFonts w:ascii="Arial" w:hAnsi="Arial" w:cs="Arial"/>
        </w:rPr>
        <w:t xml:space="preserve"> that LGBTQ youth who have been rejected by their families experience 8.4 times higher risk of suicide, 5.9 times higher risk of depression, 3.4 times higher risk of substance use, and 3.4 times higher risk of unprotected sex than LGBTQ youth who feel supported at home.</w:t>
      </w:r>
      <w:r w:rsidR="004831C5" w:rsidRPr="004831C5">
        <w:rPr>
          <w:rFonts w:ascii="Arial" w:hAnsi="Arial" w:cs="Arial"/>
          <w:vertAlign w:val="superscript"/>
        </w:rPr>
        <w:endnoteReference w:id="16"/>
      </w:r>
      <w:r w:rsidR="00E7214E" w:rsidRPr="002D194E">
        <w:rPr>
          <w:rFonts w:ascii="Arial" w:hAnsi="Arial" w:cs="Arial"/>
        </w:rPr>
        <w:t xml:space="preserve"> </w:t>
      </w:r>
    </w:p>
    <w:p w14:paraId="01C3F065" w14:textId="77777777" w:rsidR="002D194E" w:rsidRDefault="002D194E" w:rsidP="002D194E">
      <w:pPr>
        <w:spacing w:after="0"/>
        <w:jc w:val="both"/>
        <w:rPr>
          <w:rFonts w:ascii="Arial" w:hAnsi="Arial" w:cs="Arial"/>
        </w:rPr>
      </w:pPr>
    </w:p>
    <w:p w14:paraId="54EA06D7" w14:textId="77777777" w:rsidR="0077615F" w:rsidRPr="00E47388" w:rsidRDefault="0077615F" w:rsidP="00E47388">
      <w:pPr>
        <w:pStyle w:val="Heading3"/>
        <w:rPr>
          <w:rFonts w:cs="Arial"/>
        </w:rPr>
      </w:pPr>
      <w:bookmarkStart w:id="11" w:name="_Toc512947889"/>
      <w:r w:rsidRPr="00E47388">
        <w:rPr>
          <w:rFonts w:cs="Arial"/>
        </w:rPr>
        <w:t>C. Suicide Risk</w:t>
      </w:r>
      <w:bookmarkEnd w:id="11"/>
    </w:p>
    <w:p w14:paraId="31155022" w14:textId="77777777" w:rsidR="0077615F" w:rsidRPr="002D194E" w:rsidRDefault="0077615F" w:rsidP="002D194E">
      <w:pPr>
        <w:spacing w:after="0"/>
        <w:jc w:val="both"/>
        <w:rPr>
          <w:rFonts w:ascii="Arial" w:hAnsi="Arial" w:cs="Arial"/>
        </w:rPr>
      </w:pPr>
    </w:p>
    <w:p w14:paraId="0E233C91" w14:textId="5C880878" w:rsidR="0077615F" w:rsidRDefault="002D194E" w:rsidP="002D194E">
      <w:pPr>
        <w:spacing w:after="0"/>
        <w:jc w:val="both"/>
        <w:rPr>
          <w:rFonts w:ascii="Arial" w:hAnsi="Arial" w:cs="Arial"/>
        </w:rPr>
      </w:pPr>
      <w:r w:rsidRPr="002D194E">
        <w:rPr>
          <w:rFonts w:ascii="Arial" w:hAnsi="Arial" w:cs="Arial"/>
        </w:rPr>
        <w:t>Twenty-</w:t>
      </w:r>
      <w:r w:rsidR="001671E4">
        <w:rPr>
          <w:rFonts w:ascii="Arial" w:hAnsi="Arial" w:cs="Arial"/>
        </w:rPr>
        <w:t>six</w:t>
      </w:r>
      <w:r w:rsidRPr="002D194E">
        <w:rPr>
          <w:rFonts w:ascii="Arial" w:hAnsi="Arial" w:cs="Arial"/>
        </w:rPr>
        <w:t xml:space="preserve"> years after </w:t>
      </w:r>
      <w:r w:rsidR="001671E4">
        <w:rPr>
          <w:rFonts w:ascii="Arial" w:hAnsi="Arial" w:cs="Arial"/>
        </w:rPr>
        <w:t xml:space="preserve">the Commission was created in </w:t>
      </w:r>
      <w:r w:rsidR="00DD42A5">
        <w:rPr>
          <w:rFonts w:ascii="Arial" w:hAnsi="Arial" w:cs="Arial"/>
        </w:rPr>
        <w:t xml:space="preserve">part to support </w:t>
      </w:r>
      <w:r w:rsidR="001671E4">
        <w:rPr>
          <w:rFonts w:ascii="Arial" w:hAnsi="Arial" w:cs="Arial"/>
        </w:rPr>
        <w:t xml:space="preserve">suicide </w:t>
      </w:r>
      <w:r w:rsidR="00DD42A5">
        <w:rPr>
          <w:rFonts w:ascii="Arial" w:hAnsi="Arial" w:cs="Arial"/>
        </w:rPr>
        <w:t xml:space="preserve">prevention efforts for </w:t>
      </w:r>
      <w:r w:rsidR="001671E4">
        <w:rPr>
          <w:rFonts w:ascii="Arial" w:hAnsi="Arial" w:cs="Arial"/>
        </w:rPr>
        <w:t>sexual minority youth</w:t>
      </w:r>
      <w:r w:rsidRPr="002D194E">
        <w:rPr>
          <w:rFonts w:ascii="Arial" w:hAnsi="Arial" w:cs="Arial"/>
        </w:rPr>
        <w:t>,</w:t>
      </w:r>
      <w:r w:rsidR="001671E4">
        <w:rPr>
          <w:rFonts w:ascii="Arial" w:hAnsi="Arial" w:cs="Arial"/>
        </w:rPr>
        <w:t xml:space="preserve"> progress has been made in implementing supports and creating more affirming environments</w:t>
      </w:r>
      <w:r w:rsidR="00C40C26">
        <w:rPr>
          <w:rFonts w:ascii="Arial" w:hAnsi="Arial" w:cs="Arial"/>
        </w:rPr>
        <w:t>. However,</w:t>
      </w:r>
      <w:r w:rsidRPr="002D194E">
        <w:rPr>
          <w:rFonts w:ascii="Arial" w:hAnsi="Arial" w:cs="Arial"/>
        </w:rPr>
        <w:t xml:space="preserve"> suicide ideation and other mental health risks</w:t>
      </w:r>
      <w:r w:rsidR="00C40C26">
        <w:rPr>
          <w:rFonts w:ascii="Arial" w:hAnsi="Arial" w:cs="Arial"/>
        </w:rPr>
        <w:t xml:space="preserve"> among LGBTQ youth</w:t>
      </w:r>
      <w:r w:rsidRPr="002D194E">
        <w:rPr>
          <w:rFonts w:ascii="Arial" w:hAnsi="Arial" w:cs="Arial"/>
        </w:rPr>
        <w:t xml:space="preserve"> remain </w:t>
      </w:r>
      <w:r w:rsidR="001671E4">
        <w:rPr>
          <w:rFonts w:ascii="Arial" w:hAnsi="Arial" w:cs="Arial"/>
        </w:rPr>
        <w:t>high</w:t>
      </w:r>
      <w:r w:rsidRPr="002D194E">
        <w:rPr>
          <w:rFonts w:ascii="Arial" w:hAnsi="Arial" w:cs="Arial"/>
        </w:rPr>
        <w:t xml:space="preserve">. </w:t>
      </w:r>
      <w:r w:rsidR="008E6D16">
        <w:rPr>
          <w:rFonts w:ascii="Arial" w:hAnsi="Arial" w:cs="Arial"/>
        </w:rPr>
        <w:t>According to the most recent data</w:t>
      </w:r>
      <w:r w:rsidRPr="002D194E">
        <w:rPr>
          <w:rFonts w:ascii="Arial" w:hAnsi="Arial" w:cs="Arial"/>
        </w:rPr>
        <w:t>, 41% of LGBTQ youth</w:t>
      </w:r>
      <w:r w:rsidR="001671E4">
        <w:rPr>
          <w:rFonts w:ascii="Arial" w:hAnsi="Arial" w:cs="Arial"/>
        </w:rPr>
        <w:t xml:space="preserve"> in Massachusetts</w:t>
      </w:r>
      <w:r w:rsidRPr="002D194E">
        <w:rPr>
          <w:rFonts w:ascii="Arial" w:hAnsi="Arial" w:cs="Arial"/>
        </w:rPr>
        <w:t xml:space="preserve"> have seriously considered suicide in the past year, compared to 11% of their heterosexual, cisgender classmates.</w:t>
      </w:r>
      <w:r w:rsidR="001671E4" w:rsidRPr="002D194E">
        <w:rPr>
          <w:rFonts w:ascii="Arial" w:hAnsi="Arial" w:cs="Arial"/>
          <w:vertAlign w:val="superscript"/>
        </w:rPr>
        <w:endnoteReference w:id="17"/>
      </w:r>
      <w:r w:rsidRPr="002D194E">
        <w:rPr>
          <w:rFonts w:ascii="Arial" w:hAnsi="Arial" w:cs="Arial"/>
        </w:rPr>
        <w:t xml:space="preserve"> </w:t>
      </w:r>
      <w:r w:rsidR="001671E4">
        <w:rPr>
          <w:rFonts w:ascii="Arial" w:hAnsi="Arial" w:cs="Arial"/>
        </w:rPr>
        <w:t>Equally distressing</w:t>
      </w:r>
      <w:r w:rsidR="008E6D16">
        <w:rPr>
          <w:rFonts w:ascii="Arial" w:hAnsi="Arial" w:cs="Arial"/>
        </w:rPr>
        <w:t xml:space="preserve"> is that</w:t>
      </w:r>
      <w:r w:rsidR="001671E4">
        <w:rPr>
          <w:rFonts w:ascii="Arial" w:hAnsi="Arial" w:cs="Arial"/>
        </w:rPr>
        <w:t xml:space="preserve"> more than one in three</w:t>
      </w:r>
      <w:r w:rsidRPr="002D194E">
        <w:rPr>
          <w:rFonts w:ascii="Arial" w:hAnsi="Arial" w:cs="Arial"/>
        </w:rPr>
        <w:t xml:space="preserve"> transgender students and nearly one </w:t>
      </w:r>
      <w:r w:rsidR="001671E4">
        <w:rPr>
          <w:rFonts w:ascii="Arial" w:hAnsi="Arial" w:cs="Arial"/>
        </w:rPr>
        <w:t>in four</w:t>
      </w:r>
      <w:r w:rsidRPr="002D194E">
        <w:rPr>
          <w:rFonts w:ascii="Arial" w:hAnsi="Arial" w:cs="Arial"/>
        </w:rPr>
        <w:t xml:space="preserve"> </w:t>
      </w:r>
      <w:r w:rsidR="008E6D16">
        <w:rPr>
          <w:rFonts w:ascii="Arial" w:hAnsi="Arial" w:cs="Arial"/>
        </w:rPr>
        <w:t>sexual minority</w:t>
      </w:r>
      <w:r w:rsidRPr="002D194E">
        <w:rPr>
          <w:rFonts w:ascii="Arial" w:hAnsi="Arial" w:cs="Arial"/>
        </w:rPr>
        <w:t xml:space="preserve"> students</w:t>
      </w:r>
      <w:r w:rsidR="008E6D16">
        <w:rPr>
          <w:rFonts w:ascii="Arial" w:hAnsi="Arial" w:cs="Arial"/>
        </w:rPr>
        <w:t xml:space="preserve"> in Massachusetts</w:t>
      </w:r>
      <w:r w:rsidRPr="002D194E">
        <w:rPr>
          <w:rFonts w:ascii="Arial" w:hAnsi="Arial" w:cs="Arial"/>
        </w:rPr>
        <w:t xml:space="preserve"> report a suicide attempt in the previous year.</w:t>
      </w:r>
      <w:r w:rsidR="001671E4" w:rsidRPr="002D194E">
        <w:rPr>
          <w:rFonts w:ascii="Arial" w:hAnsi="Arial" w:cs="Arial"/>
          <w:vertAlign w:val="superscript"/>
        </w:rPr>
        <w:endnoteReference w:id="18"/>
      </w:r>
      <w:r w:rsidRPr="002D194E">
        <w:rPr>
          <w:rFonts w:ascii="Arial" w:hAnsi="Arial" w:cs="Arial"/>
        </w:rPr>
        <w:t xml:space="preserve"> </w:t>
      </w:r>
      <w:r w:rsidR="008E6D16">
        <w:rPr>
          <w:rFonts w:ascii="Arial" w:hAnsi="Arial" w:cs="Arial"/>
        </w:rPr>
        <w:t xml:space="preserve">Furthermore, </w:t>
      </w:r>
      <w:r w:rsidRPr="002D194E">
        <w:rPr>
          <w:rFonts w:ascii="Arial" w:hAnsi="Arial" w:cs="Arial"/>
        </w:rPr>
        <w:t xml:space="preserve">43% of LGBTQ students report </w:t>
      </w:r>
      <w:r w:rsidR="001671E4">
        <w:rPr>
          <w:rFonts w:ascii="Arial" w:hAnsi="Arial" w:cs="Arial"/>
        </w:rPr>
        <w:t>intentional self-injury</w:t>
      </w:r>
      <w:r w:rsidRPr="002D194E">
        <w:rPr>
          <w:rFonts w:ascii="Arial" w:hAnsi="Arial" w:cs="Arial"/>
        </w:rPr>
        <w:t xml:space="preserve"> in the past year, such as cutting or burning themselves, compared to 14% of their non-LGBTQ peers.</w:t>
      </w:r>
      <w:r w:rsidRPr="002D194E">
        <w:rPr>
          <w:rFonts w:ascii="Arial" w:hAnsi="Arial" w:cs="Arial"/>
          <w:vertAlign w:val="superscript"/>
        </w:rPr>
        <w:endnoteReference w:id="19"/>
      </w:r>
      <w:r w:rsidR="001671E4">
        <w:rPr>
          <w:rFonts w:ascii="Arial" w:hAnsi="Arial" w:cs="Arial"/>
        </w:rPr>
        <w:t xml:space="preserve"> </w:t>
      </w:r>
    </w:p>
    <w:p w14:paraId="6A454FC4" w14:textId="77777777" w:rsidR="00FD1149" w:rsidRDefault="00FD1149" w:rsidP="002D194E">
      <w:pPr>
        <w:spacing w:after="0"/>
        <w:jc w:val="both"/>
        <w:rPr>
          <w:rFonts w:ascii="Arial" w:hAnsi="Arial" w:cs="Arial"/>
        </w:rPr>
      </w:pPr>
    </w:p>
    <w:p w14:paraId="78D7338E" w14:textId="1B73E8A6" w:rsidR="0077615F" w:rsidRDefault="0077615F" w:rsidP="002D194E">
      <w:pPr>
        <w:spacing w:after="0"/>
        <w:jc w:val="both"/>
        <w:rPr>
          <w:rFonts w:ascii="Arial" w:hAnsi="Arial" w:cs="Arial"/>
        </w:rPr>
      </w:pPr>
      <w:r>
        <w:rPr>
          <w:rFonts w:ascii="Arial" w:hAnsi="Arial" w:cs="Arial"/>
        </w:rPr>
        <w:t>Research indicates that the “coming out” process for sexual minorities has various associations with increased risk for suicidal ideation. A study based on national YRBS data revealed that students with “sexual orientation discordance” – for example, students who reported that they were heterosexual but who had same-sex sexual relationships – were 70% more likely than others to have suicide ideation or attempts.</w:t>
      </w:r>
      <w:r>
        <w:rPr>
          <w:rStyle w:val="EndnoteReference"/>
          <w:rFonts w:ascii="Arial" w:hAnsi="Arial" w:cs="Arial"/>
        </w:rPr>
        <w:endnoteReference w:id="20"/>
      </w:r>
      <w:r>
        <w:rPr>
          <w:rFonts w:ascii="Arial" w:hAnsi="Arial" w:cs="Arial"/>
        </w:rPr>
        <w:t xml:space="preserve"> </w:t>
      </w:r>
      <w:r w:rsidR="00E47388">
        <w:rPr>
          <w:rFonts w:ascii="Arial" w:hAnsi="Arial" w:cs="Arial"/>
        </w:rPr>
        <w:t>This suggests that students who are questioning their sexual orientation or are in the process of coming out are at elevated risk during that time in their lives. Other research confirms this risk, with one study finding that losing friends during the coming out process resulted in a youth being 29 times more likely to attempt suicide.</w:t>
      </w:r>
      <w:r w:rsidR="00E47388">
        <w:rPr>
          <w:rStyle w:val="EndnoteReference"/>
          <w:rFonts w:ascii="Arial" w:hAnsi="Arial" w:cs="Arial"/>
        </w:rPr>
        <w:endnoteReference w:id="21"/>
      </w:r>
      <w:r w:rsidR="00E47388">
        <w:rPr>
          <w:rFonts w:ascii="Arial" w:hAnsi="Arial" w:cs="Arial"/>
        </w:rPr>
        <w:t xml:space="preserve"> This </w:t>
      </w:r>
      <w:r w:rsidR="00E47388">
        <w:rPr>
          <w:rFonts w:ascii="Arial" w:hAnsi="Arial" w:cs="Arial"/>
        </w:rPr>
        <w:lastRenderedPageBreak/>
        <w:t xml:space="preserve">same study found that facing psychological mistreatment by caregivers led to a 9.5 times </w:t>
      </w:r>
      <w:r w:rsidR="006E1972">
        <w:rPr>
          <w:rFonts w:ascii="Arial" w:hAnsi="Arial" w:cs="Arial"/>
        </w:rPr>
        <w:t>increased risk,</w:t>
      </w:r>
      <w:r w:rsidR="00E47388">
        <w:rPr>
          <w:rStyle w:val="EndnoteReference"/>
          <w:rFonts w:ascii="Arial" w:hAnsi="Arial" w:cs="Arial"/>
        </w:rPr>
        <w:endnoteReference w:id="22"/>
      </w:r>
      <w:r w:rsidR="00E47388">
        <w:rPr>
          <w:rFonts w:ascii="Arial" w:hAnsi="Arial" w:cs="Arial"/>
        </w:rPr>
        <w:t xml:space="preserve"> </w:t>
      </w:r>
      <w:r w:rsidR="006E1972">
        <w:rPr>
          <w:rFonts w:ascii="Arial" w:hAnsi="Arial" w:cs="Arial"/>
        </w:rPr>
        <w:t>a fact that</w:t>
      </w:r>
      <w:r w:rsidR="00991A51">
        <w:rPr>
          <w:rFonts w:ascii="Arial" w:hAnsi="Arial" w:cs="Arial"/>
        </w:rPr>
        <w:t xml:space="preserve"> underscores</w:t>
      </w:r>
      <w:r w:rsidR="00E47388">
        <w:rPr>
          <w:rFonts w:ascii="Arial" w:hAnsi="Arial" w:cs="Arial"/>
        </w:rPr>
        <w:t xml:space="preserve"> the need to ban the practice of conversion therapy by health professionals against youth</w:t>
      </w:r>
      <w:r w:rsidR="006E1972">
        <w:rPr>
          <w:rFonts w:ascii="Arial" w:hAnsi="Arial" w:cs="Arial"/>
        </w:rPr>
        <w:t>,</w:t>
      </w:r>
      <w:r w:rsidR="00991A51">
        <w:rPr>
          <w:rFonts w:ascii="Arial" w:hAnsi="Arial" w:cs="Arial"/>
        </w:rPr>
        <w:t xml:space="preserve"> as recommended by the Commission at page </w:t>
      </w:r>
      <w:r w:rsidR="00C64403">
        <w:rPr>
          <w:rFonts w:ascii="Arial" w:hAnsi="Arial" w:cs="Arial"/>
        </w:rPr>
        <w:t>11</w:t>
      </w:r>
      <w:r w:rsidR="00CA634C">
        <w:rPr>
          <w:rFonts w:ascii="Arial" w:hAnsi="Arial" w:cs="Arial"/>
        </w:rPr>
        <w:t xml:space="preserve"> above</w:t>
      </w:r>
      <w:r w:rsidR="00E47388">
        <w:rPr>
          <w:rFonts w:ascii="Arial" w:hAnsi="Arial" w:cs="Arial"/>
        </w:rPr>
        <w:t xml:space="preserve">. </w:t>
      </w:r>
    </w:p>
    <w:p w14:paraId="72E1C738" w14:textId="77777777" w:rsidR="00893F8B" w:rsidRDefault="00893F8B" w:rsidP="002D194E">
      <w:pPr>
        <w:spacing w:after="0"/>
        <w:jc w:val="both"/>
        <w:rPr>
          <w:rFonts w:ascii="Arial" w:hAnsi="Arial" w:cs="Arial"/>
        </w:rPr>
      </w:pPr>
    </w:p>
    <w:p w14:paraId="5AA49A44" w14:textId="3BA590A9" w:rsidR="007F34BD" w:rsidRDefault="00576CFE" w:rsidP="00F37FB7">
      <w:pPr>
        <w:spacing w:after="0"/>
        <w:jc w:val="both"/>
        <w:rPr>
          <w:rFonts w:ascii="Arial" w:hAnsi="Arial" w:cs="Arial"/>
        </w:rPr>
      </w:pPr>
      <w:r>
        <w:rPr>
          <w:rFonts w:ascii="Arial" w:hAnsi="Arial" w:cs="Arial"/>
        </w:rPr>
        <w:t>T</w:t>
      </w:r>
      <w:r w:rsidR="00893F8B">
        <w:rPr>
          <w:rFonts w:ascii="Arial" w:hAnsi="Arial" w:cs="Arial"/>
        </w:rPr>
        <w:t>ransgender young adults aged 18-24 are at higher risk for attempting suicide than are any other age group among transgender adults, with 45% having attempted suicide according to a large national sample.</w:t>
      </w:r>
      <w:r w:rsidR="00893F8B">
        <w:rPr>
          <w:rStyle w:val="EndnoteReference"/>
          <w:rFonts w:ascii="Arial" w:hAnsi="Arial" w:cs="Arial"/>
        </w:rPr>
        <w:endnoteReference w:id="23"/>
      </w:r>
      <w:r w:rsidR="00893F8B">
        <w:rPr>
          <w:rFonts w:ascii="Arial" w:hAnsi="Arial" w:cs="Arial"/>
        </w:rPr>
        <w:t xml:space="preserve"> This same study found that experiences with homelessness, negative involvement with law enforcement, and having a positive HIV status – all factors closely related to the Commission’s focus areas of homelessness, criminal justice, and health – increased transgender people’s risk of attempting suicide.</w:t>
      </w:r>
      <w:r w:rsidR="00893F8B">
        <w:rPr>
          <w:rStyle w:val="EndnoteReference"/>
          <w:rFonts w:ascii="Arial" w:hAnsi="Arial" w:cs="Arial"/>
        </w:rPr>
        <w:endnoteReference w:id="24"/>
      </w:r>
      <w:r w:rsidR="00893F8B">
        <w:rPr>
          <w:rFonts w:ascii="Arial" w:hAnsi="Arial" w:cs="Arial"/>
        </w:rPr>
        <w:t xml:space="preserve"> Several large studies have confirmed that experiencing transphobia – including violence, rejection, mistreatment, and discrimination – are associated with elevated suicide risk in transgender individuals.</w:t>
      </w:r>
      <w:r w:rsidR="00893F8B">
        <w:rPr>
          <w:rStyle w:val="EndnoteReference"/>
          <w:rFonts w:ascii="Arial" w:hAnsi="Arial" w:cs="Arial"/>
        </w:rPr>
        <w:endnoteReference w:id="25"/>
      </w:r>
      <w:r w:rsidR="00893F8B">
        <w:rPr>
          <w:rFonts w:ascii="Arial" w:hAnsi="Arial" w:cs="Arial"/>
        </w:rPr>
        <w:t xml:space="preserve"> </w:t>
      </w:r>
    </w:p>
    <w:p w14:paraId="77BF0455" w14:textId="77777777" w:rsidR="007F34BD" w:rsidRDefault="007F34BD" w:rsidP="00F37FB7">
      <w:pPr>
        <w:spacing w:after="0"/>
        <w:jc w:val="both"/>
        <w:rPr>
          <w:rFonts w:ascii="Arial" w:hAnsi="Arial" w:cs="Arial"/>
        </w:rPr>
      </w:pPr>
    </w:p>
    <w:p w14:paraId="761624B7" w14:textId="7072D031" w:rsidR="00991A51" w:rsidRDefault="00991A51" w:rsidP="00F37FB7">
      <w:pPr>
        <w:spacing w:after="0"/>
        <w:jc w:val="both"/>
        <w:rPr>
          <w:rFonts w:ascii="Arial" w:hAnsi="Arial" w:cs="Arial"/>
        </w:rPr>
      </w:pPr>
      <w:r>
        <w:rPr>
          <w:rFonts w:ascii="Arial" w:hAnsi="Arial" w:cs="Arial"/>
        </w:rPr>
        <w:t>Indeed, research has shown that both LGBTQ-related victimization and low levels of social support were correlated with increased risk of attempted suicide among LGBTQ youth.</w:t>
      </w:r>
      <w:r>
        <w:rPr>
          <w:rStyle w:val="EndnoteReference"/>
          <w:rFonts w:ascii="Arial" w:hAnsi="Arial" w:cs="Arial"/>
        </w:rPr>
        <w:endnoteReference w:id="26"/>
      </w:r>
      <w:r>
        <w:rPr>
          <w:rFonts w:ascii="Arial" w:hAnsi="Arial" w:cs="Arial"/>
        </w:rPr>
        <w:t xml:space="preserve"> </w:t>
      </w:r>
      <w:r w:rsidR="00FD1149">
        <w:rPr>
          <w:rFonts w:ascii="Arial" w:hAnsi="Arial" w:cs="Arial"/>
        </w:rPr>
        <w:t>Research has also shown that religiosity, something normally thought of as a protective factor that reduces suicide risk, actually may increase risk of suicide among sexual minority youth, highlighting the need to decrease stigma and reinforce social support.</w:t>
      </w:r>
      <w:r w:rsidR="00FD1149">
        <w:rPr>
          <w:rStyle w:val="EndnoteReference"/>
          <w:rFonts w:ascii="Arial" w:hAnsi="Arial" w:cs="Arial"/>
        </w:rPr>
        <w:endnoteReference w:id="27"/>
      </w:r>
      <w:r w:rsidR="00FD1149">
        <w:rPr>
          <w:rFonts w:ascii="Arial" w:hAnsi="Arial" w:cs="Arial"/>
        </w:rPr>
        <w:t xml:space="preserve"> </w:t>
      </w:r>
      <w:r>
        <w:rPr>
          <w:rFonts w:ascii="Arial" w:hAnsi="Arial" w:cs="Arial"/>
        </w:rPr>
        <w:t xml:space="preserve">The Commission recommends that these risks be reduced both by working to ban and counter the effects of discrimination, as noted at page </w:t>
      </w:r>
      <w:r w:rsidR="00C64403">
        <w:rPr>
          <w:rFonts w:ascii="Arial" w:hAnsi="Arial" w:cs="Arial"/>
        </w:rPr>
        <w:t>7</w:t>
      </w:r>
      <w:r>
        <w:rPr>
          <w:rFonts w:ascii="Arial" w:hAnsi="Arial" w:cs="Arial"/>
        </w:rPr>
        <w:t xml:space="preserve"> above, and by beginning a discussion on reducing the burden of family rejection, as noted at page </w:t>
      </w:r>
      <w:r w:rsidR="00C64403">
        <w:rPr>
          <w:rFonts w:ascii="Arial" w:hAnsi="Arial" w:cs="Arial"/>
        </w:rPr>
        <w:t>8</w:t>
      </w:r>
      <w:r>
        <w:rPr>
          <w:rFonts w:ascii="Arial" w:hAnsi="Arial" w:cs="Arial"/>
        </w:rPr>
        <w:t xml:space="preserve">. </w:t>
      </w:r>
    </w:p>
    <w:p w14:paraId="4A8B79CA" w14:textId="7262582E" w:rsidR="00C64411" w:rsidRDefault="00C64411" w:rsidP="00F37FB7">
      <w:pPr>
        <w:spacing w:after="0"/>
        <w:jc w:val="both"/>
        <w:rPr>
          <w:rFonts w:ascii="Arial" w:hAnsi="Arial" w:cs="Arial"/>
        </w:rPr>
      </w:pPr>
    </w:p>
    <w:p w14:paraId="63CC1738" w14:textId="29C441F2" w:rsidR="00FD5DC1" w:rsidRDefault="00F37159" w:rsidP="0059635C">
      <w:pPr>
        <w:pStyle w:val="Heading2"/>
      </w:pPr>
      <w:bookmarkStart w:id="12" w:name="_Toc512947890"/>
      <w:r>
        <w:t>II</w:t>
      </w:r>
      <w:r w:rsidR="00E73480">
        <w:t xml:space="preserve">. </w:t>
      </w:r>
      <w:r w:rsidR="00FD5DC1">
        <w:t>Homelessness</w:t>
      </w:r>
      <w:bookmarkEnd w:id="12"/>
    </w:p>
    <w:p w14:paraId="27A39B35" w14:textId="6922B13C" w:rsidR="00F37159" w:rsidRDefault="00573F0C" w:rsidP="00F37FB7">
      <w:pPr>
        <w:spacing w:after="0"/>
        <w:jc w:val="both"/>
        <w:rPr>
          <w:rFonts w:ascii="Arial" w:hAnsi="Arial" w:cs="Arial"/>
          <w:i/>
        </w:rPr>
      </w:pPr>
      <w:r>
        <w:rPr>
          <w:noProof/>
        </w:rPr>
        <w:drawing>
          <wp:anchor distT="0" distB="0" distL="114300" distR="114300" simplePos="0" relativeHeight="251746304" behindDoc="0" locked="0" layoutInCell="0" allowOverlap="1" wp14:anchorId="4DD41273" wp14:editId="09EFA7B4">
            <wp:simplePos x="0" y="0"/>
            <wp:positionH relativeFrom="page">
              <wp:posOffset>850900</wp:posOffset>
            </wp:positionH>
            <wp:positionV relativeFrom="paragraph">
              <wp:posOffset>43815</wp:posOffset>
            </wp:positionV>
            <wp:extent cx="3200400" cy="24130"/>
            <wp:effectExtent l="0" t="0" r="0" b="0"/>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00400" cy="24130"/>
                    </a:xfrm>
                    <a:prstGeom prst="rect">
                      <a:avLst/>
                    </a:prstGeom>
                    <a:noFill/>
                  </pic:spPr>
                </pic:pic>
              </a:graphicData>
            </a:graphic>
          </wp:anchor>
        </w:drawing>
      </w:r>
    </w:p>
    <w:p w14:paraId="4A860E41" w14:textId="2177F189" w:rsidR="00FD5DC1" w:rsidRPr="00F37159" w:rsidRDefault="00F37159" w:rsidP="00F37FB7">
      <w:pPr>
        <w:spacing w:after="0"/>
        <w:jc w:val="both"/>
        <w:rPr>
          <w:rFonts w:ascii="Arial" w:hAnsi="Arial" w:cs="Arial"/>
          <w:i/>
        </w:rPr>
      </w:pPr>
      <w:r>
        <w:rPr>
          <w:rFonts w:ascii="Arial" w:hAnsi="Arial" w:cs="Arial"/>
          <w:i/>
        </w:rPr>
        <w:t xml:space="preserve">See related recommendations on page </w:t>
      </w:r>
      <w:r w:rsidR="008528EE">
        <w:rPr>
          <w:rFonts w:ascii="Arial" w:hAnsi="Arial" w:cs="Arial"/>
          <w:i/>
        </w:rPr>
        <w:t>8</w:t>
      </w:r>
    </w:p>
    <w:p w14:paraId="13DDB0D4" w14:textId="77777777" w:rsidR="00F37159" w:rsidRDefault="00F37159" w:rsidP="00F37FB7">
      <w:pPr>
        <w:spacing w:after="0"/>
        <w:jc w:val="both"/>
        <w:rPr>
          <w:rFonts w:ascii="Arial" w:hAnsi="Arial" w:cs="Arial"/>
          <w:b/>
        </w:rPr>
      </w:pPr>
    </w:p>
    <w:p w14:paraId="3AD566FE" w14:textId="2C3F165D" w:rsidR="001158FB" w:rsidRPr="001158FB" w:rsidRDefault="001158FB" w:rsidP="001158FB">
      <w:pPr>
        <w:spacing w:after="0"/>
        <w:jc w:val="both"/>
        <w:rPr>
          <w:rFonts w:ascii="Arial" w:hAnsi="Arial" w:cs="Arial"/>
        </w:rPr>
      </w:pPr>
      <w:r w:rsidRPr="001158FB">
        <w:rPr>
          <w:rFonts w:ascii="Arial" w:hAnsi="Arial" w:cs="Arial"/>
        </w:rPr>
        <w:t xml:space="preserve">Each year, homelessness impacts </w:t>
      </w:r>
      <w:r w:rsidR="009505C1">
        <w:rPr>
          <w:rFonts w:ascii="Arial" w:hAnsi="Arial" w:cs="Arial"/>
        </w:rPr>
        <w:t>one</w:t>
      </w:r>
      <w:r w:rsidRPr="001158FB">
        <w:rPr>
          <w:rFonts w:ascii="Arial" w:hAnsi="Arial" w:cs="Arial"/>
        </w:rPr>
        <w:t xml:space="preserve"> in 30 </w:t>
      </w:r>
      <w:r w:rsidR="001671E4">
        <w:rPr>
          <w:rFonts w:ascii="Arial" w:hAnsi="Arial" w:cs="Arial"/>
        </w:rPr>
        <w:t>young people</w:t>
      </w:r>
      <w:r w:rsidRPr="001158FB">
        <w:rPr>
          <w:rFonts w:ascii="Arial" w:hAnsi="Arial" w:cs="Arial"/>
        </w:rPr>
        <w:t xml:space="preserve"> aged 13-17, and </w:t>
      </w:r>
      <w:r w:rsidR="009505C1">
        <w:rPr>
          <w:rFonts w:ascii="Arial" w:hAnsi="Arial" w:cs="Arial"/>
        </w:rPr>
        <w:t>one</w:t>
      </w:r>
      <w:r w:rsidRPr="001158FB">
        <w:rPr>
          <w:rFonts w:ascii="Arial" w:hAnsi="Arial" w:cs="Arial"/>
        </w:rPr>
        <w:t xml:space="preserve"> in 10 </w:t>
      </w:r>
      <w:r w:rsidR="001671E4">
        <w:rPr>
          <w:rFonts w:ascii="Arial" w:hAnsi="Arial" w:cs="Arial"/>
        </w:rPr>
        <w:t xml:space="preserve">of those </w:t>
      </w:r>
      <w:r w:rsidRPr="001158FB">
        <w:rPr>
          <w:rFonts w:ascii="Arial" w:hAnsi="Arial" w:cs="Arial"/>
        </w:rPr>
        <w:t>aged 18-25, making it a national crisis.</w:t>
      </w:r>
      <w:r w:rsidRPr="001158FB">
        <w:rPr>
          <w:rFonts w:ascii="Arial" w:hAnsi="Arial" w:cs="Arial"/>
          <w:vertAlign w:val="superscript"/>
        </w:rPr>
        <w:endnoteReference w:id="28"/>
      </w:r>
      <w:r w:rsidRPr="001158FB">
        <w:rPr>
          <w:rFonts w:ascii="Arial" w:hAnsi="Arial" w:cs="Arial"/>
        </w:rPr>
        <w:t xml:space="preserve"> This is especially</w:t>
      </w:r>
      <w:r w:rsidR="009505C1">
        <w:rPr>
          <w:rFonts w:ascii="Arial" w:hAnsi="Arial" w:cs="Arial"/>
        </w:rPr>
        <w:t xml:space="preserve"> true for LGBTQ youth, who have been found in some studies to face more than twice the risk of homelessness compared to their non-LGBTQ peers</w:t>
      </w:r>
      <w:r w:rsidRPr="001158FB">
        <w:rPr>
          <w:rFonts w:ascii="Arial" w:hAnsi="Arial" w:cs="Arial"/>
          <w:vertAlign w:val="superscript"/>
        </w:rPr>
        <w:endnoteReference w:id="29"/>
      </w:r>
      <w:r w:rsidRPr="001158FB">
        <w:rPr>
          <w:rFonts w:ascii="Arial" w:hAnsi="Arial" w:cs="Arial"/>
        </w:rPr>
        <w:t xml:space="preserve"> </w:t>
      </w:r>
      <w:r w:rsidR="009505C1">
        <w:rPr>
          <w:rFonts w:ascii="Arial" w:hAnsi="Arial" w:cs="Arial"/>
        </w:rPr>
        <w:t>and in other studies to represent up to 40% of homeless youth,</w:t>
      </w:r>
      <w:r w:rsidRPr="001158FB">
        <w:rPr>
          <w:rFonts w:ascii="Arial" w:hAnsi="Arial" w:cs="Arial"/>
          <w:vertAlign w:val="superscript"/>
        </w:rPr>
        <w:endnoteReference w:id="30"/>
      </w:r>
      <w:r w:rsidR="009505C1">
        <w:rPr>
          <w:rFonts w:ascii="Arial" w:hAnsi="Arial" w:cs="Arial"/>
        </w:rPr>
        <w:t xml:space="preserve"> </w:t>
      </w:r>
      <w:r w:rsidR="00451A77">
        <w:rPr>
          <w:rFonts w:ascii="Arial" w:hAnsi="Arial" w:cs="Arial"/>
        </w:rPr>
        <w:t>despite comprising only about 10% of the population</w:t>
      </w:r>
      <w:r w:rsidR="009505C1">
        <w:rPr>
          <w:rFonts w:ascii="Arial" w:hAnsi="Arial" w:cs="Arial"/>
        </w:rPr>
        <w:t>.</w:t>
      </w:r>
      <w:r w:rsidRPr="001158FB">
        <w:rPr>
          <w:rFonts w:ascii="Arial" w:hAnsi="Arial" w:cs="Arial"/>
        </w:rPr>
        <w:t xml:space="preserve"> </w:t>
      </w:r>
      <w:r w:rsidR="006E1972">
        <w:rPr>
          <w:rFonts w:ascii="Arial" w:hAnsi="Arial" w:cs="Arial"/>
        </w:rPr>
        <w:t xml:space="preserve">One study found that among LGBTQ youth experiencing homelessness, </w:t>
      </w:r>
      <w:r w:rsidR="001671E4">
        <w:rPr>
          <w:rFonts w:ascii="Arial" w:hAnsi="Arial" w:cs="Arial"/>
        </w:rPr>
        <w:t>31%</w:t>
      </w:r>
      <w:r w:rsidRPr="001158FB">
        <w:rPr>
          <w:rFonts w:ascii="Arial" w:hAnsi="Arial" w:cs="Arial"/>
        </w:rPr>
        <w:t xml:space="preserve"> </w:t>
      </w:r>
      <w:r w:rsidR="006E1972">
        <w:rPr>
          <w:rFonts w:ascii="Arial" w:hAnsi="Arial" w:cs="Arial"/>
        </w:rPr>
        <w:t xml:space="preserve">were </w:t>
      </w:r>
      <w:r w:rsidR="009D6276">
        <w:rPr>
          <w:rFonts w:ascii="Arial" w:hAnsi="Arial" w:cs="Arial"/>
        </w:rPr>
        <w:t>Black</w:t>
      </w:r>
      <w:r w:rsidRPr="001158FB">
        <w:rPr>
          <w:rFonts w:ascii="Arial" w:hAnsi="Arial" w:cs="Arial"/>
        </w:rPr>
        <w:t>, 14%</w:t>
      </w:r>
      <w:r w:rsidR="006E1972">
        <w:rPr>
          <w:rFonts w:ascii="Arial" w:hAnsi="Arial" w:cs="Arial"/>
        </w:rPr>
        <w:t xml:space="preserve"> were</w:t>
      </w:r>
      <w:r w:rsidRPr="001158FB">
        <w:rPr>
          <w:rFonts w:ascii="Arial" w:hAnsi="Arial" w:cs="Arial"/>
        </w:rPr>
        <w:t xml:space="preserve"> Latinx, 1%</w:t>
      </w:r>
      <w:r w:rsidR="006E1972">
        <w:rPr>
          <w:rFonts w:ascii="Arial" w:hAnsi="Arial" w:cs="Arial"/>
        </w:rPr>
        <w:t xml:space="preserve"> were</w:t>
      </w:r>
      <w:r w:rsidRPr="001158FB">
        <w:rPr>
          <w:rFonts w:ascii="Arial" w:hAnsi="Arial" w:cs="Arial"/>
        </w:rPr>
        <w:t xml:space="preserve"> Native American, and 1%</w:t>
      </w:r>
      <w:r w:rsidR="006E1972">
        <w:rPr>
          <w:rFonts w:ascii="Arial" w:hAnsi="Arial" w:cs="Arial"/>
        </w:rPr>
        <w:t xml:space="preserve"> were</w:t>
      </w:r>
      <w:r w:rsidRPr="001158FB">
        <w:rPr>
          <w:rFonts w:ascii="Arial" w:hAnsi="Arial" w:cs="Arial"/>
        </w:rPr>
        <w:t xml:space="preserve"> Asian or Pacific Islander</w:t>
      </w:r>
      <w:r w:rsidR="006E1972">
        <w:rPr>
          <w:rFonts w:ascii="Arial" w:hAnsi="Arial" w:cs="Arial"/>
        </w:rPr>
        <w:t>, highlighting the intersectional nature of this crisis</w:t>
      </w:r>
      <w:r w:rsidRPr="001158FB">
        <w:rPr>
          <w:rFonts w:ascii="Arial" w:hAnsi="Arial" w:cs="Arial"/>
        </w:rPr>
        <w:t>.</w:t>
      </w:r>
      <w:r w:rsidRPr="001158FB">
        <w:rPr>
          <w:rFonts w:ascii="Arial" w:hAnsi="Arial" w:cs="Arial"/>
          <w:vertAlign w:val="superscript"/>
        </w:rPr>
        <w:endnoteReference w:id="31"/>
      </w:r>
    </w:p>
    <w:p w14:paraId="27DCFE09" w14:textId="77777777" w:rsidR="001158FB" w:rsidRPr="001158FB" w:rsidRDefault="001158FB" w:rsidP="001158FB">
      <w:pPr>
        <w:spacing w:after="0"/>
        <w:jc w:val="both"/>
        <w:rPr>
          <w:rFonts w:ascii="Arial" w:hAnsi="Arial" w:cs="Arial"/>
        </w:rPr>
      </w:pPr>
    </w:p>
    <w:p w14:paraId="640A57FD" w14:textId="0B49BD36" w:rsidR="001158FB" w:rsidRPr="001158FB" w:rsidRDefault="001158FB" w:rsidP="001158FB">
      <w:pPr>
        <w:spacing w:after="0"/>
        <w:jc w:val="both"/>
        <w:rPr>
          <w:rFonts w:ascii="Arial" w:hAnsi="Arial" w:cs="Arial"/>
        </w:rPr>
      </w:pPr>
      <w:r w:rsidRPr="001158FB">
        <w:rPr>
          <w:rFonts w:ascii="Arial" w:hAnsi="Arial" w:cs="Arial"/>
        </w:rPr>
        <w:t>It is unclear exactly what proportion of LGBTQ youth in Massachusetts face homelessness, with one study suggesting that LGB youth face anywhere from 4 to 13 times the risk that other youth in the Commonwealth face.</w:t>
      </w:r>
      <w:r w:rsidRPr="001158FB">
        <w:rPr>
          <w:rFonts w:ascii="Arial" w:hAnsi="Arial" w:cs="Arial"/>
          <w:vertAlign w:val="superscript"/>
        </w:rPr>
        <w:endnoteReference w:id="32"/>
      </w:r>
      <w:r w:rsidRPr="001158FB">
        <w:rPr>
          <w:rFonts w:ascii="Arial" w:hAnsi="Arial" w:cs="Arial"/>
        </w:rPr>
        <w:t xml:space="preserve"> Regardless of the exact figures, which could only be known with a substantial increase in funding for studying this issue, every data point available suggests that LGBTQ youth </w:t>
      </w:r>
      <w:r w:rsidR="009D6276" w:rsidRPr="009D6276">
        <w:rPr>
          <w:rFonts w:ascii="Arial" w:hAnsi="Arial" w:cs="Arial"/>
        </w:rPr>
        <w:t>are overrepresented among the homeless and face additional risks while out of home.</w:t>
      </w:r>
      <w:r w:rsidR="009846DC">
        <w:rPr>
          <w:rFonts w:ascii="Arial" w:hAnsi="Arial" w:cs="Arial"/>
        </w:rPr>
        <w:t xml:space="preserve"> For this reason, the Commission has been pleased to partner with the coalition of governmental and nongovernmental entities who have been working to develop a State Plan to End Youth and Young Adult Homelessness. </w:t>
      </w:r>
      <w:r w:rsidR="009846DC" w:rsidRPr="009846DC">
        <w:rPr>
          <w:rFonts w:ascii="Arial" w:hAnsi="Arial" w:cs="Arial"/>
        </w:rPr>
        <w:t xml:space="preserve">The plan envisions a system that prevents more young people from experiencing crises, identifies them more quickly when a crisis occurs, and </w:t>
      </w:r>
      <w:r w:rsidR="009846DC" w:rsidRPr="009846DC">
        <w:rPr>
          <w:rFonts w:ascii="Arial" w:hAnsi="Arial" w:cs="Arial"/>
        </w:rPr>
        <w:lastRenderedPageBreak/>
        <w:t>responds immediately with the supports that young people need. The Commission looks forward to the release of the plan, anticipated in May 201</w:t>
      </w:r>
      <w:r w:rsidR="009846DC">
        <w:rPr>
          <w:rFonts w:ascii="Arial" w:hAnsi="Arial" w:cs="Arial"/>
        </w:rPr>
        <w:t>8</w:t>
      </w:r>
      <w:r w:rsidR="009846DC" w:rsidRPr="009846DC">
        <w:rPr>
          <w:rFonts w:ascii="Arial" w:hAnsi="Arial" w:cs="Arial"/>
        </w:rPr>
        <w:t xml:space="preserve">, and its implementation.   </w:t>
      </w:r>
    </w:p>
    <w:p w14:paraId="7BDE7201" w14:textId="77777777" w:rsidR="001158FB" w:rsidRPr="001158FB" w:rsidRDefault="001158FB" w:rsidP="001158FB">
      <w:pPr>
        <w:spacing w:after="0"/>
        <w:jc w:val="both"/>
        <w:rPr>
          <w:rFonts w:ascii="Arial" w:hAnsi="Arial" w:cs="Arial"/>
        </w:rPr>
      </w:pPr>
    </w:p>
    <w:p w14:paraId="1FC87C30" w14:textId="77777777" w:rsidR="001158FB" w:rsidRPr="001158FB" w:rsidRDefault="001158FB" w:rsidP="0059635C">
      <w:pPr>
        <w:pStyle w:val="Heading3"/>
      </w:pPr>
      <w:bookmarkStart w:id="13" w:name="_Toc512947891"/>
      <w:r w:rsidRPr="001158FB">
        <w:t>A. Factors Resulting in Housing Instability</w:t>
      </w:r>
      <w:bookmarkEnd w:id="13"/>
    </w:p>
    <w:p w14:paraId="6950FF99" w14:textId="77777777" w:rsidR="001158FB" w:rsidRPr="001158FB" w:rsidRDefault="001158FB" w:rsidP="001158FB">
      <w:pPr>
        <w:spacing w:after="0"/>
        <w:jc w:val="both"/>
        <w:rPr>
          <w:rFonts w:ascii="Arial" w:hAnsi="Arial" w:cs="Arial"/>
        </w:rPr>
      </w:pPr>
    </w:p>
    <w:p w14:paraId="636A7954" w14:textId="77777777" w:rsidR="009D6276" w:rsidRPr="009D6276" w:rsidRDefault="009D6276" w:rsidP="009D6276">
      <w:pPr>
        <w:spacing w:after="0"/>
        <w:jc w:val="both"/>
        <w:rPr>
          <w:rFonts w:ascii="Arial" w:hAnsi="Arial" w:cs="Arial"/>
        </w:rPr>
      </w:pPr>
      <w:r w:rsidRPr="009D6276">
        <w:rPr>
          <w:rFonts w:ascii="Arial" w:hAnsi="Arial" w:cs="Arial"/>
        </w:rPr>
        <w:t xml:space="preserve">LGBTQ youth often find themselves at the intersection of discrimination, poverty, and racism that create </w:t>
      </w:r>
      <w:r w:rsidR="00165CE7">
        <w:rPr>
          <w:rFonts w:ascii="Arial" w:hAnsi="Arial" w:cs="Arial"/>
        </w:rPr>
        <w:t>a</w:t>
      </w:r>
      <w:r w:rsidRPr="009D6276">
        <w:rPr>
          <w:rFonts w:ascii="Arial" w:hAnsi="Arial" w:cs="Arial"/>
        </w:rPr>
        <w:t xml:space="preserve"> perfect storm for increasing the risk of housing instability and homelessness. According to a national survey in 2012, the </w:t>
      </w:r>
      <w:r w:rsidRPr="009D6276">
        <w:rPr>
          <w:rFonts w:ascii="Arial" w:hAnsi="Arial" w:cs="Arial"/>
          <w:lang w:val="nl-NL"/>
        </w:rPr>
        <w:t xml:space="preserve">top </w:t>
      </w:r>
      <w:r w:rsidRPr="009D6276">
        <w:rPr>
          <w:rFonts w:ascii="Arial" w:hAnsi="Arial" w:cs="Arial"/>
        </w:rPr>
        <w:t xml:space="preserve">reasons </w:t>
      </w:r>
      <w:r w:rsidRPr="009D6276">
        <w:rPr>
          <w:rFonts w:ascii="Arial" w:hAnsi="Arial" w:cs="Arial"/>
          <w:lang w:val="de-DE"/>
        </w:rPr>
        <w:t>LGBT</w:t>
      </w:r>
      <w:r w:rsidRPr="009D6276">
        <w:rPr>
          <w:rFonts w:ascii="Arial" w:hAnsi="Arial" w:cs="Arial"/>
        </w:rPr>
        <w:t>Q youth cite for becoming homeless are familial rejection or abuse, mistreatment at school, and aging out of foster care.</w:t>
      </w:r>
      <w:r w:rsidRPr="009D6276">
        <w:rPr>
          <w:rFonts w:ascii="Arial" w:hAnsi="Arial" w:cs="Arial"/>
          <w:vertAlign w:val="superscript"/>
        </w:rPr>
        <w:endnoteReference w:id="33"/>
      </w:r>
    </w:p>
    <w:p w14:paraId="06BD892D" w14:textId="77777777" w:rsidR="009D6276" w:rsidRPr="009D6276" w:rsidRDefault="009D6276" w:rsidP="009D6276">
      <w:pPr>
        <w:spacing w:after="0"/>
        <w:jc w:val="both"/>
        <w:rPr>
          <w:rFonts w:ascii="Arial" w:hAnsi="Arial" w:cs="Arial"/>
        </w:rPr>
      </w:pPr>
    </w:p>
    <w:p w14:paraId="304427EA" w14:textId="77777777" w:rsidR="009D6276" w:rsidRPr="009D6276" w:rsidRDefault="00165CE7" w:rsidP="009D6276">
      <w:pPr>
        <w:spacing w:after="0"/>
        <w:jc w:val="both"/>
        <w:rPr>
          <w:rFonts w:ascii="Arial" w:hAnsi="Arial" w:cs="Arial"/>
        </w:rPr>
      </w:pPr>
      <w:r>
        <w:rPr>
          <w:rFonts w:ascii="Arial" w:hAnsi="Arial" w:cs="Arial"/>
        </w:rPr>
        <w:t>R</w:t>
      </w:r>
      <w:r w:rsidR="009D6276" w:rsidRPr="009D6276">
        <w:rPr>
          <w:rFonts w:ascii="Arial" w:hAnsi="Arial" w:cs="Arial"/>
        </w:rPr>
        <w:t>esearch consistently shows that the leading cause of homelessness among LGBTQ youth is familial rejection. Approximately 90% of transgender youth</w:t>
      </w:r>
      <w:r>
        <w:rPr>
          <w:rFonts w:ascii="Arial" w:hAnsi="Arial" w:cs="Arial"/>
        </w:rPr>
        <w:t xml:space="preserve"> experiencing homelessness</w:t>
      </w:r>
      <w:r w:rsidR="009D6276" w:rsidRPr="009D6276">
        <w:rPr>
          <w:rFonts w:ascii="Arial" w:hAnsi="Arial" w:cs="Arial"/>
        </w:rPr>
        <w:t xml:space="preserve"> report being rejected by their family, and 62% of homeless LGB youth report being bullied and rejected at home compared to 30% non-LGB </w:t>
      </w:r>
      <w:r w:rsidR="009D6276" w:rsidRPr="009D6276">
        <w:rPr>
          <w:rFonts w:ascii="Arial" w:hAnsi="Arial" w:cs="Arial"/>
          <w:lang w:val="nl-NL"/>
        </w:rPr>
        <w:t>youth.</w:t>
      </w:r>
      <w:r w:rsidR="009D6276" w:rsidRPr="009D6276">
        <w:rPr>
          <w:rFonts w:ascii="Arial" w:hAnsi="Arial" w:cs="Arial"/>
          <w:vertAlign w:val="superscript"/>
        </w:rPr>
        <w:endnoteReference w:id="34"/>
      </w:r>
      <w:r w:rsidR="009D6276" w:rsidRPr="009D6276">
        <w:rPr>
          <w:rFonts w:ascii="Arial" w:hAnsi="Arial" w:cs="Arial"/>
        </w:rPr>
        <w:t xml:space="preserve"> Of these, 43% report being forced out of home by their family despite wanting to remain.</w:t>
      </w:r>
      <w:r w:rsidR="009D6276" w:rsidRPr="009D6276">
        <w:rPr>
          <w:rFonts w:ascii="Arial" w:hAnsi="Arial" w:cs="Arial"/>
          <w:vertAlign w:val="superscript"/>
        </w:rPr>
        <w:endnoteReference w:id="35"/>
      </w:r>
      <w:r w:rsidR="009D6276" w:rsidRPr="009D6276">
        <w:rPr>
          <w:rFonts w:ascii="Arial" w:hAnsi="Arial" w:cs="Arial"/>
        </w:rPr>
        <w:t xml:space="preserve"> Of note, while LGBTQ youth initiate alcohol and drug use at an earlier age than their non-LGB peers, most do not start using until after becoming homeless.</w:t>
      </w:r>
      <w:r w:rsidR="009D6276" w:rsidRPr="009D6276">
        <w:rPr>
          <w:rFonts w:ascii="Arial" w:hAnsi="Arial" w:cs="Arial"/>
          <w:vertAlign w:val="superscript"/>
        </w:rPr>
        <w:endnoteReference w:id="36"/>
      </w:r>
      <w:r w:rsidR="009D6276" w:rsidRPr="009D6276">
        <w:rPr>
          <w:rFonts w:ascii="Arial" w:hAnsi="Arial" w:cs="Arial"/>
        </w:rPr>
        <w:t xml:space="preserve"> Substance abuse may be a way of coping with the stress of homelessness in adolescence rather than the primary reason that LGBTQ youth are kicked out of their homes.</w:t>
      </w:r>
      <w:r w:rsidR="009D6276" w:rsidRPr="009D6276">
        <w:rPr>
          <w:rFonts w:ascii="Arial" w:hAnsi="Arial" w:cs="Arial"/>
          <w:vertAlign w:val="superscript"/>
        </w:rPr>
        <w:endnoteReference w:id="37"/>
      </w:r>
    </w:p>
    <w:p w14:paraId="41BC080F" w14:textId="77777777" w:rsidR="009D6276" w:rsidRPr="009D6276" w:rsidRDefault="009D6276" w:rsidP="009D6276">
      <w:pPr>
        <w:spacing w:after="0"/>
        <w:jc w:val="both"/>
        <w:rPr>
          <w:rFonts w:ascii="Arial" w:hAnsi="Arial" w:cs="Arial"/>
        </w:rPr>
      </w:pPr>
      <w:r w:rsidRPr="009D6276">
        <w:rPr>
          <w:rFonts w:ascii="Arial" w:hAnsi="Arial" w:cs="Arial"/>
        </w:rPr>
        <w:tab/>
      </w:r>
    </w:p>
    <w:p w14:paraId="658E0F4C" w14:textId="12932D27" w:rsidR="009D6276" w:rsidRPr="009D6276" w:rsidRDefault="009D6276" w:rsidP="009D6276">
      <w:pPr>
        <w:spacing w:after="0"/>
        <w:jc w:val="both"/>
        <w:rPr>
          <w:rFonts w:ascii="Arial" w:hAnsi="Arial" w:cs="Arial"/>
        </w:rPr>
      </w:pPr>
      <w:r w:rsidRPr="009D6276">
        <w:rPr>
          <w:rFonts w:ascii="Arial" w:hAnsi="Arial" w:cs="Arial"/>
        </w:rPr>
        <w:t xml:space="preserve">Many of the reasons LGBTQ youth face this rejection relate to </w:t>
      </w:r>
      <w:r w:rsidR="00FD1149">
        <w:rPr>
          <w:rFonts w:ascii="Arial" w:hAnsi="Arial" w:cs="Arial"/>
        </w:rPr>
        <w:t>moral values</w:t>
      </w:r>
      <w:r w:rsidRPr="009D6276">
        <w:rPr>
          <w:rFonts w:ascii="Arial" w:hAnsi="Arial" w:cs="Arial"/>
        </w:rPr>
        <w:t xml:space="preserve"> that stigmatize their identities as deviant and immoral. Families may also fear that identifying as LGBTQ might cause their children undue hardship throughout their lives, or may feel that they are “losing” the child they knew prior to their coming out. Some families may hope that rejection could somehow sway their LGBTQ child to reconsider their “choice.”</w:t>
      </w:r>
      <w:r w:rsidRPr="009D6276">
        <w:rPr>
          <w:rFonts w:ascii="Arial" w:hAnsi="Arial" w:cs="Arial"/>
          <w:vertAlign w:val="superscript"/>
        </w:rPr>
        <w:endnoteReference w:id="38"/>
      </w:r>
      <w:r w:rsidRPr="009D6276">
        <w:rPr>
          <w:rFonts w:ascii="Arial" w:hAnsi="Arial" w:cs="Arial"/>
        </w:rPr>
        <w:t xml:space="preserve"> Unfortunately, while conflict with family is a primary reason for homelessness among LGBTQ youth, family issues are only addressed by 60% of agencies in the United States that provide services for homeless LGBTQ youth.</w:t>
      </w:r>
      <w:r w:rsidRPr="009D6276">
        <w:rPr>
          <w:rFonts w:ascii="Arial" w:hAnsi="Arial" w:cs="Arial"/>
          <w:vertAlign w:val="superscript"/>
        </w:rPr>
        <w:endnoteReference w:id="39"/>
      </w:r>
    </w:p>
    <w:p w14:paraId="15EDCD60" w14:textId="77777777" w:rsidR="009D6276" w:rsidRPr="009D6276" w:rsidRDefault="009D6276" w:rsidP="009D6276">
      <w:pPr>
        <w:spacing w:after="0"/>
        <w:jc w:val="both"/>
        <w:rPr>
          <w:rFonts w:ascii="Arial" w:hAnsi="Arial" w:cs="Arial"/>
        </w:rPr>
      </w:pPr>
    </w:p>
    <w:p w14:paraId="5EEC8B87" w14:textId="4B601F5D" w:rsidR="009D6276" w:rsidRPr="009D6276" w:rsidRDefault="009D6276" w:rsidP="009D6276">
      <w:pPr>
        <w:spacing w:after="0"/>
        <w:jc w:val="both"/>
        <w:rPr>
          <w:rFonts w:ascii="Arial" w:hAnsi="Arial" w:cs="Arial"/>
        </w:rPr>
      </w:pPr>
      <w:r w:rsidRPr="009D6276">
        <w:rPr>
          <w:rFonts w:ascii="Arial" w:hAnsi="Arial" w:cs="Arial"/>
        </w:rPr>
        <w:t>LGBTQ youth experiencing homelessness are more likely to have been physically, emotionally, or sexually abused than their non-LGBTQ peers.</w:t>
      </w:r>
      <w:r w:rsidRPr="009D6276">
        <w:rPr>
          <w:rFonts w:ascii="Arial" w:hAnsi="Arial" w:cs="Arial"/>
          <w:vertAlign w:val="superscript"/>
        </w:rPr>
        <w:endnoteReference w:id="40"/>
      </w:r>
      <w:r w:rsidRPr="009D6276">
        <w:rPr>
          <w:rFonts w:ascii="Arial" w:hAnsi="Arial" w:cs="Arial"/>
        </w:rPr>
        <w:t xml:space="preserve"> </w:t>
      </w:r>
      <w:r w:rsidR="00727070" w:rsidRPr="00727070">
        <w:rPr>
          <w:rFonts w:ascii="Arial" w:hAnsi="Arial" w:cs="Arial"/>
        </w:rPr>
        <w:t>Among homeless LGBTQ youth, 32% have been physically, emotionally, or sexually abused at home prior to becoming homeless, and more than half identify a family member as the abuser</w:t>
      </w:r>
      <w:r w:rsidRPr="009D6276">
        <w:rPr>
          <w:rFonts w:ascii="Arial" w:hAnsi="Arial" w:cs="Arial"/>
        </w:rPr>
        <w:t>.</w:t>
      </w:r>
      <w:r w:rsidRPr="009D6276">
        <w:rPr>
          <w:rFonts w:ascii="Arial" w:hAnsi="Arial" w:cs="Arial"/>
          <w:vertAlign w:val="superscript"/>
        </w:rPr>
        <w:endnoteReference w:id="41"/>
      </w:r>
      <w:r w:rsidRPr="009D6276">
        <w:rPr>
          <w:rFonts w:ascii="Arial" w:hAnsi="Arial" w:cs="Arial"/>
        </w:rPr>
        <w:t xml:space="preserve"> </w:t>
      </w:r>
      <w:r w:rsidR="00727070" w:rsidRPr="00727070">
        <w:rPr>
          <w:rFonts w:ascii="Arial" w:hAnsi="Arial" w:cs="Arial"/>
        </w:rPr>
        <w:t>As a result, nearly half of homeless LGBTQ youth report running away from negative home environments as their primary reason for homelessness</w:t>
      </w:r>
      <w:r w:rsidRPr="009D6276">
        <w:rPr>
          <w:rFonts w:ascii="Arial" w:hAnsi="Arial" w:cs="Arial"/>
        </w:rPr>
        <w:t>.</w:t>
      </w:r>
      <w:r w:rsidRPr="009D6276">
        <w:rPr>
          <w:rFonts w:ascii="Arial" w:hAnsi="Arial" w:cs="Arial"/>
          <w:vertAlign w:val="superscript"/>
        </w:rPr>
        <w:endnoteReference w:id="42"/>
      </w:r>
      <w:r w:rsidRPr="009D6276">
        <w:rPr>
          <w:rFonts w:ascii="Arial" w:hAnsi="Arial" w:cs="Arial"/>
          <w:vertAlign w:val="superscript"/>
        </w:rPr>
        <w:t xml:space="preserve"> </w:t>
      </w:r>
      <w:r w:rsidR="00727070" w:rsidRPr="00727070">
        <w:rPr>
          <w:rFonts w:ascii="Arial" w:hAnsi="Arial" w:cs="Arial"/>
        </w:rPr>
        <w:t>Compared to non-LGBTQ homeless youth, homeless LGBTQ youth are twice as likely to have been sexually abused by the age of 12 and twice as likely to report sexual abuse as their reason for leaving home</w:t>
      </w:r>
      <w:r w:rsidRPr="009D6276">
        <w:rPr>
          <w:rFonts w:ascii="Arial" w:hAnsi="Arial" w:cs="Arial"/>
        </w:rPr>
        <w:t>.</w:t>
      </w:r>
      <w:r w:rsidRPr="009D6276">
        <w:rPr>
          <w:rFonts w:ascii="Arial" w:hAnsi="Arial" w:cs="Arial"/>
          <w:vertAlign w:val="superscript"/>
        </w:rPr>
        <w:endnoteReference w:id="43"/>
      </w:r>
    </w:p>
    <w:p w14:paraId="33B1A7F7" w14:textId="77777777" w:rsidR="009D6276" w:rsidRPr="009D6276" w:rsidRDefault="009D6276" w:rsidP="009D6276">
      <w:pPr>
        <w:spacing w:after="0"/>
        <w:jc w:val="both"/>
        <w:rPr>
          <w:rFonts w:ascii="Arial" w:hAnsi="Arial" w:cs="Arial"/>
        </w:rPr>
      </w:pPr>
    </w:p>
    <w:p w14:paraId="37C45E05" w14:textId="57B21A69" w:rsidR="009D6276" w:rsidRDefault="00727070" w:rsidP="009D6276">
      <w:pPr>
        <w:spacing w:after="0"/>
        <w:jc w:val="both"/>
        <w:rPr>
          <w:rFonts w:ascii="Arial" w:hAnsi="Arial" w:cs="Arial"/>
        </w:rPr>
      </w:pPr>
      <w:r w:rsidRPr="00727070">
        <w:rPr>
          <w:rFonts w:ascii="Arial" w:hAnsi="Arial" w:cs="Arial"/>
        </w:rPr>
        <w:t>Many homeless LGBTQ youth do not “come out” until after they have left home, indicating that running away might be one way of coping with the stress of processing their sexual and gender identities. At a developmental age in which young people need parental and peer support, fear of rejection and abuse may play a contributing role in an LGBTQ young person’s decision to run away from home.</w:t>
      </w:r>
    </w:p>
    <w:p w14:paraId="66AC1F5C" w14:textId="77777777" w:rsidR="00727070" w:rsidRPr="009D6276" w:rsidRDefault="00727070" w:rsidP="009D6276">
      <w:pPr>
        <w:spacing w:after="0"/>
        <w:jc w:val="both"/>
        <w:rPr>
          <w:rFonts w:ascii="Arial" w:hAnsi="Arial" w:cs="Arial"/>
        </w:rPr>
      </w:pPr>
    </w:p>
    <w:p w14:paraId="0357A55C" w14:textId="73CD7063" w:rsidR="009D6276" w:rsidRPr="009D6276" w:rsidRDefault="009D6276" w:rsidP="009D6276">
      <w:pPr>
        <w:spacing w:after="0"/>
        <w:jc w:val="both"/>
        <w:rPr>
          <w:rFonts w:ascii="Arial" w:hAnsi="Arial" w:cs="Arial"/>
        </w:rPr>
      </w:pPr>
      <w:r w:rsidRPr="009D6276">
        <w:rPr>
          <w:rFonts w:ascii="Arial" w:hAnsi="Arial" w:cs="Arial"/>
        </w:rPr>
        <w:t xml:space="preserve">Second, in addition to experiencing rejection and abuse at home, a majority of LGBTQ youth report bullying and harassment at school as reasons for skipping school, another pathway to </w:t>
      </w:r>
      <w:r w:rsidRPr="009D6276">
        <w:rPr>
          <w:rFonts w:ascii="Arial" w:hAnsi="Arial" w:cs="Arial"/>
        </w:rPr>
        <w:lastRenderedPageBreak/>
        <w:t xml:space="preserve">homelessness. 86% of LGBTQ youth have been verbally harassed </w:t>
      </w:r>
      <w:r w:rsidR="0031151E">
        <w:rPr>
          <w:rFonts w:ascii="Arial" w:hAnsi="Arial" w:cs="Arial"/>
        </w:rPr>
        <w:t xml:space="preserve">at school </w:t>
      </w:r>
      <w:r w:rsidRPr="009D6276">
        <w:rPr>
          <w:rFonts w:ascii="Arial" w:hAnsi="Arial" w:cs="Arial"/>
        </w:rPr>
        <w:t xml:space="preserve">and 60% do not feel </w:t>
      </w:r>
      <w:r w:rsidR="00FD1149">
        <w:rPr>
          <w:rFonts w:ascii="Arial" w:hAnsi="Arial" w:cs="Arial"/>
        </w:rPr>
        <w:t>safe in school</w:t>
      </w:r>
      <w:r w:rsidR="0031151E">
        <w:rPr>
          <w:rFonts w:ascii="Arial" w:hAnsi="Arial" w:cs="Arial"/>
        </w:rPr>
        <w:t>, leading LGBTQ youth to be t</w:t>
      </w:r>
      <w:r w:rsidRPr="009D6276">
        <w:rPr>
          <w:rFonts w:ascii="Arial" w:hAnsi="Arial" w:cs="Arial"/>
        </w:rPr>
        <w:t>wice as likely to drop out of school as their non-LGBTQ peers.</w:t>
      </w:r>
      <w:r w:rsidRPr="009D6276">
        <w:rPr>
          <w:rFonts w:ascii="Arial" w:hAnsi="Arial" w:cs="Arial"/>
          <w:vertAlign w:val="superscript"/>
        </w:rPr>
        <w:endnoteReference w:id="44"/>
      </w:r>
      <w:r w:rsidRPr="009D6276">
        <w:rPr>
          <w:rFonts w:ascii="Arial" w:hAnsi="Arial" w:cs="Arial"/>
        </w:rPr>
        <w:t xml:space="preserve"> </w:t>
      </w:r>
      <w:r w:rsidR="001710F4">
        <w:rPr>
          <w:rFonts w:ascii="Arial" w:hAnsi="Arial" w:cs="Arial"/>
        </w:rPr>
        <w:t>Youth</w:t>
      </w:r>
      <w:r w:rsidRPr="009D6276">
        <w:rPr>
          <w:rFonts w:ascii="Arial" w:hAnsi="Arial" w:cs="Arial"/>
        </w:rPr>
        <w:t xml:space="preserve"> who do not complete high school have a 346% higher risk of homelessness regardless of sexual orientation or gender identity</w:t>
      </w:r>
      <w:r w:rsidR="004D7262">
        <w:rPr>
          <w:rFonts w:ascii="Arial" w:hAnsi="Arial" w:cs="Arial"/>
        </w:rPr>
        <w:t xml:space="preserve">, so </w:t>
      </w:r>
      <w:r w:rsidRPr="009D6276">
        <w:rPr>
          <w:rFonts w:ascii="Arial" w:hAnsi="Arial" w:cs="Arial"/>
        </w:rPr>
        <w:t>unsafe</w:t>
      </w:r>
      <w:r w:rsidR="004D7262">
        <w:rPr>
          <w:rFonts w:ascii="Arial" w:hAnsi="Arial" w:cs="Arial"/>
        </w:rPr>
        <w:t xml:space="preserve"> </w:t>
      </w:r>
      <w:r w:rsidRPr="009D6276">
        <w:rPr>
          <w:rFonts w:ascii="Arial" w:hAnsi="Arial" w:cs="Arial"/>
        </w:rPr>
        <w:t>school environments may contribute to increased homelessness among LGBTQ youth.</w:t>
      </w:r>
      <w:r w:rsidRPr="009D6276">
        <w:rPr>
          <w:rFonts w:ascii="Arial" w:hAnsi="Arial" w:cs="Arial"/>
          <w:vertAlign w:val="superscript"/>
        </w:rPr>
        <w:endnoteReference w:id="45"/>
      </w:r>
    </w:p>
    <w:p w14:paraId="546F6F18" w14:textId="77777777" w:rsidR="009D6276" w:rsidRPr="009D6276" w:rsidRDefault="009D6276" w:rsidP="009D6276">
      <w:pPr>
        <w:spacing w:after="0"/>
        <w:jc w:val="both"/>
        <w:rPr>
          <w:rFonts w:ascii="Arial" w:hAnsi="Arial" w:cs="Arial"/>
        </w:rPr>
      </w:pPr>
    </w:p>
    <w:p w14:paraId="5205E028" w14:textId="3B9D2001" w:rsidR="009D6276" w:rsidRPr="009D6276" w:rsidRDefault="001710F4" w:rsidP="009D6276">
      <w:pPr>
        <w:spacing w:after="0"/>
        <w:jc w:val="both"/>
        <w:rPr>
          <w:rFonts w:ascii="Arial" w:hAnsi="Arial" w:cs="Arial"/>
        </w:rPr>
      </w:pPr>
      <w:r>
        <w:rPr>
          <w:rFonts w:ascii="Arial" w:hAnsi="Arial" w:cs="Arial"/>
        </w:rPr>
        <w:t>Another</w:t>
      </w:r>
      <w:r w:rsidR="009D6276" w:rsidRPr="009D6276">
        <w:rPr>
          <w:rFonts w:ascii="Arial" w:hAnsi="Arial" w:cs="Arial"/>
        </w:rPr>
        <w:t xml:space="preserve"> leading cause </w:t>
      </w:r>
      <w:r w:rsidR="0031151E">
        <w:rPr>
          <w:rFonts w:ascii="Arial" w:hAnsi="Arial" w:cs="Arial"/>
        </w:rPr>
        <w:t>of</w:t>
      </w:r>
      <w:r w:rsidR="009D6276" w:rsidRPr="009D6276">
        <w:rPr>
          <w:rFonts w:ascii="Arial" w:hAnsi="Arial" w:cs="Arial"/>
        </w:rPr>
        <w:t xml:space="preserve"> homelessness among LGBTQ youth is exiting or aging out of foster care. Instability and rejection at home cause a disproportionate number of LGBTQ youth to end </w:t>
      </w:r>
      <w:r w:rsidR="00C517BD">
        <w:rPr>
          <w:rFonts w:ascii="Arial" w:hAnsi="Arial" w:cs="Arial"/>
        </w:rPr>
        <w:t xml:space="preserve">up in foster care, with an LA County </w:t>
      </w:r>
      <w:r w:rsidR="009D6276" w:rsidRPr="009D6276">
        <w:rPr>
          <w:rFonts w:ascii="Arial" w:hAnsi="Arial" w:cs="Arial"/>
        </w:rPr>
        <w:t xml:space="preserve">study </w:t>
      </w:r>
      <w:r w:rsidR="00C517BD">
        <w:rPr>
          <w:rFonts w:ascii="Arial" w:hAnsi="Arial" w:cs="Arial"/>
        </w:rPr>
        <w:t xml:space="preserve">finding </w:t>
      </w:r>
      <w:r w:rsidR="0031151E">
        <w:rPr>
          <w:rFonts w:ascii="Arial" w:hAnsi="Arial" w:cs="Arial"/>
        </w:rPr>
        <w:t xml:space="preserve">that </w:t>
      </w:r>
      <w:r w:rsidR="00C517BD">
        <w:rPr>
          <w:rFonts w:ascii="Arial" w:hAnsi="Arial" w:cs="Arial"/>
        </w:rPr>
        <w:t>nearly</w:t>
      </w:r>
      <w:r w:rsidR="009D6276" w:rsidRPr="009D6276">
        <w:rPr>
          <w:rFonts w:ascii="Arial" w:hAnsi="Arial" w:cs="Arial"/>
        </w:rPr>
        <w:t xml:space="preserve"> 20% of youth in foster </w:t>
      </w:r>
      <w:r w:rsidR="00C517BD">
        <w:rPr>
          <w:rFonts w:ascii="Arial" w:hAnsi="Arial" w:cs="Arial"/>
        </w:rPr>
        <w:t>care were LGBTQ</w:t>
      </w:r>
      <w:r w:rsidR="0031151E">
        <w:rPr>
          <w:rFonts w:ascii="Arial" w:hAnsi="Arial" w:cs="Arial"/>
        </w:rPr>
        <w:t>, with</w:t>
      </w:r>
      <w:r w:rsidR="00C517BD">
        <w:rPr>
          <w:rFonts w:ascii="Arial" w:hAnsi="Arial" w:cs="Arial"/>
        </w:rPr>
        <w:t xml:space="preserve"> y</w:t>
      </w:r>
      <w:r w:rsidR="009D6276" w:rsidRPr="009D6276">
        <w:rPr>
          <w:rFonts w:ascii="Arial" w:hAnsi="Arial" w:cs="Arial"/>
        </w:rPr>
        <w:t xml:space="preserve">outh of color overrepresented among </w:t>
      </w:r>
      <w:r w:rsidR="00C517BD">
        <w:rPr>
          <w:rFonts w:ascii="Arial" w:hAnsi="Arial" w:cs="Arial"/>
        </w:rPr>
        <w:t>them</w:t>
      </w:r>
      <w:r w:rsidR="009D6276" w:rsidRPr="009D6276">
        <w:rPr>
          <w:rFonts w:ascii="Arial" w:hAnsi="Arial" w:cs="Arial"/>
        </w:rPr>
        <w:t>.</w:t>
      </w:r>
      <w:r w:rsidR="00C517BD" w:rsidRPr="009D6276">
        <w:rPr>
          <w:rFonts w:ascii="Arial" w:hAnsi="Arial" w:cs="Arial"/>
          <w:vertAlign w:val="superscript"/>
        </w:rPr>
        <w:endnoteReference w:id="46"/>
      </w:r>
      <w:r w:rsidR="009D6276" w:rsidRPr="009D6276">
        <w:rPr>
          <w:rFonts w:ascii="Arial" w:hAnsi="Arial" w:cs="Arial"/>
        </w:rPr>
        <w:t xml:space="preserve"> </w:t>
      </w:r>
      <w:r w:rsidR="00C517BD">
        <w:rPr>
          <w:rFonts w:ascii="Arial" w:hAnsi="Arial" w:cs="Arial"/>
        </w:rPr>
        <w:t xml:space="preserve">Many LGBTQ youth face adverse experiences leading to homelessness while in foster care, with a New York study finding </w:t>
      </w:r>
      <w:r w:rsidR="009D6276" w:rsidRPr="009D6276">
        <w:rPr>
          <w:rFonts w:ascii="Arial" w:hAnsi="Arial" w:cs="Arial"/>
        </w:rPr>
        <w:t>more than half (56%) of LGB adolescents in the city’s foster homes had stayed in the streets for at least one night because they felt unsafe in their foster home.</w:t>
      </w:r>
      <w:r w:rsidR="009D6276" w:rsidRPr="009D6276">
        <w:rPr>
          <w:rFonts w:ascii="Arial" w:hAnsi="Arial" w:cs="Arial"/>
          <w:vertAlign w:val="superscript"/>
        </w:rPr>
        <w:endnoteReference w:id="47"/>
      </w:r>
      <w:r w:rsidR="009D6276" w:rsidRPr="009D6276">
        <w:rPr>
          <w:rFonts w:ascii="Arial" w:hAnsi="Arial" w:cs="Arial"/>
        </w:rPr>
        <w:t xml:space="preserve"> After emancipation, between 12% and 36% of LGBTQ youth who age out of foster care experience at least one episode of homelessness.</w:t>
      </w:r>
      <w:r w:rsidR="009D6276" w:rsidRPr="009D6276">
        <w:rPr>
          <w:rFonts w:ascii="Arial" w:hAnsi="Arial" w:cs="Arial"/>
          <w:vertAlign w:val="superscript"/>
        </w:rPr>
        <w:endnoteReference w:id="48"/>
      </w:r>
      <w:r w:rsidR="009D6276" w:rsidRPr="009D6276">
        <w:rPr>
          <w:rFonts w:ascii="Arial" w:hAnsi="Arial" w:cs="Arial"/>
        </w:rPr>
        <w:t xml:space="preserve"> </w:t>
      </w:r>
    </w:p>
    <w:p w14:paraId="467542B6" w14:textId="77777777" w:rsidR="009D6276" w:rsidRPr="009D6276" w:rsidRDefault="009D6276" w:rsidP="009D6276">
      <w:pPr>
        <w:spacing w:after="0"/>
        <w:jc w:val="both"/>
        <w:rPr>
          <w:rFonts w:ascii="Arial" w:hAnsi="Arial" w:cs="Arial"/>
        </w:rPr>
      </w:pPr>
      <w:r w:rsidRPr="009D6276">
        <w:rPr>
          <w:rFonts w:ascii="Arial" w:hAnsi="Arial" w:cs="Arial"/>
        </w:rPr>
        <w:tab/>
      </w:r>
    </w:p>
    <w:p w14:paraId="1B8D1457" w14:textId="1940080B" w:rsidR="009D6276" w:rsidRPr="009D6276" w:rsidRDefault="009D6276" w:rsidP="009D6276">
      <w:pPr>
        <w:spacing w:after="0"/>
        <w:jc w:val="both"/>
        <w:rPr>
          <w:rFonts w:ascii="Arial" w:hAnsi="Arial" w:cs="Arial"/>
        </w:rPr>
      </w:pPr>
      <w:r w:rsidRPr="009D6276">
        <w:rPr>
          <w:rFonts w:ascii="Arial" w:hAnsi="Arial" w:cs="Arial"/>
          <w:iCs/>
        </w:rPr>
        <w:t xml:space="preserve">In addition to these leading factors, </w:t>
      </w:r>
      <w:r w:rsidRPr="009D6276">
        <w:rPr>
          <w:rFonts w:ascii="Arial" w:hAnsi="Arial" w:cs="Arial"/>
        </w:rPr>
        <w:t xml:space="preserve">LGBTQ youth are also susceptible to </w:t>
      </w:r>
      <w:r w:rsidR="004B7808">
        <w:rPr>
          <w:rFonts w:ascii="Arial" w:hAnsi="Arial" w:cs="Arial"/>
        </w:rPr>
        <w:t xml:space="preserve">other </w:t>
      </w:r>
      <w:r w:rsidRPr="009D6276">
        <w:rPr>
          <w:rFonts w:ascii="Arial" w:hAnsi="Arial" w:cs="Arial"/>
        </w:rPr>
        <w:t>common causes of homelessness</w:t>
      </w:r>
      <w:r w:rsidR="0052092D">
        <w:rPr>
          <w:rFonts w:ascii="Arial" w:hAnsi="Arial" w:cs="Arial"/>
        </w:rPr>
        <w:t>, which often begins in the context of family homelessness or after the death of a parent</w:t>
      </w:r>
      <w:r w:rsidRPr="009D6276">
        <w:rPr>
          <w:rFonts w:ascii="Arial" w:hAnsi="Arial" w:cs="Arial"/>
        </w:rPr>
        <w:t>.</w:t>
      </w:r>
      <w:r w:rsidRPr="009D6276">
        <w:rPr>
          <w:rFonts w:ascii="Arial" w:hAnsi="Arial" w:cs="Arial"/>
          <w:vertAlign w:val="superscript"/>
        </w:rPr>
        <w:endnoteReference w:id="49"/>
      </w:r>
      <w:r w:rsidRPr="009D6276">
        <w:rPr>
          <w:rFonts w:ascii="Arial" w:hAnsi="Arial" w:cs="Arial"/>
        </w:rPr>
        <w:t xml:space="preserve"> </w:t>
      </w:r>
      <w:r w:rsidR="000E154E">
        <w:rPr>
          <w:rFonts w:ascii="Arial" w:hAnsi="Arial" w:cs="Arial"/>
        </w:rPr>
        <w:t>Involvement in the criminal justice system and</w:t>
      </w:r>
      <w:r w:rsidRPr="009D6276">
        <w:rPr>
          <w:rFonts w:ascii="Arial" w:hAnsi="Arial" w:cs="Arial"/>
        </w:rPr>
        <w:t xml:space="preserve"> personal or parental substance use</w:t>
      </w:r>
      <w:r w:rsidR="000E154E">
        <w:rPr>
          <w:rFonts w:ascii="Arial" w:hAnsi="Arial" w:cs="Arial"/>
        </w:rPr>
        <w:t xml:space="preserve"> are also common </w:t>
      </w:r>
      <w:r w:rsidR="00FD1149">
        <w:rPr>
          <w:rFonts w:ascii="Arial" w:hAnsi="Arial" w:cs="Arial"/>
        </w:rPr>
        <w:t>causes of homelessness</w:t>
      </w:r>
      <w:r w:rsidR="00FD1149" w:rsidRPr="009D6276">
        <w:rPr>
          <w:rFonts w:ascii="Arial" w:hAnsi="Arial" w:cs="Arial"/>
          <w:vertAlign w:val="superscript"/>
        </w:rPr>
        <w:endnoteReference w:id="50"/>
      </w:r>
      <w:r w:rsidRPr="009D6276">
        <w:rPr>
          <w:rFonts w:ascii="Arial" w:hAnsi="Arial" w:cs="Arial"/>
        </w:rPr>
        <w:t xml:space="preserve"> </w:t>
      </w:r>
      <w:r w:rsidR="000E154E">
        <w:rPr>
          <w:rFonts w:ascii="Arial" w:hAnsi="Arial" w:cs="Arial"/>
        </w:rPr>
        <w:t xml:space="preserve">and </w:t>
      </w:r>
      <w:r w:rsidR="00FD1149">
        <w:rPr>
          <w:rFonts w:ascii="Arial" w:hAnsi="Arial" w:cs="Arial"/>
        </w:rPr>
        <w:t xml:space="preserve">are factors that </w:t>
      </w:r>
      <w:r w:rsidR="000E154E">
        <w:rPr>
          <w:rFonts w:ascii="Arial" w:hAnsi="Arial" w:cs="Arial"/>
        </w:rPr>
        <w:t>disproportionately impact LGBTQ youth.</w:t>
      </w:r>
      <w:r w:rsidR="00FD1149" w:rsidRPr="00FD1149">
        <w:rPr>
          <w:rFonts w:ascii="Arial" w:hAnsi="Arial" w:cs="Arial"/>
          <w:vertAlign w:val="superscript"/>
        </w:rPr>
        <w:t xml:space="preserve"> </w:t>
      </w:r>
    </w:p>
    <w:p w14:paraId="0E520761" w14:textId="77777777" w:rsidR="001158FB" w:rsidRPr="001158FB" w:rsidRDefault="001158FB" w:rsidP="001158FB">
      <w:pPr>
        <w:spacing w:after="0"/>
        <w:jc w:val="both"/>
        <w:rPr>
          <w:rFonts w:ascii="Arial" w:hAnsi="Arial" w:cs="Arial"/>
        </w:rPr>
      </w:pPr>
    </w:p>
    <w:p w14:paraId="7BF1C96F" w14:textId="77777777" w:rsidR="001158FB" w:rsidRPr="001158FB" w:rsidRDefault="001158FB" w:rsidP="0059635C">
      <w:pPr>
        <w:pStyle w:val="Heading3"/>
      </w:pPr>
      <w:bookmarkStart w:id="14" w:name="_Toc512947892"/>
      <w:r w:rsidRPr="001158FB">
        <w:t>B. Experiences While Homeless</w:t>
      </w:r>
      <w:bookmarkEnd w:id="14"/>
    </w:p>
    <w:p w14:paraId="05C9A62F" w14:textId="77777777" w:rsidR="001158FB" w:rsidRPr="001158FB" w:rsidRDefault="001158FB" w:rsidP="001158FB">
      <w:pPr>
        <w:spacing w:after="0"/>
        <w:jc w:val="both"/>
        <w:rPr>
          <w:rFonts w:ascii="Arial" w:hAnsi="Arial" w:cs="Arial"/>
        </w:rPr>
      </w:pPr>
    </w:p>
    <w:p w14:paraId="23F8FA1F" w14:textId="77777777" w:rsidR="0052092D" w:rsidRPr="0052092D" w:rsidRDefault="0052092D" w:rsidP="0052092D">
      <w:pPr>
        <w:spacing w:after="0"/>
        <w:jc w:val="both"/>
        <w:rPr>
          <w:rFonts w:ascii="Arial" w:hAnsi="Arial" w:cs="Arial"/>
        </w:rPr>
      </w:pPr>
      <w:r w:rsidRPr="0052092D">
        <w:rPr>
          <w:rFonts w:ascii="Arial" w:hAnsi="Arial" w:cs="Arial"/>
        </w:rPr>
        <w:t xml:space="preserve">LGBTQ homeless youth in Massachusetts experience significant discrimination and trauma both on the streets and </w:t>
      </w:r>
      <w:r w:rsidR="000E154E">
        <w:rPr>
          <w:rFonts w:ascii="Arial" w:hAnsi="Arial" w:cs="Arial"/>
        </w:rPr>
        <w:t xml:space="preserve">even </w:t>
      </w:r>
      <w:r w:rsidRPr="0052092D">
        <w:rPr>
          <w:rFonts w:ascii="Arial" w:hAnsi="Arial" w:cs="Arial"/>
        </w:rPr>
        <w:t xml:space="preserve">in the structures meant to keep them safe. </w:t>
      </w:r>
      <w:r w:rsidR="0087116D">
        <w:rPr>
          <w:rFonts w:ascii="Arial" w:hAnsi="Arial" w:cs="Arial"/>
        </w:rPr>
        <w:t>A major national study recently found that LGBTQ youth experiencing homelessness faced over twice the rate of early death compared to other homeless youth, and that they also faced higher rates of trauma and overall adversity.</w:t>
      </w:r>
      <w:r w:rsidR="0087116D">
        <w:rPr>
          <w:rStyle w:val="EndnoteReference"/>
          <w:rFonts w:ascii="Arial" w:hAnsi="Arial" w:cs="Arial"/>
        </w:rPr>
        <w:endnoteReference w:id="51"/>
      </w:r>
      <w:r w:rsidR="0087116D">
        <w:rPr>
          <w:rFonts w:ascii="Arial" w:hAnsi="Arial" w:cs="Arial"/>
        </w:rPr>
        <w:t xml:space="preserve"> </w:t>
      </w:r>
      <w:r w:rsidRPr="0052092D">
        <w:rPr>
          <w:rFonts w:ascii="Arial" w:hAnsi="Arial" w:cs="Arial"/>
        </w:rPr>
        <w:t>An understanding of these experiences is essential in developing systems that do not further traumatize LGBTQ youth.</w:t>
      </w:r>
    </w:p>
    <w:p w14:paraId="21A02EB6" w14:textId="77777777" w:rsidR="0052092D" w:rsidRPr="0052092D" w:rsidRDefault="0052092D" w:rsidP="0052092D">
      <w:pPr>
        <w:spacing w:after="0"/>
        <w:jc w:val="both"/>
        <w:rPr>
          <w:rFonts w:ascii="Arial" w:hAnsi="Arial" w:cs="Arial"/>
        </w:rPr>
      </w:pPr>
    </w:p>
    <w:p w14:paraId="192CBF7B" w14:textId="7BBD2AFC" w:rsidR="0052092D" w:rsidRPr="0052092D" w:rsidRDefault="0052092D" w:rsidP="0052092D">
      <w:pPr>
        <w:spacing w:after="0"/>
        <w:jc w:val="both"/>
        <w:rPr>
          <w:rFonts w:ascii="Arial" w:hAnsi="Arial" w:cs="Arial"/>
        </w:rPr>
      </w:pPr>
      <w:r w:rsidRPr="0052092D">
        <w:rPr>
          <w:rFonts w:ascii="Arial" w:hAnsi="Arial" w:cs="Arial"/>
          <w:iCs/>
        </w:rPr>
        <w:t xml:space="preserve">First, LGBTQ youth who are homeless experience higher rates of survival sex </w:t>
      </w:r>
      <w:r w:rsidR="00994175">
        <w:rPr>
          <w:rFonts w:ascii="Arial" w:hAnsi="Arial" w:cs="Arial"/>
          <w:iCs/>
        </w:rPr>
        <w:t xml:space="preserve">(in which sex is traded for money, food, or shelter) </w:t>
      </w:r>
      <w:r w:rsidRPr="0052092D">
        <w:rPr>
          <w:rFonts w:ascii="Arial" w:hAnsi="Arial" w:cs="Arial"/>
          <w:iCs/>
        </w:rPr>
        <w:t>and sexual abuse than their non-LGBTQ peers.</w:t>
      </w:r>
      <w:r w:rsidR="005E7C6F">
        <w:rPr>
          <w:rStyle w:val="EndnoteReference"/>
          <w:rFonts w:ascii="Arial" w:hAnsi="Arial" w:cs="Arial"/>
          <w:iCs/>
        </w:rPr>
        <w:endnoteReference w:id="52"/>
      </w:r>
      <w:r w:rsidRPr="0052092D">
        <w:rPr>
          <w:rFonts w:ascii="Arial" w:hAnsi="Arial" w:cs="Arial"/>
          <w:iCs/>
        </w:rPr>
        <w:t xml:space="preserve"> </w:t>
      </w:r>
      <w:r w:rsidRPr="0052092D">
        <w:rPr>
          <w:rFonts w:ascii="Arial" w:hAnsi="Arial" w:cs="Arial"/>
        </w:rPr>
        <w:t>According to one estimate, 44% of gay youth</w:t>
      </w:r>
      <w:r w:rsidR="00510B28">
        <w:rPr>
          <w:rFonts w:ascii="Arial" w:hAnsi="Arial" w:cs="Arial"/>
        </w:rPr>
        <w:t xml:space="preserve"> experiencing homelessness</w:t>
      </w:r>
      <w:r w:rsidRPr="0052092D">
        <w:rPr>
          <w:rFonts w:ascii="Arial" w:hAnsi="Arial" w:cs="Arial"/>
        </w:rPr>
        <w:t xml:space="preserve"> exchanged sex for money compared to 26% of heterosexual youth who were approached by someone on the streets to exchange sex for money, food or shelter.</w:t>
      </w:r>
      <w:r w:rsidRPr="0052092D">
        <w:rPr>
          <w:rFonts w:ascii="Arial" w:hAnsi="Arial" w:cs="Arial"/>
          <w:vertAlign w:val="superscript"/>
        </w:rPr>
        <w:endnoteReference w:id="53"/>
      </w:r>
      <w:r w:rsidRPr="0052092D">
        <w:rPr>
          <w:rFonts w:ascii="Arial" w:hAnsi="Arial" w:cs="Arial"/>
        </w:rPr>
        <w:t xml:space="preserve"> Another study showed that LGB youth</w:t>
      </w:r>
      <w:r w:rsidR="00510B28">
        <w:rPr>
          <w:rFonts w:ascii="Arial" w:hAnsi="Arial" w:cs="Arial"/>
        </w:rPr>
        <w:t xml:space="preserve"> experiencing </w:t>
      </w:r>
      <w:r w:rsidR="0094008B">
        <w:rPr>
          <w:rFonts w:ascii="Arial" w:hAnsi="Arial" w:cs="Arial"/>
        </w:rPr>
        <w:t>homelessness</w:t>
      </w:r>
      <w:r w:rsidRPr="0052092D">
        <w:rPr>
          <w:rFonts w:ascii="Arial" w:hAnsi="Arial" w:cs="Arial"/>
        </w:rPr>
        <w:t xml:space="preserve"> are 70% more likely than their non-LGB peers to engage in survival sex.</w:t>
      </w:r>
      <w:r w:rsidRPr="0052092D">
        <w:rPr>
          <w:rFonts w:ascii="Arial" w:hAnsi="Arial" w:cs="Arial"/>
          <w:vertAlign w:val="superscript"/>
        </w:rPr>
        <w:endnoteReference w:id="54"/>
      </w:r>
      <w:r w:rsidRPr="0052092D">
        <w:rPr>
          <w:rFonts w:ascii="Arial" w:hAnsi="Arial" w:cs="Arial"/>
        </w:rPr>
        <w:t xml:space="preserve"> On average, homeless LGBTQ youth experience 7.4 more acts of sexual violence than their non-LGBTQ peers.</w:t>
      </w:r>
      <w:r w:rsidRPr="0052092D">
        <w:rPr>
          <w:rFonts w:ascii="Arial" w:hAnsi="Arial" w:cs="Arial"/>
          <w:vertAlign w:val="superscript"/>
        </w:rPr>
        <w:endnoteReference w:id="55"/>
      </w:r>
      <w:r w:rsidRPr="0052092D">
        <w:rPr>
          <w:rFonts w:ascii="Arial" w:hAnsi="Arial" w:cs="Arial"/>
          <w:vertAlign w:val="superscript"/>
        </w:rPr>
        <w:t xml:space="preserve"> </w:t>
      </w:r>
      <w:r w:rsidRPr="0052092D">
        <w:rPr>
          <w:rFonts w:ascii="Arial" w:hAnsi="Arial" w:cs="Arial"/>
        </w:rPr>
        <w:t xml:space="preserve">While </w:t>
      </w:r>
      <w:r w:rsidR="00510B28">
        <w:rPr>
          <w:rFonts w:ascii="Arial" w:hAnsi="Arial" w:cs="Arial"/>
        </w:rPr>
        <w:t>sexual minority and transgender</w:t>
      </w:r>
      <w:r w:rsidRPr="0052092D">
        <w:rPr>
          <w:rFonts w:ascii="Arial" w:hAnsi="Arial" w:cs="Arial"/>
        </w:rPr>
        <w:t xml:space="preserve"> women</w:t>
      </w:r>
      <w:r w:rsidR="00510B28">
        <w:rPr>
          <w:rFonts w:ascii="Arial" w:hAnsi="Arial" w:cs="Arial"/>
        </w:rPr>
        <w:t xml:space="preserve"> experiencing homelessness</w:t>
      </w:r>
      <w:r w:rsidRPr="0052092D">
        <w:rPr>
          <w:rFonts w:ascii="Arial" w:hAnsi="Arial" w:cs="Arial"/>
        </w:rPr>
        <w:t xml:space="preserve"> more frequently </w:t>
      </w:r>
      <w:r w:rsidR="00510B28">
        <w:rPr>
          <w:rFonts w:ascii="Arial" w:hAnsi="Arial" w:cs="Arial"/>
        </w:rPr>
        <w:t>face</w:t>
      </w:r>
      <w:r w:rsidRPr="0052092D">
        <w:rPr>
          <w:rFonts w:ascii="Arial" w:hAnsi="Arial" w:cs="Arial"/>
        </w:rPr>
        <w:t xml:space="preserve"> intimate partner abuse, </w:t>
      </w:r>
      <w:r w:rsidR="00510B28">
        <w:rPr>
          <w:rFonts w:ascii="Arial" w:hAnsi="Arial" w:cs="Arial"/>
        </w:rPr>
        <w:t>sexual minority and transgender men</w:t>
      </w:r>
      <w:r w:rsidRPr="0052092D">
        <w:rPr>
          <w:rFonts w:ascii="Arial" w:hAnsi="Arial" w:cs="Arial"/>
        </w:rPr>
        <w:t xml:space="preserve"> are more likely to report violence</w:t>
      </w:r>
      <w:r w:rsidR="00510B28">
        <w:rPr>
          <w:rFonts w:ascii="Arial" w:hAnsi="Arial" w:cs="Arial"/>
        </w:rPr>
        <w:t xml:space="preserve"> committed by a stranger, underscoring that </w:t>
      </w:r>
      <w:r w:rsidR="00994175">
        <w:rPr>
          <w:rFonts w:ascii="Arial" w:hAnsi="Arial" w:cs="Arial"/>
        </w:rPr>
        <w:t>the experiences and needs of these youth vary and require a range of interventions</w:t>
      </w:r>
      <w:r w:rsidRPr="0052092D">
        <w:rPr>
          <w:rFonts w:ascii="Arial" w:hAnsi="Arial" w:cs="Arial"/>
        </w:rPr>
        <w:t>.</w:t>
      </w:r>
      <w:r w:rsidRPr="0052092D">
        <w:rPr>
          <w:rFonts w:ascii="Arial" w:hAnsi="Arial" w:cs="Arial"/>
          <w:vertAlign w:val="superscript"/>
        </w:rPr>
        <w:endnoteReference w:id="56"/>
      </w:r>
    </w:p>
    <w:p w14:paraId="64BA9079" w14:textId="77777777" w:rsidR="0052092D" w:rsidRPr="0052092D" w:rsidRDefault="0052092D" w:rsidP="0052092D">
      <w:pPr>
        <w:spacing w:after="0"/>
        <w:jc w:val="both"/>
        <w:rPr>
          <w:rFonts w:ascii="Arial" w:hAnsi="Arial" w:cs="Arial"/>
        </w:rPr>
      </w:pPr>
      <w:r w:rsidRPr="0052092D">
        <w:rPr>
          <w:rFonts w:ascii="Arial" w:hAnsi="Arial" w:cs="Arial"/>
        </w:rPr>
        <w:tab/>
      </w:r>
    </w:p>
    <w:p w14:paraId="64455409" w14:textId="43ED86B2" w:rsidR="0052092D" w:rsidRPr="0052092D" w:rsidRDefault="00727070" w:rsidP="0052092D">
      <w:pPr>
        <w:spacing w:after="0"/>
        <w:jc w:val="both"/>
        <w:rPr>
          <w:rFonts w:ascii="Arial" w:hAnsi="Arial" w:cs="Arial"/>
        </w:rPr>
      </w:pPr>
      <w:r w:rsidRPr="00727070">
        <w:rPr>
          <w:rFonts w:ascii="Arial" w:hAnsi="Arial" w:cs="Arial"/>
        </w:rPr>
        <w:lastRenderedPageBreak/>
        <w:t>LGBTQ youth experiencing homelessness are also more likely to be living with HIV, experiencing three times the rate of HIV compared to non-LGBTQ homeless peers</w:t>
      </w:r>
      <w:r w:rsidR="0052092D" w:rsidRPr="0052092D">
        <w:rPr>
          <w:rFonts w:ascii="Arial" w:hAnsi="Arial" w:cs="Arial"/>
        </w:rPr>
        <w:t>.</w:t>
      </w:r>
      <w:r w:rsidR="0052092D" w:rsidRPr="0052092D">
        <w:rPr>
          <w:rFonts w:ascii="Arial" w:hAnsi="Arial" w:cs="Arial"/>
          <w:vertAlign w:val="superscript"/>
        </w:rPr>
        <w:endnoteReference w:id="57"/>
      </w:r>
      <w:r w:rsidR="0052092D" w:rsidRPr="0052092D">
        <w:rPr>
          <w:rFonts w:ascii="Arial" w:hAnsi="Arial" w:cs="Arial"/>
        </w:rPr>
        <w:t xml:space="preserve"> </w:t>
      </w:r>
      <w:r w:rsidRPr="00727070">
        <w:rPr>
          <w:rFonts w:ascii="Arial" w:hAnsi="Arial" w:cs="Arial"/>
        </w:rPr>
        <w:t>Several factors may increase their risk. For example, on average, sexual minority and transgender young men experiencing homelessness have their first sexual encounter one year earlier, a greater number of lifetime sexual partners, a higher likelihood of sexual assault, and a higher rate of unprotected sex with female partners than their non-homeless peers</w:t>
      </w:r>
      <w:r w:rsidR="0052092D" w:rsidRPr="0052092D">
        <w:rPr>
          <w:rFonts w:ascii="Arial" w:hAnsi="Arial" w:cs="Arial"/>
        </w:rPr>
        <w:t>.</w:t>
      </w:r>
      <w:r w:rsidR="0052092D" w:rsidRPr="0052092D">
        <w:rPr>
          <w:rFonts w:ascii="Arial" w:hAnsi="Arial" w:cs="Arial"/>
          <w:vertAlign w:val="superscript"/>
        </w:rPr>
        <w:endnoteReference w:id="58"/>
      </w:r>
      <w:r w:rsidR="0052092D" w:rsidRPr="0052092D">
        <w:rPr>
          <w:rFonts w:ascii="Arial" w:hAnsi="Arial" w:cs="Arial"/>
        </w:rPr>
        <w:t xml:space="preserve"> Another study showed that LGBTQ youth </w:t>
      </w:r>
      <w:r w:rsidR="00BA10B8">
        <w:rPr>
          <w:rFonts w:ascii="Arial" w:hAnsi="Arial" w:cs="Arial"/>
        </w:rPr>
        <w:t xml:space="preserve">experiencing homelessness </w:t>
      </w:r>
      <w:r w:rsidR="0052092D" w:rsidRPr="0052092D">
        <w:rPr>
          <w:rFonts w:ascii="Arial" w:hAnsi="Arial" w:cs="Arial"/>
        </w:rPr>
        <w:t>were more likely than their non-LGBTQ peers to engage in sexual behaviors that heightened</w:t>
      </w:r>
      <w:r w:rsidR="00BA10B8">
        <w:rPr>
          <w:rFonts w:ascii="Arial" w:hAnsi="Arial" w:cs="Arial"/>
        </w:rPr>
        <w:t xml:space="preserve"> their</w:t>
      </w:r>
      <w:r w:rsidR="0052092D" w:rsidRPr="0052092D">
        <w:rPr>
          <w:rFonts w:ascii="Arial" w:hAnsi="Arial" w:cs="Arial"/>
        </w:rPr>
        <w:t xml:space="preserve"> risk of HIV </w:t>
      </w:r>
      <w:r w:rsidR="00BA10B8">
        <w:rPr>
          <w:rFonts w:ascii="Arial" w:hAnsi="Arial" w:cs="Arial"/>
        </w:rPr>
        <w:t xml:space="preserve">infection, such as </w:t>
      </w:r>
      <w:r w:rsidR="0052092D" w:rsidRPr="0052092D">
        <w:rPr>
          <w:rFonts w:ascii="Arial" w:hAnsi="Arial" w:cs="Arial"/>
        </w:rPr>
        <w:t>having sex with strangers who used IV drugs, having unprotected sex with strangers, having anal sex with strangers, and having sex with strangers after using drugs themselves.</w:t>
      </w:r>
      <w:r w:rsidR="0052092D" w:rsidRPr="0052092D">
        <w:rPr>
          <w:rFonts w:ascii="Arial" w:hAnsi="Arial" w:cs="Arial"/>
          <w:vertAlign w:val="superscript"/>
        </w:rPr>
        <w:endnoteReference w:id="59"/>
      </w:r>
      <w:r w:rsidR="0052092D" w:rsidRPr="0052092D">
        <w:rPr>
          <w:rFonts w:ascii="Arial" w:hAnsi="Arial" w:cs="Arial"/>
        </w:rPr>
        <w:t xml:space="preserve"> Among LGBTQ youth, homelessness is a consistent independent risk factor for drug use and sexual behavior that increases likelihood of transmission of </w:t>
      </w:r>
      <w:r w:rsidR="00BA10B8">
        <w:rPr>
          <w:rFonts w:ascii="Arial" w:hAnsi="Arial" w:cs="Arial"/>
        </w:rPr>
        <w:t>sexually-transmitted infections (STI</w:t>
      </w:r>
      <w:r w:rsidR="0052092D" w:rsidRPr="0052092D">
        <w:rPr>
          <w:rFonts w:ascii="Arial" w:hAnsi="Arial" w:cs="Arial"/>
        </w:rPr>
        <w:t>s</w:t>
      </w:r>
      <w:r w:rsidR="00BA10B8">
        <w:rPr>
          <w:rFonts w:ascii="Arial" w:hAnsi="Arial" w:cs="Arial"/>
        </w:rPr>
        <w:t>)</w:t>
      </w:r>
      <w:r w:rsidR="0052092D" w:rsidRPr="0052092D">
        <w:rPr>
          <w:rFonts w:ascii="Arial" w:hAnsi="Arial" w:cs="Arial"/>
        </w:rPr>
        <w:t>.</w:t>
      </w:r>
      <w:r w:rsidR="0052092D" w:rsidRPr="0052092D">
        <w:rPr>
          <w:rFonts w:ascii="Arial" w:hAnsi="Arial" w:cs="Arial"/>
          <w:vertAlign w:val="superscript"/>
        </w:rPr>
        <w:endnoteReference w:id="60"/>
      </w:r>
    </w:p>
    <w:p w14:paraId="52B5D48E" w14:textId="77777777" w:rsidR="0052092D" w:rsidRPr="0052092D" w:rsidRDefault="0052092D" w:rsidP="0052092D">
      <w:pPr>
        <w:spacing w:after="0"/>
        <w:jc w:val="both"/>
        <w:rPr>
          <w:rFonts w:ascii="Arial" w:hAnsi="Arial" w:cs="Arial"/>
        </w:rPr>
      </w:pPr>
    </w:p>
    <w:p w14:paraId="24A82C05" w14:textId="17402B24" w:rsidR="0052092D" w:rsidRPr="0052092D" w:rsidRDefault="0052092D" w:rsidP="0052092D">
      <w:pPr>
        <w:spacing w:after="0"/>
        <w:jc w:val="both"/>
        <w:rPr>
          <w:rFonts w:ascii="Arial" w:hAnsi="Arial" w:cs="Arial"/>
        </w:rPr>
      </w:pPr>
      <w:r w:rsidRPr="0052092D">
        <w:rPr>
          <w:rFonts w:ascii="Arial" w:hAnsi="Arial" w:cs="Arial"/>
        </w:rPr>
        <w:t>Beyond sexual health, homelessness and LGBTQ status independently compound the risk of substance use and poor mental health.</w:t>
      </w:r>
      <w:r w:rsidRPr="0052092D">
        <w:rPr>
          <w:rFonts w:ascii="Arial" w:hAnsi="Arial" w:cs="Arial"/>
          <w:vertAlign w:val="superscript"/>
        </w:rPr>
        <w:endnoteReference w:id="61"/>
      </w:r>
      <w:r w:rsidRPr="0052092D">
        <w:rPr>
          <w:rFonts w:ascii="Arial" w:hAnsi="Arial" w:cs="Arial"/>
        </w:rPr>
        <w:t xml:space="preserve"> </w:t>
      </w:r>
      <w:r w:rsidR="00727070" w:rsidRPr="00727070">
        <w:rPr>
          <w:rFonts w:ascii="Arial" w:hAnsi="Arial" w:cs="Arial"/>
        </w:rPr>
        <w:t>LGBTQ youth experiencing homelessness are twice as likely to have attempted suicide (62% vs. 29%) and 155% more likely to have abused drugs (42% vs. 27%) than their non-LGBTQ peers</w:t>
      </w:r>
      <w:r w:rsidRPr="0052092D">
        <w:rPr>
          <w:rFonts w:ascii="Arial" w:hAnsi="Arial" w:cs="Arial"/>
        </w:rPr>
        <w:t>.</w:t>
      </w:r>
      <w:r w:rsidRPr="0052092D">
        <w:rPr>
          <w:rFonts w:ascii="Arial" w:hAnsi="Arial" w:cs="Arial"/>
          <w:vertAlign w:val="superscript"/>
        </w:rPr>
        <w:endnoteReference w:id="62"/>
      </w:r>
      <w:r w:rsidRPr="0052092D">
        <w:rPr>
          <w:rFonts w:ascii="Arial" w:hAnsi="Arial" w:cs="Arial"/>
        </w:rPr>
        <w:t xml:space="preserve"> </w:t>
      </w:r>
      <w:r w:rsidR="00727070" w:rsidRPr="00727070">
        <w:rPr>
          <w:rFonts w:ascii="Arial" w:hAnsi="Arial" w:cs="Arial"/>
        </w:rPr>
        <w:t>LGBTQ homeless youth also use cocaine, methamphetamines, and crack at higher rates than their non-LGBTQ peers</w:t>
      </w:r>
      <w:r w:rsidRPr="0052092D">
        <w:rPr>
          <w:rFonts w:ascii="Arial" w:hAnsi="Arial" w:cs="Arial"/>
        </w:rPr>
        <w:t>.</w:t>
      </w:r>
      <w:r w:rsidRPr="0052092D">
        <w:rPr>
          <w:rFonts w:ascii="Arial" w:hAnsi="Arial" w:cs="Arial"/>
          <w:vertAlign w:val="superscript"/>
        </w:rPr>
        <w:endnoteReference w:id="63"/>
      </w:r>
      <w:r w:rsidRPr="0052092D">
        <w:rPr>
          <w:rFonts w:ascii="Arial" w:hAnsi="Arial" w:cs="Arial"/>
        </w:rPr>
        <w:t xml:space="preserve"> 29% of homeless LGBTQ youth report having substance use disorder.</w:t>
      </w:r>
      <w:r w:rsidRPr="0052092D">
        <w:rPr>
          <w:rFonts w:ascii="Arial" w:hAnsi="Arial" w:cs="Arial"/>
          <w:vertAlign w:val="superscript"/>
        </w:rPr>
        <w:endnoteReference w:id="64"/>
      </w:r>
      <w:r w:rsidRPr="0052092D">
        <w:rPr>
          <w:rFonts w:ascii="Arial" w:hAnsi="Arial" w:cs="Arial"/>
        </w:rPr>
        <w:t xml:space="preserve"> In general, LGBTQ youth </w:t>
      </w:r>
      <w:r w:rsidR="00BA10B8">
        <w:rPr>
          <w:rFonts w:ascii="Arial" w:hAnsi="Arial" w:cs="Arial"/>
        </w:rPr>
        <w:t xml:space="preserve">experiencing homelessness </w:t>
      </w:r>
      <w:r w:rsidRPr="0052092D">
        <w:rPr>
          <w:rFonts w:ascii="Arial" w:hAnsi="Arial" w:cs="Arial"/>
        </w:rPr>
        <w:t>are at higher risk of poor mental health than their non-LGBTQ peers</w:t>
      </w:r>
      <w:r w:rsidR="00727070">
        <w:rPr>
          <w:rFonts w:ascii="Arial" w:hAnsi="Arial" w:cs="Arial"/>
        </w:rPr>
        <w:t>,</w:t>
      </w:r>
      <w:r w:rsidRPr="0052092D">
        <w:rPr>
          <w:rFonts w:ascii="Arial" w:hAnsi="Arial" w:cs="Arial"/>
        </w:rPr>
        <w:t xml:space="preserve"> experiencing higher rates of suicidal ideation (73% vs</w:t>
      </w:r>
      <w:r w:rsidR="00033AB3">
        <w:rPr>
          <w:rFonts w:ascii="Arial" w:hAnsi="Arial" w:cs="Arial"/>
        </w:rPr>
        <w:t>.</w:t>
      </w:r>
      <w:r w:rsidRPr="0052092D">
        <w:rPr>
          <w:rFonts w:ascii="Arial" w:hAnsi="Arial" w:cs="Arial"/>
        </w:rPr>
        <w:t xml:space="preserve"> 53.2%), at least one suicide attempt (57.1% vs</w:t>
      </w:r>
      <w:r w:rsidR="00033AB3">
        <w:rPr>
          <w:rFonts w:ascii="Arial" w:hAnsi="Arial" w:cs="Arial"/>
        </w:rPr>
        <w:t>.</w:t>
      </w:r>
      <w:r w:rsidRPr="0052092D">
        <w:rPr>
          <w:rFonts w:ascii="Arial" w:hAnsi="Arial" w:cs="Arial"/>
        </w:rPr>
        <w:t xml:space="preserve"> 33.7%), PTSD (47.6% vs</w:t>
      </w:r>
      <w:r w:rsidR="00033AB3">
        <w:rPr>
          <w:rFonts w:ascii="Arial" w:hAnsi="Arial" w:cs="Arial"/>
        </w:rPr>
        <w:t>.</w:t>
      </w:r>
      <w:r w:rsidRPr="0052092D">
        <w:rPr>
          <w:rFonts w:ascii="Arial" w:hAnsi="Arial" w:cs="Arial"/>
        </w:rPr>
        <w:t xml:space="preserve"> 33.4%)</w:t>
      </w:r>
      <w:r w:rsidR="00727070">
        <w:rPr>
          <w:rFonts w:ascii="Arial" w:hAnsi="Arial" w:cs="Arial"/>
        </w:rPr>
        <w:t>,</w:t>
      </w:r>
      <w:r w:rsidRPr="0052092D">
        <w:rPr>
          <w:rFonts w:ascii="Arial" w:hAnsi="Arial" w:cs="Arial"/>
        </w:rPr>
        <w:t xml:space="preserve"> and current episodes of major depression (41.3% vs</w:t>
      </w:r>
      <w:r w:rsidR="00033AB3">
        <w:rPr>
          <w:rFonts w:ascii="Arial" w:hAnsi="Arial" w:cs="Arial"/>
        </w:rPr>
        <w:t>.</w:t>
      </w:r>
      <w:r w:rsidRPr="0052092D">
        <w:rPr>
          <w:rFonts w:ascii="Arial" w:hAnsi="Arial" w:cs="Arial"/>
        </w:rPr>
        <w:t xml:space="preserve"> 28.5%).</w:t>
      </w:r>
      <w:r w:rsidRPr="0052092D">
        <w:rPr>
          <w:rFonts w:ascii="Arial" w:hAnsi="Arial" w:cs="Arial"/>
          <w:vertAlign w:val="superscript"/>
        </w:rPr>
        <w:endnoteReference w:id="65"/>
      </w:r>
      <w:r w:rsidRPr="0052092D">
        <w:rPr>
          <w:rFonts w:ascii="Arial" w:hAnsi="Arial" w:cs="Arial"/>
        </w:rPr>
        <w:t xml:space="preserve"> </w:t>
      </w:r>
    </w:p>
    <w:p w14:paraId="62AD8CE3" w14:textId="77777777" w:rsidR="0052092D" w:rsidRPr="0052092D" w:rsidRDefault="0052092D" w:rsidP="0052092D">
      <w:pPr>
        <w:spacing w:after="0"/>
        <w:jc w:val="both"/>
        <w:rPr>
          <w:rFonts w:ascii="Arial" w:hAnsi="Arial" w:cs="Arial"/>
        </w:rPr>
      </w:pPr>
    </w:p>
    <w:p w14:paraId="3702CED6" w14:textId="61225AF1" w:rsidR="0052092D" w:rsidRPr="0052092D" w:rsidRDefault="0052092D" w:rsidP="0052092D">
      <w:pPr>
        <w:spacing w:after="0"/>
        <w:jc w:val="both"/>
        <w:rPr>
          <w:rFonts w:ascii="Arial" w:hAnsi="Arial" w:cs="Arial"/>
        </w:rPr>
      </w:pPr>
      <w:r w:rsidRPr="0052092D">
        <w:rPr>
          <w:rFonts w:ascii="Arial" w:hAnsi="Arial" w:cs="Arial"/>
          <w:iCs/>
        </w:rPr>
        <w:t xml:space="preserve">Finally, transgender youth </w:t>
      </w:r>
      <w:r w:rsidR="00015BC3">
        <w:rPr>
          <w:rFonts w:ascii="Arial" w:hAnsi="Arial" w:cs="Arial"/>
          <w:iCs/>
        </w:rPr>
        <w:t>experiencing homelessness have been found to face even more severe discrimination and trauma than LGBQ youth experiencing homelessness.</w:t>
      </w:r>
      <w:r w:rsidR="00045CA0">
        <w:rPr>
          <w:rStyle w:val="EndnoteReference"/>
          <w:rFonts w:ascii="Arial" w:hAnsi="Arial" w:cs="Arial"/>
          <w:iCs/>
        </w:rPr>
        <w:endnoteReference w:id="66"/>
      </w:r>
      <w:r w:rsidR="000E154E">
        <w:rPr>
          <w:rFonts w:ascii="Arial" w:hAnsi="Arial" w:cs="Arial"/>
          <w:iCs/>
        </w:rPr>
        <w:t xml:space="preserve"> </w:t>
      </w:r>
      <w:r w:rsidR="00015BC3">
        <w:rPr>
          <w:rFonts w:ascii="Arial" w:hAnsi="Arial" w:cs="Arial"/>
          <w:iCs/>
        </w:rPr>
        <w:t>For this population, homelessness</w:t>
      </w:r>
      <w:r w:rsidR="000E154E">
        <w:rPr>
          <w:rFonts w:ascii="Arial" w:hAnsi="Arial" w:cs="Arial"/>
          <w:iCs/>
        </w:rPr>
        <w:t xml:space="preserve"> likely exacerbates the significant discrimination</w:t>
      </w:r>
      <w:r w:rsidR="00015BC3">
        <w:rPr>
          <w:rFonts w:ascii="Arial" w:hAnsi="Arial" w:cs="Arial"/>
          <w:iCs/>
        </w:rPr>
        <w:t xml:space="preserve"> and lack of understanding</w:t>
      </w:r>
      <w:r w:rsidR="000E154E">
        <w:rPr>
          <w:rFonts w:ascii="Arial" w:hAnsi="Arial" w:cs="Arial"/>
          <w:iCs/>
        </w:rPr>
        <w:t xml:space="preserve"> </w:t>
      </w:r>
      <w:r w:rsidR="00015BC3">
        <w:rPr>
          <w:rFonts w:ascii="Arial" w:hAnsi="Arial" w:cs="Arial"/>
          <w:iCs/>
        </w:rPr>
        <w:t>that transgender people</w:t>
      </w:r>
      <w:r w:rsidR="000E154E">
        <w:rPr>
          <w:rFonts w:ascii="Arial" w:hAnsi="Arial" w:cs="Arial"/>
          <w:iCs/>
        </w:rPr>
        <w:t xml:space="preserve"> already face in schools, workplaces, </w:t>
      </w:r>
      <w:r w:rsidR="00F2747A">
        <w:rPr>
          <w:rFonts w:ascii="Arial" w:hAnsi="Arial" w:cs="Arial"/>
          <w:iCs/>
        </w:rPr>
        <w:t xml:space="preserve">housing, </w:t>
      </w:r>
      <w:r w:rsidR="000E154E">
        <w:rPr>
          <w:rFonts w:ascii="Arial" w:hAnsi="Arial" w:cs="Arial"/>
          <w:iCs/>
        </w:rPr>
        <w:t>and healthcare facilities</w:t>
      </w:r>
      <w:r w:rsidRPr="0052092D">
        <w:rPr>
          <w:rFonts w:ascii="Arial" w:hAnsi="Arial" w:cs="Arial"/>
        </w:rPr>
        <w:t>.</w:t>
      </w:r>
      <w:r w:rsidRPr="0052092D">
        <w:rPr>
          <w:rFonts w:ascii="Arial" w:hAnsi="Arial" w:cs="Arial"/>
          <w:vertAlign w:val="superscript"/>
        </w:rPr>
        <w:endnoteReference w:id="67"/>
      </w:r>
      <w:r w:rsidRPr="0052092D">
        <w:rPr>
          <w:rFonts w:ascii="Arial" w:hAnsi="Arial" w:cs="Arial"/>
        </w:rPr>
        <w:t xml:space="preserve"> Many transgender youth also experience complications from unmonitored use of transition hormones obtained on the streets.</w:t>
      </w:r>
      <w:r w:rsidRPr="0052092D">
        <w:rPr>
          <w:rFonts w:ascii="Arial" w:hAnsi="Arial" w:cs="Arial"/>
          <w:vertAlign w:val="superscript"/>
        </w:rPr>
        <w:endnoteReference w:id="68"/>
      </w:r>
    </w:p>
    <w:p w14:paraId="01C5B094" w14:textId="77777777" w:rsidR="001158FB" w:rsidRPr="001158FB" w:rsidRDefault="001158FB" w:rsidP="001158FB">
      <w:pPr>
        <w:spacing w:after="0"/>
        <w:jc w:val="both"/>
        <w:rPr>
          <w:rFonts w:ascii="Arial" w:hAnsi="Arial" w:cs="Arial"/>
        </w:rPr>
      </w:pPr>
    </w:p>
    <w:p w14:paraId="1813C029" w14:textId="77777777" w:rsidR="001158FB" w:rsidRPr="001158FB" w:rsidRDefault="001158FB" w:rsidP="0059635C">
      <w:pPr>
        <w:pStyle w:val="Heading3"/>
      </w:pPr>
      <w:bookmarkStart w:id="15" w:name="_Toc512947893"/>
      <w:r w:rsidRPr="001158FB">
        <w:t>C. Services for Those Experiencing Homelessness</w:t>
      </w:r>
      <w:bookmarkEnd w:id="15"/>
    </w:p>
    <w:p w14:paraId="48BFA6AF" w14:textId="77777777" w:rsidR="001158FB" w:rsidRPr="001158FB" w:rsidRDefault="001158FB" w:rsidP="001158FB">
      <w:pPr>
        <w:spacing w:after="0"/>
        <w:jc w:val="both"/>
        <w:rPr>
          <w:rFonts w:ascii="Arial" w:hAnsi="Arial" w:cs="Arial"/>
        </w:rPr>
      </w:pPr>
    </w:p>
    <w:p w14:paraId="7B6A647B" w14:textId="7E07A74A" w:rsidR="00F2747A" w:rsidRPr="00F2747A" w:rsidRDefault="00C64EFD" w:rsidP="00F2747A">
      <w:pPr>
        <w:spacing w:after="0"/>
        <w:jc w:val="both"/>
        <w:rPr>
          <w:rFonts w:ascii="Arial" w:hAnsi="Arial" w:cs="Arial"/>
        </w:rPr>
      </w:pPr>
      <w:r>
        <w:rPr>
          <w:rFonts w:ascii="Arial" w:hAnsi="Arial" w:cs="Arial"/>
        </w:rPr>
        <w:t>The needs reported by LGBTQ youth experiencing homeless represent both general needs shared by all youth and some specific needs that are intertwined with their LGBTQ identities and related discrimination</w:t>
      </w:r>
      <w:r w:rsidR="00F2747A" w:rsidRPr="00F2747A">
        <w:rPr>
          <w:rFonts w:ascii="Arial" w:hAnsi="Arial" w:cs="Arial"/>
        </w:rPr>
        <w:t xml:space="preserve">. </w:t>
      </w:r>
      <w:r>
        <w:rPr>
          <w:rFonts w:ascii="Arial" w:hAnsi="Arial" w:cs="Arial"/>
        </w:rPr>
        <w:t xml:space="preserve">According to one study, </w:t>
      </w:r>
      <w:r w:rsidR="00F2747A" w:rsidRPr="00F2747A">
        <w:rPr>
          <w:rFonts w:ascii="Arial" w:hAnsi="Arial" w:cs="Arial"/>
        </w:rPr>
        <w:t>LGBQ youth report housing, employment, education</w:t>
      </w:r>
      <w:r>
        <w:rPr>
          <w:rFonts w:ascii="Arial" w:hAnsi="Arial" w:cs="Arial"/>
        </w:rPr>
        <w:t>,</w:t>
      </w:r>
      <w:r w:rsidR="00F2747A" w:rsidRPr="00F2747A">
        <w:rPr>
          <w:rFonts w:ascii="Arial" w:hAnsi="Arial" w:cs="Arial"/>
        </w:rPr>
        <w:t xml:space="preserve"> and acceptance of their LGBQ status as primary needs</w:t>
      </w:r>
      <w:r>
        <w:rPr>
          <w:rFonts w:ascii="Arial" w:hAnsi="Arial" w:cs="Arial"/>
        </w:rPr>
        <w:t>, while t</w:t>
      </w:r>
      <w:r w:rsidR="00F2747A" w:rsidRPr="00F2747A">
        <w:rPr>
          <w:rFonts w:ascii="Arial" w:hAnsi="Arial" w:cs="Arial"/>
        </w:rPr>
        <w:t>ransgender youth express need of housing, employment, education, and transition support.</w:t>
      </w:r>
      <w:r w:rsidR="00F2747A" w:rsidRPr="00F2747A">
        <w:rPr>
          <w:rFonts w:ascii="Arial" w:hAnsi="Arial" w:cs="Arial"/>
          <w:vertAlign w:val="superscript"/>
        </w:rPr>
        <w:endnoteReference w:id="69"/>
      </w:r>
      <w:r w:rsidR="00F2747A" w:rsidRPr="00F2747A">
        <w:rPr>
          <w:rFonts w:ascii="Arial" w:hAnsi="Arial" w:cs="Arial"/>
        </w:rPr>
        <w:t xml:space="preserve"> </w:t>
      </w:r>
    </w:p>
    <w:p w14:paraId="3B9DCBE1" w14:textId="77777777" w:rsidR="00F2747A" w:rsidRPr="00F2747A" w:rsidRDefault="00F2747A" w:rsidP="00F2747A">
      <w:pPr>
        <w:spacing w:after="0"/>
        <w:jc w:val="both"/>
        <w:rPr>
          <w:rFonts w:ascii="Arial" w:hAnsi="Arial" w:cs="Arial"/>
        </w:rPr>
      </w:pPr>
    </w:p>
    <w:p w14:paraId="2FA340B2" w14:textId="45359104" w:rsidR="00F2747A" w:rsidRPr="00F2747A" w:rsidRDefault="00F2747A" w:rsidP="00F2747A">
      <w:pPr>
        <w:spacing w:after="0"/>
        <w:jc w:val="both"/>
        <w:rPr>
          <w:rFonts w:ascii="Arial" w:hAnsi="Arial" w:cs="Arial"/>
        </w:rPr>
      </w:pPr>
      <w:r w:rsidRPr="00F2747A">
        <w:rPr>
          <w:rFonts w:ascii="Arial" w:hAnsi="Arial" w:cs="Arial"/>
        </w:rPr>
        <w:t xml:space="preserve">The services required by LGBTQ youth experiencing homelessness are in short supply due to a lack of funding, which may reflect a lack of funding specifically for LGBTQ-focused programs as well as a lack of appropriate funding for homelessness services </w:t>
      </w:r>
      <w:r w:rsidR="0026073E">
        <w:rPr>
          <w:rFonts w:ascii="Arial" w:hAnsi="Arial" w:cs="Arial"/>
        </w:rPr>
        <w:t>in general</w:t>
      </w:r>
      <w:r w:rsidRPr="00F2747A">
        <w:rPr>
          <w:rFonts w:ascii="Arial" w:hAnsi="Arial" w:cs="Arial"/>
        </w:rPr>
        <w:t>. A national survey found that 65% of service providers reported lack of funding as the single greatest barrier to serving homeless LGBTQ youth.</w:t>
      </w:r>
      <w:r w:rsidR="00C64EFD">
        <w:rPr>
          <w:rStyle w:val="EndnoteReference"/>
          <w:rFonts w:ascii="Arial" w:hAnsi="Arial" w:cs="Arial"/>
        </w:rPr>
        <w:endnoteReference w:id="70"/>
      </w:r>
      <w:r w:rsidRPr="00F2747A">
        <w:rPr>
          <w:rFonts w:ascii="Arial" w:hAnsi="Arial" w:cs="Arial"/>
        </w:rPr>
        <w:t xml:space="preserve"> This was a particularly barrier in Massachusetts du</w:t>
      </w:r>
      <w:r w:rsidR="000C703F">
        <w:rPr>
          <w:rFonts w:ascii="Arial" w:hAnsi="Arial" w:cs="Arial"/>
        </w:rPr>
        <w:t xml:space="preserve">ring </w:t>
      </w:r>
      <w:r w:rsidR="00727070">
        <w:rPr>
          <w:rFonts w:ascii="Arial" w:hAnsi="Arial" w:cs="Arial"/>
        </w:rPr>
        <w:t>F</w:t>
      </w:r>
      <w:r w:rsidR="000C703F">
        <w:rPr>
          <w:rFonts w:ascii="Arial" w:hAnsi="Arial" w:cs="Arial"/>
        </w:rPr>
        <w:t xml:space="preserve">iscal </w:t>
      </w:r>
      <w:r w:rsidR="00727070">
        <w:rPr>
          <w:rFonts w:ascii="Arial" w:hAnsi="Arial" w:cs="Arial"/>
        </w:rPr>
        <w:lastRenderedPageBreak/>
        <w:t>Y</w:t>
      </w:r>
      <w:r w:rsidR="000C703F">
        <w:rPr>
          <w:rFonts w:ascii="Arial" w:hAnsi="Arial" w:cs="Arial"/>
        </w:rPr>
        <w:t xml:space="preserve">ear 2018, </w:t>
      </w:r>
      <w:r w:rsidR="009846DC">
        <w:rPr>
          <w:rFonts w:ascii="Arial" w:hAnsi="Arial" w:cs="Arial"/>
        </w:rPr>
        <w:t>as community groups reported that by the midway point in the year, none of the $675,000 authorized by the legislature (which was already a sharp decrease from the $2 million recommended by the Governor) had actually been released for spending</w:t>
      </w:r>
      <w:r w:rsidRPr="00F2747A">
        <w:rPr>
          <w:rFonts w:ascii="Arial" w:hAnsi="Arial" w:cs="Arial"/>
        </w:rPr>
        <w:t>.</w:t>
      </w:r>
      <w:r w:rsidRPr="00F2747A">
        <w:rPr>
          <w:rFonts w:ascii="Arial" w:hAnsi="Arial" w:cs="Arial"/>
          <w:vertAlign w:val="superscript"/>
        </w:rPr>
        <w:endnoteReference w:id="71"/>
      </w:r>
      <w:r w:rsidRPr="00F2747A">
        <w:rPr>
          <w:rFonts w:ascii="Arial" w:hAnsi="Arial" w:cs="Arial"/>
        </w:rPr>
        <w:t xml:space="preserve"> </w:t>
      </w:r>
    </w:p>
    <w:p w14:paraId="24F5AADB" w14:textId="77777777" w:rsidR="00F2747A" w:rsidRPr="00F2747A" w:rsidRDefault="00F2747A" w:rsidP="00F2747A">
      <w:pPr>
        <w:spacing w:after="0"/>
        <w:jc w:val="both"/>
        <w:rPr>
          <w:rFonts w:ascii="Arial" w:hAnsi="Arial" w:cs="Arial"/>
        </w:rPr>
      </w:pPr>
    </w:p>
    <w:p w14:paraId="7FA86441" w14:textId="6CF54914" w:rsidR="00F2747A" w:rsidRPr="00F2747A" w:rsidRDefault="00F2747A" w:rsidP="00F2747A">
      <w:pPr>
        <w:spacing w:after="0"/>
        <w:jc w:val="both"/>
        <w:rPr>
          <w:rFonts w:ascii="Arial" w:hAnsi="Arial" w:cs="Arial"/>
        </w:rPr>
      </w:pPr>
      <w:r w:rsidRPr="00F2747A">
        <w:rPr>
          <w:rFonts w:ascii="Arial" w:hAnsi="Arial" w:cs="Arial"/>
        </w:rPr>
        <w:t>For the services that do exist, there are some signs that competency to service LGBTQ youth may have improved in recent years. A 2015 nationally representative survey showed that more than 90% of service providers for homeless youth</w:t>
      </w:r>
      <w:r w:rsidR="001821F4">
        <w:rPr>
          <w:rFonts w:ascii="Arial" w:hAnsi="Arial" w:cs="Arial"/>
        </w:rPr>
        <w:t xml:space="preserve"> self-reported</w:t>
      </w:r>
      <w:r w:rsidRPr="00F2747A">
        <w:rPr>
          <w:rFonts w:ascii="Arial" w:hAnsi="Arial" w:cs="Arial"/>
        </w:rPr>
        <w:t xml:space="preserve"> fe</w:t>
      </w:r>
      <w:r w:rsidR="001821F4">
        <w:rPr>
          <w:rFonts w:ascii="Arial" w:hAnsi="Arial" w:cs="Arial"/>
        </w:rPr>
        <w:t>eling</w:t>
      </w:r>
      <w:r w:rsidRPr="00F2747A">
        <w:rPr>
          <w:rFonts w:ascii="Arial" w:hAnsi="Arial" w:cs="Arial"/>
        </w:rPr>
        <w:t xml:space="preserve"> “somewhat” or “very confident” in caring for LGBTQ youth.</w:t>
      </w:r>
      <w:r w:rsidRPr="00F2747A">
        <w:rPr>
          <w:rFonts w:ascii="Arial" w:hAnsi="Arial" w:cs="Arial"/>
          <w:vertAlign w:val="superscript"/>
        </w:rPr>
        <w:endnoteReference w:id="72"/>
      </w:r>
      <w:r w:rsidRPr="00F2747A">
        <w:rPr>
          <w:rFonts w:ascii="Arial" w:hAnsi="Arial" w:cs="Arial"/>
        </w:rPr>
        <w:t xml:space="preserve"> </w:t>
      </w:r>
      <w:r w:rsidR="00727070" w:rsidRPr="00727070">
        <w:rPr>
          <w:rFonts w:ascii="Arial" w:hAnsi="Arial" w:cs="Arial"/>
        </w:rPr>
        <w:t>Many agencies associated their perceived success at working with LGBTQ youth with having completed training and having LGBTQ-identified staff and board members. In total, 85% of facilities reported adequate LGBTQ competency training, 90% had LGBQ staff member(s), 47% had transgender staff member(s), 61% had LGBQ board member(s), and 22% had transgender board member(s)</w:t>
      </w:r>
      <w:r w:rsidRPr="00F2747A">
        <w:rPr>
          <w:rFonts w:ascii="Arial" w:hAnsi="Arial" w:cs="Arial"/>
        </w:rPr>
        <w:t>.</w:t>
      </w:r>
      <w:r w:rsidRPr="00F2747A">
        <w:rPr>
          <w:rFonts w:ascii="Arial" w:hAnsi="Arial" w:cs="Arial"/>
          <w:vertAlign w:val="superscript"/>
        </w:rPr>
        <w:endnoteReference w:id="73"/>
      </w:r>
      <w:r w:rsidRPr="00F2747A">
        <w:rPr>
          <w:rFonts w:ascii="Arial" w:hAnsi="Arial" w:cs="Arial"/>
        </w:rPr>
        <w:t xml:space="preserve"> However, a separate national survey of service providers demonstrated the 25% of respondents experienced inadequate training as a barrier to serving LGBTQ youth.</w:t>
      </w:r>
      <w:r w:rsidRPr="00F2747A">
        <w:rPr>
          <w:rFonts w:ascii="Arial" w:hAnsi="Arial" w:cs="Arial"/>
          <w:vertAlign w:val="superscript"/>
        </w:rPr>
        <w:endnoteReference w:id="74"/>
      </w:r>
      <w:r w:rsidRPr="00F2747A">
        <w:rPr>
          <w:rFonts w:ascii="Arial" w:hAnsi="Arial" w:cs="Arial"/>
        </w:rPr>
        <w:t xml:space="preserve"> </w:t>
      </w:r>
      <w:r w:rsidR="00013A03">
        <w:rPr>
          <w:rFonts w:ascii="Arial" w:hAnsi="Arial" w:cs="Arial"/>
        </w:rPr>
        <w:t>M</w:t>
      </w:r>
      <w:r w:rsidRPr="00F2747A">
        <w:rPr>
          <w:rFonts w:ascii="Arial" w:hAnsi="Arial" w:cs="Arial"/>
        </w:rPr>
        <w:t>any LGBTQ youth</w:t>
      </w:r>
      <w:r w:rsidR="001821F4">
        <w:rPr>
          <w:rFonts w:ascii="Arial" w:hAnsi="Arial" w:cs="Arial"/>
        </w:rPr>
        <w:t xml:space="preserve"> experiencing homelessness</w:t>
      </w:r>
      <w:r w:rsidR="00013A03">
        <w:rPr>
          <w:rFonts w:ascii="Arial" w:hAnsi="Arial" w:cs="Arial"/>
        </w:rPr>
        <w:t xml:space="preserve"> nationally</w:t>
      </w:r>
      <w:r w:rsidRPr="00F2747A">
        <w:rPr>
          <w:rFonts w:ascii="Arial" w:hAnsi="Arial" w:cs="Arial"/>
        </w:rPr>
        <w:t xml:space="preserve"> report being turned away from shelters</w:t>
      </w:r>
      <w:r w:rsidR="00013A03">
        <w:rPr>
          <w:rFonts w:ascii="Arial" w:hAnsi="Arial" w:cs="Arial"/>
        </w:rPr>
        <w:t xml:space="preserve"> and other housing </w:t>
      </w:r>
      <w:r w:rsidRPr="00F2747A">
        <w:rPr>
          <w:rFonts w:ascii="Arial" w:hAnsi="Arial" w:cs="Arial"/>
        </w:rPr>
        <w:t xml:space="preserve">due to their LGBTQ </w:t>
      </w:r>
      <w:r w:rsidR="00727070">
        <w:rPr>
          <w:rFonts w:ascii="Arial" w:hAnsi="Arial" w:cs="Arial"/>
        </w:rPr>
        <w:t>identity</w:t>
      </w:r>
      <w:r w:rsidR="00013A03">
        <w:rPr>
          <w:rFonts w:ascii="Arial" w:hAnsi="Arial" w:cs="Arial"/>
        </w:rPr>
        <w:t>, and those who receive placement often report adverse experiences while there</w:t>
      </w:r>
      <w:r w:rsidRPr="00F2747A">
        <w:rPr>
          <w:rFonts w:ascii="Arial" w:hAnsi="Arial" w:cs="Arial"/>
        </w:rPr>
        <w:t>.</w:t>
      </w:r>
      <w:r w:rsidRPr="00F2747A">
        <w:rPr>
          <w:rFonts w:ascii="Arial" w:hAnsi="Arial" w:cs="Arial"/>
          <w:vertAlign w:val="superscript"/>
        </w:rPr>
        <w:endnoteReference w:id="75"/>
      </w:r>
      <w:r w:rsidRPr="00F2747A">
        <w:rPr>
          <w:rFonts w:ascii="Arial" w:hAnsi="Arial" w:cs="Arial"/>
        </w:rPr>
        <w:t xml:space="preserve"> </w:t>
      </w:r>
    </w:p>
    <w:p w14:paraId="7A1B0380" w14:textId="77777777" w:rsidR="00F2747A" w:rsidRPr="00F2747A" w:rsidRDefault="00F2747A" w:rsidP="00F2747A">
      <w:pPr>
        <w:spacing w:after="0"/>
        <w:jc w:val="both"/>
        <w:rPr>
          <w:rFonts w:ascii="Arial" w:hAnsi="Arial" w:cs="Arial"/>
        </w:rPr>
      </w:pPr>
    </w:p>
    <w:p w14:paraId="7962494C" w14:textId="394294F1" w:rsidR="00F2747A" w:rsidRPr="00F2747A" w:rsidRDefault="00F2747A" w:rsidP="00F2747A">
      <w:pPr>
        <w:spacing w:after="0"/>
        <w:jc w:val="both"/>
        <w:rPr>
          <w:rFonts w:ascii="Arial" w:hAnsi="Arial" w:cs="Arial"/>
        </w:rPr>
      </w:pPr>
      <w:r w:rsidRPr="00F2747A">
        <w:rPr>
          <w:rFonts w:ascii="Arial" w:hAnsi="Arial" w:cs="Arial"/>
        </w:rPr>
        <w:t>National studies</w:t>
      </w:r>
      <w:r w:rsidR="000A73BD">
        <w:rPr>
          <w:rFonts w:ascii="Arial" w:hAnsi="Arial" w:cs="Arial"/>
        </w:rPr>
        <w:t xml:space="preserve"> also</w:t>
      </w:r>
      <w:r w:rsidRPr="00F2747A">
        <w:rPr>
          <w:rFonts w:ascii="Arial" w:hAnsi="Arial" w:cs="Arial"/>
        </w:rPr>
        <w:t xml:space="preserve"> indicate that nearly half of LGBTQ clients of service agencies for homeless youth lack proper identification cards</w:t>
      </w:r>
      <w:r w:rsidR="00FA467B">
        <w:rPr>
          <w:rFonts w:ascii="Arial" w:hAnsi="Arial" w:cs="Arial"/>
        </w:rPr>
        <w:t>, which poses a significant barrier to this population</w:t>
      </w:r>
      <w:r w:rsidRPr="00F2747A">
        <w:rPr>
          <w:rFonts w:ascii="Arial" w:hAnsi="Arial" w:cs="Arial"/>
        </w:rPr>
        <w:t>.</w:t>
      </w:r>
      <w:r w:rsidRPr="00F2747A">
        <w:rPr>
          <w:rFonts w:ascii="Arial" w:hAnsi="Arial" w:cs="Arial"/>
          <w:vertAlign w:val="superscript"/>
        </w:rPr>
        <w:endnoteReference w:id="76"/>
      </w:r>
      <w:r w:rsidRPr="00F2747A">
        <w:rPr>
          <w:rFonts w:ascii="Arial" w:hAnsi="Arial" w:cs="Arial"/>
        </w:rPr>
        <w:t xml:space="preserve"> LGBTQ youth may </w:t>
      </w:r>
      <w:r w:rsidR="00397548">
        <w:rPr>
          <w:rFonts w:ascii="Arial" w:hAnsi="Arial" w:cs="Arial"/>
        </w:rPr>
        <w:t>face disproportionate barriers to access</w:t>
      </w:r>
      <w:r w:rsidRPr="00F2747A">
        <w:rPr>
          <w:rFonts w:ascii="Arial" w:hAnsi="Arial" w:cs="Arial"/>
        </w:rPr>
        <w:t xml:space="preserve"> as many are separated from their families over conflicts related to their LGBTQ </w:t>
      </w:r>
      <w:r w:rsidR="00FA467B">
        <w:rPr>
          <w:rFonts w:ascii="Arial" w:hAnsi="Arial" w:cs="Arial"/>
        </w:rPr>
        <w:t>identities</w:t>
      </w:r>
      <w:r w:rsidRPr="00F2747A">
        <w:rPr>
          <w:rFonts w:ascii="Arial" w:hAnsi="Arial" w:cs="Arial"/>
        </w:rPr>
        <w:t>. Without proper government-issued IDs, LGBTQ youth</w:t>
      </w:r>
      <w:r w:rsidR="00013A03">
        <w:rPr>
          <w:rFonts w:ascii="Arial" w:hAnsi="Arial" w:cs="Arial"/>
        </w:rPr>
        <w:t xml:space="preserve"> experiencing homelessness</w:t>
      </w:r>
      <w:r w:rsidRPr="00F2747A">
        <w:rPr>
          <w:rFonts w:ascii="Arial" w:hAnsi="Arial" w:cs="Arial"/>
        </w:rPr>
        <w:t xml:space="preserve"> are unable to open bank accounts, enroll in school, access housing</w:t>
      </w:r>
      <w:r w:rsidR="00013A03">
        <w:rPr>
          <w:rFonts w:ascii="Arial" w:hAnsi="Arial" w:cs="Arial"/>
        </w:rPr>
        <w:t>,</w:t>
      </w:r>
      <w:r w:rsidRPr="00F2747A">
        <w:rPr>
          <w:rFonts w:ascii="Arial" w:hAnsi="Arial" w:cs="Arial"/>
        </w:rPr>
        <w:t xml:space="preserve"> or become employed. They are also at higher risk of adverse encounters with law enforcement.</w:t>
      </w:r>
      <w:r w:rsidRPr="00F2747A">
        <w:rPr>
          <w:rFonts w:ascii="Arial" w:hAnsi="Arial" w:cs="Arial"/>
          <w:vertAlign w:val="superscript"/>
        </w:rPr>
        <w:endnoteReference w:id="77"/>
      </w:r>
      <w:r w:rsidRPr="00F2747A">
        <w:rPr>
          <w:rFonts w:ascii="Arial" w:hAnsi="Arial" w:cs="Arial"/>
        </w:rPr>
        <w:t xml:space="preserve"> The </w:t>
      </w:r>
      <w:r w:rsidRPr="00973A94">
        <w:rPr>
          <w:rFonts w:ascii="Arial" w:hAnsi="Arial" w:cs="Arial"/>
        </w:rPr>
        <w:t>cost</w:t>
      </w:r>
      <w:r w:rsidRPr="00F2747A">
        <w:rPr>
          <w:rFonts w:ascii="Arial" w:hAnsi="Arial" w:cs="Arial"/>
        </w:rPr>
        <w:t xml:space="preserve"> of identification cards, </w:t>
      </w:r>
      <w:r w:rsidRPr="00973A94">
        <w:rPr>
          <w:rFonts w:ascii="Arial" w:hAnsi="Arial" w:cs="Arial"/>
        </w:rPr>
        <w:t xml:space="preserve">cosign </w:t>
      </w:r>
      <w:r w:rsidRPr="00F2747A">
        <w:rPr>
          <w:rFonts w:ascii="Arial" w:hAnsi="Arial" w:cs="Arial"/>
        </w:rPr>
        <w:t>and proof of address requirements</w:t>
      </w:r>
      <w:r w:rsidR="00013A03">
        <w:rPr>
          <w:rFonts w:ascii="Arial" w:hAnsi="Arial" w:cs="Arial"/>
        </w:rPr>
        <w:t>,</w:t>
      </w:r>
      <w:r w:rsidRPr="00F2747A">
        <w:rPr>
          <w:rFonts w:ascii="Arial" w:hAnsi="Arial" w:cs="Arial"/>
        </w:rPr>
        <w:t xml:space="preserve"> and other recent modifications to make Massachusetts ID policy compliant with the federal REAL ID Act </w:t>
      </w:r>
      <w:r w:rsidR="00013A03">
        <w:rPr>
          <w:rFonts w:ascii="Arial" w:hAnsi="Arial" w:cs="Arial"/>
        </w:rPr>
        <w:t xml:space="preserve">may </w:t>
      </w:r>
      <w:r w:rsidRPr="00F2747A">
        <w:rPr>
          <w:rFonts w:ascii="Arial" w:hAnsi="Arial" w:cs="Arial"/>
        </w:rPr>
        <w:t>make it difficult for low-income LGBTQ youth who are homeless to get the ID cards they need to access opportunities.</w:t>
      </w:r>
      <w:r w:rsidR="00F25BA7">
        <w:rPr>
          <w:rStyle w:val="EndnoteReference"/>
          <w:rFonts w:ascii="Arial" w:hAnsi="Arial" w:cs="Arial"/>
        </w:rPr>
        <w:endnoteReference w:id="78"/>
      </w:r>
    </w:p>
    <w:p w14:paraId="4AA2D5EE" w14:textId="77777777" w:rsidR="001158FB" w:rsidRPr="001158FB" w:rsidRDefault="001158FB" w:rsidP="001158FB">
      <w:pPr>
        <w:spacing w:after="0"/>
        <w:jc w:val="both"/>
        <w:rPr>
          <w:rFonts w:ascii="Arial" w:hAnsi="Arial" w:cs="Arial"/>
        </w:rPr>
      </w:pPr>
    </w:p>
    <w:p w14:paraId="63F5E5E6" w14:textId="04D626C9" w:rsidR="001158FB" w:rsidRPr="001158FB" w:rsidRDefault="00F37159" w:rsidP="0059635C">
      <w:pPr>
        <w:pStyle w:val="Heading2"/>
      </w:pPr>
      <w:bookmarkStart w:id="16" w:name="_Toc512947894"/>
      <w:r>
        <w:t>III</w:t>
      </w:r>
      <w:r w:rsidR="001158FB" w:rsidRPr="001158FB">
        <w:t xml:space="preserve">. </w:t>
      </w:r>
      <w:r w:rsidR="004831C5">
        <w:t xml:space="preserve">Juvenile and </w:t>
      </w:r>
      <w:r w:rsidR="001158FB" w:rsidRPr="001158FB">
        <w:t>Criminal Justice</w:t>
      </w:r>
      <w:bookmarkEnd w:id="16"/>
    </w:p>
    <w:p w14:paraId="6B818B9C" w14:textId="269A9435" w:rsidR="001158FB" w:rsidRDefault="00015BC3" w:rsidP="001158FB">
      <w:pPr>
        <w:spacing w:after="0"/>
        <w:jc w:val="both"/>
        <w:rPr>
          <w:rFonts w:ascii="Arial" w:hAnsi="Arial" w:cs="Arial"/>
        </w:rPr>
      </w:pPr>
      <w:r>
        <w:rPr>
          <w:noProof/>
        </w:rPr>
        <w:drawing>
          <wp:anchor distT="0" distB="0" distL="114300" distR="114300" simplePos="0" relativeHeight="251748352" behindDoc="0" locked="0" layoutInCell="0" allowOverlap="1" wp14:anchorId="06050D32" wp14:editId="02518085">
            <wp:simplePos x="0" y="0"/>
            <wp:positionH relativeFrom="page">
              <wp:posOffset>898525</wp:posOffset>
            </wp:positionH>
            <wp:positionV relativeFrom="page">
              <wp:posOffset>6454140</wp:posOffset>
            </wp:positionV>
            <wp:extent cx="3200400" cy="2413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00400" cy="24130"/>
                    </a:xfrm>
                    <a:prstGeom prst="rect">
                      <a:avLst/>
                    </a:prstGeom>
                    <a:noFill/>
                  </pic:spPr>
                </pic:pic>
              </a:graphicData>
            </a:graphic>
          </wp:anchor>
        </w:drawing>
      </w:r>
    </w:p>
    <w:p w14:paraId="63D5BE74" w14:textId="6F90F0F1" w:rsidR="00F37159" w:rsidRPr="00F37159" w:rsidRDefault="00F37159" w:rsidP="00F37159">
      <w:pPr>
        <w:spacing w:after="0"/>
        <w:jc w:val="both"/>
        <w:rPr>
          <w:rFonts w:ascii="Arial" w:hAnsi="Arial" w:cs="Arial"/>
          <w:i/>
        </w:rPr>
      </w:pPr>
      <w:r>
        <w:rPr>
          <w:rFonts w:ascii="Arial" w:hAnsi="Arial" w:cs="Arial"/>
          <w:i/>
        </w:rPr>
        <w:t xml:space="preserve">See related recommendations on page </w:t>
      </w:r>
      <w:r w:rsidR="008528EE">
        <w:rPr>
          <w:rFonts w:ascii="Arial" w:hAnsi="Arial" w:cs="Arial"/>
          <w:i/>
        </w:rPr>
        <w:t>10</w:t>
      </w:r>
    </w:p>
    <w:p w14:paraId="19F85FCE" w14:textId="77777777" w:rsidR="00F37159" w:rsidRPr="001158FB" w:rsidRDefault="00F37159" w:rsidP="001158FB">
      <w:pPr>
        <w:spacing w:after="0"/>
        <w:jc w:val="both"/>
        <w:rPr>
          <w:rFonts w:ascii="Arial" w:hAnsi="Arial" w:cs="Arial"/>
        </w:rPr>
      </w:pPr>
    </w:p>
    <w:p w14:paraId="68801862" w14:textId="109AD7B1" w:rsidR="00D252B7" w:rsidRDefault="00727070" w:rsidP="009846DC">
      <w:pPr>
        <w:spacing w:after="0"/>
        <w:jc w:val="both"/>
        <w:rPr>
          <w:rFonts w:ascii="Arial" w:hAnsi="Arial" w:cs="Arial"/>
        </w:rPr>
      </w:pPr>
      <w:r w:rsidRPr="00727070">
        <w:rPr>
          <w:rFonts w:ascii="Arial" w:hAnsi="Arial" w:cs="Arial"/>
        </w:rPr>
        <w:t>For a variety of reasons – including higher rates of homelessness and foster care involvement, as described above – LGBTQ youth are twice as likely to enter the juvenile system as their non-LGBTQ peers</w:t>
      </w:r>
      <w:r w:rsidR="00F25BA7">
        <w:rPr>
          <w:rFonts w:ascii="Arial" w:hAnsi="Arial" w:cs="Arial"/>
        </w:rPr>
        <w:t>.</w:t>
      </w:r>
      <w:r w:rsidR="009258EA">
        <w:rPr>
          <w:rStyle w:val="EndnoteReference"/>
          <w:rFonts w:ascii="Arial" w:hAnsi="Arial" w:cs="Arial"/>
        </w:rPr>
        <w:endnoteReference w:id="79"/>
      </w:r>
      <w:r w:rsidR="001158FB" w:rsidRPr="001158FB">
        <w:rPr>
          <w:rFonts w:ascii="Arial" w:hAnsi="Arial" w:cs="Arial"/>
        </w:rPr>
        <w:t xml:space="preserve"> </w:t>
      </w:r>
      <w:r w:rsidRPr="00727070">
        <w:rPr>
          <w:rFonts w:ascii="Arial" w:hAnsi="Arial" w:cs="Arial"/>
        </w:rPr>
        <w:t>Nationally, five percent of LGBTQ youth report that they have been incarcerated, and 73% had personal interactions with law enforcement in the previous five years</w:t>
      </w:r>
      <w:r w:rsidR="001158FB" w:rsidRPr="001158FB">
        <w:rPr>
          <w:rFonts w:ascii="Arial" w:hAnsi="Arial" w:cs="Arial"/>
        </w:rPr>
        <w:t>.</w:t>
      </w:r>
      <w:r w:rsidR="009258EA">
        <w:rPr>
          <w:rStyle w:val="EndnoteReference"/>
          <w:rFonts w:ascii="Arial" w:hAnsi="Arial" w:cs="Arial"/>
        </w:rPr>
        <w:endnoteReference w:id="80"/>
      </w:r>
      <w:r w:rsidR="00F67735">
        <w:rPr>
          <w:rFonts w:ascii="Arial" w:hAnsi="Arial" w:cs="Arial"/>
        </w:rPr>
        <w:t xml:space="preserve"> A</w:t>
      </w:r>
      <w:r w:rsidR="001158FB" w:rsidRPr="001158FB">
        <w:rPr>
          <w:rFonts w:ascii="Arial" w:hAnsi="Arial" w:cs="Arial"/>
        </w:rPr>
        <w:t>nother survey of seven juvenile justice facilities nationwide showed that 20% of youth in these facilities were LGBTQ</w:t>
      </w:r>
      <w:r w:rsidR="0081005E">
        <w:rPr>
          <w:rFonts w:ascii="Arial" w:hAnsi="Arial" w:cs="Arial"/>
        </w:rPr>
        <w:t>, which makes these youth doubly represented in the criminal justice system given that they comprise only about 10% of the general population</w:t>
      </w:r>
      <w:r w:rsidR="001158FB" w:rsidRPr="001158FB">
        <w:rPr>
          <w:rFonts w:ascii="Arial" w:hAnsi="Arial" w:cs="Arial"/>
        </w:rPr>
        <w:t>.</w:t>
      </w:r>
      <w:r w:rsidR="001158FB" w:rsidRPr="001158FB">
        <w:rPr>
          <w:rFonts w:ascii="Arial" w:hAnsi="Arial" w:cs="Arial"/>
          <w:vertAlign w:val="superscript"/>
        </w:rPr>
        <w:endnoteReference w:id="81"/>
      </w:r>
      <w:r w:rsidR="001158FB" w:rsidRPr="001158FB">
        <w:rPr>
          <w:rFonts w:ascii="Arial" w:hAnsi="Arial" w:cs="Arial"/>
        </w:rPr>
        <w:t xml:space="preserve"> </w:t>
      </w:r>
      <w:r w:rsidR="00F25BA7">
        <w:rPr>
          <w:rFonts w:ascii="Arial" w:hAnsi="Arial" w:cs="Arial"/>
        </w:rPr>
        <w:t>Additional research shows that</w:t>
      </w:r>
      <w:r w:rsidR="00F25BA7" w:rsidRPr="001158FB">
        <w:rPr>
          <w:rFonts w:ascii="Arial" w:hAnsi="Arial" w:cs="Arial"/>
        </w:rPr>
        <w:t xml:space="preserve"> 50% of LGBTQ youth </w:t>
      </w:r>
      <w:r w:rsidR="00F25BA7">
        <w:rPr>
          <w:rFonts w:ascii="Arial" w:hAnsi="Arial" w:cs="Arial"/>
        </w:rPr>
        <w:t>are</w:t>
      </w:r>
      <w:r w:rsidR="00F25BA7" w:rsidRPr="001158FB">
        <w:rPr>
          <w:rFonts w:ascii="Arial" w:hAnsi="Arial" w:cs="Arial"/>
        </w:rPr>
        <w:t xml:space="preserve"> at risk of entering the juvenile justice system</w:t>
      </w:r>
      <w:r w:rsidR="00F25BA7">
        <w:rPr>
          <w:rFonts w:ascii="Arial" w:hAnsi="Arial" w:cs="Arial"/>
        </w:rPr>
        <w:t xml:space="preserve"> due to the risk factors that they face</w:t>
      </w:r>
      <w:r w:rsidR="00F25BA7" w:rsidRPr="001158FB">
        <w:rPr>
          <w:rFonts w:ascii="Arial" w:hAnsi="Arial" w:cs="Arial"/>
        </w:rPr>
        <w:t>.</w:t>
      </w:r>
      <w:r w:rsidR="00F25BA7">
        <w:rPr>
          <w:rStyle w:val="EndnoteReference"/>
          <w:rFonts w:ascii="Arial" w:hAnsi="Arial" w:cs="Arial"/>
        </w:rPr>
        <w:endnoteReference w:id="82"/>
      </w:r>
      <w:r w:rsidR="00557A54">
        <w:rPr>
          <w:rFonts w:ascii="Arial" w:hAnsi="Arial" w:cs="Arial"/>
        </w:rPr>
        <w:t xml:space="preserve"> These disparities transfer to adulthood, with </w:t>
      </w:r>
      <w:r w:rsidR="00557A54" w:rsidRPr="00557A54">
        <w:rPr>
          <w:rFonts w:ascii="Arial" w:hAnsi="Arial" w:cs="Arial"/>
        </w:rPr>
        <w:t>58% of respondents in a 2015 survey of in</w:t>
      </w:r>
      <w:r w:rsidR="00557A54">
        <w:rPr>
          <w:rFonts w:ascii="Arial" w:hAnsi="Arial" w:cs="Arial"/>
        </w:rPr>
        <w:t>carcerated LGBTQ adults reporting</w:t>
      </w:r>
      <w:r w:rsidR="00557A54" w:rsidRPr="00557A54">
        <w:rPr>
          <w:rFonts w:ascii="Arial" w:hAnsi="Arial" w:cs="Arial"/>
        </w:rPr>
        <w:t xml:space="preserve"> that their first experience </w:t>
      </w:r>
      <w:r w:rsidR="00557A54" w:rsidRPr="00557A54">
        <w:rPr>
          <w:rFonts w:ascii="Arial" w:hAnsi="Arial" w:cs="Arial"/>
        </w:rPr>
        <w:lastRenderedPageBreak/>
        <w:t>in a justice facility had been before the age of 18.</w:t>
      </w:r>
      <w:r w:rsidR="00557A54" w:rsidRPr="00557A54">
        <w:rPr>
          <w:rFonts w:ascii="Arial" w:hAnsi="Arial" w:cs="Arial"/>
          <w:vertAlign w:val="superscript"/>
        </w:rPr>
        <w:endnoteReference w:id="83"/>
      </w:r>
      <w:r w:rsidR="00557A54" w:rsidRPr="00557A54">
        <w:rPr>
          <w:rFonts w:ascii="Arial" w:hAnsi="Arial" w:cs="Arial"/>
          <w:vertAlign w:val="superscript"/>
        </w:rPr>
        <w:t xml:space="preserve"> </w:t>
      </w:r>
      <w:r w:rsidR="00557A54">
        <w:rPr>
          <w:rFonts w:ascii="Arial" w:hAnsi="Arial" w:cs="Arial"/>
        </w:rPr>
        <w:t>In total</w:t>
      </w:r>
      <w:r w:rsidR="00557A54" w:rsidRPr="00557A54">
        <w:rPr>
          <w:rFonts w:ascii="Arial" w:hAnsi="Arial" w:cs="Arial"/>
        </w:rPr>
        <w:t>, LGB people</w:t>
      </w:r>
      <w:r w:rsidR="00FA7B00">
        <w:rPr>
          <w:rFonts w:ascii="Arial" w:hAnsi="Arial" w:cs="Arial"/>
        </w:rPr>
        <w:t xml:space="preserve"> nationally</w:t>
      </w:r>
      <w:r w:rsidR="00557A54" w:rsidRPr="00557A54">
        <w:rPr>
          <w:rFonts w:ascii="Arial" w:hAnsi="Arial" w:cs="Arial"/>
        </w:rPr>
        <w:t xml:space="preserve"> are three times more likely to be incarcerated than the general population.</w:t>
      </w:r>
      <w:r w:rsidR="00557A54" w:rsidRPr="00557A54">
        <w:rPr>
          <w:rFonts w:ascii="Arial" w:hAnsi="Arial" w:cs="Arial"/>
          <w:vertAlign w:val="superscript"/>
        </w:rPr>
        <w:endnoteReference w:id="84"/>
      </w:r>
    </w:p>
    <w:p w14:paraId="15344A6F" w14:textId="77777777" w:rsidR="009846DC" w:rsidRDefault="009846DC" w:rsidP="009846DC">
      <w:pPr>
        <w:spacing w:after="0"/>
        <w:jc w:val="both"/>
        <w:rPr>
          <w:rFonts w:ascii="Arial" w:hAnsi="Arial" w:cs="Arial"/>
        </w:rPr>
      </w:pPr>
    </w:p>
    <w:p w14:paraId="12184E35" w14:textId="7BC89586" w:rsidR="00F25BA7" w:rsidRPr="00F25BA7" w:rsidRDefault="00F25BA7" w:rsidP="00F25BA7">
      <w:pPr>
        <w:spacing w:after="0"/>
        <w:jc w:val="both"/>
        <w:rPr>
          <w:rFonts w:ascii="Arial" w:hAnsi="Arial" w:cs="Arial"/>
        </w:rPr>
      </w:pPr>
      <w:r w:rsidRPr="00F25BA7">
        <w:rPr>
          <w:rFonts w:ascii="Arial" w:hAnsi="Arial" w:cs="Arial"/>
        </w:rPr>
        <w:t xml:space="preserve">The demographic breakdown of LGBTQ youth shows an even greater overrepresentation of LGB girls in the juvenile system. One </w:t>
      </w:r>
      <w:r w:rsidR="00FA7B00">
        <w:rPr>
          <w:rFonts w:ascii="Arial" w:hAnsi="Arial" w:cs="Arial"/>
        </w:rPr>
        <w:t xml:space="preserve">national </w:t>
      </w:r>
      <w:r w:rsidRPr="00F25BA7">
        <w:rPr>
          <w:rFonts w:ascii="Arial" w:hAnsi="Arial" w:cs="Arial"/>
        </w:rPr>
        <w:t>study showed that 39% of girls compared to 3.2% of boys in the system identified as LGB.</w:t>
      </w:r>
      <w:r w:rsidRPr="00F25BA7">
        <w:rPr>
          <w:rFonts w:ascii="Arial" w:hAnsi="Arial" w:cs="Arial"/>
          <w:vertAlign w:val="superscript"/>
        </w:rPr>
        <w:endnoteReference w:id="85"/>
      </w:r>
      <w:r w:rsidRPr="00F25BA7">
        <w:rPr>
          <w:rFonts w:ascii="Arial" w:hAnsi="Arial" w:cs="Arial"/>
        </w:rPr>
        <w:t xml:space="preserve"> Another study </w:t>
      </w:r>
      <w:r>
        <w:rPr>
          <w:rFonts w:ascii="Arial" w:hAnsi="Arial" w:cs="Arial"/>
        </w:rPr>
        <w:t>found</w:t>
      </w:r>
      <w:r w:rsidRPr="00F25BA7">
        <w:rPr>
          <w:rFonts w:ascii="Arial" w:hAnsi="Arial" w:cs="Arial"/>
        </w:rPr>
        <w:t xml:space="preserve"> that </w:t>
      </w:r>
      <w:r>
        <w:rPr>
          <w:rFonts w:ascii="Arial" w:hAnsi="Arial" w:cs="Arial"/>
        </w:rPr>
        <w:t xml:space="preserve">up to </w:t>
      </w:r>
      <w:r w:rsidRPr="00F25BA7">
        <w:rPr>
          <w:rFonts w:ascii="Arial" w:hAnsi="Arial" w:cs="Arial"/>
        </w:rPr>
        <w:t>40% of girls in th</w:t>
      </w:r>
      <w:r w:rsidR="0081005E">
        <w:rPr>
          <w:rFonts w:ascii="Arial" w:hAnsi="Arial" w:cs="Arial"/>
        </w:rPr>
        <w:t>e juvenile justice system are L</w:t>
      </w:r>
      <w:r w:rsidRPr="00F25BA7">
        <w:rPr>
          <w:rFonts w:ascii="Arial" w:hAnsi="Arial" w:cs="Arial"/>
        </w:rPr>
        <w:t>BTQ.</w:t>
      </w:r>
      <w:r w:rsidRPr="00F25BA7">
        <w:rPr>
          <w:rFonts w:ascii="Arial" w:hAnsi="Arial" w:cs="Arial"/>
          <w:vertAlign w:val="superscript"/>
        </w:rPr>
        <w:endnoteReference w:id="86"/>
      </w:r>
      <w:r w:rsidRPr="00F25BA7">
        <w:rPr>
          <w:rFonts w:ascii="Arial" w:hAnsi="Arial" w:cs="Arial"/>
        </w:rPr>
        <w:t xml:space="preserve"> </w:t>
      </w:r>
      <w:r>
        <w:rPr>
          <w:rFonts w:ascii="Arial" w:hAnsi="Arial" w:cs="Arial"/>
        </w:rPr>
        <w:t>Tr</w:t>
      </w:r>
      <w:r w:rsidRPr="00F25BA7">
        <w:rPr>
          <w:rFonts w:ascii="Arial" w:hAnsi="Arial" w:cs="Arial"/>
        </w:rPr>
        <w:t xml:space="preserve">ansgender and gender-nonconforming individuals are nearly twice </w:t>
      </w:r>
      <w:r w:rsidR="0081005E" w:rsidRPr="00F25BA7">
        <w:rPr>
          <w:rFonts w:ascii="Arial" w:hAnsi="Arial" w:cs="Arial"/>
        </w:rPr>
        <w:t>as likely to have be</w:t>
      </w:r>
      <w:r w:rsidR="0081005E">
        <w:rPr>
          <w:rFonts w:ascii="Arial" w:hAnsi="Arial" w:cs="Arial"/>
        </w:rPr>
        <w:t>en incarcerated as other LGBQ people, with transgender</w:t>
      </w:r>
      <w:r w:rsidRPr="00F25BA7">
        <w:rPr>
          <w:rFonts w:ascii="Arial" w:hAnsi="Arial" w:cs="Arial"/>
        </w:rPr>
        <w:t xml:space="preserve"> people of color </w:t>
      </w:r>
      <w:r w:rsidR="0081005E">
        <w:rPr>
          <w:rFonts w:ascii="Arial" w:hAnsi="Arial" w:cs="Arial"/>
        </w:rPr>
        <w:t>reporting a</w:t>
      </w:r>
      <w:r w:rsidR="006116C6">
        <w:rPr>
          <w:rFonts w:ascii="Arial" w:hAnsi="Arial" w:cs="Arial"/>
        </w:rPr>
        <w:t xml:space="preserve"> rate of </w:t>
      </w:r>
      <w:r w:rsidRPr="00F25BA7">
        <w:rPr>
          <w:rFonts w:ascii="Arial" w:hAnsi="Arial" w:cs="Arial"/>
        </w:rPr>
        <w:t>past incarceration</w:t>
      </w:r>
      <w:r w:rsidR="0081005E">
        <w:rPr>
          <w:rFonts w:ascii="Arial" w:hAnsi="Arial" w:cs="Arial"/>
        </w:rPr>
        <w:t xml:space="preserve"> </w:t>
      </w:r>
      <w:r w:rsidR="006116C6">
        <w:rPr>
          <w:rFonts w:ascii="Arial" w:hAnsi="Arial" w:cs="Arial"/>
        </w:rPr>
        <w:t xml:space="preserve">four times higher than </w:t>
      </w:r>
      <w:r w:rsidR="0081005E">
        <w:rPr>
          <w:rFonts w:ascii="Arial" w:hAnsi="Arial" w:cs="Arial"/>
        </w:rPr>
        <w:t>other LGBQ people</w:t>
      </w:r>
      <w:r w:rsidRPr="00F25BA7">
        <w:rPr>
          <w:rFonts w:ascii="Arial" w:hAnsi="Arial" w:cs="Arial"/>
        </w:rPr>
        <w:t>.</w:t>
      </w:r>
      <w:r w:rsidRPr="00F25BA7">
        <w:rPr>
          <w:rFonts w:ascii="Arial" w:hAnsi="Arial" w:cs="Arial"/>
          <w:vertAlign w:val="superscript"/>
        </w:rPr>
        <w:endnoteReference w:id="87"/>
      </w:r>
      <w:r w:rsidRPr="00F25BA7">
        <w:rPr>
          <w:rFonts w:ascii="Arial" w:hAnsi="Arial" w:cs="Arial"/>
        </w:rPr>
        <w:t xml:space="preserve"> </w:t>
      </w:r>
    </w:p>
    <w:p w14:paraId="497CFE7A" w14:textId="77777777" w:rsidR="00F25BA7" w:rsidRPr="00F25BA7" w:rsidRDefault="00F25BA7" w:rsidP="00F25BA7">
      <w:pPr>
        <w:spacing w:after="0"/>
        <w:jc w:val="both"/>
        <w:rPr>
          <w:rFonts w:ascii="Arial" w:hAnsi="Arial" w:cs="Arial"/>
        </w:rPr>
      </w:pPr>
    </w:p>
    <w:p w14:paraId="5B3B6323" w14:textId="7C5B574E" w:rsidR="00F25BA7" w:rsidRPr="00F25BA7" w:rsidRDefault="00404442" w:rsidP="00F25BA7">
      <w:pPr>
        <w:spacing w:after="0"/>
        <w:jc w:val="both"/>
        <w:rPr>
          <w:rFonts w:ascii="Arial" w:hAnsi="Arial" w:cs="Arial"/>
        </w:rPr>
      </w:pPr>
      <w:r w:rsidRPr="00404442">
        <w:rPr>
          <w:rFonts w:ascii="Arial" w:hAnsi="Arial" w:cs="Arial"/>
        </w:rPr>
        <w:t>The overrepresentation of LGBTQ youth of color in the juvenile and criminal systems also reflects the racial disparities faced by all people, regardless of LGBTQ identity, involved in these systems. One national study found that as compared to White youth, Black youth are four times more likely to be incarcerated, Native American youth nearly three times as likely, and Latinx youth 1.5 times as likely</w:t>
      </w:r>
      <w:r w:rsidR="00F25BA7" w:rsidRPr="00F25BA7">
        <w:rPr>
          <w:rFonts w:ascii="Arial" w:hAnsi="Arial" w:cs="Arial"/>
        </w:rPr>
        <w:t>.</w:t>
      </w:r>
      <w:r w:rsidR="00F25BA7" w:rsidRPr="00F25BA7">
        <w:rPr>
          <w:rFonts w:ascii="Arial" w:hAnsi="Arial" w:cs="Arial"/>
          <w:vertAlign w:val="superscript"/>
        </w:rPr>
        <w:endnoteReference w:id="88"/>
      </w:r>
      <w:r w:rsidR="00F25BA7" w:rsidRPr="00F25BA7">
        <w:rPr>
          <w:rFonts w:ascii="Arial" w:hAnsi="Arial" w:cs="Arial"/>
        </w:rPr>
        <w:t xml:space="preserve"> </w:t>
      </w:r>
      <w:r w:rsidR="005351BC">
        <w:rPr>
          <w:rFonts w:ascii="Arial" w:hAnsi="Arial" w:cs="Arial"/>
        </w:rPr>
        <w:t>It is therefore deeply troubling, but not surprising</w:t>
      </w:r>
      <w:r w:rsidR="00F25BA7" w:rsidRPr="00F25BA7">
        <w:rPr>
          <w:rFonts w:ascii="Arial" w:hAnsi="Arial" w:cs="Arial"/>
        </w:rPr>
        <w:t>,</w:t>
      </w:r>
      <w:r w:rsidR="005351BC">
        <w:rPr>
          <w:rFonts w:ascii="Arial" w:hAnsi="Arial" w:cs="Arial"/>
        </w:rPr>
        <w:t xml:space="preserve"> that</w:t>
      </w:r>
      <w:r w:rsidR="00F25BA7" w:rsidRPr="00F25BA7">
        <w:rPr>
          <w:rFonts w:ascii="Arial" w:hAnsi="Arial" w:cs="Arial"/>
        </w:rPr>
        <w:t xml:space="preserve"> an estimated 85% of LGBTQ youth in the justice system are youth of color.</w:t>
      </w:r>
      <w:r w:rsidR="00F25BA7" w:rsidRPr="00F25BA7">
        <w:rPr>
          <w:rFonts w:ascii="Arial" w:hAnsi="Arial" w:cs="Arial"/>
          <w:vertAlign w:val="superscript"/>
        </w:rPr>
        <w:endnoteReference w:id="89"/>
      </w:r>
      <w:r w:rsidR="00F25BA7" w:rsidRPr="00F25BA7">
        <w:rPr>
          <w:rFonts w:ascii="Arial" w:hAnsi="Arial" w:cs="Arial"/>
        </w:rPr>
        <w:t xml:space="preserve"> </w:t>
      </w:r>
    </w:p>
    <w:p w14:paraId="1057273C" w14:textId="77777777" w:rsidR="001158FB" w:rsidRPr="001158FB" w:rsidRDefault="001158FB" w:rsidP="001158FB">
      <w:pPr>
        <w:spacing w:after="0"/>
        <w:jc w:val="both"/>
        <w:rPr>
          <w:rFonts w:ascii="Arial" w:hAnsi="Arial" w:cs="Arial"/>
        </w:rPr>
      </w:pPr>
    </w:p>
    <w:p w14:paraId="7A88E363" w14:textId="77777777" w:rsidR="001158FB" w:rsidRPr="001158FB" w:rsidRDefault="001158FB" w:rsidP="0059635C">
      <w:pPr>
        <w:pStyle w:val="Heading3"/>
      </w:pPr>
      <w:bookmarkStart w:id="17" w:name="_Toc512947895"/>
      <w:r w:rsidRPr="001158FB">
        <w:t>A. Pathways to Involvement in the Criminal Justice System</w:t>
      </w:r>
      <w:bookmarkEnd w:id="17"/>
    </w:p>
    <w:p w14:paraId="70884ED0" w14:textId="77777777" w:rsidR="001158FB" w:rsidRPr="001158FB" w:rsidRDefault="001158FB" w:rsidP="001158FB">
      <w:pPr>
        <w:spacing w:after="0"/>
        <w:jc w:val="both"/>
        <w:rPr>
          <w:rFonts w:ascii="Arial" w:hAnsi="Arial" w:cs="Arial"/>
        </w:rPr>
      </w:pPr>
    </w:p>
    <w:p w14:paraId="38447986" w14:textId="44878317" w:rsidR="001B771C" w:rsidRPr="001B771C" w:rsidRDefault="001B771C" w:rsidP="001B771C">
      <w:pPr>
        <w:spacing w:after="0"/>
        <w:jc w:val="both"/>
        <w:rPr>
          <w:rFonts w:ascii="Arial" w:hAnsi="Arial" w:cs="Arial"/>
        </w:rPr>
      </w:pPr>
      <w:r w:rsidRPr="001B771C">
        <w:rPr>
          <w:rFonts w:ascii="Arial" w:hAnsi="Arial" w:cs="Arial"/>
        </w:rPr>
        <w:t xml:space="preserve">Various forces contribute to </w:t>
      </w:r>
      <w:r>
        <w:rPr>
          <w:rFonts w:ascii="Arial" w:hAnsi="Arial" w:cs="Arial"/>
        </w:rPr>
        <w:t>the</w:t>
      </w:r>
      <w:r w:rsidRPr="001B771C">
        <w:rPr>
          <w:rFonts w:ascii="Arial" w:hAnsi="Arial" w:cs="Arial"/>
        </w:rPr>
        <w:t xml:space="preserve"> overrepresentation of LGBTQ young people in the juvenile justice system. One perspective is that discrimination and stigma increase the number of incidents of harassment and violence against LGBTQ youth. LGBTQ youth may cope with these traumatic experiences by engaging in criminalized compensatory behaviors and survival economies. Discrimination and stigma may also result in policies and policing strategies that disproportionately target LGBTQ youth</w:t>
      </w:r>
      <w:r w:rsidR="00896253">
        <w:rPr>
          <w:rFonts w:ascii="Arial" w:hAnsi="Arial" w:cs="Arial"/>
        </w:rPr>
        <w:t>, especially those of color</w:t>
      </w:r>
      <w:r w:rsidRPr="001B771C">
        <w:rPr>
          <w:rFonts w:ascii="Arial" w:hAnsi="Arial" w:cs="Arial"/>
        </w:rPr>
        <w:t>. Traumatic experiences such as interactions with the criminal justice system can have lifelong repercussions, particularly when they occur during adolescence, a critical period of brain development.</w:t>
      </w:r>
      <w:r w:rsidRPr="001B771C">
        <w:rPr>
          <w:rFonts w:ascii="Arial" w:hAnsi="Arial" w:cs="Arial"/>
          <w:vertAlign w:val="superscript"/>
        </w:rPr>
        <w:endnoteReference w:id="90"/>
      </w:r>
    </w:p>
    <w:p w14:paraId="35F6DC2D" w14:textId="77777777" w:rsidR="001158FB" w:rsidRPr="001158FB" w:rsidRDefault="001158FB" w:rsidP="001158FB">
      <w:pPr>
        <w:spacing w:after="0"/>
        <w:jc w:val="both"/>
        <w:rPr>
          <w:rFonts w:ascii="Arial" w:hAnsi="Arial" w:cs="Arial"/>
        </w:rPr>
      </w:pPr>
    </w:p>
    <w:p w14:paraId="5A6983A9" w14:textId="77777777" w:rsidR="001158FB" w:rsidRPr="001158FB" w:rsidRDefault="001158FB" w:rsidP="00172454">
      <w:pPr>
        <w:pStyle w:val="Heading3"/>
      </w:pPr>
      <w:bookmarkStart w:id="18" w:name="_Toc512947896"/>
      <w:r w:rsidRPr="001158FB">
        <w:t xml:space="preserve">1. </w:t>
      </w:r>
      <w:r w:rsidR="00DD4D48">
        <w:t>Poverty,</w:t>
      </w:r>
      <w:r w:rsidRPr="001158FB">
        <w:t xml:space="preserve"> Homelessness</w:t>
      </w:r>
      <w:r w:rsidR="00DD4D48">
        <w:t>, and Drugs</w:t>
      </w:r>
      <w:bookmarkEnd w:id="18"/>
    </w:p>
    <w:p w14:paraId="1CECD804" w14:textId="77777777" w:rsidR="001158FB" w:rsidRPr="001158FB" w:rsidRDefault="001158FB" w:rsidP="001158FB">
      <w:pPr>
        <w:spacing w:after="0"/>
        <w:jc w:val="both"/>
        <w:rPr>
          <w:rFonts w:ascii="Arial" w:hAnsi="Arial" w:cs="Arial"/>
        </w:rPr>
      </w:pPr>
    </w:p>
    <w:p w14:paraId="4527E154" w14:textId="77777777" w:rsidR="001B771C" w:rsidRPr="001B771C" w:rsidRDefault="001B771C" w:rsidP="001B771C">
      <w:pPr>
        <w:spacing w:after="0"/>
        <w:jc w:val="both"/>
        <w:rPr>
          <w:rFonts w:ascii="Arial" w:hAnsi="Arial" w:cs="Arial"/>
        </w:rPr>
      </w:pPr>
      <w:r w:rsidRPr="001B771C">
        <w:rPr>
          <w:rFonts w:ascii="Arial" w:hAnsi="Arial" w:cs="Arial"/>
        </w:rPr>
        <w:t xml:space="preserve">One pathway through which LGBTQ youth enter the juvenile </w:t>
      </w:r>
      <w:r w:rsidR="0090312A">
        <w:rPr>
          <w:rFonts w:ascii="Arial" w:hAnsi="Arial" w:cs="Arial"/>
        </w:rPr>
        <w:t xml:space="preserve">and criminal </w:t>
      </w:r>
      <w:r w:rsidRPr="001B771C">
        <w:rPr>
          <w:rFonts w:ascii="Arial" w:hAnsi="Arial" w:cs="Arial"/>
        </w:rPr>
        <w:t>justice system</w:t>
      </w:r>
      <w:r w:rsidR="0090312A">
        <w:rPr>
          <w:rFonts w:ascii="Arial" w:hAnsi="Arial" w:cs="Arial"/>
        </w:rPr>
        <w:t>s</w:t>
      </w:r>
      <w:r w:rsidRPr="001B771C">
        <w:rPr>
          <w:rFonts w:ascii="Arial" w:hAnsi="Arial" w:cs="Arial"/>
        </w:rPr>
        <w:t xml:space="preserve"> is homelessness and compensatory behaviors originating from abuse and rejection in their home and social environments. Various factors may contribute to increased family instability and rejection of LGBTQ youth, including poverty. According to the 2015 US Census, more than one in five American children (21.1%) live </w:t>
      </w:r>
      <w:r w:rsidRPr="00346DA5">
        <w:rPr>
          <w:rFonts w:ascii="Arial" w:hAnsi="Arial" w:cs="Arial"/>
        </w:rPr>
        <w:t>in poverty.</w:t>
      </w:r>
      <w:r w:rsidRPr="001B771C">
        <w:rPr>
          <w:rFonts w:ascii="Arial" w:hAnsi="Arial" w:cs="Arial"/>
          <w:vertAlign w:val="superscript"/>
        </w:rPr>
        <w:endnoteReference w:id="91"/>
      </w:r>
      <w:r w:rsidRPr="001B771C">
        <w:rPr>
          <w:rFonts w:ascii="Arial" w:hAnsi="Arial" w:cs="Arial"/>
        </w:rPr>
        <w:t xml:space="preserve"> Multiple studies indicate that LGBTQ people experience higher rates of poverty than the general population. 24% of </w:t>
      </w:r>
      <w:r>
        <w:rPr>
          <w:rFonts w:ascii="Arial" w:hAnsi="Arial" w:cs="Arial"/>
        </w:rPr>
        <w:t>queer</w:t>
      </w:r>
      <w:r w:rsidRPr="001B771C">
        <w:rPr>
          <w:rFonts w:ascii="Arial" w:hAnsi="Arial" w:cs="Arial"/>
        </w:rPr>
        <w:t xml:space="preserve"> women have an annual income below the federal poverty line compared to 19% of the heterosexual women.</w:t>
      </w:r>
      <w:r w:rsidRPr="001B771C">
        <w:rPr>
          <w:rFonts w:ascii="Arial" w:hAnsi="Arial" w:cs="Arial"/>
          <w:vertAlign w:val="superscript"/>
        </w:rPr>
        <w:endnoteReference w:id="92"/>
      </w:r>
      <w:r w:rsidRPr="001B771C">
        <w:rPr>
          <w:rFonts w:ascii="Arial" w:hAnsi="Arial" w:cs="Arial"/>
        </w:rPr>
        <w:t xml:space="preserve"> Transgender people are four times more likely to live in extreme poverty (make less than $10,000 a year) than the general population.</w:t>
      </w:r>
      <w:r w:rsidRPr="001B771C">
        <w:rPr>
          <w:rFonts w:ascii="Arial" w:hAnsi="Arial" w:cs="Arial"/>
          <w:vertAlign w:val="superscript"/>
        </w:rPr>
        <w:endnoteReference w:id="93"/>
      </w:r>
      <w:r w:rsidRPr="001B771C">
        <w:rPr>
          <w:rFonts w:ascii="Arial" w:hAnsi="Arial" w:cs="Arial"/>
        </w:rPr>
        <w:t xml:space="preserve"> Parental substance use and conflicts over their LGBTQ status are other often cited causes of family instability.</w:t>
      </w:r>
    </w:p>
    <w:p w14:paraId="25FC1F1F" w14:textId="77777777" w:rsidR="001B771C" w:rsidRPr="001B771C" w:rsidRDefault="001B771C" w:rsidP="001B771C">
      <w:pPr>
        <w:spacing w:after="0"/>
        <w:jc w:val="both"/>
        <w:rPr>
          <w:rFonts w:ascii="Arial" w:hAnsi="Arial" w:cs="Arial"/>
          <w:b/>
          <w:bCs/>
        </w:rPr>
      </w:pPr>
      <w:r w:rsidRPr="001B771C">
        <w:rPr>
          <w:rFonts w:ascii="Arial" w:hAnsi="Arial" w:cs="Arial"/>
          <w:b/>
          <w:bCs/>
        </w:rPr>
        <w:tab/>
      </w:r>
    </w:p>
    <w:p w14:paraId="5442A64D" w14:textId="77777777" w:rsidR="001B771C" w:rsidRDefault="001B771C" w:rsidP="001B771C">
      <w:pPr>
        <w:spacing w:after="0"/>
        <w:jc w:val="both"/>
        <w:rPr>
          <w:rFonts w:ascii="Arial" w:hAnsi="Arial" w:cs="Arial"/>
          <w:i/>
          <w:iCs/>
        </w:rPr>
      </w:pPr>
      <w:r w:rsidRPr="001B771C">
        <w:rPr>
          <w:rFonts w:ascii="Arial" w:hAnsi="Arial" w:cs="Arial"/>
          <w:iCs/>
        </w:rPr>
        <w:t xml:space="preserve">Unsafe at home, many LGBTQ youth end up in the foster care system or homeless. </w:t>
      </w:r>
      <w:r w:rsidRPr="001B771C">
        <w:rPr>
          <w:rFonts w:ascii="Arial" w:hAnsi="Arial" w:cs="Arial"/>
        </w:rPr>
        <w:t>Youth in</w:t>
      </w:r>
      <w:r w:rsidRPr="001B771C">
        <w:rPr>
          <w:rFonts w:ascii="Arial" w:hAnsi="Arial" w:cs="Arial"/>
          <w:b/>
          <w:bCs/>
        </w:rPr>
        <w:t xml:space="preserve"> </w:t>
      </w:r>
      <w:r w:rsidRPr="001B771C">
        <w:rPr>
          <w:rFonts w:ascii="Arial" w:hAnsi="Arial" w:cs="Arial"/>
        </w:rPr>
        <w:t>foster homes or who have aged out of the foster care system have been shown to have higher criminal justice involvement than others.</w:t>
      </w:r>
      <w:r w:rsidRPr="001B771C">
        <w:rPr>
          <w:rFonts w:ascii="Arial" w:hAnsi="Arial" w:cs="Arial"/>
          <w:vertAlign w:val="superscript"/>
        </w:rPr>
        <w:endnoteReference w:id="94"/>
      </w:r>
      <w:r w:rsidRPr="001B771C">
        <w:rPr>
          <w:rFonts w:ascii="Arial" w:hAnsi="Arial" w:cs="Arial"/>
        </w:rPr>
        <w:t xml:space="preserve"> </w:t>
      </w:r>
      <w:r w:rsidR="00C719E1">
        <w:rPr>
          <w:rFonts w:ascii="Arial" w:hAnsi="Arial" w:cs="Arial"/>
        </w:rPr>
        <w:t xml:space="preserve">The situation is no better for youth who experience </w:t>
      </w:r>
      <w:r w:rsidR="00C719E1">
        <w:rPr>
          <w:rFonts w:ascii="Arial" w:hAnsi="Arial" w:cs="Arial"/>
        </w:rPr>
        <w:lastRenderedPageBreak/>
        <w:t>homelessness, of whom one study found</w:t>
      </w:r>
      <w:r w:rsidRPr="001B771C">
        <w:rPr>
          <w:rFonts w:ascii="Arial" w:hAnsi="Arial" w:cs="Arial"/>
          <w:i/>
          <w:iCs/>
        </w:rPr>
        <w:t xml:space="preserve"> </w:t>
      </w:r>
      <w:r w:rsidRPr="001B771C">
        <w:rPr>
          <w:rFonts w:ascii="Arial" w:hAnsi="Arial" w:cs="Arial"/>
        </w:rPr>
        <w:t>78% had at least one prior</w:t>
      </w:r>
      <w:r w:rsidR="00C719E1">
        <w:rPr>
          <w:rFonts w:ascii="Arial" w:hAnsi="Arial" w:cs="Arial"/>
        </w:rPr>
        <w:t xml:space="preserve"> police</w:t>
      </w:r>
      <w:r w:rsidRPr="001B771C">
        <w:rPr>
          <w:rFonts w:ascii="Arial" w:hAnsi="Arial" w:cs="Arial"/>
        </w:rPr>
        <w:t xml:space="preserve"> interaction, 62% had been arrested or detained, and 44% had been in a juvenile detention center, jail, or prison.</w:t>
      </w:r>
      <w:r w:rsidRPr="001B771C">
        <w:rPr>
          <w:rFonts w:ascii="Arial" w:hAnsi="Arial" w:cs="Arial"/>
          <w:vertAlign w:val="superscript"/>
        </w:rPr>
        <w:endnoteReference w:id="95"/>
      </w:r>
      <w:r w:rsidRPr="001B771C">
        <w:rPr>
          <w:rFonts w:ascii="Arial" w:hAnsi="Arial" w:cs="Arial"/>
          <w:i/>
          <w:iCs/>
        </w:rPr>
        <w:t xml:space="preserve"> </w:t>
      </w:r>
    </w:p>
    <w:p w14:paraId="1BF2C119" w14:textId="77777777" w:rsidR="00FA7B00" w:rsidRDefault="00FA7B00" w:rsidP="001B771C">
      <w:pPr>
        <w:spacing w:after="0"/>
        <w:jc w:val="both"/>
        <w:rPr>
          <w:rFonts w:ascii="Arial" w:hAnsi="Arial" w:cs="Arial"/>
          <w:iCs/>
        </w:rPr>
      </w:pPr>
    </w:p>
    <w:p w14:paraId="4AE6AFDA" w14:textId="2E5AB894" w:rsidR="00DD4D48" w:rsidRPr="00DD4D48" w:rsidRDefault="00DD4D48" w:rsidP="001B771C">
      <w:pPr>
        <w:spacing w:after="0"/>
        <w:jc w:val="both"/>
        <w:rPr>
          <w:rFonts w:ascii="Arial" w:hAnsi="Arial" w:cs="Arial"/>
          <w:iCs/>
        </w:rPr>
      </w:pPr>
      <w:r w:rsidRPr="00DD4D48">
        <w:rPr>
          <w:rFonts w:ascii="Arial" w:hAnsi="Arial" w:cs="Arial"/>
          <w:iCs/>
        </w:rPr>
        <w:t>The war on drugs also disproportionately affects LGBTQ youth. Approximately 12% of all juvenile arrests in the United States in 2016 were related to possession of drugs.</w:t>
      </w:r>
      <w:r w:rsidRPr="00DD4D48">
        <w:rPr>
          <w:rFonts w:ascii="Arial" w:hAnsi="Arial" w:cs="Arial"/>
          <w:iCs/>
          <w:vertAlign w:val="superscript"/>
        </w:rPr>
        <w:endnoteReference w:id="96"/>
      </w:r>
      <w:r w:rsidRPr="00DD4D48">
        <w:rPr>
          <w:rFonts w:ascii="Arial" w:hAnsi="Arial" w:cs="Arial"/>
          <w:iCs/>
        </w:rPr>
        <w:t xml:space="preserve"> As noted above, LGBTQ youth are known to use drugs and illicit substances at higher rates than non-LGBTQ peers possibly due to the disproportionate trauma and rejection the</w:t>
      </w:r>
      <w:r w:rsidR="00346DA5">
        <w:rPr>
          <w:rFonts w:ascii="Arial" w:hAnsi="Arial" w:cs="Arial"/>
          <w:iCs/>
        </w:rPr>
        <w:t>y</w:t>
      </w:r>
      <w:r w:rsidRPr="00DD4D48">
        <w:rPr>
          <w:rFonts w:ascii="Arial" w:hAnsi="Arial" w:cs="Arial"/>
          <w:iCs/>
        </w:rPr>
        <w:t xml:space="preserve"> experience.</w:t>
      </w:r>
      <w:r w:rsidRPr="00DD4D48">
        <w:rPr>
          <w:rFonts w:ascii="Arial" w:hAnsi="Arial" w:cs="Arial"/>
          <w:iCs/>
          <w:vertAlign w:val="superscript"/>
        </w:rPr>
        <w:endnoteReference w:id="97"/>
      </w:r>
      <w:r w:rsidRPr="00DD4D48">
        <w:rPr>
          <w:rFonts w:ascii="Arial" w:hAnsi="Arial" w:cs="Arial"/>
          <w:iCs/>
          <w:vertAlign w:val="superscript"/>
        </w:rPr>
        <w:t xml:space="preserve"> </w:t>
      </w:r>
      <w:r w:rsidRPr="00DD4D48">
        <w:rPr>
          <w:rFonts w:ascii="Arial" w:hAnsi="Arial" w:cs="Arial"/>
          <w:iCs/>
        </w:rPr>
        <w:t xml:space="preserve">While research is lacking on the number of drug-related detentions and incarcerations among LGBTQ youth, higher substance use in this group is likely associated with higher criminalization. </w:t>
      </w:r>
    </w:p>
    <w:p w14:paraId="0EF51AE3" w14:textId="77777777" w:rsidR="001158FB" w:rsidRPr="001158FB" w:rsidRDefault="001158FB" w:rsidP="001158FB">
      <w:pPr>
        <w:spacing w:after="0"/>
        <w:jc w:val="both"/>
        <w:rPr>
          <w:rFonts w:ascii="Arial" w:hAnsi="Arial" w:cs="Arial"/>
        </w:rPr>
      </w:pPr>
    </w:p>
    <w:p w14:paraId="6C151E06" w14:textId="77777777" w:rsidR="001158FB" w:rsidRPr="001158FB" w:rsidRDefault="00C719E1" w:rsidP="0008013D">
      <w:pPr>
        <w:pStyle w:val="Heading3"/>
      </w:pPr>
      <w:bookmarkStart w:id="19" w:name="_Toc512947897"/>
      <w:r>
        <w:t>2. The School-</w:t>
      </w:r>
      <w:r w:rsidR="001158FB" w:rsidRPr="001158FB">
        <w:t>to</w:t>
      </w:r>
      <w:r>
        <w:t>-p</w:t>
      </w:r>
      <w:r w:rsidR="001158FB" w:rsidRPr="001158FB">
        <w:t>rison Pipeline</w:t>
      </w:r>
      <w:bookmarkEnd w:id="19"/>
      <w:r w:rsidR="001158FB" w:rsidRPr="001158FB">
        <w:t xml:space="preserve"> </w:t>
      </w:r>
    </w:p>
    <w:p w14:paraId="012DC8CA" w14:textId="77777777" w:rsidR="001158FB" w:rsidRPr="001158FB" w:rsidRDefault="001158FB" w:rsidP="001158FB">
      <w:pPr>
        <w:spacing w:after="0"/>
        <w:jc w:val="both"/>
        <w:rPr>
          <w:rFonts w:ascii="Arial" w:hAnsi="Arial" w:cs="Arial"/>
        </w:rPr>
      </w:pPr>
    </w:p>
    <w:p w14:paraId="547CA38E" w14:textId="100D2E00" w:rsidR="001158FB" w:rsidRPr="001158FB" w:rsidRDefault="00C8686D" w:rsidP="001158FB">
      <w:pPr>
        <w:spacing w:after="0"/>
        <w:jc w:val="both"/>
        <w:rPr>
          <w:rFonts w:ascii="Arial" w:hAnsi="Arial" w:cs="Arial"/>
        </w:rPr>
      </w:pPr>
      <w:r>
        <w:rPr>
          <w:rFonts w:ascii="Arial" w:hAnsi="Arial" w:cs="Arial"/>
        </w:rPr>
        <w:t>M</w:t>
      </w:r>
      <w:r w:rsidR="001158FB" w:rsidRPr="001158FB">
        <w:rPr>
          <w:rFonts w:ascii="Arial" w:hAnsi="Arial" w:cs="Arial"/>
        </w:rPr>
        <w:t>ore than two in five (42%) LGBTQ high school students</w:t>
      </w:r>
      <w:r w:rsidR="00C719E1">
        <w:rPr>
          <w:rFonts w:ascii="Arial" w:hAnsi="Arial" w:cs="Arial"/>
        </w:rPr>
        <w:t xml:space="preserve"> in Massachusetts</w:t>
      </w:r>
      <w:r w:rsidR="001158FB" w:rsidRPr="001158FB">
        <w:rPr>
          <w:rFonts w:ascii="Arial" w:hAnsi="Arial" w:cs="Arial"/>
        </w:rPr>
        <w:t xml:space="preserve"> experienced discrimination </w:t>
      </w:r>
      <w:r>
        <w:rPr>
          <w:rFonts w:ascii="Arial" w:hAnsi="Arial" w:cs="Arial"/>
        </w:rPr>
        <w:t xml:space="preserve">of some form in their </w:t>
      </w:r>
      <w:r w:rsidR="001158FB" w:rsidRPr="001158FB">
        <w:rPr>
          <w:rFonts w:ascii="Arial" w:hAnsi="Arial" w:cs="Arial"/>
        </w:rPr>
        <w:t>school.</w:t>
      </w:r>
      <w:r w:rsidR="001158FB" w:rsidRPr="001158FB">
        <w:rPr>
          <w:rFonts w:ascii="Arial" w:hAnsi="Arial" w:cs="Arial"/>
          <w:vertAlign w:val="superscript"/>
        </w:rPr>
        <w:endnoteReference w:id="98"/>
      </w:r>
      <w:r w:rsidR="001158FB" w:rsidRPr="001158FB">
        <w:rPr>
          <w:rFonts w:ascii="Arial" w:hAnsi="Arial" w:cs="Arial"/>
        </w:rPr>
        <w:t xml:space="preserve"> Compared to their non-LGBTQ peers, LGBTQ students </w:t>
      </w:r>
      <w:r w:rsidR="00C719E1">
        <w:rPr>
          <w:rFonts w:ascii="Arial" w:hAnsi="Arial" w:cs="Arial"/>
        </w:rPr>
        <w:t xml:space="preserve">in the Commonwealth </w:t>
      </w:r>
      <w:r w:rsidR="001158FB" w:rsidRPr="001158FB">
        <w:rPr>
          <w:rFonts w:ascii="Arial" w:hAnsi="Arial" w:cs="Arial"/>
        </w:rPr>
        <w:t xml:space="preserve">were </w:t>
      </w:r>
      <w:r w:rsidR="00892097">
        <w:rPr>
          <w:rFonts w:ascii="Arial" w:hAnsi="Arial" w:cs="Arial"/>
        </w:rPr>
        <w:t>twice as</w:t>
      </w:r>
      <w:r w:rsidR="001158FB" w:rsidRPr="001158FB">
        <w:rPr>
          <w:rFonts w:ascii="Arial" w:hAnsi="Arial" w:cs="Arial"/>
        </w:rPr>
        <w:t xml:space="preserve"> likely to be bullied at school (28.2% to 13.9%</w:t>
      </w:r>
      <w:r w:rsidR="00C719E1">
        <w:rPr>
          <w:rFonts w:ascii="Arial" w:hAnsi="Arial" w:cs="Arial"/>
        </w:rPr>
        <w:t>),</w:t>
      </w:r>
      <w:r w:rsidR="001158FB" w:rsidRPr="001158FB">
        <w:rPr>
          <w:rFonts w:ascii="Arial" w:hAnsi="Arial" w:cs="Arial"/>
        </w:rPr>
        <w:t xml:space="preserve"> three times </w:t>
      </w:r>
      <w:r w:rsidR="00892097">
        <w:rPr>
          <w:rFonts w:ascii="Arial" w:hAnsi="Arial" w:cs="Arial"/>
        </w:rPr>
        <w:t>as</w:t>
      </w:r>
      <w:r w:rsidR="001158FB" w:rsidRPr="001158FB">
        <w:rPr>
          <w:rFonts w:ascii="Arial" w:hAnsi="Arial" w:cs="Arial"/>
        </w:rPr>
        <w:t xml:space="preserve"> likely be injured or threatened with a weapon at school (10% to 3.2%)</w:t>
      </w:r>
      <w:r w:rsidR="00C719E1">
        <w:rPr>
          <w:rFonts w:ascii="Arial" w:hAnsi="Arial" w:cs="Arial"/>
        </w:rPr>
        <w:t>,</w:t>
      </w:r>
      <w:r w:rsidR="001158FB" w:rsidRPr="001158FB">
        <w:rPr>
          <w:rFonts w:ascii="Arial" w:hAnsi="Arial" w:cs="Arial"/>
        </w:rPr>
        <w:t xml:space="preserve"> and three times </w:t>
      </w:r>
      <w:r w:rsidR="00892097">
        <w:rPr>
          <w:rFonts w:ascii="Arial" w:hAnsi="Arial" w:cs="Arial"/>
        </w:rPr>
        <w:t>as</w:t>
      </w:r>
      <w:r w:rsidR="001158FB" w:rsidRPr="001158FB">
        <w:rPr>
          <w:rFonts w:ascii="Arial" w:hAnsi="Arial" w:cs="Arial"/>
        </w:rPr>
        <w:t xml:space="preserve"> likely to experience forced sexual contact (21.8% to 7.4%).</w:t>
      </w:r>
      <w:r w:rsidR="001158FB" w:rsidRPr="001158FB">
        <w:rPr>
          <w:rFonts w:ascii="Arial" w:hAnsi="Arial" w:cs="Arial"/>
          <w:vertAlign w:val="superscript"/>
        </w:rPr>
        <w:endnoteReference w:id="99"/>
      </w:r>
      <w:r w:rsidR="001158FB" w:rsidRPr="001158FB">
        <w:rPr>
          <w:rFonts w:ascii="Arial" w:hAnsi="Arial" w:cs="Arial"/>
        </w:rPr>
        <w:t xml:space="preserve"> </w:t>
      </w:r>
    </w:p>
    <w:p w14:paraId="4C9B64F0" w14:textId="77777777" w:rsidR="001158FB" w:rsidRPr="001158FB" w:rsidRDefault="001158FB" w:rsidP="001158FB">
      <w:pPr>
        <w:spacing w:after="0"/>
        <w:jc w:val="both"/>
        <w:rPr>
          <w:rFonts w:ascii="Arial" w:hAnsi="Arial" w:cs="Arial"/>
          <w:i/>
          <w:iCs/>
        </w:rPr>
      </w:pPr>
    </w:p>
    <w:p w14:paraId="007C3524" w14:textId="68EEC204" w:rsidR="001158FB" w:rsidRPr="001158FB" w:rsidRDefault="001158FB" w:rsidP="001158FB">
      <w:pPr>
        <w:spacing w:after="0"/>
        <w:jc w:val="both"/>
        <w:rPr>
          <w:rFonts w:ascii="Arial" w:hAnsi="Arial" w:cs="Arial"/>
        </w:rPr>
      </w:pPr>
      <w:r w:rsidRPr="001158FB">
        <w:rPr>
          <w:rFonts w:ascii="Arial" w:hAnsi="Arial" w:cs="Arial"/>
        </w:rPr>
        <w:t>Unfortunately, although 99% of students could identify at least one supportive staff member</w:t>
      </w:r>
      <w:r w:rsidR="00892097">
        <w:rPr>
          <w:rFonts w:ascii="Arial" w:hAnsi="Arial" w:cs="Arial"/>
        </w:rPr>
        <w:t xml:space="preserve"> at their school</w:t>
      </w:r>
      <w:r w:rsidRPr="001158FB">
        <w:rPr>
          <w:rFonts w:ascii="Arial" w:hAnsi="Arial" w:cs="Arial"/>
        </w:rPr>
        <w:t>,</w:t>
      </w:r>
      <w:r w:rsidRPr="001158FB">
        <w:rPr>
          <w:rFonts w:ascii="Arial" w:hAnsi="Arial" w:cs="Arial"/>
          <w:vertAlign w:val="superscript"/>
        </w:rPr>
        <w:endnoteReference w:id="100"/>
      </w:r>
      <w:r w:rsidRPr="001158FB">
        <w:rPr>
          <w:rFonts w:ascii="Arial" w:hAnsi="Arial" w:cs="Arial"/>
        </w:rPr>
        <w:t xml:space="preserve"> the majority of LGBTQ students who experienced harassment in Massachusetts high schools did not report the incident to school staff (61%).</w:t>
      </w:r>
      <w:r w:rsidR="00C719E1" w:rsidRPr="00C719E1">
        <w:rPr>
          <w:rFonts w:ascii="Arial" w:hAnsi="Arial" w:cs="Arial"/>
          <w:vertAlign w:val="superscript"/>
        </w:rPr>
        <w:endnoteReference w:id="101"/>
      </w:r>
      <w:r w:rsidRPr="001158FB">
        <w:rPr>
          <w:rFonts w:ascii="Arial" w:hAnsi="Arial" w:cs="Arial"/>
        </w:rPr>
        <w:t xml:space="preserve"> Most feared additional repercussions or doubted that they would receive the support they needed. Experience often substantiated these suspicions as</w:t>
      </w:r>
      <w:r w:rsidR="00346DA5">
        <w:rPr>
          <w:rFonts w:ascii="Arial" w:hAnsi="Arial" w:cs="Arial"/>
        </w:rPr>
        <w:t xml:space="preserve"> only</w:t>
      </w:r>
      <w:r w:rsidRPr="001158FB">
        <w:rPr>
          <w:rFonts w:ascii="Arial" w:hAnsi="Arial" w:cs="Arial"/>
        </w:rPr>
        <w:t xml:space="preserve"> 39%</w:t>
      </w:r>
      <w:r w:rsidR="00346DA5">
        <w:rPr>
          <w:rFonts w:ascii="Arial" w:hAnsi="Arial" w:cs="Arial"/>
        </w:rPr>
        <w:t xml:space="preserve"> </w:t>
      </w:r>
      <w:r w:rsidRPr="001158FB">
        <w:rPr>
          <w:rFonts w:ascii="Arial" w:hAnsi="Arial" w:cs="Arial"/>
        </w:rPr>
        <w:t>of reports resulted in effective intervention.</w:t>
      </w:r>
      <w:r w:rsidRPr="001158FB">
        <w:rPr>
          <w:rFonts w:ascii="Arial" w:hAnsi="Arial" w:cs="Arial"/>
          <w:vertAlign w:val="superscript"/>
        </w:rPr>
        <w:endnoteReference w:id="102"/>
      </w:r>
      <w:r w:rsidRPr="001158FB">
        <w:rPr>
          <w:rFonts w:ascii="Arial" w:hAnsi="Arial" w:cs="Arial"/>
        </w:rPr>
        <w:t xml:space="preserve"> Further, LGBTQ youth who were bullied often reported </w:t>
      </w:r>
      <w:r w:rsidR="00892097">
        <w:rPr>
          <w:rFonts w:ascii="Arial" w:hAnsi="Arial" w:cs="Arial"/>
        </w:rPr>
        <w:t>being disciplined more harshly than their non-LGBTQ peers</w:t>
      </w:r>
      <w:r w:rsidRPr="001158FB">
        <w:rPr>
          <w:rFonts w:ascii="Arial" w:hAnsi="Arial" w:cs="Arial"/>
        </w:rPr>
        <w:t>.</w:t>
      </w:r>
      <w:r w:rsidRPr="001158FB">
        <w:rPr>
          <w:rFonts w:ascii="Arial" w:hAnsi="Arial" w:cs="Arial"/>
          <w:vertAlign w:val="superscript"/>
        </w:rPr>
        <w:endnoteReference w:id="103"/>
      </w:r>
      <w:r w:rsidRPr="001158FB">
        <w:rPr>
          <w:rFonts w:ascii="Arial" w:hAnsi="Arial" w:cs="Arial"/>
        </w:rPr>
        <w:t xml:space="preserve"> </w:t>
      </w:r>
      <w:r w:rsidR="00C719E1">
        <w:rPr>
          <w:rFonts w:ascii="Arial" w:hAnsi="Arial" w:cs="Arial"/>
        </w:rPr>
        <w:t>Additional research found that</w:t>
      </w:r>
      <w:r w:rsidRPr="001158FB">
        <w:rPr>
          <w:rFonts w:ascii="Arial" w:hAnsi="Arial" w:cs="Arial"/>
        </w:rPr>
        <w:t xml:space="preserve"> 21% of LGBQ students and 61% of transgender students were unable to use bathrooms compatible with thei</w:t>
      </w:r>
      <w:r w:rsidR="00C719E1">
        <w:rPr>
          <w:rFonts w:ascii="Arial" w:hAnsi="Arial" w:cs="Arial"/>
        </w:rPr>
        <w:t>r gender identity or expression,</w:t>
      </w:r>
      <w:r w:rsidRPr="001158FB">
        <w:rPr>
          <w:rFonts w:ascii="Arial" w:hAnsi="Arial" w:cs="Arial"/>
        </w:rPr>
        <w:t xml:space="preserve"> and 16% of LGBQ students and 43% of transgender students were unable to use their chosen name or gender pronouns at school.</w:t>
      </w:r>
      <w:r w:rsidRPr="001158FB">
        <w:rPr>
          <w:rFonts w:ascii="Arial" w:hAnsi="Arial" w:cs="Arial"/>
          <w:vertAlign w:val="superscript"/>
        </w:rPr>
        <w:endnoteReference w:id="104"/>
      </w:r>
    </w:p>
    <w:p w14:paraId="380F5369" w14:textId="77777777" w:rsidR="001158FB" w:rsidRPr="001158FB" w:rsidRDefault="001158FB" w:rsidP="001158FB">
      <w:pPr>
        <w:spacing w:after="0"/>
        <w:jc w:val="both"/>
        <w:rPr>
          <w:rFonts w:ascii="Arial" w:hAnsi="Arial" w:cs="Arial"/>
          <w:i/>
        </w:rPr>
      </w:pPr>
    </w:p>
    <w:p w14:paraId="3EFFB8DD" w14:textId="3F144F32" w:rsidR="001A5D73" w:rsidRDefault="001158FB" w:rsidP="001158FB">
      <w:pPr>
        <w:spacing w:after="0"/>
        <w:jc w:val="both"/>
        <w:rPr>
          <w:rFonts w:ascii="Arial" w:hAnsi="Arial" w:cs="Arial"/>
        </w:rPr>
      </w:pPr>
      <w:r w:rsidRPr="001158FB">
        <w:rPr>
          <w:rFonts w:ascii="Arial" w:hAnsi="Arial" w:cs="Arial"/>
          <w:iCs/>
        </w:rPr>
        <w:t>Given these high rates of abuse and har</w:t>
      </w:r>
      <w:r w:rsidR="00C719E1">
        <w:rPr>
          <w:rFonts w:ascii="Arial" w:hAnsi="Arial" w:cs="Arial"/>
          <w:iCs/>
        </w:rPr>
        <w:t xml:space="preserve">assment, it is no surprise that </w:t>
      </w:r>
      <w:r w:rsidRPr="001158FB">
        <w:rPr>
          <w:rFonts w:ascii="Arial" w:hAnsi="Arial" w:cs="Arial"/>
        </w:rPr>
        <w:t xml:space="preserve">LGBTQ </w:t>
      </w:r>
      <w:r w:rsidR="00C719E1">
        <w:rPr>
          <w:rFonts w:ascii="Arial" w:hAnsi="Arial" w:cs="Arial"/>
        </w:rPr>
        <w:t>students</w:t>
      </w:r>
      <w:r w:rsidRPr="001158FB">
        <w:rPr>
          <w:rFonts w:ascii="Arial" w:hAnsi="Arial" w:cs="Arial"/>
        </w:rPr>
        <w:t xml:space="preserve"> </w:t>
      </w:r>
      <w:r w:rsidR="00C719E1">
        <w:rPr>
          <w:rFonts w:ascii="Arial" w:hAnsi="Arial" w:cs="Arial"/>
        </w:rPr>
        <w:t>in Massachusetts</w:t>
      </w:r>
      <w:r w:rsidR="00346DA5">
        <w:rPr>
          <w:rFonts w:ascii="Arial" w:hAnsi="Arial" w:cs="Arial"/>
        </w:rPr>
        <w:t>,</w:t>
      </w:r>
      <w:r w:rsidR="00C719E1">
        <w:rPr>
          <w:rFonts w:ascii="Arial" w:hAnsi="Arial" w:cs="Arial"/>
        </w:rPr>
        <w:t xml:space="preserve"> </w:t>
      </w:r>
      <w:r w:rsidR="00346DA5">
        <w:rPr>
          <w:rFonts w:ascii="Arial" w:hAnsi="Arial" w:cs="Arial"/>
        </w:rPr>
        <w:t xml:space="preserve">when compared to their non-LGBTQ peers, </w:t>
      </w:r>
      <w:r w:rsidRPr="001158FB">
        <w:rPr>
          <w:rFonts w:ascii="Arial" w:hAnsi="Arial" w:cs="Arial"/>
        </w:rPr>
        <w:t xml:space="preserve">were </w:t>
      </w:r>
      <w:r w:rsidR="00C719E1">
        <w:rPr>
          <w:rFonts w:ascii="Arial" w:hAnsi="Arial" w:cs="Arial"/>
        </w:rPr>
        <w:t>twice as</w:t>
      </w:r>
      <w:r w:rsidRPr="001158FB">
        <w:rPr>
          <w:rFonts w:ascii="Arial" w:hAnsi="Arial" w:cs="Arial"/>
        </w:rPr>
        <w:t xml:space="preserve"> likely to engage in fights at school in the past year (9.4% vs</w:t>
      </w:r>
      <w:r w:rsidR="00033AB3">
        <w:rPr>
          <w:rFonts w:ascii="Arial" w:hAnsi="Arial" w:cs="Arial"/>
        </w:rPr>
        <w:t>.</w:t>
      </w:r>
      <w:r w:rsidRPr="001158FB">
        <w:rPr>
          <w:rFonts w:ascii="Arial" w:hAnsi="Arial" w:cs="Arial"/>
        </w:rPr>
        <w:t xml:space="preserve"> 5.1%)</w:t>
      </w:r>
      <w:r w:rsidR="00C719E1">
        <w:rPr>
          <w:rFonts w:ascii="Arial" w:hAnsi="Arial" w:cs="Arial"/>
        </w:rPr>
        <w:t>,</w:t>
      </w:r>
      <w:r w:rsidRPr="001158FB">
        <w:rPr>
          <w:rFonts w:ascii="Arial" w:hAnsi="Arial" w:cs="Arial"/>
        </w:rPr>
        <w:t xml:space="preserve"> three times </w:t>
      </w:r>
      <w:r w:rsidR="00C719E1">
        <w:rPr>
          <w:rFonts w:ascii="Arial" w:hAnsi="Arial" w:cs="Arial"/>
        </w:rPr>
        <w:t>as</w:t>
      </w:r>
      <w:r w:rsidRPr="001158FB">
        <w:rPr>
          <w:rFonts w:ascii="Arial" w:hAnsi="Arial" w:cs="Arial"/>
        </w:rPr>
        <w:t xml:space="preserve"> likely to carry a weapon to school </w:t>
      </w:r>
      <w:r w:rsidR="00C719E1">
        <w:rPr>
          <w:rFonts w:ascii="Arial" w:hAnsi="Arial" w:cs="Arial"/>
        </w:rPr>
        <w:t xml:space="preserve">in the past year </w:t>
      </w:r>
      <w:r w:rsidRPr="001158FB">
        <w:rPr>
          <w:rFonts w:ascii="Arial" w:hAnsi="Arial" w:cs="Arial"/>
        </w:rPr>
        <w:t xml:space="preserve">(6.1% </w:t>
      </w:r>
      <w:r w:rsidR="00346DA5">
        <w:rPr>
          <w:rFonts w:ascii="Arial" w:hAnsi="Arial" w:cs="Arial"/>
        </w:rPr>
        <w:t>vs</w:t>
      </w:r>
      <w:r w:rsidR="00033AB3">
        <w:rPr>
          <w:rFonts w:ascii="Arial" w:hAnsi="Arial" w:cs="Arial"/>
        </w:rPr>
        <w:t>.</w:t>
      </w:r>
      <w:r w:rsidR="00346DA5" w:rsidRPr="001158FB">
        <w:rPr>
          <w:rFonts w:ascii="Arial" w:hAnsi="Arial" w:cs="Arial"/>
        </w:rPr>
        <w:t xml:space="preserve"> </w:t>
      </w:r>
      <w:r w:rsidRPr="001158FB">
        <w:rPr>
          <w:rFonts w:ascii="Arial" w:hAnsi="Arial" w:cs="Arial"/>
        </w:rPr>
        <w:t>2.8%)</w:t>
      </w:r>
      <w:r w:rsidR="00C719E1">
        <w:rPr>
          <w:rFonts w:ascii="Arial" w:hAnsi="Arial" w:cs="Arial"/>
        </w:rPr>
        <w:t>,</w:t>
      </w:r>
      <w:r w:rsidRPr="001158FB">
        <w:rPr>
          <w:rFonts w:ascii="Arial" w:hAnsi="Arial" w:cs="Arial"/>
        </w:rPr>
        <w:t xml:space="preserve"> and six times </w:t>
      </w:r>
      <w:r w:rsidR="00892097">
        <w:rPr>
          <w:rFonts w:ascii="Arial" w:hAnsi="Arial" w:cs="Arial"/>
        </w:rPr>
        <w:t>as</w:t>
      </w:r>
      <w:r w:rsidRPr="001158FB">
        <w:rPr>
          <w:rFonts w:ascii="Arial" w:hAnsi="Arial" w:cs="Arial"/>
        </w:rPr>
        <w:t xml:space="preserve"> likely to have used heroine in their lifetime (6.</w:t>
      </w:r>
      <w:r w:rsidR="00404442">
        <w:rPr>
          <w:rFonts w:ascii="Arial" w:hAnsi="Arial" w:cs="Arial"/>
        </w:rPr>
        <w:t>7</w:t>
      </w:r>
      <w:r w:rsidRPr="001158FB">
        <w:rPr>
          <w:rFonts w:ascii="Arial" w:hAnsi="Arial" w:cs="Arial"/>
        </w:rPr>
        <w:t xml:space="preserve">% </w:t>
      </w:r>
      <w:r w:rsidR="00346DA5">
        <w:rPr>
          <w:rFonts w:ascii="Arial" w:hAnsi="Arial" w:cs="Arial"/>
        </w:rPr>
        <w:t>vs</w:t>
      </w:r>
      <w:r w:rsidR="00033AB3">
        <w:rPr>
          <w:rFonts w:ascii="Arial" w:hAnsi="Arial" w:cs="Arial"/>
        </w:rPr>
        <w:t>.</w:t>
      </w:r>
      <w:r w:rsidRPr="001158FB">
        <w:rPr>
          <w:rFonts w:ascii="Arial" w:hAnsi="Arial" w:cs="Arial"/>
        </w:rPr>
        <w:t xml:space="preserve"> 1.0%).</w:t>
      </w:r>
      <w:r w:rsidRPr="001158FB">
        <w:rPr>
          <w:rFonts w:ascii="Arial" w:hAnsi="Arial" w:cs="Arial"/>
          <w:vertAlign w:val="superscript"/>
        </w:rPr>
        <w:endnoteReference w:id="105"/>
      </w:r>
      <w:r w:rsidR="00C719E1">
        <w:rPr>
          <w:rFonts w:ascii="Arial" w:hAnsi="Arial" w:cs="Arial"/>
        </w:rPr>
        <w:t xml:space="preserve"> </w:t>
      </w:r>
    </w:p>
    <w:p w14:paraId="7363D3CB" w14:textId="77777777" w:rsidR="001A5D73" w:rsidRDefault="001A5D73" w:rsidP="001158FB">
      <w:pPr>
        <w:spacing w:after="0"/>
        <w:jc w:val="both"/>
        <w:rPr>
          <w:rFonts w:ascii="Arial" w:hAnsi="Arial" w:cs="Arial"/>
        </w:rPr>
      </w:pPr>
    </w:p>
    <w:p w14:paraId="57C106F5" w14:textId="21D3C1B9" w:rsidR="000E0C70" w:rsidRDefault="00C719E1" w:rsidP="000E0C70">
      <w:pPr>
        <w:spacing w:after="0"/>
        <w:jc w:val="both"/>
        <w:rPr>
          <w:rFonts w:ascii="Arial" w:hAnsi="Arial" w:cs="Arial"/>
        </w:rPr>
      </w:pPr>
      <w:r>
        <w:rPr>
          <w:rFonts w:ascii="Arial" w:hAnsi="Arial" w:cs="Arial"/>
        </w:rPr>
        <w:t xml:space="preserve">All of these behaviors can lead to arrest, </w:t>
      </w:r>
      <w:r w:rsidR="000E0C70">
        <w:rPr>
          <w:rFonts w:ascii="Arial" w:hAnsi="Arial" w:cs="Arial"/>
        </w:rPr>
        <w:t xml:space="preserve">especially considering that </w:t>
      </w:r>
      <w:r w:rsidR="000E0C70" w:rsidRPr="001158FB">
        <w:rPr>
          <w:rFonts w:ascii="Arial" w:hAnsi="Arial" w:cs="Arial"/>
          <w:lang w:val="de-DE"/>
        </w:rPr>
        <w:t>LGBT</w:t>
      </w:r>
      <w:r w:rsidR="000E0C70" w:rsidRPr="001158FB">
        <w:rPr>
          <w:rFonts w:ascii="Arial" w:hAnsi="Arial" w:cs="Arial"/>
        </w:rPr>
        <w:t xml:space="preserve">Q youth </w:t>
      </w:r>
      <w:r w:rsidR="00C8686D">
        <w:rPr>
          <w:rFonts w:ascii="Arial" w:hAnsi="Arial" w:cs="Arial"/>
        </w:rPr>
        <w:t xml:space="preserve">nationally </w:t>
      </w:r>
      <w:r w:rsidR="001A5D73">
        <w:rPr>
          <w:rFonts w:ascii="Arial" w:hAnsi="Arial" w:cs="Arial"/>
        </w:rPr>
        <w:t>are</w:t>
      </w:r>
      <w:r w:rsidR="000E0C70" w:rsidRPr="001158FB">
        <w:rPr>
          <w:rFonts w:ascii="Arial" w:hAnsi="Arial" w:cs="Arial"/>
        </w:rPr>
        <w:t xml:space="preserve"> three times as likely to experience harsh discipline at school</w:t>
      </w:r>
      <w:r w:rsidR="000E0C70">
        <w:rPr>
          <w:rFonts w:ascii="Arial" w:hAnsi="Arial" w:cs="Arial"/>
        </w:rPr>
        <w:t xml:space="preserve"> when compared to their non-LGBTQ peers</w:t>
      </w:r>
      <w:r w:rsidR="000E0C70" w:rsidRPr="001158FB">
        <w:rPr>
          <w:rFonts w:ascii="Arial" w:hAnsi="Arial" w:cs="Arial"/>
        </w:rPr>
        <w:t>.</w:t>
      </w:r>
      <w:r w:rsidR="000E0C70" w:rsidRPr="001158FB">
        <w:rPr>
          <w:rFonts w:ascii="Arial" w:hAnsi="Arial" w:cs="Arial"/>
          <w:vertAlign w:val="superscript"/>
        </w:rPr>
        <w:endnoteReference w:id="106"/>
      </w:r>
      <w:r w:rsidR="001A5D73">
        <w:rPr>
          <w:rFonts w:ascii="Arial" w:hAnsi="Arial" w:cs="Arial"/>
        </w:rPr>
        <w:t xml:space="preserve"> This disparity is particularly true for LGBTQ youth of color, of whom </w:t>
      </w:r>
      <w:r w:rsidR="000E0C70" w:rsidRPr="001158FB">
        <w:rPr>
          <w:rFonts w:ascii="Arial" w:hAnsi="Arial" w:cs="Arial"/>
        </w:rPr>
        <w:t>79%</w:t>
      </w:r>
      <w:r w:rsidR="001A5D73">
        <w:rPr>
          <w:rFonts w:ascii="Arial" w:hAnsi="Arial" w:cs="Arial"/>
        </w:rPr>
        <w:t xml:space="preserve"> had faced police involvement in middle and high school compared to</w:t>
      </w:r>
      <w:r w:rsidR="000E0C70" w:rsidRPr="001158FB">
        <w:rPr>
          <w:rFonts w:ascii="Arial" w:hAnsi="Arial" w:cs="Arial"/>
        </w:rPr>
        <w:t xml:space="preserve"> 63%</w:t>
      </w:r>
      <w:r w:rsidR="001A5D73">
        <w:rPr>
          <w:rFonts w:ascii="Arial" w:hAnsi="Arial" w:cs="Arial"/>
        </w:rPr>
        <w:t xml:space="preserve"> of White LGBTQ youth</w:t>
      </w:r>
      <w:r w:rsidR="000E0C70" w:rsidRPr="001158FB">
        <w:rPr>
          <w:rFonts w:ascii="Arial" w:hAnsi="Arial" w:cs="Arial"/>
        </w:rPr>
        <w:t>.</w:t>
      </w:r>
      <w:r w:rsidR="000E0C70" w:rsidRPr="001158FB">
        <w:rPr>
          <w:rFonts w:ascii="Arial" w:hAnsi="Arial" w:cs="Arial"/>
          <w:vertAlign w:val="superscript"/>
        </w:rPr>
        <w:endnoteReference w:id="107"/>
      </w:r>
      <w:r w:rsidR="000E0C70" w:rsidRPr="001158FB">
        <w:rPr>
          <w:rFonts w:ascii="Arial" w:hAnsi="Arial" w:cs="Arial"/>
        </w:rPr>
        <w:t xml:space="preserve"> </w:t>
      </w:r>
      <w:r w:rsidR="001A5D73">
        <w:rPr>
          <w:rFonts w:ascii="Arial" w:hAnsi="Arial" w:cs="Arial"/>
        </w:rPr>
        <w:t xml:space="preserve">Furthermore, </w:t>
      </w:r>
      <w:r w:rsidR="000E0C70" w:rsidRPr="001158FB">
        <w:rPr>
          <w:rFonts w:ascii="Arial" w:hAnsi="Arial" w:cs="Arial"/>
        </w:rPr>
        <w:t>Black LGBTQ students were suspended at higher rates than non-black LGBTQ youth (31% vs</w:t>
      </w:r>
      <w:r w:rsidR="00033AB3">
        <w:rPr>
          <w:rFonts w:ascii="Arial" w:hAnsi="Arial" w:cs="Arial"/>
        </w:rPr>
        <w:t>.</w:t>
      </w:r>
      <w:r w:rsidR="000E0C70" w:rsidRPr="001158FB">
        <w:rPr>
          <w:rFonts w:ascii="Arial" w:hAnsi="Arial" w:cs="Arial"/>
        </w:rPr>
        <w:t xml:space="preserve"> 20%).</w:t>
      </w:r>
      <w:r w:rsidR="000E0C70" w:rsidRPr="001158FB">
        <w:rPr>
          <w:rFonts w:ascii="Arial" w:hAnsi="Arial" w:cs="Arial"/>
          <w:vertAlign w:val="superscript"/>
        </w:rPr>
        <w:endnoteReference w:id="108"/>
      </w:r>
      <w:r w:rsidR="00867184">
        <w:rPr>
          <w:rFonts w:ascii="Arial" w:hAnsi="Arial" w:cs="Arial"/>
        </w:rPr>
        <w:t xml:space="preserve"> LGBTQ and asexual</w:t>
      </w:r>
      <w:r w:rsidR="000E0C70" w:rsidRPr="001158FB">
        <w:rPr>
          <w:rFonts w:ascii="Arial" w:hAnsi="Arial" w:cs="Arial"/>
        </w:rPr>
        <w:t xml:space="preserve"> students </w:t>
      </w:r>
      <w:r w:rsidR="00867184">
        <w:rPr>
          <w:rFonts w:ascii="Arial" w:hAnsi="Arial" w:cs="Arial"/>
        </w:rPr>
        <w:t>experiencing</w:t>
      </w:r>
      <w:r w:rsidR="000E0C70" w:rsidRPr="001158FB">
        <w:rPr>
          <w:rFonts w:ascii="Arial" w:hAnsi="Arial" w:cs="Arial"/>
        </w:rPr>
        <w:t xml:space="preserve"> homeless</w:t>
      </w:r>
      <w:r w:rsidR="00867184">
        <w:rPr>
          <w:rFonts w:ascii="Arial" w:hAnsi="Arial" w:cs="Arial"/>
        </w:rPr>
        <w:t xml:space="preserve">ness were also more likely, at </w:t>
      </w:r>
      <w:r w:rsidR="000E0C70" w:rsidRPr="001158FB">
        <w:rPr>
          <w:rFonts w:ascii="Arial" w:hAnsi="Arial" w:cs="Arial"/>
        </w:rPr>
        <w:t>54%</w:t>
      </w:r>
      <w:r w:rsidR="00867184">
        <w:rPr>
          <w:rFonts w:ascii="Arial" w:hAnsi="Arial" w:cs="Arial"/>
        </w:rPr>
        <w:t>, to face discipline than were those</w:t>
      </w:r>
      <w:r w:rsidR="000E0C70" w:rsidRPr="001158FB">
        <w:rPr>
          <w:rFonts w:ascii="Arial" w:hAnsi="Arial" w:cs="Arial"/>
        </w:rPr>
        <w:t xml:space="preserve"> living with relatives (46.6%) or at home (38.5%).</w:t>
      </w:r>
      <w:r w:rsidR="000E0C70" w:rsidRPr="001158FB">
        <w:rPr>
          <w:rFonts w:ascii="Arial" w:hAnsi="Arial" w:cs="Arial"/>
          <w:vertAlign w:val="superscript"/>
        </w:rPr>
        <w:endnoteReference w:id="109"/>
      </w:r>
      <w:r w:rsidR="000E0C70" w:rsidRPr="001158FB">
        <w:rPr>
          <w:rFonts w:ascii="Arial" w:hAnsi="Arial" w:cs="Arial"/>
        </w:rPr>
        <w:t xml:space="preserve"> Transgender youth also reported h</w:t>
      </w:r>
      <w:r w:rsidR="00E74FD6">
        <w:rPr>
          <w:rFonts w:ascii="Arial" w:hAnsi="Arial" w:cs="Arial"/>
        </w:rPr>
        <w:t>igher rates of harsh disciplinary measures</w:t>
      </w:r>
      <w:r w:rsidR="000E0C70" w:rsidRPr="001158FB">
        <w:rPr>
          <w:rFonts w:ascii="Arial" w:hAnsi="Arial" w:cs="Arial"/>
        </w:rPr>
        <w:t xml:space="preserve"> including detention, suspension, or expulsion than </w:t>
      </w:r>
      <w:r w:rsidR="000E0C70" w:rsidRPr="001158FB">
        <w:rPr>
          <w:rFonts w:ascii="Arial" w:hAnsi="Arial" w:cs="Arial"/>
          <w:lang w:val="de-DE"/>
        </w:rPr>
        <w:t xml:space="preserve">LGB students </w:t>
      </w:r>
      <w:r w:rsidR="00033AB3">
        <w:rPr>
          <w:rFonts w:ascii="Arial" w:hAnsi="Arial" w:cs="Arial"/>
        </w:rPr>
        <w:t>(45% vs. 28%).</w:t>
      </w:r>
      <w:r w:rsidR="000E0C70" w:rsidRPr="001158FB">
        <w:rPr>
          <w:rFonts w:ascii="Arial" w:hAnsi="Arial" w:cs="Arial"/>
          <w:vertAlign w:val="superscript"/>
        </w:rPr>
        <w:endnoteReference w:id="110"/>
      </w:r>
      <w:r w:rsidR="00867184">
        <w:rPr>
          <w:rFonts w:ascii="Arial" w:hAnsi="Arial" w:cs="Arial"/>
        </w:rPr>
        <w:t xml:space="preserve"> </w:t>
      </w:r>
      <w:r w:rsidR="001A5D73" w:rsidRPr="001158FB">
        <w:rPr>
          <w:rFonts w:ascii="Arial" w:hAnsi="Arial" w:cs="Arial"/>
        </w:rPr>
        <w:t xml:space="preserve">LGBTQ </w:t>
      </w:r>
      <w:r w:rsidR="001A5D73" w:rsidRPr="001158FB">
        <w:rPr>
          <w:rFonts w:ascii="Arial" w:hAnsi="Arial" w:cs="Arial"/>
        </w:rPr>
        <w:lastRenderedPageBreak/>
        <w:t>students in Massachusetts also report disproportionately harsh disciplines for public displays of affection towards youth of the same gender.</w:t>
      </w:r>
      <w:r w:rsidR="001A5D73" w:rsidRPr="001158FB">
        <w:rPr>
          <w:rFonts w:ascii="Arial" w:hAnsi="Arial" w:cs="Arial"/>
          <w:vertAlign w:val="superscript"/>
        </w:rPr>
        <w:endnoteReference w:id="111"/>
      </w:r>
    </w:p>
    <w:p w14:paraId="2334DAB8" w14:textId="77777777" w:rsidR="00C8686D" w:rsidRDefault="00C8686D" w:rsidP="001158FB">
      <w:pPr>
        <w:spacing w:after="0"/>
        <w:jc w:val="both"/>
        <w:rPr>
          <w:rFonts w:ascii="Arial" w:hAnsi="Arial" w:cs="Arial"/>
        </w:rPr>
      </w:pPr>
    </w:p>
    <w:p w14:paraId="3DB78608" w14:textId="5731537B" w:rsidR="001158FB" w:rsidRPr="001158FB" w:rsidRDefault="001158FB" w:rsidP="001158FB">
      <w:pPr>
        <w:spacing w:after="0"/>
        <w:jc w:val="both"/>
        <w:rPr>
          <w:rFonts w:ascii="Arial" w:hAnsi="Arial" w:cs="Arial"/>
        </w:rPr>
      </w:pPr>
      <w:r w:rsidRPr="001158FB">
        <w:rPr>
          <w:rFonts w:ascii="Arial" w:hAnsi="Arial" w:cs="Arial"/>
        </w:rPr>
        <w:t>Harassment, inadequate support</w:t>
      </w:r>
      <w:r w:rsidR="00766FEC">
        <w:rPr>
          <w:rFonts w:ascii="Arial" w:hAnsi="Arial" w:cs="Arial"/>
        </w:rPr>
        <w:t>,</w:t>
      </w:r>
      <w:r w:rsidRPr="001158FB">
        <w:rPr>
          <w:rFonts w:ascii="Arial" w:hAnsi="Arial" w:cs="Arial"/>
        </w:rPr>
        <w:t xml:space="preserve"> and unfair policies at school cause many LGBTQ youth to skip school or drop out </w:t>
      </w:r>
      <w:r w:rsidR="00C8686D">
        <w:rPr>
          <w:rFonts w:ascii="Arial" w:hAnsi="Arial" w:cs="Arial"/>
        </w:rPr>
        <w:t xml:space="preserve">altogether. Youth </w:t>
      </w:r>
      <w:r w:rsidR="00766FEC">
        <w:rPr>
          <w:rFonts w:ascii="Arial" w:hAnsi="Arial" w:cs="Arial"/>
        </w:rPr>
        <w:t>in Massachusetts</w:t>
      </w:r>
      <w:r w:rsidR="00C8686D">
        <w:rPr>
          <w:rFonts w:ascii="Arial" w:hAnsi="Arial" w:cs="Arial"/>
        </w:rPr>
        <w:t xml:space="preserve"> who drop out of school are </w:t>
      </w:r>
      <w:r w:rsidR="00766FEC">
        <w:rPr>
          <w:rFonts w:ascii="Arial" w:hAnsi="Arial" w:cs="Arial"/>
        </w:rPr>
        <w:t>63 times more likely to face incarceration.</w:t>
      </w:r>
      <w:r w:rsidR="00766FEC" w:rsidRPr="001158FB">
        <w:rPr>
          <w:rFonts w:ascii="Arial" w:hAnsi="Arial" w:cs="Arial"/>
          <w:vertAlign w:val="superscript"/>
        </w:rPr>
        <w:endnoteReference w:id="112"/>
      </w:r>
      <w:r w:rsidRPr="001158FB">
        <w:rPr>
          <w:rFonts w:ascii="Arial" w:hAnsi="Arial" w:cs="Arial"/>
        </w:rPr>
        <w:t xml:space="preserve"> Recent surveys of high school students in Massachusetts demonstrate that four times as many LGBTQ students compared to non-LGBTQ peers have skipped school in the last month because they felt unsafe at school (14.4% </w:t>
      </w:r>
      <w:r w:rsidR="00BF51BA">
        <w:rPr>
          <w:rFonts w:ascii="Arial" w:hAnsi="Arial" w:cs="Arial"/>
        </w:rPr>
        <w:t>vs</w:t>
      </w:r>
      <w:r w:rsidR="00033AB3">
        <w:rPr>
          <w:rFonts w:ascii="Arial" w:hAnsi="Arial" w:cs="Arial"/>
        </w:rPr>
        <w:t>.</w:t>
      </w:r>
      <w:r w:rsidR="00BF51BA" w:rsidRPr="001158FB">
        <w:rPr>
          <w:rFonts w:ascii="Arial" w:hAnsi="Arial" w:cs="Arial"/>
        </w:rPr>
        <w:t xml:space="preserve"> </w:t>
      </w:r>
      <w:r w:rsidRPr="001158FB">
        <w:rPr>
          <w:rFonts w:ascii="Arial" w:hAnsi="Arial" w:cs="Arial"/>
        </w:rPr>
        <w:t>3.4%).</w:t>
      </w:r>
      <w:r w:rsidRPr="001158FB">
        <w:rPr>
          <w:rFonts w:ascii="Arial" w:hAnsi="Arial" w:cs="Arial"/>
          <w:vertAlign w:val="superscript"/>
        </w:rPr>
        <w:endnoteReference w:id="113"/>
      </w:r>
      <w:r w:rsidRPr="001158FB">
        <w:rPr>
          <w:rFonts w:ascii="Arial" w:hAnsi="Arial" w:cs="Arial"/>
        </w:rPr>
        <w:t xml:space="preserve"> 57% of LGBTQ youth who skipped school cited hostile school environments as their reason for leaving.</w:t>
      </w:r>
      <w:r w:rsidRPr="001158FB">
        <w:rPr>
          <w:rFonts w:ascii="Arial" w:hAnsi="Arial" w:cs="Arial"/>
          <w:vertAlign w:val="superscript"/>
        </w:rPr>
        <w:endnoteReference w:id="114"/>
      </w:r>
      <w:r w:rsidRPr="001158FB">
        <w:rPr>
          <w:rFonts w:ascii="Arial" w:hAnsi="Arial" w:cs="Arial"/>
        </w:rPr>
        <w:t xml:space="preserve"> </w:t>
      </w:r>
      <w:r w:rsidR="00314435">
        <w:rPr>
          <w:rFonts w:ascii="Arial" w:hAnsi="Arial" w:cs="Arial"/>
        </w:rPr>
        <w:t>When compared with their peers, t</w:t>
      </w:r>
      <w:r w:rsidRPr="001158FB">
        <w:rPr>
          <w:rFonts w:ascii="Arial" w:hAnsi="Arial" w:cs="Arial"/>
        </w:rPr>
        <w:t xml:space="preserve">hree times as many LGBTQ students </w:t>
      </w:r>
      <w:r w:rsidR="00314435">
        <w:rPr>
          <w:rFonts w:ascii="Arial" w:hAnsi="Arial" w:cs="Arial"/>
        </w:rPr>
        <w:t>who have faced harassment</w:t>
      </w:r>
      <w:r w:rsidRPr="001158FB">
        <w:rPr>
          <w:rFonts w:ascii="Arial" w:hAnsi="Arial" w:cs="Arial"/>
        </w:rPr>
        <w:t xml:space="preserve"> </w:t>
      </w:r>
      <w:r w:rsidR="000045CB">
        <w:rPr>
          <w:rFonts w:ascii="Arial" w:hAnsi="Arial" w:cs="Arial"/>
        </w:rPr>
        <w:t xml:space="preserve">reported </w:t>
      </w:r>
      <w:r w:rsidRPr="001158FB">
        <w:rPr>
          <w:rFonts w:ascii="Arial" w:hAnsi="Arial" w:cs="Arial"/>
        </w:rPr>
        <w:t>that they might drop out of high school (6.6% vs</w:t>
      </w:r>
      <w:r w:rsidR="00404442">
        <w:rPr>
          <w:rFonts w:ascii="Arial" w:hAnsi="Arial" w:cs="Arial"/>
        </w:rPr>
        <w:t>.</w:t>
      </w:r>
      <w:r w:rsidRPr="001158FB">
        <w:rPr>
          <w:rFonts w:ascii="Arial" w:hAnsi="Arial" w:cs="Arial"/>
        </w:rPr>
        <w:t xml:space="preserve"> 2.1%)</w:t>
      </w:r>
      <w:r w:rsidR="00314435">
        <w:rPr>
          <w:rFonts w:ascii="Arial" w:hAnsi="Arial" w:cs="Arial"/>
        </w:rPr>
        <w:t>, suggesting that harassment has a disproportionately powerful outcome for LGBTQ youths’ chances of remaining in school</w:t>
      </w:r>
      <w:r w:rsidRPr="001158FB">
        <w:rPr>
          <w:rFonts w:ascii="Arial" w:hAnsi="Arial" w:cs="Arial"/>
        </w:rPr>
        <w:t>.</w:t>
      </w:r>
      <w:r w:rsidRPr="001158FB">
        <w:rPr>
          <w:rFonts w:ascii="Arial" w:hAnsi="Arial" w:cs="Arial"/>
          <w:vertAlign w:val="superscript"/>
        </w:rPr>
        <w:endnoteReference w:id="115"/>
      </w:r>
      <w:r w:rsidR="00314435">
        <w:rPr>
          <w:rFonts w:ascii="Arial" w:hAnsi="Arial" w:cs="Arial"/>
        </w:rPr>
        <w:t xml:space="preserve"> Additionally, one in five LGBTQ youth who have dropped out of school </w:t>
      </w:r>
      <w:r w:rsidRPr="001158FB">
        <w:rPr>
          <w:rFonts w:ascii="Arial" w:hAnsi="Arial" w:cs="Arial"/>
        </w:rPr>
        <w:t>report mental health concerns</w:t>
      </w:r>
      <w:r w:rsidR="00033AB3">
        <w:rPr>
          <w:rFonts w:ascii="Arial" w:hAnsi="Arial" w:cs="Arial"/>
        </w:rPr>
        <w:t>,</w:t>
      </w:r>
      <w:r w:rsidRPr="001158FB">
        <w:rPr>
          <w:rFonts w:ascii="Arial" w:hAnsi="Arial" w:cs="Arial"/>
          <w:vertAlign w:val="superscript"/>
        </w:rPr>
        <w:endnoteReference w:id="116"/>
      </w:r>
      <w:r w:rsidR="00033AB3">
        <w:rPr>
          <w:rFonts w:ascii="Arial" w:hAnsi="Arial" w:cs="Arial"/>
        </w:rPr>
        <w:t xml:space="preserve"> which may further exacerbate their risk of ending up in the criminal justice system.</w:t>
      </w:r>
      <w:r w:rsidRPr="001158FB">
        <w:rPr>
          <w:rFonts w:ascii="Arial" w:hAnsi="Arial" w:cs="Arial"/>
        </w:rPr>
        <w:t xml:space="preserve"> </w:t>
      </w:r>
    </w:p>
    <w:p w14:paraId="449DBBCB" w14:textId="77777777" w:rsidR="001158FB" w:rsidRPr="001158FB" w:rsidRDefault="001158FB" w:rsidP="001158FB">
      <w:pPr>
        <w:spacing w:after="0"/>
        <w:jc w:val="both"/>
        <w:rPr>
          <w:rFonts w:ascii="Arial" w:hAnsi="Arial" w:cs="Arial"/>
          <w:b/>
          <w:bCs/>
        </w:rPr>
      </w:pPr>
    </w:p>
    <w:p w14:paraId="723A413F" w14:textId="77777777" w:rsidR="001158FB" w:rsidRPr="001158FB" w:rsidRDefault="001158FB" w:rsidP="0008013D">
      <w:pPr>
        <w:pStyle w:val="Heading3"/>
      </w:pPr>
      <w:bookmarkStart w:id="20" w:name="_Toc512947898"/>
      <w:r w:rsidRPr="001158FB">
        <w:t>3. Criminalization of Consensual Sexual Relationships</w:t>
      </w:r>
      <w:bookmarkEnd w:id="20"/>
    </w:p>
    <w:p w14:paraId="3FE5FA4F" w14:textId="77777777" w:rsidR="001158FB" w:rsidRPr="001158FB" w:rsidRDefault="001158FB" w:rsidP="001158FB">
      <w:pPr>
        <w:spacing w:after="0"/>
        <w:jc w:val="both"/>
        <w:rPr>
          <w:rFonts w:ascii="Arial" w:hAnsi="Arial" w:cs="Arial"/>
        </w:rPr>
      </w:pPr>
    </w:p>
    <w:p w14:paraId="74C07C3E" w14:textId="7C0EA027" w:rsidR="00867184" w:rsidRPr="00867184" w:rsidRDefault="00867184" w:rsidP="00867184">
      <w:pPr>
        <w:spacing w:after="0"/>
        <w:jc w:val="both"/>
        <w:rPr>
          <w:rFonts w:ascii="Arial" w:hAnsi="Arial" w:cs="Arial"/>
        </w:rPr>
      </w:pPr>
      <w:r w:rsidRPr="00867184">
        <w:rPr>
          <w:rFonts w:ascii="Arial" w:hAnsi="Arial" w:cs="Arial"/>
        </w:rPr>
        <w:t>Laws that police sex — particularly between people of the same sex — have exi</w:t>
      </w:r>
      <w:r w:rsidR="00A044E7">
        <w:rPr>
          <w:rFonts w:ascii="Arial" w:hAnsi="Arial" w:cs="Arial"/>
        </w:rPr>
        <w:t>sted since the beginning of Massachusetts’s colonial</w:t>
      </w:r>
      <w:r w:rsidRPr="00867184">
        <w:rPr>
          <w:rFonts w:ascii="Arial" w:hAnsi="Arial" w:cs="Arial"/>
        </w:rPr>
        <w:t xml:space="preserve"> history. As early as 1636, the Plymouth colony in what is now Massachusetts established America’s first anti-sodomy laws, making sexual relationships between members of the same sex a crime punishable by death.</w:t>
      </w:r>
      <w:r w:rsidRPr="00867184">
        <w:rPr>
          <w:rFonts w:ascii="Arial" w:hAnsi="Arial" w:cs="Arial"/>
          <w:vertAlign w:val="superscript"/>
        </w:rPr>
        <w:endnoteReference w:id="117"/>
      </w:r>
      <w:r w:rsidRPr="00867184">
        <w:rPr>
          <w:rFonts w:ascii="Arial" w:hAnsi="Arial" w:cs="Arial"/>
        </w:rPr>
        <w:t xml:space="preserve"> </w:t>
      </w:r>
    </w:p>
    <w:p w14:paraId="176B44AC" w14:textId="77777777" w:rsidR="00867184" w:rsidRPr="00867184" w:rsidRDefault="00867184" w:rsidP="00867184">
      <w:pPr>
        <w:spacing w:after="0"/>
        <w:jc w:val="both"/>
        <w:rPr>
          <w:rFonts w:ascii="Arial" w:hAnsi="Arial" w:cs="Arial"/>
        </w:rPr>
      </w:pPr>
    </w:p>
    <w:p w14:paraId="09362E90" w14:textId="70B252CD" w:rsidR="00867184" w:rsidRPr="00867184" w:rsidRDefault="00257908" w:rsidP="00867184">
      <w:pPr>
        <w:spacing w:after="0"/>
        <w:jc w:val="both"/>
        <w:rPr>
          <w:rFonts w:ascii="Arial" w:hAnsi="Arial" w:cs="Arial"/>
        </w:rPr>
      </w:pPr>
      <w:r>
        <w:rPr>
          <w:rFonts w:ascii="Arial" w:hAnsi="Arial" w:cs="Arial"/>
        </w:rPr>
        <w:t xml:space="preserve">Many laws, in one form or another, police sexual relationships, and when these laws allow for discretion, they may be discriminatorily applied to LGBTQ youth. </w:t>
      </w:r>
      <w:r w:rsidR="00F867D7">
        <w:rPr>
          <w:rFonts w:ascii="Arial" w:hAnsi="Arial" w:cs="Arial"/>
        </w:rPr>
        <w:t>This can result in youth being</w:t>
      </w:r>
      <w:r>
        <w:rPr>
          <w:rFonts w:ascii="Arial" w:hAnsi="Arial" w:cs="Arial"/>
        </w:rPr>
        <w:t xml:space="preserve"> unfairly</w:t>
      </w:r>
      <w:r w:rsidR="00F867D7">
        <w:rPr>
          <w:rFonts w:ascii="Arial" w:hAnsi="Arial" w:cs="Arial"/>
        </w:rPr>
        <w:t xml:space="preserve"> branded as sex offenders, </w:t>
      </w:r>
      <w:r w:rsidR="000045CB">
        <w:rPr>
          <w:rFonts w:ascii="Arial" w:hAnsi="Arial" w:cs="Arial"/>
        </w:rPr>
        <w:t>making</w:t>
      </w:r>
      <w:r w:rsidR="00867184" w:rsidRPr="00867184">
        <w:rPr>
          <w:rFonts w:ascii="Arial" w:hAnsi="Arial" w:cs="Arial"/>
        </w:rPr>
        <w:t xml:space="preserve"> it difficult for LGBTQ youth to find jobs and access education, perpetuating the cycle of poverty, instability and criminalization.</w:t>
      </w:r>
      <w:r w:rsidR="00867184" w:rsidRPr="00867184">
        <w:rPr>
          <w:rFonts w:ascii="Arial" w:hAnsi="Arial" w:cs="Arial"/>
          <w:vertAlign w:val="superscript"/>
        </w:rPr>
        <w:endnoteReference w:id="118"/>
      </w:r>
      <w:r w:rsidR="00867184" w:rsidRPr="00867184">
        <w:rPr>
          <w:rFonts w:ascii="Arial" w:hAnsi="Arial" w:cs="Arial"/>
        </w:rPr>
        <w:t xml:space="preserve"> </w:t>
      </w:r>
      <w:r w:rsidR="001A5018">
        <w:rPr>
          <w:rFonts w:ascii="Arial" w:hAnsi="Arial" w:cs="Arial"/>
        </w:rPr>
        <w:t xml:space="preserve">Experts in Massachusetts have found </w:t>
      </w:r>
      <w:r w:rsidR="007B5B2F">
        <w:rPr>
          <w:rFonts w:ascii="Arial" w:hAnsi="Arial" w:cs="Arial"/>
        </w:rPr>
        <w:t xml:space="preserve">that </w:t>
      </w:r>
      <w:r w:rsidR="001A5018">
        <w:rPr>
          <w:rFonts w:ascii="Arial" w:hAnsi="Arial" w:cs="Arial"/>
        </w:rPr>
        <w:t xml:space="preserve">the current law </w:t>
      </w:r>
      <w:r w:rsidR="007B5B2F">
        <w:rPr>
          <w:rFonts w:ascii="Arial" w:hAnsi="Arial" w:cs="Arial"/>
        </w:rPr>
        <w:t>does</w:t>
      </w:r>
      <w:r w:rsidR="001A5018">
        <w:rPr>
          <w:rFonts w:ascii="Arial" w:hAnsi="Arial" w:cs="Arial"/>
        </w:rPr>
        <w:t xml:space="preserve"> not reflect the reality that many adolescents do engage in consensual sexual relations, and </w:t>
      </w:r>
      <w:r w:rsidR="007B5B2F">
        <w:rPr>
          <w:rFonts w:ascii="Arial" w:hAnsi="Arial" w:cs="Arial"/>
        </w:rPr>
        <w:t>does not reflect sound public policy.</w:t>
      </w:r>
      <w:r w:rsidR="007B5B2F">
        <w:rPr>
          <w:rStyle w:val="EndnoteReference"/>
          <w:rFonts w:ascii="Arial" w:hAnsi="Arial" w:cs="Arial"/>
        </w:rPr>
        <w:endnoteReference w:id="119"/>
      </w:r>
      <w:r w:rsidR="007B5B2F">
        <w:rPr>
          <w:rFonts w:ascii="Arial" w:hAnsi="Arial" w:cs="Arial"/>
        </w:rPr>
        <w:t xml:space="preserve"> Furthermore, while no data is available on how many LGBTQ youth are impacted, data shows that youth of color are disproportionately prosecuted for these crimes, and anecdotal evidence exists that LGBTQ youth are targeted for being LGBTQ.</w:t>
      </w:r>
      <w:r w:rsidR="007B5B2F">
        <w:rPr>
          <w:rStyle w:val="EndnoteReference"/>
          <w:rFonts w:ascii="Arial" w:hAnsi="Arial" w:cs="Arial"/>
        </w:rPr>
        <w:endnoteReference w:id="120"/>
      </w:r>
      <w:r w:rsidR="007B5B2F">
        <w:rPr>
          <w:rFonts w:ascii="Arial" w:hAnsi="Arial" w:cs="Arial"/>
        </w:rPr>
        <w:t xml:space="preserve"> </w:t>
      </w:r>
      <w:r w:rsidR="00A044E7">
        <w:rPr>
          <w:rFonts w:ascii="Arial" w:hAnsi="Arial" w:cs="Arial"/>
        </w:rPr>
        <w:t xml:space="preserve">For this reason, the Commission has recommended </w:t>
      </w:r>
      <w:r w:rsidR="00473EC6">
        <w:rPr>
          <w:rFonts w:ascii="Arial" w:hAnsi="Arial" w:cs="Arial"/>
        </w:rPr>
        <w:t xml:space="preserve">decriminalizing </w:t>
      </w:r>
      <w:r w:rsidR="00473EC6" w:rsidRPr="00473EC6">
        <w:rPr>
          <w:rFonts w:ascii="Arial" w:hAnsi="Arial" w:cs="Arial"/>
        </w:rPr>
        <w:t>consensual sexual relat</w:t>
      </w:r>
      <w:r w:rsidR="00473EC6">
        <w:rPr>
          <w:rFonts w:ascii="Arial" w:hAnsi="Arial" w:cs="Arial"/>
        </w:rPr>
        <w:t xml:space="preserve">ions among parties close in age and issuing guidance as to when consensual sexual relations need to be reported, as indicated at page </w:t>
      </w:r>
      <w:r w:rsidR="00C64403">
        <w:rPr>
          <w:rFonts w:ascii="Arial" w:hAnsi="Arial" w:cs="Arial"/>
        </w:rPr>
        <w:t>11</w:t>
      </w:r>
      <w:r w:rsidR="00473EC6">
        <w:rPr>
          <w:rFonts w:ascii="Arial" w:hAnsi="Arial" w:cs="Arial"/>
        </w:rPr>
        <w:t xml:space="preserve"> above.</w:t>
      </w:r>
    </w:p>
    <w:p w14:paraId="7EA50700" w14:textId="77777777" w:rsidR="00867184" w:rsidRPr="00867184" w:rsidRDefault="00867184" w:rsidP="00867184">
      <w:pPr>
        <w:spacing w:after="0"/>
        <w:jc w:val="both"/>
        <w:rPr>
          <w:rFonts w:ascii="Arial" w:hAnsi="Arial" w:cs="Arial"/>
        </w:rPr>
      </w:pPr>
    </w:p>
    <w:p w14:paraId="1C0A9026" w14:textId="13C524AF" w:rsidR="001158FB" w:rsidRPr="001158FB" w:rsidRDefault="00B355A7" w:rsidP="001158FB">
      <w:pPr>
        <w:spacing w:after="0"/>
        <w:jc w:val="both"/>
        <w:rPr>
          <w:rFonts w:ascii="Arial" w:hAnsi="Arial" w:cs="Arial"/>
        </w:rPr>
      </w:pPr>
      <w:r>
        <w:rPr>
          <w:rFonts w:ascii="Arial" w:hAnsi="Arial" w:cs="Arial"/>
        </w:rPr>
        <w:t xml:space="preserve">In </w:t>
      </w:r>
      <w:r w:rsidR="00867184" w:rsidRPr="00867184">
        <w:rPr>
          <w:rFonts w:ascii="Arial" w:hAnsi="Arial" w:cs="Arial"/>
        </w:rPr>
        <w:t>Massachusetts</w:t>
      </w:r>
      <w:r>
        <w:rPr>
          <w:rFonts w:ascii="Arial" w:hAnsi="Arial" w:cs="Arial"/>
        </w:rPr>
        <w:t>,</w:t>
      </w:r>
      <w:r w:rsidR="00867184" w:rsidRPr="00867184">
        <w:rPr>
          <w:rFonts w:ascii="Arial" w:hAnsi="Arial" w:cs="Arial"/>
        </w:rPr>
        <w:t xml:space="preserve"> </w:t>
      </w:r>
      <w:r>
        <w:rPr>
          <w:rFonts w:ascii="Arial" w:hAnsi="Arial" w:cs="Arial"/>
        </w:rPr>
        <w:t xml:space="preserve">individuals living with HIV can face increased criminal penalties for sexual-related criminal activity, </w:t>
      </w:r>
      <w:r w:rsidR="00BD38F6">
        <w:rPr>
          <w:rFonts w:ascii="Arial" w:hAnsi="Arial" w:cs="Arial"/>
        </w:rPr>
        <w:t xml:space="preserve">including consensual sexual relations involving a young person under 16 with a close-in-age peer. This is </w:t>
      </w:r>
      <w:r>
        <w:rPr>
          <w:rFonts w:ascii="Arial" w:hAnsi="Arial" w:cs="Arial"/>
        </w:rPr>
        <w:t>based on a statute that leaves a great deal open to the interpretation, discretion, and potential abuse of the courts when it is applied</w:t>
      </w:r>
      <w:r w:rsidR="00867184" w:rsidRPr="00867184">
        <w:rPr>
          <w:rFonts w:ascii="Arial" w:hAnsi="Arial" w:cs="Arial"/>
        </w:rPr>
        <w:t>.</w:t>
      </w:r>
      <w:r w:rsidR="00867184" w:rsidRPr="00867184">
        <w:rPr>
          <w:rFonts w:ascii="Arial" w:hAnsi="Arial" w:cs="Arial"/>
          <w:vertAlign w:val="superscript"/>
        </w:rPr>
        <w:endnoteReference w:id="121"/>
      </w:r>
      <w:r w:rsidR="00867184" w:rsidRPr="00867184">
        <w:rPr>
          <w:rFonts w:ascii="Arial" w:hAnsi="Arial" w:cs="Arial"/>
        </w:rPr>
        <w:t xml:space="preserve"> As HIV is mo</w:t>
      </w:r>
      <w:r>
        <w:rPr>
          <w:rFonts w:ascii="Arial" w:hAnsi="Arial" w:cs="Arial"/>
        </w:rPr>
        <w:t>re</w:t>
      </w:r>
      <w:r w:rsidR="00867184" w:rsidRPr="00867184">
        <w:rPr>
          <w:rFonts w:ascii="Arial" w:hAnsi="Arial" w:cs="Arial"/>
        </w:rPr>
        <w:t xml:space="preserve"> prevalent among LGBTQ youth</w:t>
      </w:r>
      <w:r w:rsidR="000045CB">
        <w:rPr>
          <w:rFonts w:ascii="Arial" w:hAnsi="Arial" w:cs="Arial"/>
        </w:rPr>
        <w:t xml:space="preserve"> and youth of color</w:t>
      </w:r>
      <w:r>
        <w:rPr>
          <w:rFonts w:ascii="Arial" w:hAnsi="Arial" w:cs="Arial"/>
        </w:rPr>
        <w:t xml:space="preserve"> than others</w:t>
      </w:r>
      <w:r w:rsidR="00867184" w:rsidRPr="00867184">
        <w:rPr>
          <w:rFonts w:ascii="Arial" w:hAnsi="Arial" w:cs="Arial"/>
        </w:rPr>
        <w:t xml:space="preserve">, this code </w:t>
      </w:r>
      <w:r w:rsidR="00404442">
        <w:rPr>
          <w:rFonts w:ascii="Arial" w:hAnsi="Arial" w:cs="Arial"/>
        </w:rPr>
        <w:t>could impact them</w:t>
      </w:r>
      <w:r w:rsidR="00867184" w:rsidRPr="00867184">
        <w:rPr>
          <w:rFonts w:ascii="Arial" w:hAnsi="Arial" w:cs="Arial"/>
        </w:rPr>
        <w:t xml:space="preserve"> disproportionately</w:t>
      </w:r>
      <w:r w:rsidR="00257908">
        <w:rPr>
          <w:rFonts w:ascii="Arial" w:hAnsi="Arial" w:cs="Arial"/>
        </w:rPr>
        <w:t>.</w:t>
      </w:r>
      <w:r w:rsidR="00867184" w:rsidRPr="00867184">
        <w:rPr>
          <w:rFonts w:ascii="Arial" w:hAnsi="Arial" w:cs="Arial"/>
        </w:rPr>
        <w:t xml:space="preserve"> </w:t>
      </w:r>
    </w:p>
    <w:p w14:paraId="5C48D31A" w14:textId="77777777" w:rsidR="001158FB" w:rsidRPr="001158FB" w:rsidRDefault="001158FB" w:rsidP="001158FB">
      <w:pPr>
        <w:spacing w:after="0"/>
        <w:jc w:val="both"/>
        <w:rPr>
          <w:rFonts w:ascii="Arial" w:hAnsi="Arial" w:cs="Arial"/>
        </w:rPr>
      </w:pPr>
    </w:p>
    <w:p w14:paraId="70D7695B" w14:textId="77777777" w:rsidR="001158FB" w:rsidRPr="001158FB" w:rsidRDefault="00DD4D48" w:rsidP="0008013D">
      <w:pPr>
        <w:pStyle w:val="Heading3"/>
      </w:pPr>
      <w:bookmarkStart w:id="21" w:name="_Toc512947899"/>
      <w:r>
        <w:lastRenderedPageBreak/>
        <w:t>4</w:t>
      </w:r>
      <w:r w:rsidR="001158FB" w:rsidRPr="001158FB">
        <w:t>. Discriminatory Law Enforcement Strategies</w:t>
      </w:r>
      <w:bookmarkEnd w:id="21"/>
    </w:p>
    <w:p w14:paraId="12F1AAE4" w14:textId="77777777" w:rsidR="001158FB" w:rsidRPr="001158FB" w:rsidRDefault="001158FB" w:rsidP="001158FB">
      <w:pPr>
        <w:spacing w:after="0"/>
        <w:jc w:val="both"/>
        <w:rPr>
          <w:rFonts w:ascii="Arial" w:hAnsi="Arial" w:cs="Arial"/>
        </w:rPr>
      </w:pPr>
    </w:p>
    <w:p w14:paraId="5C35B6C8" w14:textId="77777777" w:rsidR="00DD4D48" w:rsidRPr="00DD4D48" w:rsidRDefault="00DD4D48" w:rsidP="00DD4D48">
      <w:pPr>
        <w:spacing w:after="0"/>
        <w:jc w:val="both"/>
        <w:rPr>
          <w:rFonts w:ascii="Arial" w:hAnsi="Arial" w:cs="Arial"/>
        </w:rPr>
      </w:pPr>
      <w:r w:rsidRPr="00DD4D48">
        <w:rPr>
          <w:rFonts w:ascii="Arial" w:hAnsi="Arial" w:cs="Arial"/>
        </w:rPr>
        <w:t>Evidence suggests that bias and discrimination influence how law enforcement personnel exercise their discretion to disproportionately target LGBTQ youth, especially LGBTQ girls and youth of color.</w:t>
      </w:r>
      <w:r w:rsidRPr="00DD4D48">
        <w:rPr>
          <w:rFonts w:ascii="Arial" w:hAnsi="Arial" w:cs="Arial"/>
          <w:vertAlign w:val="superscript"/>
        </w:rPr>
        <w:endnoteReference w:id="122"/>
      </w:r>
      <w:r w:rsidRPr="00DD4D48">
        <w:rPr>
          <w:rFonts w:ascii="Arial" w:hAnsi="Arial" w:cs="Arial"/>
          <w:vertAlign w:val="superscript"/>
        </w:rPr>
        <w:t xml:space="preserve"> </w:t>
      </w:r>
      <w:r w:rsidR="00C8686D">
        <w:rPr>
          <w:rFonts w:ascii="Arial" w:hAnsi="Arial" w:cs="Arial"/>
        </w:rPr>
        <w:t>Nationally, s</w:t>
      </w:r>
      <w:r w:rsidR="00AA15D1">
        <w:rPr>
          <w:rFonts w:ascii="Arial" w:hAnsi="Arial" w:cs="Arial"/>
        </w:rPr>
        <w:t>exual minority</w:t>
      </w:r>
      <w:r w:rsidRPr="00DD4D48">
        <w:rPr>
          <w:rFonts w:ascii="Arial" w:hAnsi="Arial" w:cs="Arial"/>
        </w:rPr>
        <w:t xml:space="preserve"> girls are </w:t>
      </w:r>
      <w:r>
        <w:rPr>
          <w:rFonts w:ascii="Arial" w:hAnsi="Arial" w:cs="Arial"/>
        </w:rPr>
        <w:t>twice as</w:t>
      </w:r>
      <w:r w:rsidRPr="00DD4D48">
        <w:rPr>
          <w:rFonts w:ascii="Arial" w:hAnsi="Arial" w:cs="Arial"/>
        </w:rPr>
        <w:t xml:space="preserve"> likely to be detained for running away compared to </w:t>
      </w:r>
      <w:r>
        <w:rPr>
          <w:rFonts w:ascii="Arial" w:hAnsi="Arial" w:cs="Arial"/>
        </w:rPr>
        <w:t>heterosexual</w:t>
      </w:r>
      <w:r w:rsidRPr="00DD4D48">
        <w:rPr>
          <w:rFonts w:ascii="Arial" w:hAnsi="Arial" w:cs="Arial"/>
        </w:rPr>
        <w:t xml:space="preserve"> girls (38% to 17%),</w:t>
      </w:r>
      <w:r w:rsidRPr="00DD4D48">
        <w:rPr>
          <w:rFonts w:ascii="Arial" w:hAnsi="Arial" w:cs="Arial"/>
          <w:vertAlign w:val="superscript"/>
        </w:rPr>
        <w:endnoteReference w:id="123"/>
      </w:r>
      <w:r w:rsidRPr="00DD4D48">
        <w:rPr>
          <w:rFonts w:ascii="Arial" w:hAnsi="Arial" w:cs="Arial"/>
          <w:vertAlign w:val="superscript"/>
        </w:rPr>
        <w:t xml:space="preserve"> </w:t>
      </w:r>
      <w:r w:rsidRPr="00DD4D48">
        <w:rPr>
          <w:rFonts w:ascii="Arial" w:hAnsi="Arial" w:cs="Arial"/>
        </w:rPr>
        <w:t xml:space="preserve">and </w:t>
      </w:r>
      <w:r>
        <w:rPr>
          <w:rFonts w:ascii="Arial" w:hAnsi="Arial" w:cs="Arial"/>
        </w:rPr>
        <w:t>B</w:t>
      </w:r>
      <w:r w:rsidRPr="00DD4D48">
        <w:rPr>
          <w:rFonts w:ascii="Arial" w:hAnsi="Arial" w:cs="Arial"/>
        </w:rPr>
        <w:t xml:space="preserve">lack girls are six times </w:t>
      </w:r>
      <w:r w:rsidR="00AA15D1">
        <w:rPr>
          <w:rFonts w:ascii="Arial" w:hAnsi="Arial" w:cs="Arial"/>
        </w:rPr>
        <w:t>as</w:t>
      </w:r>
      <w:r w:rsidRPr="00DD4D48">
        <w:rPr>
          <w:rFonts w:ascii="Arial" w:hAnsi="Arial" w:cs="Arial"/>
        </w:rPr>
        <w:t xml:space="preserve"> likely to be suspended from school </w:t>
      </w:r>
      <w:r w:rsidR="00AA15D1">
        <w:rPr>
          <w:rFonts w:ascii="Arial" w:hAnsi="Arial" w:cs="Arial"/>
        </w:rPr>
        <w:t>as</w:t>
      </w:r>
      <w:r w:rsidRPr="00DD4D48">
        <w:rPr>
          <w:rFonts w:ascii="Arial" w:hAnsi="Arial" w:cs="Arial"/>
        </w:rPr>
        <w:t xml:space="preserve"> </w:t>
      </w:r>
      <w:r w:rsidR="00AA15D1">
        <w:rPr>
          <w:rFonts w:ascii="Arial" w:hAnsi="Arial" w:cs="Arial"/>
        </w:rPr>
        <w:t xml:space="preserve">are </w:t>
      </w:r>
      <w:r w:rsidRPr="00DD4D48">
        <w:rPr>
          <w:rFonts w:ascii="Arial" w:hAnsi="Arial" w:cs="Arial"/>
        </w:rPr>
        <w:t xml:space="preserve">their </w:t>
      </w:r>
      <w:r>
        <w:rPr>
          <w:rFonts w:ascii="Arial" w:hAnsi="Arial" w:cs="Arial"/>
        </w:rPr>
        <w:t>W</w:t>
      </w:r>
      <w:r w:rsidRPr="00DD4D48">
        <w:rPr>
          <w:rFonts w:ascii="Arial" w:hAnsi="Arial" w:cs="Arial"/>
        </w:rPr>
        <w:t>hite peers.</w:t>
      </w:r>
      <w:r w:rsidRPr="00DD4D48">
        <w:rPr>
          <w:rFonts w:ascii="Arial" w:hAnsi="Arial" w:cs="Arial"/>
          <w:vertAlign w:val="superscript"/>
        </w:rPr>
        <w:endnoteReference w:id="124"/>
      </w:r>
      <w:r w:rsidRPr="00DD4D48">
        <w:rPr>
          <w:rFonts w:ascii="Arial" w:hAnsi="Arial" w:cs="Arial"/>
        </w:rPr>
        <w:t xml:space="preserve"> </w:t>
      </w:r>
      <w:r>
        <w:rPr>
          <w:rFonts w:ascii="Arial" w:hAnsi="Arial" w:cs="Arial"/>
        </w:rPr>
        <w:t>A</w:t>
      </w:r>
      <w:r w:rsidRPr="00DD4D48">
        <w:rPr>
          <w:rFonts w:ascii="Arial" w:hAnsi="Arial" w:cs="Arial"/>
        </w:rPr>
        <w:t xml:space="preserve"> survey of</w:t>
      </w:r>
      <w:r>
        <w:rPr>
          <w:rFonts w:ascii="Arial" w:hAnsi="Arial" w:cs="Arial"/>
        </w:rPr>
        <w:t xml:space="preserve"> New Orleans</w:t>
      </w:r>
      <w:r w:rsidRPr="00DD4D48">
        <w:rPr>
          <w:rFonts w:ascii="Arial" w:hAnsi="Arial" w:cs="Arial"/>
        </w:rPr>
        <w:t xml:space="preserve"> youth </w:t>
      </w:r>
      <w:r>
        <w:rPr>
          <w:rFonts w:ascii="Arial" w:hAnsi="Arial" w:cs="Arial"/>
        </w:rPr>
        <w:t>found</w:t>
      </w:r>
      <w:r w:rsidRPr="00DD4D48">
        <w:rPr>
          <w:rFonts w:ascii="Arial" w:hAnsi="Arial" w:cs="Arial"/>
        </w:rPr>
        <w:t xml:space="preserve"> that 87% of LGBTQ youth of color had been stopped by police compared to 33% of </w:t>
      </w:r>
      <w:r>
        <w:rPr>
          <w:rFonts w:ascii="Arial" w:hAnsi="Arial" w:cs="Arial"/>
        </w:rPr>
        <w:t>W</w:t>
      </w:r>
      <w:r w:rsidRPr="00DD4D48">
        <w:rPr>
          <w:rFonts w:ascii="Arial" w:hAnsi="Arial" w:cs="Arial"/>
        </w:rPr>
        <w:t>hite LGBTQ youth.</w:t>
      </w:r>
      <w:r w:rsidRPr="00DD4D48">
        <w:rPr>
          <w:rFonts w:ascii="Arial" w:hAnsi="Arial" w:cs="Arial"/>
          <w:vertAlign w:val="superscript"/>
        </w:rPr>
        <w:endnoteReference w:id="125"/>
      </w:r>
    </w:p>
    <w:p w14:paraId="13B1FB37" w14:textId="77777777" w:rsidR="00DD4D48" w:rsidRPr="00DD4D48" w:rsidRDefault="00DD4D48" w:rsidP="00DD4D48">
      <w:pPr>
        <w:spacing w:after="0"/>
        <w:jc w:val="both"/>
        <w:rPr>
          <w:rFonts w:ascii="Arial" w:hAnsi="Arial" w:cs="Arial"/>
        </w:rPr>
      </w:pPr>
      <w:r w:rsidRPr="00DD4D48">
        <w:rPr>
          <w:rFonts w:ascii="Arial" w:hAnsi="Arial" w:cs="Arial"/>
        </w:rPr>
        <w:tab/>
      </w:r>
    </w:p>
    <w:p w14:paraId="2DFF1751" w14:textId="3CF0976C" w:rsidR="00DD4D48" w:rsidRPr="00DD4D48" w:rsidRDefault="00DD4D48" w:rsidP="00DD4D48">
      <w:pPr>
        <w:spacing w:after="0"/>
        <w:jc w:val="both"/>
        <w:rPr>
          <w:rFonts w:ascii="Arial" w:hAnsi="Arial" w:cs="Arial"/>
        </w:rPr>
      </w:pPr>
      <w:r w:rsidRPr="00DD4D48">
        <w:rPr>
          <w:rFonts w:ascii="Arial" w:hAnsi="Arial" w:cs="Arial"/>
        </w:rPr>
        <w:t>LGBTQ people</w:t>
      </w:r>
      <w:r w:rsidR="002775A1">
        <w:rPr>
          <w:rFonts w:ascii="Arial" w:hAnsi="Arial" w:cs="Arial"/>
        </w:rPr>
        <w:t>, especially those of color,</w:t>
      </w:r>
      <w:r w:rsidRPr="00DD4D48">
        <w:rPr>
          <w:rFonts w:ascii="Arial" w:hAnsi="Arial" w:cs="Arial"/>
        </w:rPr>
        <w:t xml:space="preserve"> are particularly vulnerable to hostile treatment by police. A national report </w:t>
      </w:r>
      <w:r>
        <w:rPr>
          <w:rFonts w:ascii="Arial" w:hAnsi="Arial" w:cs="Arial"/>
        </w:rPr>
        <w:t>found</w:t>
      </w:r>
      <w:r w:rsidRPr="00DD4D48">
        <w:rPr>
          <w:rFonts w:ascii="Arial" w:hAnsi="Arial" w:cs="Arial"/>
        </w:rPr>
        <w:t xml:space="preserve"> that 31% of LGBTQ </w:t>
      </w:r>
      <w:r w:rsidR="00D153E8">
        <w:rPr>
          <w:rFonts w:ascii="Arial" w:hAnsi="Arial" w:cs="Arial"/>
        </w:rPr>
        <w:t>survivors of</w:t>
      </w:r>
      <w:r w:rsidRPr="00DD4D48">
        <w:rPr>
          <w:rFonts w:ascii="Arial" w:hAnsi="Arial" w:cs="Arial"/>
        </w:rPr>
        <w:t xml:space="preserve"> hate</w:t>
      </w:r>
      <w:r w:rsidR="00E463CE">
        <w:rPr>
          <w:rFonts w:ascii="Arial" w:hAnsi="Arial" w:cs="Arial"/>
        </w:rPr>
        <w:t>-based</w:t>
      </w:r>
      <w:r w:rsidRPr="00DD4D48">
        <w:rPr>
          <w:rFonts w:ascii="Arial" w:hAnsi="Arial" w:cs="Arial"/>
        </w:rPr>
        <w:t xml:space="preserve"> violence </w:t>
      </w:r>
      <w:r w:rsidR="00D153E8">
        <w:rPr>
          <w:rFonts w:ascii="Arial" w:hAnsi="Arial" w:cs="Arial"/>
        </w:rPr>
        <w:t>faced</w:t>
      </w:r>
      <w:r w:rsidRPr="00DD4D48">
        <w:rPr>
          <w:rFonts w:ascii="Arial" w:hAnsi="Arial" w:cs="Arial"/>
        </w:rPr>
        <w:t xml:space="preserve"> hostile treatment by the police officer to whom they reported the incident</w:t>
      </w:r>
      <w:r>
        <w:rPr>
          <w:rFonts w:ascii="Arial" w:hAnsi="Arial" w:cs="Arial"/>
        </w:rPr>
        <w:t xml:space="preserve">, while </w:t>
      </w:r>
      <w:r w:rsidRPr="00DD4D48">
        <w:rPr>
          <w:rFonts w:ascii="Arial" w:hAnsi="Arial" w:cs="Arial"/>
        </w:rPr>
        <w:t xml:space="preserve">35% </w:t>
      </w:r>
      <w:r>
        <w:rPr>
          <w:rFonts w:ascii="Arial" w:hAnsi="Arial" w:cs="Arial"/>
        </w:rPr>
        <w:t>said</w:t>
      </w:r>
      <w:r w:rsidRPr="00DD4D48">
        <w:rPr>
          <w:rFonts w:ascii="Arial" w:hAnsi="Arial" w:cs="Arial"/>
        </w:rPr>
        <w:t xml:space="preserve"> the police </w:t>
      </w:r>
      <w:r>
        <w:rPr>
          <w:rFonts w:ascii="Arial" w:hAnsi="Arial" w:cs="Arial"/>
        </w:rPr>
        <w:t>showed indifference</w:t>
      </w:r>
      <w:r w:rsidR="00D153E8">
        <w:rPr>
          <w:rFonts w:ascii="Arial" w:hAnsi="Arial" w:cs="Arial"/>
        </w:rPr>
        <w:t xml:space="preserve"> to their being victimized</w:t>
      </w:r>
      <w:r w:rsidRPr="00DD4D48">
        <w:rPr>
          <w:rFonts w:ascii="Arial" w:hAnsi="Arial" w:cs="Arial"/>
        </w:rPr>
        <w:t>.</w:t>
      </w:r>
      <w:r w:rsidRPr="00DD4D48">
        <w:rPr>
          <w:rFonts w:ascii="Arial" w:hAnsi="Arial" w:cs="Arial"/>
          <w:vertAlign w:val="superscript"/>
        </w:rPr>
        <w:endnoteReference w:id="126"/>
      </w:r>
      <w:r w:rsidRPr="00DD4D48">
        <w:rPr>
          <w:rFonts w:ascii="Arial" w:hAnsi="Arial" w:cs="Arial"/>
        </w:rPr>
        <w:t xml:space="preserve"> </w:t>
      </w:r>
      <w:r>
        <w:rPr>
          <w:rFonts w:ascii="Arial" w:hAnsi="Arial" w:cs="Arial"/>
        </w:rPr>
        <w:t>T</w:t>
      </w:r>
      <w:r w:rsidRPr="00DD4D48">
        <w:rPr>
          <w:rFonts w:ascii="Arial" w:hAnsi="Arial" w:cs="Arial"/>
        </w:rPr>
        <w:t xml:space="preserve">ransgender survivors </w:t>
      </w:r>
      <w:r w:rsidR="00101027">
        <w:rPr>
          <w:rFonts w:ascii="Arial" w:hAnsi="Arial" w:cs="Arial"/>
        </w:rPr>
        <w:t xml:space="preserve">of hate crimes </w:t>
      </w:r>
      <w:r w:rsidRPr="00DD4D48">
        <w:rPr>
          <w:rFonts w:ascii="Arial" w:hAnsi="Arial" w:cs="Arial"/>
        </w:rPr>
        <w:t xml:space="preserve">were </w:t>
      </w:r>
      <w:r w:rsidR="00101027">
        <w:rPr>
          <w:rFonts w:ascii="Arial" w:hAnsi="Arial" w:cs="Arial"/>
        </w:rPr>
        <w:t>significantly more likely than others to experience violence by the police, and</w:t>
      </w:r>
      <w:r w:rsidRPr="00DD4D48">
        <w:rPr>
          <w:rFonts w:ascii="Arial" w:hAnsi="Arial" w:cs="Arial"/>
        </w:rPr>
        <w:t xml:space="preserve"> Black LGBTQ survivors experienced force by police 2.8 times more often than </w:t>
      </w:r>
      <w:r w:rsidR="00101027">
        <w:rPr>
          <w:rFonts w:ascii="Arial" w:hAnsi="Arial" w:cs="Arial"/>
        </w:rPr>
        <w:t>other</w:t>
      </w:r>
      <w:r w:rsidRPr="00DD4D48">
        <w:rPr>
          <w:rFonts w:ascii="Arial" w:hAnsi="Arial" w:cs="Arial"/>
        </w:rPr>
        <w:t xml:space="preserve"> survivors.</w:t>
      </w:r>
      <w:r w:rsidRPr="00DD4D48">
        <w:rPr>
          <w:rFonts w:ascii="Arial" w:hAnsi="Arial" w:cs="Arial"/>
          <w:vertAlign w:val="superscript"/>
        </w:rPr>
        <w:endnoteReference w:id="127"/>
      </w:r>
    </w:p>
    <w:p w14:paraId="2E2E49F4" w14:textId="77777777" w:rsidR="001158FB" w:rsidRPr="001158FB" w:rsidRDefault="001158FB" w:rsidP="00DD4D48">
      <w:pPr>
        <w:spacing w:after="0"/>
        <w:jc w:val="both"/>
        <w:rPr>
          <w:rFonts w:ascii="Arial" w:hAnsi="Arial" w:cs="Arial"/>
        </w:rPr>
      </w:pPr>
    </w:p>
    <w:p w14:paraId="40D7F314" w14:textId="77777777" w:rsidR="001158FB" w:rsidRPr="001158FB" w:rsidRDefault="001158FB" w:rsidP="00D80888">
      <w:pPr>
        <w:pStyle w:val="Heading3"/>
      </w:pPr>
      <w:bookmarkStart w:id="22" w:name="_Toc512947900"/>
      <w:r w:rsidRPr="001158FB">
        <w:t>B. Experiences of LGBTQ Youth in the Justice System</w:t>
      </w:r>
      <w:r w:rsidR="00101027">
        <w:t>s</w:t>
      </w:r>
      <w:bookmarkEnd w:id="22"/>
    </w:p>
    <w:p w14:paraId="37950D26" w14:textId="77777777" w:rsidR="001158FB" w:rsidRPr="001158FB" w:rsidRDefault="001158FB" w:rsidP="001158FB">
      <w:pPr>
        <w:spacing w:after="0"/>
        <w:jc w:val="both"/>
        <w:rPr>
          <w:rFonts w:ascii="Arial" w:hAnsi="Arial" w:cs="Arial"/>
        </w:rPr>
      </w:pPr>
    </w:p>
    <w:p w14:paraId="6C263E33" w14:textId="77777777" w:rsidR="00101027" w:rsidRPr="00101027" w:rsidRDefault="00101027" w:rsidP="00101027">
      <w:pPr>
        <w:spacing w:after="0"/>
        <w:jc w:val="both"/>
        <w:rPr>
          <w:rFonts w:ascii="Arial" w:hAnsi="Arial" w:cs="Arial"/>
        </w:rPr>
      </w:pPr>
      <w:r w:rsidRPr="00101027">
        <w:rPr>
          <w:rFonts w:ascii="Arial" w:hAnsi="Arial" w:cs="Arial"/>
        </w:rPr>
        <w:t xml:space="preserve">LGBTQ youth consistently report negative treatment during the pretrial and trial phases of their interactions with </w:t>
      </w:r>
      <w:r w:rsidR="00B43C3B">
        <w:rPr>
          <w:rFonts w:ascii="Arial" w:hAnsi="Arial" w:cs="Arial"/>
        </w:rPr>
        <w:t xml:space="preserve">the juvenile and </w:t>
      </w:r>
      <w:r w:rsidRPr="00101027">
        <w:rPr>
          <w:rFonts w:ascii="Arial" w:hAnsi="Arial" w:cs="Arial"/>
        </w:rPr>
        <w:t>criminal justice</w:t>
      </w:r>
      <w:r w:rsidR="00B43C3B">
        <w:rPr>
          <w:rFonts w:ascii="Arial" w:hAnsi="Arial" w:cs="Arial"/>
        </w:rPr>
        <w:t xml:space="preserve"> systems</w:t>
      </w:r>
      <w:r w:rsidRPr="00101027">
        <w:rPr>
          <w:rFonts w:ascii="Arial" w:hAnsi="Arial" w:cs="Arial"/>
        </w:rPr>
        <w:t>. They are often held in custody for longer periods than their non-LGBTQ peers</w:t>
      </w:r>
      <w:r w:rsidR="00B43C3B">
        <w:rPr>
          <w:rFonts w:ascii="Arial" w:hAnsi="Arial" w:cs="Arial"/>
        </w:rPr>
        <w:t>, with one study finding</w:t>
      </w:r>
      <w:r w:rsidRPr="00101027">
        <w:rPr>
          <w:rFonts w:ascii="Arial" w:hAnsi="Arial" w:cs="Arial"/>
        </w:rPr>
        <w:t xml:space="preserve"> that sexual minority youth had a two</w:t>
      </w:r>
      <w:r w:rsidR="00B55000">
        <w:rPr>
          <w:rFonts w:ascii="Arial" w:hAnsi="Arial" w:cs="Arial"/>
        </w:rPr>
        <w:t>-</w:t>
      </w:r>
      <w:r w:rsidRPr="00101027">
        <w:rPr>
          <w:rFonts w:ascii="Arial" w:hAnsi="Arial" w:cs="Arial"/>
        </w:rPr>
        <w:t xml:space="preserve"> to three-time</w:t>
      </w:r>
      <w:r w:rsidR="00B55000">
        <w:rPr>
          <w:rFonts w:ascii="Arial" w:hAnsi="Arial" w:cs="Arial"/>
        </w:rPr>
        <w:t>s</w:t>
      </w:r>
      <w:r w:rsidRPr="00101027">
        <w:rPr>
          <w:rFonts w:ascii="Arial" w:hAnsi="Arial" w:cs="Arial"/>
        </w:rPr>
        <w:t xml:space="preserve"> higher risk of being held for longer than a year compared to non-LGBTQ youth.</w:t>
      </w:r>
      <w:r w:rsidRPr="00101027">
        <w:rPr>
          <w:rFonts w:ascii="Arial" w:hAnsi="Arial" w:cs="Arial"/>
          <w:vertAlign w:val="superscript"/>
        </w:rPr>
        <w:endnoteReference w:id="128"/>
      </w:r>
      <w:r w:rsidRPr="00101027">
        <w:rPr>
          <w:rFonts w:ascii="Arial" w:hAnsi="Arial" w:cs="Arial"/>
          <w:vertAlign w:val="superscript"/>
        </w:rPr>
        <w:t xml:space="preserve"> </w:t>
      </w:r>
    </w:p>
    <w:p w14:paraId="122D0ABD" w14:textId="77777777" w:rsidR="00101027" w:rsidRPr="00101027" w:rsidRDefault="00101027" w:rsidP="00101027">
      <w:pPr>
        <w:spacing w:after="0"/>
        <w:jc w:val="both"/>
        <w:rPr>
          <w:rFonts w:ascii="Arial" w:hAnsi="Arial" w:cs="Arial"/>
        </w:rPr>
      </w:pPr>
    </w:p>
    <w:p w14:paraId="6501B0D3" w14:textId="364889B5" w:rsidR="00101027" w:rsidRPr="00101027" w:rsidRDefault="00101027" w:rsidP="00101027">
      <w:pPr>
        <w:spacing w:after="0"/>
        <w:jc w:val="both"/>
        <w:rPr>
          <w:rFonts w:ascii="Arial" w:hAnsi="Arial" w:cs="Arial"/>
        </w:rPr>
      </w:pPr>
      <w:r w:rsidRPr="00101027">
        <w:rPr>
          <w:rFonts w:ascii="Arial" w:hAnsi="Arial" w:cs="Arial"/>
        </w:rPr>
        <w:t xml:space="preserve">Once sentenced, LGBTQ youth continue to experience higher rates of abuse and harassment. Although the </w:t>
      </w:r>
      <w:r w:rsidRPr="00101027">
        <w:rPr>
          <w:rFonts w:ascii="Arial" w:hAnsi="Arial" w:cs="Arial"/>
          <w:lang w:val="fr-FR"/>
        </w:rPr>
        <w:t>Prison Rape Elimination Act (PREA)</w:t>
      </w:r>
      <w:r w:rsidRPr="00101027">
        <w:rPr>
          <w:rFonts w:ascii="Arial" w:hAnsi="Arial" w:cs="Arial"/>
        </w:rPr>
        <w:t xml:space="preserve"> of 2003 and the federal Juvenile Justice and Delinquency Prevention Act established basic standards on how to treat LGBTQ youth in prison, implementation </w:t>
      </w:r>
      <w:r w:rsidR="00404442">
        <w:rPr>
          <w:rFonts w:ascii="Arial" w:hAnsi="Arial" w:cs="Arial"/>
        </w:rPr>
        <w:t>has been</w:t>
      </w:r>
      <w:r w:rsidRPr="00101027">
        <w:rPr>
          <w:rFonts w:ascii="Arial" w:hAnsi="Arial" w:cs="Arial"/>
        </w:rPr>
        <w:t xml:space="preserve"> inconsistent and </w:t>
      </w:r>
      <w:r w:rsidR="008057D9">
        <w:rPr>
          <w:rFonts w:ascii="Arial" w:hAnsi="Arial" w:cs="Arial"/>
        </w:rPr>
        <w:t>sometimes</w:t>
      </w:r>
      <w:r w:rsidRPr="00101027">
        <w:rPr>
          <w:rFonts w:ascii="Arial" w:hAnsi="Arial" w:cs="Arial"/>
        </w:rPr>
        <w:t xml:space="preserve"> backfires to adversely affect LGBTQ youth.</w:t>
      </w:r>
      <w:r w:rsidRPr="00101027">
        <w:rPr>
          <w:rFonts w:ascii="Arial" w:hAnsi="Arial" w:cs="Arial"/>
          <w:vertAlign w:val="superscript"/>
        </w:rPr>
        <w:endnoteReference w:id="129"/>
      </w:r>
      <w:r w:rsidRPr="00101027">
        <w:rPr>
          <w:rFonts w:ascii="Arial" w:hAnsi="Arial" w:cs="Arial"/>
        </w:rPr>
        <w:t xml:space="preserve"> In light of this, the Commission has worked with the Department of Youth Services </w:t>
      </w:r>
      <w:r w:rsidR="00B43C3B">
        <w:rPr>
          <w:rFonts w:ascii="Arial" w:hAnsi="Arial" w:cs="Arial"/>
        </w:rPr>
        <w:t xml:space="preserve">(DYS) </w:t>
      </w:r>
      <w:r w:rsidRPr="00101027">
        <w:rPr>
          <w:rFonts w:ascii="Arial" w:hAnsi="Arial" w:cs="Arial"/>
        </w:rPr>
        <w:t xml:space="preserve">to improve the </w:t>
      </w:r>
      <w:r w:rsidR="008057D9">
        <w:rPr>
          <w:rFonts w:ascii="Arial" w:hAnsi="Arial" w:cs="Arial"/>
        </w:rPr>
        <w:t>treatment</w:t>
      </w:r>
      <w:r w:rsidR="008057D9" w:rsidRPr="00101027">
        <w:rPr>
          <w:rFonts w:ascii="Arial" w:hAnsi="Arial" w:cs="Arial"/>
        </w:rPr>
        <w:t xml:space="preserve"> </w:t>
      </w:r>
      <w:r w:rsidRPr="00101027">
        <w:rPr>
          <w:rFonts w:ascii="Arial" w:hAnsi="Arial" w:cs="Arial"/>
        </w:rPr>
        <w:t>of LGBTQ youth in juvenile justice facilities across the Commonwealth</w:t>
      </w:r>
      <w:r w:rsidR="00B43C3B">
        <w:rPr>
          <w:rFonts w:ascii="Arial" w:hAnsi="Arial" w:cs="Arial"/>
        </w:rPr>
        <w:t xml:space="preserve">, as detailed in that agency’s recommendations at page </w:t>
      </w:r>
      <w:r w:rsidR="00C64403">
        <w:rPr>
          <w:rFonts w:ascii="Arial" w:hAnsi="Arial" w:cs="Arial"/>
        </w:rPr>
        <w:t>63</w:t>
      </w:r>
      <w:r w:rsidRPr="00101027">
        <w:rPr>
          <w:rFonts w:ascii="Arial" w:hAnsi="Arial" w:cs="Arial"/>
        </w:rPr>
        <w:t xml:space="preserve">. </w:t>
      </w:r>
      <w:r w:rsidR="00B43C3B">
        <w:rPr>
          <w:rFonts w:ascii="Arial" w:hAnsi="Arial" w:cs="Arial"/>
        </w:rPr>
        <w:t xml:space="preserve">The Commission has commended DYS for its prioritization of improved training, data collection, and inclusive policies to ensure the safety of LGBTQ youth. </w:t>
      </w:r>
      <w:r w:rsidRPr="00101027">
        <w:rPr>
          <w:rFonts w:ascii="Arial" w:hAnsi="Arial" w:cs="Arial"/>
        </w:rPr>
        <w:t>Massachusetts</w:t>
      </w:r>
      <w:r w:rsidR="00B43C3B">
        <w:rPr>
          <w:rFonts w:ascii="Arial" w:hAnsi="Arial" w:cs="Arial"/>
        </w:rPr>
        <w:t xml:space="preserve"> also</w:t>
      </w:r>
      <w:r w:rsidRPr="00101027">
        <w:rPr>
          <w:rFonts w:ascii="Arial" w:hAnsi="Arial" w:cs="Arial"/>
        </w:rPr>
        <w:t xml:space="preserve"> protects youth from being confined in adult facilities</w:t>
      </w:r>
      <w:r w:rsidRPr="00101027">
        <w:rPr>
          <w:rFonts w:ascii="Arial" w:hAnsi="Arial" w:cs="Arial"/>
          <w:vertAlign w:val="superscript"/>
        </w:rPr>
        <w:endnoteReference w:id="130"/>
      </w:r>
      <w:r w:rsidRPr="00101027">
        <w:rPr>
          <w:rFonts w:ascii="Arial" w:hAnsi="Arial" w:cs="Arial"/>
        </w:rPr>
        <w:t xml:space="preserve"> and requires that youth younger than 18 years of age be tre</w:t>
      </w:r>
      <w:r w:rsidR="00B43C3B">
        <w:rPr>
          <w:rFonts w:ascii="Arial" w:hAnsi="Arial" w:cs="Arial"/>
        </w:rPr>
        <w:t>ated as children and not adults</w:t>
      </w:r>
      <w:r w:rsidR="008057D9">
        <w:rPr>
          <w:rFonts w:ascii="Arial" w:hAnsi="Arial" w:cs="Arial"/>
        </w:rPr>
        <w:t>.</w:t>
      </w:r>
      <w:r w:rsidRPr="00101027">
        <w:rPr>
          <w:rFonts w:ascii="Arial" w:hAnsi="Arial" w:cs="Arial"/>
          <w:vertAlign w:val="superscript"/>
        </w:rPr>
        <w:endnoteReference w:id="131"/>
      </w:r>
      <w:r w:rsidRPr="00101027">
        <w:rPr>
          <w:rFonts w:ascii="Arial" w:hAnsi="Arial" w:cs="Arial"/>
          <w:vertAlign w:val="superscript"/>
        </w:rPr>
        <w:t xml:space="preserve"> </w:t>
      </w:r>
      <w:r w:rsidR="008057D9">
        <w:rPr>
          <w:rFonts w:ascii="Arial" w:hAnsi="Arial" w:cs="Arial"/>
        </w:rPr>
        <w:t>However,</w:t>
      </w:r>
      <w:r w:rsidRPr="00101027">
        <w:rPr>
          <w:rFonts w:ascii="Arial" w:hAnsi="Arial" w:cs="Arial"/>
        </w:rPr>
        <w:t xml:space="preserve"> data exploring the specific experiences of LGBTQ youth in juvenile facilities since the implementation of these reforms is limited.</w:t>
      </w:r>
    </w:p>
    <w:p w14:paraId="0CE98963" w14:textId="77777777" w:rsidR="00101027" w:rsidRPr="00101027" w:rsidRDefault="00101027" w:rsidP="00101027">
      <w:pPr>
        <w:spacing w:after="0"/>
        <w:jc w:val="both"/>
        <w:rPr>
          <w:rFonts w:ascii="Arial" w:hAnsi="Arial" w:cs="Arial"/>
        </w:rPr>
      </w:pPr>
    </w:p>
    <w:p w14:paraId="764862AB" w14:textId="77777777" w:rsidR="00101027" w:rsidRPr="00101027" w:rsidRDefault="00B43C3B" w:rsidP="00101027">
      <w:pPr>
        <w:spacing w:after="0"/>
        <w:jc w:val="both"/>
        <w:rPr>
          <w:rFonts w:ascii="Arial" w:hAnsi="Arial" w:cs="Arial"/>
          <w:vertAlign w:val="superscript"/>
        </w:rPr>
      </w:pPr>
      <w:r>
        <w:rPr>
          <w:rFonts w:ascii="Arial" w:hAnsi="Arial" w:cs="Arial"/>
        </w:rPr>
        <w:t>In prisons, isolation is a serious problem for LGBTQ yo</w:t>
      </w:r>
      <w:r w:rsidR="00557A54">
        <w:rPr>
          <w:rFonts w:ascii="Arial" w:hAnsi="Arial" w:cs="Arial"/>
        </w:rPr>
        <w:t>u</w:t>
      </w:r>
      <w:r>
        <w:rPr>
          <w:rFonts w:ascii="Arial" w:hAnsi="Arial" w:cs="Arial"/>
        </w:rPr>
        <w:t>th</w:t>
      </w:r>
      <w:r w:rsidR="00101027" w:rsidRPr="00101027">
        <w:rPr>
          <w:rFonts w:ascii="Arial" w:hAnsi="Arial" w:cs="Arial"/>
        </w:rPr>
        <w:t>.</w:t>
      </w:r>
      <w:r w:rsidR="00101027" w:rsidRPr="00101027">
        <w:rPr>
          <w:rFonts w:ascii="Arial" w:hAnsi="Arial" w:cs="Arial"/>
          <w:vertAlign w:val="superscript"/>
        </w:rPr>
        <w:t xml:space="preserve"> </w:t>
      </w:r>
      <w:r w:rsidR="00101027" w:rsidRPr="00101027">
        <w:rPr>
          <w:rFonts w:ascii="Arial" w:hAnsi="Arial" w:cs="Arial"/>
        </w:rPr>
        <w:t>Although P</w:t>
      </w:r>
      <w:r w:rsidR="00FD6B28">
        <w:rPr>
          <w:rFonts w:ascii="Arial" w:hAnsi="Arial" w:cs="Arial"/>
        </w:rPr>
        <w:t>REA standards limit the use of “protective isolation”</w:t>
      </w:r>
      <w:r w:rsidR="00101027" w:rsidRPr="00101027">
        <w:rPr>
          <w:rFonts w:ascii="Arial" w:hAnsi="Arial" w:cs="Arial"/>
        </w:rPr>
        <w:t xml:space="preserve"> for LGBTQ and intersex youth, a 2015 report by the </w:t>
      </w:r>
      <w:r w:rsidR="00C8686D">
        <w:rPr>
          <w:rFonts w:ascii="Arial" w:hAnsi="Arial" w:cs="Arial"/>
        </w:rPr>
        <w:t xml:space="preserve">federal </w:t>
      </w:r>
      <w:r w:rsidR="00101027" w:rsidRPr="00101027">
        <w:rPr>
          <w:rFonts w:ascii="Arial" w:hAnsi="Arial" w:cs="Arial"/>
        </w:rPr>
        <w:t xml:space="preserve">Bureau of Justice Statistics found that approximately 30% of LGB </w:t>
      </w:r>
      <w:r>
        <w:rPr>
          <w:rFonts w:ascii="Arial" w:hAnsi="Arial" w:cs="Arial"/>
        </w:rPr>
        <w:t>young people in prison</w:t>
      </w:r>
      <w:r w:rsidR="00101027" w:rsidRPr="00101027">
        <w:rPr>
          <w:rFonts w:ascii="Arial" w:hAnsi="Arial" w:cs="Arial"/>
        </w:rPr>
        <w:t xml:space="preserve"> were placed in segregated or isolated housing compared to 18% of </w:t>
      </w:r>
      <w:r>
        <w:rPr>
          <w:rFonts w:ascii="Arial" w:hAnsi="Arial" w:cs="Arial"/>
        </w:rPr>
        <w:t>their non-LGB peers</w:t>
      </w:r>
      <w:r w:rsidR="00101027" w:rsidRPr="00101027">
        <w:rPr>
          <w:rFonts w:ascii="Arial" w:hAnsi="Arial" w:cs="Arial"/>
        </w:rPr>
        <w:t>.</w:t>
      </w:r>
      <w:r w:rsidR="00101027" w:rsidRPr="00101027">
        <w:rPr>
          <w:rFonts w:ascii="Arial" w:hAnsi="Arial" w:cs="Arial"/>
          <w:vertAlign w:val="superscript"/>
        </w:rPr>
        <w:endnoteReference w:id="132"/>
      </w:r>
      <w:r w:rsidR="00101027" w:rsidRPr="00101027">
        <w:rPr>
          <w:rFonts w:ascii="Arial" w:hAnsi="Arial" w:cs="Arial"/>
          <w:vertAlign w:val="superscript"/>
        </w:rPr>
        <w:t xml:space="preserve"> </w:t>
      </w:r>
      <w:r w:rsidR="00FD6B28">
        <w:rPr>
          <w:rFonts w:ascii="Arial" w:hAnsi="Arial" w:cs="Arial"/>
        </w:rPr>
        <w:t>Another</w:t>
      </w:r>
      <w:r w:rsidR="00101027" w:rsidRPr="00101027">
        <w:rPr>
          <w:rFonts w:ascii="Arial" w:hAnsi="Arial" w:cs="Arial"/>
        </w:rPr>
        <w:t xml:space="preserve"> 2015 report put the proportion of LGBTQ inmates who had been in solitary confinement at 85%.</w:t>
      </w:r>
      <w:r w:rsidR="00101027" w:rsidRPr="00101027">
        <w:rPr>
          <w:rFonts w:ascii="Arial" w:hAnsi="Arial" w:cs="Arial"/>
          <w:vertAlign w:val="superscript"/>
        </w:rPr>
        <w:endnoteReference w:id="133"/>
      </w:r>
      <w:r w:rsidR="00101027" w:rsidRPr="00101027">
        <w:rPr>
          <w:rFonts w:ascii="Arial" w:hAnsi="Arial" w:cs="Arial"/>
          <w:vertAlign w:val="superscript"/>
        </w:rPr>
        <w:t xml:space="preserve"> </w:t>
      </w:r>
      <w:r w:rsidR="00101027" w:rsidRPr="00101027">
        <w:rPr>
          <w:rFonts w:ascii="Arial" w:hAnsi="Arial" w:cs="Arial"/>
        </w:rPr>
        <w:t xml:space="preserve">In addition, 2016 guidelines by the U.S. Department of Justice banning the use of solitary </w:t>
      </w:r>
      <w:r w:rsidR="00101027" w:rsidRPr="00101027">
        <w:rPr>
          <w:rFonts w:ascii="Arial" w:hAnsi="Arial" w:cs="Arial"/>
        </w:rPr>
        <w:lastRenderedPageBreak/>
        <w:t>confinement for youth applied exclusively to federal facilities, not state or local systems</w:t>
      </w:r>
      <w:r w:rsidR="00FD6B28">
        <w:rPr>
          <w:rFonts w:ascii="Arial" w:hAnsi="Arial" w:cs="Arial"/>
        </w:rPr>
        <w:t xml:space="preserve">. When </w:t>
      </w:r>
      <w:r w:rsidR="00101027" w:rsidRPr="00101027">
        <w:rPr>
          <w:rFonts w:ascii="Arial" w:hAnsi="Arial" w:cs="Arial"/>
        </w:rPr>
        <w:t xml:space="preserve">isolation </w:t>
      </w:r>
      <w:r w:rsidR="00FD6B28">
        <w:rPr>
          <w:rFonts w:ascii="Arial" w:hAnsi="Arial" w:cs="Arial"/>
        </w:rPr>
        <w:t>is used</w:t>
      </w:r>
      <w:r w:rsidR="00101027" w:rsidRPr="00101027">
        <w:rPr>
          <w:rFonts w:ascii="Arial" w:hAnsi="Arial" w:cs="Arial"/>
        </w:rPr>
        <w:t xml:space="preserve">, </w:t>
      </w:r>
      <w:r w:rsidR="00FD6B28">
        <w:rPr>
          <w:rFonts w:ascii="Arial" w:hAnsi="Arial" w:cs="Arial"/>
        </w:rPr>
        <w:t>there is</w:t>
      </w:r>
      <w:r w:rsidR="00101027" w:rsidRPr="00101027">
        <w:rPr>
          <w:rFonts w:ascii="Arial" w:hAnsi="Arial" w:cs="Arial"/>
        </w:rPr>
        <w:t xml:space="preserve"> a correlated increase in the risk of suicide and abuse by staff.</w:t>
      </w:r>
      <w:r w:rsidR="00101027" w:rsidRPr="00101027">
        <w:rPr>
          <w:rFonts w:ascii="Arial" w:hAnsi="Arial" w:cs="Arial"/>
          <w:vertAlign w:val="superscript"/>
        </w:rPr>
        <w:endnoteReference w:id="134"/>
      </w:r>
    </w:p>
    <w:p w14:paraId="51FE33CE" w14:textId="77777777" w:rsidR="00101027" w:rsidRPr="00101027" w:rsidRDefault="00101027" w:rsidP="00101027">
      <w:pPr>
        <w:spacing w:after="0"/>
        <w:jc w:val="both"/>
        <w:rPr>
          <w:rFonts w:ascii="Arial" w:hAnsi="Arial" w:cs="Arial"/>
        </w:rPr>
      </w:pPr>
    </w:p>
    <w:p w14:paraId="20163F14" w14:textId="77777777" w:rsidR="00101027" w:rsidRPr="00101027" w:rsidRDefault="00101027" w:rsidP="00101027">
      <w:pPr>
        <w:spacing w:after="0"/>
        <w:jc w:val="both"/>
        <w:rPr>
          <w:rFonts w:ascii="Arial" w:hAnsi="Arial" w:cs="Arial"/>
        </w:rPr>
      </w:pPr>
      <w:r w:rsidRPr="00101027">
        <w:rPr>
          <w:rFonts w:ascii="Arial" w:hAnsi="Arial" w:cs="Arial"/>
        </w:rPr>
        <w:t>In addition to inadequate placements, many LGBTQ youth in prison</w:t>
      </w:r>
      <w:r w:rsidR="00B43C3B">
        <w:rPr>
          <w:rFonts w:ascii="Arial" w:hAnsi="Arial" w:cs="Arial"/>
        </w:rPr>
        <w:t xml:space="preserve"> </w:t>
      </w:r>
      <w:r w:rsidRPr="00101027">
        <w:rPr>
          <w:rFonts w:ascii="Arial" w:hAnsi="Arial" w:cs="Arial"/>
        </w:rPr>
        <w:t xml:space="preserve">report abuse and mistreatment by staff and other inmates. </w:t>
      </w:r>
      <w:r w:rsidR="00B43C3B" w:rsidRPr="00101027">
        <w:rPr>
          <w:rFonts w:ascii="Arial" w:hAnsi="Arial" w:cs="Arial"/>
        </w:rPr>
        <w:t>According to</w:t>
      </w:r>
      <w:r w:rsidR="00C8686D">
        <w:rPr>
          <w:rFonts w:ascii="Arial" w:hAnsi="Arial" w:cs="Arial"/>
        </w:rPr>
        <w:t xml:space="preserve"> a national report of</w:t>
      </w:r>
      <w:r w:rsidR="00B43C3B" w:rsidRPr="00101027">
        <w:rPr>
          <w:rFonts w:ascii="Arial" w:hAnsi="Arial" w:cs="Arial"/>
        </w:rPr>
        <w:t xml:space="preserve"> the Bureau of Justice Statistics in 2016, LGBTQ youth had a seven times higher risk (10.4%) of being sexually assaulted by a fellow inmate than non-LGBTQ peers (1.4%).</w:t>
      </w:r>
      <w:r w:rsidR="00B43C3B" w:rsidRPr="00101027">
        <w:rPr>
          <w:rFonts w:ascii="Arial" w:hAnsi="Arial" w:cs="Arial"/>
          <w:vertAlign w:val="superscript"/>
        </w:rPr>
        <w:endnoteReference w:id="135"/>
      </w:r>
      <w:r w:rsidR="00B43C3B" w:rsidRPr="00101027">
        <w:rPr>
          <w:rFonts w:ascii="Arial" w:hAnsi="Arial" w:cs="Arial"/>
          <w:vertAlign w:val="superscript"/>
        </w:rPr>
        <w:t xml:space="preserve"> </w:t>
      </w:r>
      <w:r w:rsidRPr="00101027">
        <w:rPr>
          <w:rFonts w:ascii="Arial" w:hAnsi="Arial" w:cs="Arial"/>
        </w:rPr>
        <w:t xml:space="preserve">A </w:t>
      </w:r>
      <w:r w:rsidR="00B43C3B">
        <w:rPr>
          <w:rFonts w:ascii="Arial" w:hAnsi="Arial" w:cs="Arial"/>
        </w:rPr>
        <w:t xml:space="preserve">California </w:t>
      </w:r>
      <w:r w:rsidRPr="00101027">
        <w:rPr>
          <w:rFonts w:ascii="Arial" w:hAnsi="Arial" w:cs="Arial"/>
        </w:rPr>
        <w:t xml:space="preserve">study </w:t>
      </w:r>
      <w:r w:rsidR="00B43C3B">
        <w:rPr>
          <w:rFonts w:ascii="Arial" w:hAnsi="Arial" w:cs="Arial"/>
        </w:rPr>
        <w:t>found</w:t>
      </w:r>
      <w:r w:rsidRPr="00101027">
        <w:rPr>
          <w:rFonts w:ascii="Arial" w:hAnsi="Arial" w:cs="Arial"/>
        </w:rPr>
        <w:t xml:space="preserve"> that 60% of transgender women housed in male prisons had been sexually assaulted while in the facility</w:t>
      </w:r>
      <w:r w:rsidR="00B43C3B">
        <w:rPr>
          <w:rFonts w:ascii="Arial" w:hAnsi="Arial" w:cs="Arial"/>
        </w:rPr>
        <w:t>, and that c</w:t>
      </w:r>
      <w:r w:rsidRPr="00101027">
        <w:rPr>
          <w:rFonts w:ascii="Arial" w:hAnsi="Arial" w:cs="Arial"/>
        </w:rPr>
        <w:t>ompared to other inmates, transgender women were thirteen times more likely to be sexually abused.</w:t>
      </w:r>
      <w:r w:rsidRPr="00101027">
        <w:rPr>
          <w:rFonts w:ascii="Arial" w:hAnsi="Arial" w:cs="Arial"/>
          <w:vertAlign w:val="superscript"/>
        </w:rPr>
        <w:endnoteReference w:id="136"/>
      </w:r>
      <w:r w:rsidRPr="00101027">
        <w:rPr>
          <w:rFonts w:ascii="Arial" w:hAnsi="Arial" w:cs="Arial"/>
          <w:vertAlign w:val="superscript"/>
        </w:rPr>
        <w:t xml:space="preserve"> </w:t>
      </w:r>
      <w:r w:rsidR="004A4C86">
        <w:rPr>
          <w:rFonts w:ascii="Arial" w:hAnsi="Arial" w:cs="Arial"/>
        </w:rPr>
        <w:t>A national</w:t>
      </w:r>
      <w:r w:rsidRPr="00101027">
        <w:rPr>
          <w:rFonts w:ascii="Arial" w:hAnsi="Arial" w:cs="Arial"/>
        </w:rPr>
        <w:t xml:space="preserve"> study showed that four in five (80%) </w:t>
      </w:r>
      <w:r w:rsidR="00B43C3B">
        <w:rPr>
          <w:rFonts w:ascii="Arial" w:hAnsi="Arial" w:cs="Arial"/>
        </w:rPr>
        <w:t>queer and transgender</w:t>
      </w:r>
      <w:r w:rsidRPr="00101027">
        <w:rPr>
          <w:rFonts w:ascii="Arial" w:hAnsi="Arial" w:cs="Arial"/>
        </w:rPr>
        <w:t xml:space="preserve"> girls in juvenile facilities had experienced sexual abuse while in custody.</w:t>
      </w:r>
      <w:r w:rsidRPr="00101027">
        <w:rPr>
          <w:rFonts w:ascii="Arial" w:hAnsi="Arial" w:cs="Arial"/>
          <w:vertAlign w:val="superscript"/>
        </w:rPr>
        <w:endnoteReference w:id="137"/>
      </w:r>
      <w:r w:rsidRPr="00101027">
        <w:rPr>
          <w:rFonts w:ascii="Arial" w:hAnsi="Arial" w:cs="Arial"/>
        </w:rPr>
        <w:t xml:space="preserve"> </w:t>
      </w:r>
      <w:r w:rsidR="004A4C86">
        <w:rPr>
          <w:rFonts w:ascii="Arial" w:hAnsi="Arial" w:cs="Arial"/>
        </w:rPr>
        <w:t>A</w:t>
      </w:r>
      <w:r w:rsidRPr="00101027">
        <w:rPr>
          <w:rFonts w:ascii="Arial" w:hAnsi="Arial" w:cs="Arial"/>
        </w:rPr>
        <w:t xml:space="preserve">nother national survey </w:t>
      </w:r>
      <w:r w:rsidR="004A4C86">
        <w:rPr>
          <w:rFonts w:ascii="Arial" w:hAnsi="Arial" w:cs="Arial"/>
        </w:rPr>
        <w:t>found</w:t>
      </w:r>
      <w:r w:rsidRPr="00101027">
        <w:rPr>
          <w:rFonts w:ascii="Arial" w:hAnsi="Arial" w:cs="Arial"/>
        </w:rPr>
        <w:t xml:space="preserve"> that 20.6% of </w:t>
      </w:r>
      <w:r w:rsidR="00FD6B28">
        <w:rPr>
          <w:rFonts w:ascii="Arial" w:hAnsi="Arial" w:cs="Arial"/>
        </w:rPr>
        <w:t>sexual minority</w:t>
      </w:r>
      <w:r w:rsidRPr="00101027">
        <w:rPr>
          <w:rFonts w:ascii="Arial" w:hAnsi="Arial" w:cs="Arial"/>
        </w:rPr>
        <w:t xml:space="preserve"> </w:t>
      </w:r>
      <w:r w:rsidR="004A4C86">
        <w:rPr>
          <w:rFonts w:ascii="Arial" w:hAnsi="Arial" w:cs="Arial"/>
        </w:rPr>
        <w:t>young men</w:t>
      </w:r>
      <w:r w:rsidRPr="00101027">
        <w:rPr>
          <w:rFonts w:ascii="Arial" w:hAnsi="Arial" w:cs="Arial"/>
        </w:rPr>
        <w:t xml:space="preserve"> were sexually assaulted by a fellow inmate compared to 1.9% of </w:t>
      </w:r>
      <w:r w:rsidR="004A4C86">
        <w:rPr>
          <w:rFonts w:ascii="Arial" w:hAnsi="Arial" w:cs="Arial"/>
        </w:rPr>
        <w:t xml:space="preserve">their </w:t>
      </w:r>
      <w:r w:rsidR="00FD6B28">
        <w:rPr>
          <w:rFonts w:ascii="Arial" w:hAnsi="Arial" w:cs="Arial"/>
        </w:rPr>
        <w:t>heterosexual</w:t>
      </w:r>
      <w:r w:rsidR="004A4C86">
        <w:rPr>
          <w:rFonts w:ascii="Arial" w:hAnsi="Arial" w:cs="Arial"/>
        </w:rPr>
        <w:t xml:space="preserve"> peers</w:t>
      </w:r>
      <w:r w:rsidRPr="00101027">
        <w:rPr>
          <w:rFonts w:ascii="Arial" w:hAnsi="Arial" w:cs="Arial"/>
        </w:rPr>
        <w:t>.</w:t>
      </w:r>
      <w:r w:rsidRPr="00101027">
        <w:rPr>
          <w:rFonts w:ascii="Arial" w:hAnsi="Arial" w:cs="Arial"/>
          <w:vertAlign w:val="superscript"/>
        </w:rPr>
        <w:endnoteReference w:id="138"/>
      </w:r>
      <w:r w:rsidRPr="00101027">
        <w:rPr>
          <w:rFonts w:ascii="Arial" w:hAnsi="Arial" w:cs="Arial"/>
        </w:rPr>
        <w:t xml:space="preserve"> </w:t>
      </w:r>
    </w:p>
    <w:p w14:paraId="107EA28F" w14:textId="77777777" w:rsidR="00101027" w:rsidRPr="00101027" w:rsidRDefault="00101027" w:rsidP="00101027">
      <w:pPr>
        <w:spacing w:after="0"/>
        <w:jc w:val="both"/>
        <w:rPr>
          <w:rFonts w:ascii="Arial" w:hAnsi="Arial" w:cs="Arial"/>
        </w:rPr>
      </w:pPr>
    </w:p>
    <w:p w14:paraId="652EF594" w14:textId="77777777" w:rsidR="00101027" w:rsidRPr="00101027" w:rsidRDefault="00101027" w:rsidP="00101027">
      <w:pPr>
        <w:spacing w:after="0"/>
        <w:jc w:val="both"/>
        <w:rPr>
          <w:rFonts w:ascii="Arial" w:hAnsi="Arial" w:cs="Arial"/>
        </w:rPr>
      </w:pPr>
      <w:r w:rsidRPr="00101027">
        <w:rPr>
          <w:rFonts w:ascii="Arial" w:hAnsi="Arial" w:cs="Arial"/>
        </w:rPr>
        <w:t>Unfortunately, the sexual and reproductive health care needs of LGBTQ youth often go unmet. As a result, the rate of sexually transmitted infections and HIV transmission is significantly higher among those who have been recently released from criminal justice facilities than in the general population.</w:t>
      </w:r>
      <w:r w:rsidRPr="00101027">
        <w:rPr>
          <w:rFonts w:ascii="Arial" w:hAnsi="Arial" w:cs="Arial"/>
          <w:vertAlign w:val="superscript"/>
        </w:rPr>
        <w:endnoteReference w:id="139"/>
      </w:r>
      <w:r w:rsidRPr="00101027">
        <w:rPr>
          <w:rFonts w:ascii="Arial" w:hAnsi="Arial" w:cs="Arial"/>
          <w:vertAlign w:val="superscript"/>
        </w:rPr>
        <w:t xml:space="preserve"> </w:t>
      </w:r>
      <w:r w:rsidRPr="00101027">
        <w:rPr>
          <w:rFonts w:ascii="Arial" w:hAnsi="Arial" w:cs="Arial"/>
        </w:rPr>
        <w:t>In addition, a majority of juvenile justice facilities are ill equipped to meet the medical needs of transgender youth including the need for transition-related hormone or hormone blockers to delay puberty.</w:t>
      </w:r>
      <w:r w:rsidRPr="00101027">
        <w:rPr>
          <w:rFonts w:ascii="Arial" w:hAnsi="Arial" w:cs="Arial"/>
          <w:vertAlign w:val="superscript"/>
        </w:rPr>
        <w:endnoteReference w:id="140"/>
      </w:r>
      <w:r w:rsidRPr="00101027">
        <w:rPr>
          <w:rFonts w:ascii="Arial" w:hAnsi="Arial" w:cs="Arial"/>
          <w:vertAlign w:val="superscript"/>
        </w:rPr>
        <w:t xml:space="preserve"> </w:t>
      </w:r>
      <w:r w:rsidRPr="00101027">
        <w:rPr>
          <w:rFonts w:ascii="Arial" w:hAnsi="Arial" w:cs="Arial"/>
        </w:rPr>
        <w:t xml:space="preserve"> </w:t>
      </w:r>
    </w:p>
    <w:p w14:paraId="5590205B" w14:textId="77777777" w:rsidR="00101027" w:rsidRPr="00101027" w:rsidRDefault="00101027" w:rsidP="00101027">
      <w:pPr>
        <w:spacing w:after="0"/>
        <w:jc w:val="both"/>
        <w:rPr>
          <w:rFonts w:ascii="Arial" w:hAnsi="Arial" w:cs="Arial"/>
        </w:rPr>
      </w:pPr>
    </w:p>
    <w:p w14:paraId="15362AFD" w14:textId="49260D74" w:rsidR="00101027" w:rsidRDefault="00557A54" w:rsidP="00101027">
      <w:pPr>
        <w:spacing w:after="0"/>
        <w:jc w:val="both"/>
        <w:rPr>
          <w:rFonts w:ascii="Arial" w:hAnsi="Arial" w:cs="Arial"/>
        </w:rPr>
      </w:pPr>
      <w:r>
        <w:rPr>
          <w:rFonts w:ascii="Arial" w:hAnsi="Arial" w:cs="Arial"/>
        </w:rPr>
        <w:t xml:space="preserve">Confidentiality is another concern for </w:t>
      </w:r>
      <w:r w:rsidR="00101027" w:rsidRPr="00101027">
        <w:rPr>
          <w:rFonts w:ascii="Arial" w:hAnsi="Arial" w:cs="Arial"/>
        </w:rPr>
        <w:t>LGBTQ inmates</w:t>
      </w:r>
      <w:r>
        <w:rPr>
          <w:rFonts w:ascii="Arial" w:hAnsi="Arial" w:cs="Arial"/>
        </w:rPr>
        <w:t>, many of whom</w:t>
      </w:r>
      <w:r w:rsidR="00101027" w:rsidRPr="00101027">
        <w:rPr>
          <w:rFonts w:ascii="Arial" w:hAnsi="Arial" w:cs="Arial"/>
        </w:rPr>
        <w:t xml:space="preserve"> report that they have been outed to their parents by facility staff during family visitation sessions.</w:t>
      </w:r>
      <w:r w:rsidR="00101027" w:rsidRPr="00101027">
        <w:rPr>
          <w:rFonts w:ascii="Arial" w:hAnsi="Arial" w:cs="Arial"/>
          <w:vertAlign w:val="superscript"/>
        </w:rPr>
        <w:endnoteReference w:id="141"/>
      </w:r>
      <w:r>
        <w:rPr>
          <w:rFonts w:ascii="Arial" w:hAnsi="Arial" w:cs="Arial"/>
        </w:rPr>
        <w:t xml:space="preserve"> This can compound the fact that many LGBTQ youth are already isolated from their families of origi</w:t>
      </w:r>
      <w:r w:rsidR="00D153E8">
        <w:rPr>
          <w:rFonts w:ascii="Arial" w:hAnsi="Arial" w:cs="Arial"/>
        </w:rPr>
        <w:t>n and that others close to them such as friends or partners may lack the right or ability to visit them.</w:t>
      </w:r>
    </w:p>
    <w:p w14:paraId="5A1BDCE9" w14:textId="77777777" w:rsidR="00557A54" w:rsidRPr="00101027" w:rsidRDefault="00557A54" w:rsidP="00101027">
      <w:pPr>
        <w:spacing w:after="0"/>
        <w:jc w:val="both"/>
        <w:rPr>
          <w:rFonts w:ascii="Arial" w:hAnsi="Arial" w:cs="Arial"/>
        </w:rPr>
      </w:pPr>
    </w:p>
    <w:p w14:paraId="79F6CEE7" w14:textId="3FC682C1" w:rsidR="00F37159" w:rsidRPr="00F37159" w:rsidRDefault="00F37159" w:rsidP="006B6DCE">
      <w:pPr>
        <w:pStyle w:val="Heading2"/>
      </w:pPr>
      <w:bookmarkStart w:id="23" w:name="_Toc512947901"/>
      <w:r>
        <w:t>IV</w:t>
      </w:r>
      <w:r w:rsidRPr="00F37159">
        <w:t>. Health</w:t>
      </w:r>
      <w:r w:rsidR="004831C5">
        <w:t xml:space="preserve"> Disparities</w:t>
      </w:r>
      <w:bookmarkEnd w:id="23"/>
    </w:p>
    <w:p w14:paraId="0C6C6237" w14:textId="3D92F816" w:rsidR="00F37159" w:rsidRDefault="00D153E8" w:rsidP="00F37159">
      <w:pPr>
        <w:spacing w:after="0"/>
        <w:jc w:val="both"/>
        <w:rPr>
          <w:rFonts w:ascii="Arial" w:hAnsi="Arial" w:cs="Arial"/>
        </w:rPr>
      </w:pPr>
      <w:r>
        <w:rPr>
          <w:noProof/>
        </w:rPr>
        <w:drawing>
          <wp:anchor distT="0" distB="0" distL="114300" distR="114300" simplePos="0" relativeHeight="251750400" behindDoc="0" locked="0" layoutInCell="0" allowOverlap="1" wp14:anchorId="199ED840" wp14:editId="4A4432E4">
            <wp:simplePos x="0" y="0"/>
            <wp:positionH relativeFrom="page">
              <wp:posOffset>895985</wp:posOffset>
            </wp:positionH>
            <wp:positionV relativeFrom="page">
              <wp:posOffset>6082665</wp:posOffset>
            </wp:positionV>
            <wp:extent cx="3200400" cy="2413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00400" cy="24130"/>
                    </a:xfrm>
                    <a:prstGeom prst="rect">
                      <a:avLst/>
                    </a:prstGeom>
                    <a:noFill/>
                  </pic:spPr>
                </pic:pic>
              </a:graphicData>
            </a:graphic>
          </wp:anchor>
        </w:drawing>
      </w:r>
    </w:p>
    <w:p w14:paraId="350099D8" w14:textId="77777777" w:rsidR="00F37159" w:rsidRPr="00F37159" w:rsidRDefault="00F37159" w:rsidP="00F37159">
      <w:pPr>
        <w:spacing w:after="0"/>
        <w:jc w:val="both"/>
        <w:rPr>
          <w:rFonts w:ascii="Arial" w:hAnsi="Arial" w:cs="Arial"/>
          <w:i/>
        </w:rPr>
      </w:pPr>
      <w:r>
        <w:rPr>
          <w:rFonts w:ascii="Arial" w:hAnsi="Arial" w:cs="Arial"/>
          <w:i/>
        </w:rPr>
        <w:t xml:space="preserve">See related recommendations on page </w:t>
      </w:r>
      <w:r w:rsidR="008528EE">
        <w:rPr>
          <w:rFonts w:ascii="Arial" w:hAnsi="Arial" w:cs="Arial"/>
          <w:i/>
        </w:rPr>
        <w:t>11</w:t>
      </w:r>
    </w:p>
    <w:p w14:paraId="731AC058" w14:textId="77777777" w:rsidR="00F37159" w:rsidRDefault="00F37159" w:rsidP="00F37159">
      <w:pPr>
        <w:spacing w:after="0"/>
        <w:jc w:val="both"/>
        <w:rPr>
          <w:rFonts w:ascii="Arial" w:hAnsi="Arial" w:cs="Arial"/>
        </w:rPr>
      </w:pPr>
    </w:p>
    <w:p w14:paraId="6451D7BE" w14:textId="0092036C" w:rsidR="00557A54" w:rsidRPr="00557A54" w:rsidRDefault="00404442" w:rsidP="00557A54">
      <w:pPr>
        <w:spacing w:after="0"/>
        <w:jc w:val="both"/>
        <w:rPr>
          <w:rFonts w:ascii="Arial" w:hAnsi="Arial" w:cs="Arial"/>
        </w:rPr>
      </w:pPr>
      <w:r w:rsidRPr="00404442">
        <w:rPr>
          <w:rFonts w:ascii="Arial" w:hAnsi="Arial" w:cs="Arial"/>
        </w:rPr>
        <w:t>In addition to the issue of mental health, which has been critical for the Commission due to its close relationship to bullying, the Commission monitors other health disparities facing LGBTQ youth, especially in the area of sexual health. These disparities are also tied to bullying, as they frequently result from or are exacerbated by rejection and harassment. Seeking out information and resources needed for LGBTQ youth in particular also puts them at risk for further bullying, harassment, and mistreatment. Research shows that strong parental attachment and peer support are essential formative factors in healthy development</w:t>
      </w:r>
      <w:r w:rsidR="004831C5">
        <w:rPr>
          <w:rFonts w:ascii="Arial" w:hAnsi="Arial" w:cs="Arial"/>
        </w:rPr>
        <w:t>,</w:t>
      </w:r>
      <w:r w:rsidR="00557A54" w:rsidRPr="00557A54">
        <w:rPr>
          <w:rFonts w:ascii="Arial" w:hAnsi="Arial" w:cs="Arial"/>
          <w:vertAlign w:val="superscript"/>
        </w:rPr>
        <w:endnoteReference w:id="142"/>
      </w:r>
      <w:r w:rsidR="004831C5">
        <w:rPr>
          <w:rFonts w:ascii="Arial" w:hAnsi="Arial" w:cs="Arial"/>
        </w:rPr>
        <w:t xml:space="preserve"> and these are unfortunately </w:t>
      </w:r>
      <w:r w:rsidR="00160424">
        <w:rPr>
          <w:rFonts w:ascii="Arial" w:hAnsi="Arial" w:cs="Arial"/>
        </w:rPr>
        <w:t>supports</w:t>
      </w:r>
      <w:r w:rsidR="004831C5">
        <w:rPr>
          <w:rFonts w:ascii="Arial" w:hAnsi="Arial" w:cs="Arial"/>
        </w:rPr>
        <w:t xml:space="preserve"> that LGBTQ youth are often lacking.</w:t>
      </w:r>
      <w:r w:rsidR="00557A54" w:rsidRPr="00557A54">
        <w:rPr>
          <w:rFonts w:ascii="Arial" w:hAnsi="Arial" w:cs="Arial"/>
        </w:rPr>
        <w:t xml:space="preserve"> </w:t>
      </w:r>
      <w:r w:rsidR="004831C5">
        <w:rPr>
          <w:rFonts w:ascii="Arial" w:hAnsi="Arial" w:cs="Arial"/>
        </w:rPr>
        <w:t>LGBTQ students also</w:t>
      </w:r>
      <w:r w:rsidR="00160424">
        <w:rPr>
          <w:rFonts w:ascii="Arial" w:hAnsi="Arial" w:cs="Arial"/>
        </w:rPr>
        <w:t xml:space="preserve"> may</w:t>
      </w:r>
      <w:r w:rsidR="004831C5">
        <w:rPr>
          <w:rFonts w:ascii="Arial" w:hAnsi="Arial" w:cs="Arial"/>
        </w:rPr>
        <w:t xml:space="preserve"> lack </w:t>
      </w:r>
      <w:r w:rsidR="00160424">
        <w:rPr>
          <w:rFonts w:ascii="Arial" w:hAnsi="Arial" w:cs="Arial"/>
        </w:rPr>
        <w:t xml:space="preserve">in-school </w:t>
      </w:r>
      <w:r w:rsidR="004831C5">
        <w:rPr>
          <w:rFonts w:ascii="Arial" w:hAnsi="Arial" w:cs="Arial"/>
        </w:rPr>
        <w:t xml:space="preserve">support </w:t>
      </w:r>
      <w:r w:rsidR="00160424">
        <w:rPr>
          <w:rFonts w:ascii="Arial" w:hAnsi="Arial" w:cs="Arial"/>
        </w:rPr>
        <w:t>for attaining and</w:t>
      </w:r>
      <w:r w:rsidR="004831C5">
        <w:rPr>
          <w:rFonts w:ascii="Arial" w:hAnsi="Arial" w:cs="Arial"/>
        </w:rPr>
        <w:t xml:space="preserve"> maintaining good </w:t>
      </w:r>
      <w:r w:rsidR="00D153E8">
        <w:rPr>
          <w:rFonts w:ascii="Arial" w:hAnsi="Arial" w:cs="Arial"/>
        </w:rPr>
        <w:t xml:space="preserve">health </w:t>
      </w:r>
      <w:r w:rsidR="004831C5">
        <w:rPr>
          <w:rFonts w:ascii="Arial" w:hAnsi="Arial" w:cs="Arial"/>
        </w:rPr>
        <w:t xml:space="preserve">as the Commonwealth does not require that comprehensive, age-appropriate, and inclusive sexual health education </w:t>
      </w:r>
      <w:r w:rsidR="00160424">
        <w:rPr>
          <w:rFonts w:ascii="Arial" w:hAnsi="Arial" w:cs="Arial"/>
        </w:rPr>
        <w:t>be</w:t>
      </w:r>
      <w:r w:rsidR="001C56DB">
        <w:rPr>
          <w:rFonts w:ascii="Arial" w:hAnsi="Arial" w:cs="Arial"/>
        </w:rPr>
        <w:t xml:space="preserve"> provided to all students, as the Commission has recommended at page </w:t>
      </w:r>
      <w:r w:rsidR="00C64403">
        <w:rPr>
          <w:rFonts w:ascii="Arial" w:hAnsi="Arial" w:cs="Arial"/>
        </w:rPr>
        <w:t>11</w:t>
      </w:r>
      <w:r w:rsidR="001C56DB">
        <w:rPr>
          <w:rFonts w:ascii="Arial" w:hAnsi="Arial" w:cs="Arial"/>
        </w:rPr>
        <w:t xml:space="preserve"> above.</w:t>
      </w:r>
    </w:p>
    <w:p w14:paraId="32CE83E4" w14:textId="77777777" w:rsidR="00F37159" w:rsidRPr="00F37159" w:rsidRDefault="00F37159" w:rsidP="00F37159">
      <w:pPr>
        <w:spacing w:after="0"/>
        <w:jc w:val="both"/>
        <w:rPr>
          <w:rFonts w:ascii="Arial" w:hAnsi="Arial" w:cs="Arial"/>
        </w:rPr>
      </w:pPr>
    </w:p>
    <w:p w14:paraId="37A6A2F0" w14:textId="77777777" w:rsidR="00F37159" w:rsidRPr="00F37159" w:rsidRDefault="00F37159" w:rsidP="00F94896">
      <w:pPr>
        <w:pStyle w:val="Heading3"/>
      </w:pPr>
      <w:bookmarkStart w:id="24" w:name="_Toc512947902"/>
      <w:r w:rsidRPr="00F37159">
        <w:lastRenderedPageBreak/>
        <w:t>A. HIV and Sexually-transmitted Infections (STIs)</w:t>
      </w:r>
      <w:bookmarkEnd w:id="24"/>
    </w:p>
    <w:p w14:paraId="0EC59440" w14:textId="77777777" w:rsidR="00F37159" w:rsidRPr="00F37159" w:rsidRDefault="00F37159" w:rsidP="00F37159">
      <w:pPr>
        <w:spacing w:after="0"/>
        <w:jc w:val="both"/>
        <w:rPr>
          <w:rFonts w:ascii="Arial" w:hAnsi="Arial" w:cs="Arial"/>
        </w:rPr>
      </w:pPr>
    </w:p>
    <w:p w14:paraId="4CD52488" w14:textId="77777777" w:rsidR="00CC0FE4" w:rsidRPr="00CC0FE4" w:rsidRDefault="00CC0FE4" w:rsidP="00CC0FE4">
      <w:pPr>
        <w:spacing w:after="0"/>
        <w:jc w:val="both"/>
        <w:rPr>
          <w:rFonts w:ascii="Arial" w:hAnsi="Arial" w:cs="Arial"/>
        </w:rPr>
      </w:pPr>
      <w:r w:rsidRPr="00CC0FE4">
        <w:rPr>
          <w:rFonts w:ascii="Arial" w:hAnsi="Arial" w:cs="Arial"/>
        </w:rPr>
        <w:t xml:space="preserve">Much of the focus on LGBTQ health </w:t>
      </w:r>
      <w:r>
        <w:rPr>
          <w:rFonts w:ascii="Arial" w:hAnsi="Arial" w:cs="Arial"/>
        </w:rPr>
        <w:t xml:space="preserve">for the past several decades </w:t>
      </w:r>
      <w:r w:rsidRPr="00CC0FE4">
        <w:rPr>
          <w:rFonts w:ascii="Arial" w:hAnsi="Arial" w:cs="Arial"/>
        </w:rPr>
        <w:t xml:space="preserve">has been on the HIV epidemic. LGBTQ youth, particularly </w:t>
      </w:r>
      <w:r>
        <w:rPr>
          <w:rFonts w:ascii="Arial" w:hAnsi="Arial" w:cs="Arial"/>
        </w:rPr>
        <w:t>those</w:t>
      </w:r>
      <w:r w:rsidRPr="00CC0FE4">
        <w:rPr>
          <w:rFonts w:ascii="Arial" w:hAnsi="Arial" w:cs="Arial"/>
        </w:rPr>
        <w:t xml:space="preserve"> of color, continue to be significantly overrepresented among </w:t>
      </w:r>
      <w:r>
        <w:rPr>
          <w:rFonts w:ascii="Arial" w:hAnsi="Arial" w:cs="Arial"/>
        </w:rPr>
        <w:t>people</w:t>
      </w:r>
      <w:r w:rsidRPr="00CC0FE4">
        <w:rPr>
          <w:rFonts w:ascii="Arial" w:hAnsi="Arial" w:cs="Arial"/>
        </w:rPr>
        <w:t xml:space="preserve"> living with HIV in the Commonwealth. While the annual number of new HIV cases decreased by 47% between 2000 and 2014, </w:t>
      </w:r>
      <w:r w:rsidR="00B06C57">
        <w:rPr>
          <w:rFonts w:ascii="Arial" w:hAnsi="Arial" w:cs="Arial"/>
        </w:rPr>
        <w:t>sexual minority</w:t>
      </w:r>
      <w:r w:rsidRPr="00CC0FE4">
        <w:rPr>
          <w:rFonts w:ascii="Arial" w:hAnsi="Arial" w:cs="Arial"/>
        </w:rPr>
        <w:t xml:space="preserve"> men were 28 times more likely to be diagnosed with HIV than were heterosexual men in 2015.</w:t>
      </w:r>
      <w:r w:rsidRPr="00CC0FE4">
        <w:rPr>
          <w:rFonts w:ascii="Arial" w:hAnsi="Arial" w:cs="Arial"/>
          <w:vertAlign w:val="superscript"/>
        </w:rPr>
        <w:endnoteReference w:id="143"/>
      </w:r>
      <w:r w:rsidRPr="00CC0FE4">
        <w:rPr>
          <w:rFonts w:ascii="Arial" w:hAnsi="Arial" w:cs="Arial"/>
        </w:rPr>
        <w:t xml:space="preserve"> </w:t>
      </w:r>
    </w:p>
    <w:p w14:paraId="27E7419C" w14:textId="77777777" w:rsidR="00CC0FE4" w:rsidRPr="00CC0FE4" w:rsidRDefault="00CC0FE4" w:rsidP="00CC0FE4">
      <w:pPr>
        <w:spacing w:after="0"/>
        <w:jc w:val="both"/>
        <w:rPr>
          <w:rFonts w:ascii="Arial" w:hAnsi="Arial" w:cs="Arial"/>
        </w:rPr>
      </w:pPr>
    </w:p>
    <w:p w14:paraId="6DCCCD18" w14:textId="77777777" w:rsidR="00CC0FE4" w:rsidRPr="00CC0FE4" w:rsidRDefault="00CC0FE4" w:rsidP="00CC0FE4">
      <w:pPr>
        <w:spacing w:after="0"/>
        <w:jc w:val="both"/>
        <w:rPr>
          <w:rFonts w:ascii="Arial" w:hAnsi="Arial" w:cs="Arial"/>
        </w:rPr>
      </w:pPr>
      <w:r w:rsidRPr="00CC0FE4">
        <w:rPr>
          <w:rFonts w:ascii="Arial" w:hAnsi="Arial" w:cs="Arial"/>
        </w:rPr>
        <w:t xml:space="preserve">From 2005 to 2014, the number of new HIV diagnoses among </w:t>
      </w:r>
      <w:r w:rsidR="00B06C57">
        <w:rPr>
          <w:rFonts w:ascii="Arial" w:hAnsi="Arial" w:cs="Arial"/>
        </w:rPr>
        <w:t>sexual minority</w:t>
      </w:r>
      <w:r w:rsidRPr="00CC0FE4">
        <w:rPr>
          <w:rFonts w:ascii="Arial" w:hAnsi="Arial" w:cs="Arial"/>
        </w:rPr>
        <w:t xml:space="preserve"> men </w:t>
      </w:r>
      <w:r>
        <w:rPr>
          <w:rFonts w:ascii="Arial" w:hAnsi="Arial" w:cs="Arial"/>
        </w:rPr>
        <w:t xml:space="preserve">under 30 </w:t>
      </w:r>
      <w:r w:rsidRPr="00CC0FE4">
        <w:rPr>
          <w:rFonts w:ascii="Arial" w:hAnsi="Arial" w:cs="Arial"/>
        </w:rPr>
        <w:t xml:space="preserve">increased by 49% even as the incidence of HIV among </w:t>
      </w:r>
      <w:r>
        <w:rPr>
          <w:rFonts w:ascii="Arial" w:hAnsi="Arial" w:cs="Arial"/>
        </w:rPr>
        <w:t xml:space="preserve">older </w:t>
      </w:r>
      <w:r w:rsidR="00B06C57">
        <w:rPr>
          <w:rFonts w:ascii="Arial" w:hAnsi="Arial" w:cs="Arial"/>
        </w:rPr>
        <w:t>sexual minority</w:t>
      </w:r>
      <w:r>
        <w:rPr>
          <w:rFonts w:ascii="Arial" w:hAnsi="Arial" w:cs="Arial"/>
        </w:rPr>
        <w:t xml:space="preserve"> men</w:t>
      </w:r>
      <w:r w:rsidRPr="00CC0FE4">
        <w:rPr>
          <w:rFonts w:ascii="Arial" w:hAnsi="Arial" w:cs="Arial"/>
        </w:rPr>
        <w:t xml:space="preserve"> decreased by 37%.</w:t>
      </w:r>
      <w:r w:rsidRPr="00CC0FE4">
        <w:rPr>
          <w:rFonts w:ascii="Arial" w:hAnsi="Arial" w:cs="Arial"/>
          <w:vertAlign w:val="superscript"/>
        </w:rPr>
        <w:endnoteReference w:id="144"/>
      </w:r>
      <w:r w:rsidRPr="00CC0FE4">
        <w:rPr>
          <w:rFonts w:ascii="Arial" w:hAnsi="Arial" w:cs="Arial"/>
        </w:rPr>
        <w:t xml:space="preserve"> Further</w:t>
      </w:r>
      <w:r>
        <w:rPr>
          <w:rFonts w:ascii="Arial" w:hAnsi="Arial" w:cs="Arial"/>
        </w:rPr>
        <w:t>more</w:t>
      </w:r>
      <w:r w:rsidRPr="00CC0FE4">
        <w:rPr>
          <w:rFonts w:ascii="Arial" w:hAnsi="Arial" w:cs="Arial"/>
        </w:rPr>
        <w:t xml:space="preserve">, despite an overall 11% decline in the rates of new HIV diagnoses among </w:t>
      </w:r>
      <w:r>
        <w:rPr>
          <w:rFonts w:ascii="Arial" w:hAnsi="Arial" w:cs="Arial"/>
        </w:rPr>
        <w:t>White</w:t>
      </w:r>
      <w:r w:rsidRPr="00CC0FE4">
        <w:rPr>
          <w:rFonts w:ascii="Arial" w:hAnsi="Arial" w:cs="Arial"/>
        </w:rPr>
        <w:t xml:space="preserve"> </w:t>
      </w:r>
      <w:r w:rsidR="00B06C57">
        <w:rPr>
          <w:rFonts w:ascii="Arial" w:hAnsi="Arial" w:cs="Arial"/>
        </w:rPr>
        <w:t xml:space="preserve">sexual minority </w:t>
      </w:r>
      <w:r w:rsidRPr="00CC0FE4">
        <w:rPr>
          <w:rFonts w:ascii="Arial" w:hAnsi="Arial" w:cs="Arial"/>
        </w:rPr>
        <w:t xml:space="preserve">men, incidence has </w:t>
      </w:r>
      <w:r>
        <w:rPr>
          <w:rFonts w:ascii="Arial" w:hAnsi="Arial" w:cs="Arial"/>
        </w:rPr>
        <w:t xml:space="preserve">merely </w:t>
      </w:r>
      <w:r w:rsidRPr="00CC0FE4">
        <w:rPr>
          <w:rFonts w:ascii="Arial" w:hAnsi="Arial" w:cs="Arial"/>
        </w:rPr>
        <w:t xml:space="preserve">stabilized among 13-24 year-old </w:t>
      </w:r>
      <w:r>
        <w:rPr>
          <w:rFonts w:ascii="Arial" w:hAnsi="Arial" w:cs="Arial"/>
        </w:rPr>
        <w:t>Black</w:t>
      </w:r>
      <w:r w:rsidR="00B06C57">
        <w:rPr>
          <w:rFonts w:ascii="Arial" w:hAnsi="Arial" w:cs="Arial"/>
        </w:rPr>
        <w:t xml:space="preserve"> sexual minority</w:t>
      </w:r>
      <w:r>
        <w:rPr>
          <w:rFonts w:ascii="Arial" w:hAnsi="Arial" w:cs="Arial"/>
        </w:rPr>
        <w:t xml:space="preserve"> m</w:t>
      </w:r>
      <w:r w:rsidRPr="00CC0FE4">
        <w:rPr>
          <w:rFonts w:ascii="Arial" w:hAnsi="Arial" w:cs="Arial"/>
        </w:rPr>
        <w:t>en and</w:t>
      </w:r>
      <w:r>
        <w:rPr>
          <w:rFonts w:ascii="Arial" w:hAnsi="Arial" w:cs="Arial"/>
        </w:rPr>
        <w:t xml:space="preserve"> has actually</w:t>
      </w:r>
      <w:r w:rsidRPr="00CC0FE4">
        <w:rPr>
          <w:rFonts w:ascii="Arial" w:hAnsi="Arial" w:cs="Arial"/>
        </w:rPr>
        <w:t xml:space="preserve"> increased by 14% among </w:t>
      </w:r>
      <w:r w:rsidR="005A49CA">
        <w:rPr>
          <w:rFonts w:ascii="Arial" w:hAnsi="Arial" w:cs="Arial"/>
        </w:rPr>
        <w:t>Latinx</w:t>
      </w:r>
      <w:r w:rsidR="00B06C57">
        <w:rPr>
          <w:rFonts w:ascii="Arial" w:hAnsi="Arial" w:cs="Arial"/>
        </w:rPr>
        <w:t xml:space="preserve"> sexual minority</w:t>
      </w:r>
      <w:r w:rsidRPr="00CC0FE4">
        <w:rPr>
          <w:rFonts w:ascii="Arial" w:hAnsi="Arial" w:cs="Arial"/>
        </w:rPr>
        <w:t xml:space="preserve"> men of this age</w:t>
      </w:r>
      <w:r w:rsidRPr="00CC0FE4">
        <w:rPr>
          <w:rFonts w:ascii="Arial" w:hAnsi="Arial" w:cs="Arial"/>
          <w:bCs/>
        </w:rPr>
        <w:t>.</w:t>
      </w:r>
      <w:r w:rsidRPr="00CC0FE4">
        <w:rPr>
          <w:rFonts w:ascii="Arial" w:hAnsi="Arial" w:cs="Arial"/>
          <w:vertAlign w:val="superscript"/>
        </w:rPr>
        <w:endnoteReference w:id="145"/>
      </w:r>
      <w:r w:rsidRPr="00CC0FE4">
        <w:rPr>
          <w:rFonts w:ascii="Arial" w:hAnsi="Arial" w:cs="Arial"/>
          <w:bCs/>
        </w:rPr>
        <w:t xml:space="preserve"> </w:t>
      </w:r>
      <w:r>
        <w:rPr>
          <w:rFonts w:ascii="Arial" w:hAnsi="Arial" w:cs="Arial"/>
          <w:bCs/>
        </w:rPr>
        <w:t>Trends in</w:t>
      </w:r>
      <w:r w:rsidRPr="00CC0FE4">
        <w:rPr>
          <w:rFonts w:ascii="Arial" w:hAnsi="Arial" w:cs="Arial"/>
        </w:rPr>
        <w:t xml:space="preserve"> Massachusetts</w:t>
      </w:r>
      <w:r>
        <w:rPr>
          <w:rFonts w:ascii="Arial" w:hAnsi="Arial" w:cs="Arial"/>
        </w:rPr>
        <w:t xml:space="preserve"> have been similar to those seen nationally in these respects</w:t>
      </w:r>
      <w:r w:rsidRPr="00CC0FE4">
        <w:rPr>
          <w:rFonts w:ascii="Arial" w:hAnsi="Arial" w:cs="Arial"/>
        </w:rPr>
        <w:t>.</w:t>
      </w:r>
      <w:r w:rsidRPr="00CC0FE4">
        <w:rPr>
          <w:rFonts w:ascii="Arial" w:hAnsi="Arial" w:cs="Arial"/>
          <w:vertAlign w:val="superscript"/>
        </w:rPr>
        <w:endnoteReference w:id="146"/>
      </w:r>
      <w:r w:rsidRPr="00CC0FE4">
        <w:rPr>
          <w:rFonts w:ascii="Arial" w:hAnsi="Arial" w:cs="Arial"/>
        </w:rPr>
        <w:t xml:space="preserve"> This overrepresentation of people of color is also seen among transgender and gender-nonconforming people</w:t>
      </w:r>
      <w:r>
        <w:rPr>
          <w:rFonts w:ascii="Arial" w:hAnsi="Arial" w:cs="Arial"/>
        </w:rPr>
        <w:t xml:space="preserve"> living with HIV, with women of color representing </w:t>
      </w:r>
      <w:r w:rsidRPr="00CC0FE4">
        <w:rPr>
          <w:rFonts w:ascii="Arial" w:hAnsi="Arial" w:cs="Arial"/>
        </w:rPr>
        <w:t>76% of transgender women</w:t>
      </w:r>
      <w:r>
        <w:rPr>
          <w:rFonts w:ascii="Arial" w:hAnsi="Arial" w:cs="Arial"/>
        </w:rPr>
        <w:t xml:space="preserve"> living with HIV</w:t>
      </w:r>
      <w:r w:rsidRPr="00CC0FE4">
        <w:rPr>
          <w:rFonts w:ascii="Arial" w:hAnsi="Arial" w:cs="Arial"/>
        </w:rPr>
        <w:t>.</w:t>
      </w:r>
      <w:r w:rsidRPr="00CC0FE4">
        <w:rPr>
          <w:rFonts w:ascii="Arial" w:hAnsi="Arial" w:cs="Arial"/>
          <w:vertAlign w:val="superscript"/>
        </w:rPr>
        <w:endnoteReference w:id="147"/>
      </w:r>
    </w:p>
    <w:p w14:paraId="64E5003C" w14:textId="77777777" w:rsidR="00CC0FE4" w:rsidRPr="00CC0FE4" w:rsidRDefault="00CC0FE4" w:rsidP="00CC0FE4">
      <w:pPr>
        <w:spacing w:after="0"/>
        <w:jc w:val="both"/>
        <w:rPr>
          <w:rFonts w:ascii="Arial" w:hAnsi="Arial" w:cs="Arial"/>
        </w:rPr>
      </w:pPr>
    </w:p>
    <w:p w14:paraId="4046FB01" w14:textId="0A3E7C9A" w:rsidR="00CC0FE4" w:rsidRPr="00CC0FE4" w:rsidRDefault="00CC0FE4" w:rsidP="00CC0FE4">
      <w:pPr>
        <w:spacing w:after="0"/>
        <w:jc w:val="both"/>
        <w:rPr>
          <w:rFonts w:ascii="Arial" w:hAnsi="Arial" w:cs="Arial"/>
        </w:rPr>
      </w:pPr>
      <w:r w:rsidRPr="00CC0FE4">
        <w:rPr>
          <w:rFonts w:ascii="Arial" w:hAnsi="Arial" w:cs="Arial"/>
        </w:rPr>
        <w:t xml:space="preserve">While HIV therefore remains a critical issue for LGBTQ youth, other </w:t>
      </w:r>
      <w:r w:rsidR="00E74EC8">
        <w:rPr>
          <w:rFonts w:ascii="Arial" w:hAnsi="Arial" w:cs="Arial"/>
        </w:rPr>
        <w:t>STI rates are also rising and thus should be of growing concern</w:t>
      </w:r>
      <w:r w:rsidRPr="00CC0FE4">
        <w:rPr>
          <w:rFonts w:ascii="Arial" w:hAnsi="Arial" w:cs="Arial"/>
        </w:rPr>
        <w:t xml:space="preserve">. The incidence of syphilis among </w:t>
      </w:r>
      <w:r w:rsidR="00B06C57">
        <w:rPr>
          <w:rFonts w:ascii="Arial" w:hAnsi="Arial" w:cs="Arial"/>
        </w:rPr>
        <w:t>sexual minority</w:t>
      </w:r>
      <w:r w:rsidR="001D790C">
        <w:rPr>
          <w:rFonts w:ascii="Arial" w:hAnsi="Arial" w:cs="Arial"/>
        </w:rPr>
        <w:t xml:space="preserve"> men</w:t>
      </w:r>
      <w:r w:rsidRPr="00CC0FE4">
        <w:rPr>
          <w:rFonts w:ascii="Arial" w:hAnsi="Arial" w:cs="Arial"/>
        </w:rPr>
        <w:t xml:space="preserve"> more than doubled in Massachusetts from 2005 to 2014</w:t>
      </w:r>
      <w:r w:rsidR="001D790C">
        <w:rPr>
          <w:rFonts w:ascii="Arial" w:hAnsi="Arial" w:cs="Arial"/>
        </w:rPr>
        <w:t xml:space="preserve">, when they represented </w:t>
      </w:r>
      <w:r w:rsidRPr="00CC0FE4">
        <w:rPr>
          <w:rFonts w:ascii="Arial" w:hAnsi="Arial" w:cs="Arial"/>
        </w:rPr>
        <w:t>between 66% and 83%</w:t>
      </w:r>
      <w:r w:rsidR="001D790C">
        <w:rPr>
          <w:rFonts w:ascii="Arial" w:hAnsi="Arial" w:cs="Arial"/>
        </w:rPr>
        <w:t xml:space="preserve"> of the annually reported cases</w:t>
      </w:r>
      <w:r w:rsidRPr="00CC0FE4">
        <w:rPr>
          <w:rFonts w:ascii="Arial" w:hAnsi="Arial" w:cs="Arial"/>
        </w:rPr>
        <w:t>.</w:t>
      </w:r>
      <w:r w:rsidR="001D790C" w:rsidRPr="001D790C">
        <w:rPr>
          <w:rFonts w:ascii="Arial" w:hAnsi="Arial" w:cs="Arial"/>
          <w:vertAlign w:val="superscript"/>
        </w:rPr>
        <w:endnoteReference w:id="148"/>
      </w:r>
      <w:r w:rsidRPr="00CC0FE4">
        <w:rPr>
          <w:rFonts w:ascii="Arial" w:hAnsi="Arial" w:cs="Arial"/>
        </w:rPr>
        <w:t xml:space="preserve"> </w:t>
      </w:r>
      <w:r w:rsidR="001D790C">
        <w:rPr>
          <w:rFonts w:ascii="Arial" w:hAnsi="Arial" w:cs="Arial"/>
        </w:rPr>
        <w:t>As of</w:t>
      </w:r>
      <w:r w:rsidRPr="00CC0FE4">
        <w:rPr>
          <w:rFonts w:ascii="Arial" w:hAnsi="Arial" w:cs="Arial"/>
        </w:rPr>
        <w:t xml:space="preserve"> 2015, 43% of </w:t>
      </w:r>
      <w:r w:rsidR="00B06C57">
        <w:rPr>
          <w:rFonts w:ascii="Arial" w:hAnsi="Arial" w:cs="Arial"/>
        </w:rPr>
        <w:t>sexual minority</w:t>
      </w:r>
      <w:r w:rsidR="001D790C">
        <w:rPr>
          <w:rFonts w:ascii="Arial" w:hAnsi="Arial" w:cs="Arial"/>
        </w:rPr>
        <w:t xml:space="preserve"> men</w:t>
      </w:r>
      <w:r w:rsidRPr="00CC0FE4">
        <w:rPr>
          <w:rFonts w:ascii="Arial" w:hAnsi="Arial" w:cs="Arial"/>
        </w:rPr>
        <w:t xml:space="preserve"> with syphilis were </w:t>
      </w:r>
      <w:r w:rsidR="001D790C">
        <w:rPr>
          <w:rFonts w:ascii="Arial" w:hAnsi="Arial" w:cs="Arial"/>
        </w:rPr>
        <w:t xml:space="preserve">also </w:t>
      </w:r>
      <w:r w:rsidRPr="00CC0FE4">
        <w:rPr>
          <w:rFonts w:ascii="Arial" w:hAnsi="Arial" w:cs="Arial"/>
        </w:rPr>
        <w:t>co-infected with HIV.</w:t>
      </w:r>
      <w:r w:rsidRPr="00CC0FE4">
        <w:rPr>
          <w:rFonts w:ascii="Arial" w:hAnsi="Arial" w:cs="Arial"/>
          <w:vertAlign w:val="superscript"/>
        </w:rPr>
        <w:endnoteReference w:id="149"/>
      </w:r>
      <w:r w:rsidRPr="00CC0FE4">
        <w:rPr>
          <w:rFonts w:ascii="Arial" w:hAnsi="Arial" w:cs="Arial"/>
        </w:rPr>
        <w:t xml:space="preserve"> Incidence of </w:t>
      </w:r>
      <w:r w:rsidR="00F55E9B">
        <w:rPr>
          <w:rFonts w:ascii="Arial" w:hAnsi="Arial" w:cs="Arial"/>
        </w:rPr>
        <w:t>g</w:t>
      </w:r>
      <w:r w:rsidRPr="00CC0FE4">
        <w:rPr>
          <w:rFonts w:ascii="Arial" w:hAnsi="Arial" w:cs="Arial"/>
        </w:rPr>
        <w:t>onorrhea has increased</w:t>
      </w:r>
      <w:r w:rsidR="001D790C">
        <w:rPr>
          <w:rFonts w:ascii="Arial" w:hAnsi="Arial" w:cs="Arial"/>
        </w:rPr>
        <w:t xml:space="preserve">, as well, with young </w:t>
      </w:r>
      <w:r w:rsidR="00B06C57">
        <w:rPr>
          <w:rFonts w:ascii="Arial" w:hAnsi="Arial" w:cs="Arial"/>
        </w:rPr>
        <w:t>sexual minority</w:t>
      </w:r>
      <w:r w:rsidR="001D790C">
        <w:rPr>
          <w:rFonts w:ascii="Arial" w:hAnsi="Arial" w:cs="Arial"/>
        </w:rPr>
        <w:t xml:space="preserve"> men comprising fully</w:t>
      </w:r>
      <w:r w:rsidRPr="00CC0FE4">
        <w:rPr>
          <w:rFonts w:ascii="Arial" w:hAnsi="Arial" w:cs="Arial"/>
        </w:rPr>
        <w:t xml:space="preserve"> 50% of </w:t>
      </w:r>
      <w:r w:rsidR="001D790C">
        <w:rPr>
          <w:rFonts w:ascii="Arial" w:hAnsi="Arial" w:cs="Arial"/>
        </w:rPr>
        <w:t xml:space="preserve">the reported cases of </w:t>
      </w:r>
      <w:r w:rsidR="00F55E9B">
        <w:rPr>
          <w:rFonts w:ascii="Arial" w:hAnsi="Arial" w:cs="Arial"/>
        </w:rPr>
        <w:t>g</w:t>
      </w:r>
      <w:r w:rsidR="001D790C">
        <w:rPr>
          <w:rFonts w:ascii="Arial" w:hAnsi="Arial" w:cs="Arial"/>
        </w:rPr>
        <w:t>onorrhea among all men</w:t>
      </w:r>
      <w:r w:rsidRPr="00CC0FE4">
        <w:rPr>
          <w:rFonts w:ascii="Arial" w:hAnsi="Arial" w:cs="Arial"/>
        </w:rPr>
        <w:t>.</w:t>
      </w:r>
      <w:r w:rsidR="001D790C">
        <w:rPr>
          <w:rStyle w:val="EndnoteReference"/>
          <w:rFonts w:ascii="Arial" w:hAnsi="Arial" w:cs="Arial"/>
        </w:rPr>
        <w:endnoteReference w:id="150"/>
      </w:r>
      <w:r w:rsidRPr="00CC0FE4">
        <w:rPr>
          <w:rFonts w:ascii="Arial" w:hAnsi="Arial" w:cs="Arial"/>
        </w:rPr>
        <w:t xml:space="preserve"> 20% of </w:t>
      </w:r>
      <w:r w:rsidR="00B06C57">
        <w:rPr>
          <w:rFonts w:ascii="Arial" w:hAnsi="Arial" w:cs="Arial"/>
        </w:rPr>
        <w:t>sexual minority men</w:t>
      </w:r>
      <w:r w:rsidR="00C8686D">
        <w:rPr>
          <w:rFonts w:ascii="Arial" w:hAnsi="Arial" w:cs="Arial"/>
        </w:rPr>
        <w:t xml:space="preserve"> with gonorrhea w</w:t>
      </w:r>
      <w:r w:rsidRPr="00CC0FE4">
        <w:rPr>
          <w:rFonts w:ascii="Arial" w:hAnsi="Arial" w:cs="Arial"/>
        </w:rPr>
        <w:t>ere co-infected with HIV.</w:t>
      </w:r>
      <w:r w:rsidR="006F1D3E" w:rsidRPr="006F1D3E">
        <w:rPr>
          <w:rFonts w:ascii="Arial" w:hAnsi="Arial" w:cs="Arial"/>
          <w:vertAlign w:val="superscript"/>
        </w:rPr>
        <w:endnoteReference w:id="151"/>
      </w:r>
      <w:r w:rsidRPr="00CC0FE4">
        <w:rPr>
          <w:rFonts w:ascii="Arial" w:hAnsi="Arial" w:cs="Arial"/>
        </w:rPr>
        <w:t xml:space="preserve"> Nationally, the incidence of gonorrhea in 2015 among </w:t>
      </w:r>
      <w:r w:rsidR="00B06C57">
        <w:rPr>
          <w:rFonts w:ascii="Arial" w:hAnsi="Arial" w:cs="Arial"/>
        </w:rPr>
        <w:t>sexual minority</w:t>
      </w:r>
      <w:r w:rsidR="001D790C">
        <w:rPr>
          <w:rFonts w:ascii="Arial" w:hAnsi="Arial" w:cs="Arial"/>
        </w:rPr>
        <w:t xml:space="preserve"> men</w:t>
      </w:r>
      <w:r w:rsidRPr="00CC0FE4">
        <w:rPr>
          <w:rFonts w:ascii="Arial" w:hAnsi="Arial" w:cs="Arial"/>
        </w:rPr>
        <w:t xml:space="preserve"> was 10.7 and 13.9 times higher than their </w:t>
      </w:r>
      <w:r w:rsidRPr="00CC0FE4">
        <w:rPr>
          <w:rFonts w:ascii="Arial" w:hAnsi="Arial" w:cs="Arial"/>
          <w:lang w:val="nl-NL"/>
        </w:rPr>
        <w:t xml:space="preserve">female and </w:t>
      </w:r>
      <w:r w:rsidR="00B06C57">
        <w:rPr>
          <w:rFonts w:ascii="Arial" w:hAnsi="Arial" w:cs="Arial"/>
          <w:lang w:val="nl-NL"/>
        </w:rPr>
        <w:t>heterosexual</w:t>
      </w:r>
      <w:r w:rsidRPr="00CC0FE4">
        <w:rPr>
          <w:rFonts w:ascii="Arial" w:hAnsi="Arial" w:cs="Arial"/>
          <w:lang w:val="nl-NL"/>
        </w:rPr>
        <w:t xml:space="preserve"> male</w:t>
      </w:r>
      <w:r w:rsidRPr="00CC0FE4">
        <w:rPr>
          <w:rFonts w:ascii="Arial" w:hAnsi="Arial" w:cs="Arial"/>
        </w:rPr>
        <w:t xml:space="preserve"> peers</w:t>
      </w:r>
      <w:r w:rsidR="001D790C">
        <w:rPr>
          <w:rFonts w:ascii="Arial" w:hAnsi="Arial" w:cs="Arial"/>
        </w:rPr>
        <w:t>,</w:t>
      </w:r>
      <w:r w:rsidRPr="00CC0FE4">
        <w:rPr>
          <w:rFonts w:ascii="Arial" w:hAnsi="Arial" w:cs="Arial"/>
        </w:rPr>
        <w:t xml:space="preserve"> respectively.</w:t>
      </w:r>
      <w:r w:rsidRPr="00CC0FE4">
        <w:rPr>
          <w:rFonts w:ascii="Arial" w:hAnsi="Arial" w:cs="Arial"/>
          <w:vertAlign w:val="superscript"/>
        </w:rPr>
        <w:endnoteReference w:id="152"/>
      </w:r>
      <w:r w:rsidRPr="00CC0FE4">
        <w:rPr>
          <w:rFonts w:ascii="Arial" w:hAnsi="Arial" w:cs="Arial"/>
        </w:rPr>
        <w:t xml:space="preserve"> </w:t>
      </w:r>
    </w:p>
    <w:p w14:paraId="7E181CD7" w14:textId="77777777" w:rsidR="00F37159" w:rsidRPr="00F37159" w:rsidRDefault="00F37159" w:rsidP="00F37159">
      <w:pPr>
        <w:spacing w:after="0"/>
        <w:jc w:val="both"/>
        <w:rPr>
          <w:rFonts w:ascii="Arial" w:hAnsi="Arial" w:cs="Arial"/>
        </w:rPr>
      </w:pPr>
    </w:p>
    <w:p w14:paraId="7E176F3E" w14:textId="77777777" w:rsidR="00F37159" w:rsidRPr="00F37159" w:rsidRDefault="00F37159" w:rsidP="00F94896">
      <w:pPr>
        <w:pStyle w:val="Heading3"/>
      </w:pPr>
      <w:bookmarkStart w:id="25" w:name="_Toc512947903"/>
      <w:r w:rsidRPr="00F37159">
        <w:t>B. Behaviors and Risk Factors</w:t>
      </w:r>
      <w:bookmarkEnd w:id="25"/>
    </w:p>
    <w:p w14:paraId="6413A990" w14:textId="77777777" w:rsidR="00F37159" w:rsidRPr="00F37159" w:rsidRDefault="00F37159" w:rsidP="00F37159">
      <w:pPr>
        <w:spacing w:after="0"/>
        <w:jc w:val="both"/>
        <w:rPr>
          <w:rFonts w:ascii="Arial" w:hAnsi="Arial" w:cs="Arial"/>
        </w:rPr>
      </w:pPr>
    </w:p>
    <w:p w14:paraId="615CE5E2" w14:textId="187E2E20" w:rsidR="001C6877" w:rsidRPr="001C6877" w:rsidRDefault="001C6877" w:rsidP="001C6877">
      <w:pPr>
        <w:spacing w:after="0"/>
        <w:jc w:val="both"/>
        <w:rPr>
          <w:rFonts w:ascii="Arial" w:hAnsi="Arial" w:cs="Arial"/>
        </w:rPr>
      </w:pPr>
      <w:r>
        <w:rPr>
          <w:rFonts w:ascii="Arial" w:hAnsi="Arial" w:cs="Arial"/>
        </w:rPr>
        <w:t>Nationally</w:t>
      </w:r>
      <w:r w:rsidRPr="001C6877">
        <w:rPr>
          <w:rFonts w:ascii="Arial" w:hAnsi="Arial" w:cs="Arial"/>
        </w:rPr>
        <w:t xml:space="preserve">, compared to their peers, LGBTQ high school students </w:t>
      </w:r>
      <w:r>
        <w:rPr>
          <w:rFonts w:ascii="Arial" w:hAnsi="Arial" w:cs="Arial"/>
        </w:rPr>
        <w:t>are</w:t>
      </w:r>
      <w:r w:rsidRPr="001C6877">
        <w:rPr>
          <w:rFonts w:ascii="Arial" w:hAnsi="Arial" w:cs="Arial"/>
        </w:rPr>
        <w:t xml:space="preserve"> </w:t>
      </w:r>
      <w:r w:rsidR="00365F80">
        <w:rPr>
          <w:rFonts w:ascii="Arial" w:hAnsi="Arial" w:cs="Arial"/>
        </w:rPr>
        <w:t xml:space="preserve">more likely to not use condoms </w:t>
      </w:r>
      <w:r w:rsidRPr="001C6877">
        <w:rPr>
          <w:rFonts w:ascii="Arial" w:hAnsi="Arial" w:cs="Arial"/>
        </w:rPr>
        <w:t>and not use any method of pregnancy prevention during sex</w:t>
      </w:r>
      <w:r w:rsidR="00147C80">
        <w:rPr>
          <w:rFonts w:ascii="Arial" w:hAnsi="Arial" w:cs="Arial"/>
        </w:rPr>
        <w:t>,</w:t>
      </w:r>
      <w:r w:rsidR="00D768EC" w:rsidRPr="001C6877">
        <w:rPr>
          <w:rFonts w:ascii="Arial" w:hAnsi="Arial" w:cs="Arial"/>
          <w:vertAlign w:val="superscript"/>
        </w:rPr>
        <w:endnoteReference w:id="153"/>
      </w:r>
      <w:r w:rsidR="00147C80">
        <w:rPr>
          <w:rFonts w:ascii="Arial" w:hAnsi="Arial" w:cs="Arial"/>
        </w:rPr>
        <w:t xml:space="preserve"> </w:t>
      </w:r>
      <w:r w:rsidR="00404442" w:rsidRPr="00404442">
        <w:rPr>
          <w:rFonts w:ascii="Arial" w:hAnsi="Arial" w:cs="Arial"/>
        </w:rPr>
        <w:t>which again points to the need for better LGBTQ-inclusive comprehensive sex education. One large national study showed that sexual minority girls were twice as likely as other girls to reported having their first sexual experience before the age of 14 (42% to 22%). Sexual minority girls were also twice as likely to have had more than five sexual partners (21% to 9%). This correlated with significantly higher rates of pregnancies among sexual minority teenagers compared to other teenagers</w:t>
      </w:r>
      <w:r w:rsidRPr="001C6877">
        <w:rPr>
          <w:rFonts w:ascii="Arial" w:hAnsi="Arial" w:cs="Arial"/>
        </w:rPr>
        <w:t>.</w:t>
      </w:r>
      <w:r w:rsidRPr="001C6877">
        <w:rPr>
          <w:rFonts w:ascii="Arial" w:hAnsi="Arial" w:cs="Arial"/>
          <w:vertAlign w:val="superscript"/>
        </w:rPr>
        <w:endnoteReference w:id="154"/>
      </w:r>
      <w:r w:rsidRPr="001C6877">
        <w:rPr>
          <w:rFonts w:ascii="Arial" w:hAnsi="Arial" w:cs="Arial"/>
        </w:rPr>
        <w:t xml:space="preserve"> </w:t>
      </w:r>
    </w:p>
    <w:p w14:paraId="43EBF082" w14:textId="77777777" w:rsidR="001C6877" w:rsidRPr="001C6877" w:rsidRDefault="001C6877" w:rsidP="001C6877">
      <w:pPr>
        <w:spacing w:after="0"/>
        <w:jc w:val="both"/>
        <w:rPr>
          <w:rFonts w:ascii="Arial" w:hAnsi="Arial" w:cs="Arial"/>
        </w:rPr>
      </w:pPr>
    </w:p>
    <w:p w14:paraId="4D768A29" w14:textId="22166C9D" w:rsidR="001C6877" w:rsidRPr="001C6877" w:rsidRDefault="00C8686D" w:rsidP="001C6877">
      <w:pPr>
        <w:spacing w:after="0"/>
        <w:jc w:val="both"/>
        <w:rPr>
          <w:rFonts w:ascii="Arial" w:hAnsi="Arial" w:cs="Arial"/>
        </w:rPr>
      </w:pPr>
      <w:r>
        <w:rPr>
          <w:rFonts w:ascii="Arial" w:hAnsi="Arial" w:cs="Arial"/>
        </w:rPr>
        <w:t xml:space="preserve">Additionally, </w:t>
      </w:r>
      <w:r w:rsidR="001C6877" w:rsidRPr="001C6877">
        <w:rPr>
          <w:rFonts w:ascii="Arial" w:hAnsi="Arial" w:cs="Arial"/>
        </w:rPr>
        <w:t xml:space="preserve">LGBTQ youth </w:t>
      </w:r>
      <w:r>
        <w:rPr>
          <w:rFonts w:ascii="Arial" w:hAnsi="Arial" w:cs="Arial"/>
        </w:rPr>
        <w:t xml:space="preserve">in Massachusetts </w:t>
      </w:r>
      <w:r w:rsidR="001C6877">
        <w:rPr>
          <w:rFonts w:ascii="Arial" w:hAnsi="Arial" w:cs="Arial"/>
        </w:rPr>
        <w:t>are</w:t>
      </w:r>
      <w:r w:rsidR="001C6877" w:rsidRPr="001C6877">
        <w:rPr>
          <w:rFonts w:ascii="Arial" w:hAnsi="Arial" w:cs="Arial"/>
        </w:rPr>
        <w:t xml:space="preserve"> twice as likely</w:t>
      </w:r>
      <w:r w:rsidR="001C6877">
        <w:rPr>
          <w:rFonts w:ascii="Arial" w:hAnsi="Arial" w:cs="Arial"/>
        </w:rPr>
        <w:t xml:space="preserve"> as other youth experiencing homelessness</w:t>
      </w:r>
      <w:r w:rsidR="001C6877" w:rsidRPr="001C6877">
        <w:rPr>
          <w:rFonts w:ascii="Arial" w:hAnsi="Arial" w:cs="Arial"/>
        </w:rPr>
        <w:t xml:space="preserve"> to </w:t>
      </w:r>
      <w:r w:rsidR="00D768EC">
        <w:rPr>
          <w:rFonts w:ascii="Arial" w:hAnsi="Arial" w:cs="Arial"/>
        </w:rPr>
        <w:t xml:space="preserve">engage in survival sex by </w:t>
      </w:r>
      <w:r w:rsidR="001C6877" w:rsidRPr="001C6877">
        <w:rPr>
          <w:rFonts w:ascii="Arial" w:hAnsi="Arial" w:cs="Arial"/>
        </w:rPr>
        <w:t>trad</w:t>
      </w:r>
      <w:r w:rsidR="00D768EC">
        <w:rPr>
          <w:rFonts w:ascii="Arial" w:hAnsi="Arial" w:cs="Arial"/>
        </w:rPr>
        <w:t>ing</w:t>
      </w:r>
      <w:r w:rsidR="001C6877" w:rsidRPr="001C6877">
        <w:rPr>
          <w:rFonts w:ascii="Arial" w:hAnsi="Arial" w:cs="Arial"/>
        </w:rPr>
        <w:t xml:space="preserve"> sexual acts for money, shelter, or </w:t>
      </w:r>
      <w:r w:rsidR="001C6877">
        <w:rPr>
          <w:rFonts w:ascii="Arial" w:hAnsi="Arial" w:cs="Arial"/>
        </w:rPr>
        <w:t>food</w:t>
      </w:r>
      <w:r w:rsidR="001C6877" w:rsidRPr="001C6877">
        <w:rPr>
          <w:rFonts w:ascii="Arial" w:hAnsi="Arial" w:cs="Arial"/>
        </w:rPr>
        <w:t>.</w:t>
      </w:r>
      <w:r w:rsidR="001C6877" w:rsidRPr="001C6877">
        <w:rPr>
          <w:rFonts w:ascii="Arial" w:hAnsi="Arial" w:cs="Arial"/>
          <w:vertAlign w:val="superscript"/>
        </w:rPr>
        <w:endnoteReference w:id="155"/>
      </w:r>
      <w:r w:rsidR="001C6877" w:rsidRPr="001C6877">
        <w:rPr>
          <w:rFonts w:ascii="Arial" w:hAnsi="Arial" w:cs="Arial"/>
        </w:rPr>
        <w:t xml:space="preserve"> A study of 27,000 transgender Americans found that those who engaged in survival sex had a five times higher risk of HIV than the general population.</w:t>
      </w:r>
      <w:r w:rsidR="001C6877" w:rsidRPr="001C6877">
        <w:rPr>
          <w:rFonts w:ascii="Arial" w:hAnsi="Arial" w:cs="Arial"/>
          <w:vertAlign w:val="superscript"/>
        </w:rPr>
        <w:endnoteReference w:id="156"/>
      </w:r>
      <w:r w:rsidR="001C6877" w:rsidRPr="001C6877">
        <w:rPr>
          <w:rFonts w:ascii="Arial" w:hAnsi="Arial" w:cs="Arial"/>
        </w:rPr>
        <w:t xml:space="preserve"> </w:t>
      </w:r>
    </w:p>
    <w:p w14:paraId="579F260D" w14:textId="77777777" w:rsidR="001C6877" w:rsidRPr="001C6877" w:rsidRDefault="001C6877" w:rsidP="001C6877">
      <w:pPr>
        <w:spacing w:after="0"/>
        <w:jc w:val="both"/>
        <w:rPr>
          <w:rFonts w:ascii="Arial" w:hAnsi="Arial" w:cs="Arial"/>
        </w:rPr>
      </w:pPr>
    </w:p>
    <w:p w14:paraId="0F83B4CA" w14:textId="77777777" w:rsidR="001C6877" w:rsidRPr="001C6877" w:rsidRDefault="001C6877" w:rsidP="001C6877">
      <w:pPr>
        <w:spacing w:after="0"/>
        <w:jc w:val="both"/>
        <w:rPr>
          <w:rFonts w:ascii="Arial" w:hAnsi="Arial" w:cs="Arial"/>
        </w:rPr>
      </w:pPr>
      <w:r w:rsidRPr="001C6877">
        <w:rPr>
          <w:rFonts w:ascii="Arial" w:hAnsi="Arial" w:cs="Arial"/>
        </w:rPr>
        <w:lastRenderedPageBreak/>
        <w:t xml:space="preserve">In addition to survival sex, LGBTQ youth experience disparate rates of forced sexual </w:t>
      </w:r>
      <w:r w:rsidR="00B45C50">
        <w:rPr>
          <w:rFonts w:ascii="Arial" w:hAnsi="Arial" w:cs="Arial"/>
        </w:rPr>
        <w:t>contact</w:t>
      </w:r>
      <w:r w:rsidRPr="001C6877">
        <w:rPr>
          <w:rFonts w:ascii="Arial" w:hAnsi="Arial" w:cs="Arial"/>
        </w:rPr>
        <w:t xml:space="preserve"> and sexual violence. </w:t>
      </w:r>
      <w:r>
        <w:rPr>
          <w:rFonts w:ascii="Arial" w:hAnsi="Arial" w:cs="Arial"/>
        </w:rPr>
        <w:t>In Massachusetts</w:t>
      </w:r>
      <w:r w:rsidRPr="001C6877">
        <w:rPr>
          <w:rFonts w:ascii="Arial" w:hAnsi="Arial" w:cs="Arial"/>
        </w:rPr>
        <w:t xml:space="preserve">, LGBTQ youth </w:t>
      </w:r>
      <w:r>
        <w:rPr>
          <w:rFonts w:ascii="Arial" w:hAnsi="Arial" w:cs="Arial"/>
        </w:rPr>
        <w:t>are</w:t>
      </w:r>
      <w:r w:rsidRPr="001C6877">
        <w:rPr>
          <w:rFonts w:ascii="Arial" w:hAnsi="Arial" w:cs="Arial"/>
        </w:rPr>
        <w:t xml:space="preserve"> three times </w:t>
      </w:r>
      <w:r>
        <w:rPr>
          <w:rFonts w:ascii="Arial" w:hAnsi="Arial" w:cs="Arial"/>
        </w:rPr>
        <w:t>as</w:t>
      </w:r>
      <w:r w:rsidRPr="001C6877">
        <w:rPr>
          <w:rFonts w:ascii="Arial" w:hAnsi="Arial" w:cs="Arial"/>
        </w:rPr>
        <w:t xml:space="preserve"> likely </w:t>
      </w:r>
      <w:r>
        <w:rPr>
          <w:rFonts w:ascii="Arial" w:hAnsi="Arial" w:cs="Arial"/>
        </w:rPr>
        <w:t xml:space="preserve">as other youth </w:t>
      </w:r>
      <w:r w:rsidRPr="001C6877">
        <w:rPr>
          <w:rFonts w:ascii="Arial" w:hAnsi="Arial" w:cs="Arial"/>
        </w:rPr>
        <w:t>to experience sexual contact against their will (21.8% to 7.4%).</w:t>
      </w:r>
      <w:r w:rsidRPr="001C6877">
        <w:rPr>
          <w:rFonts w:ascii="Arial" w:hAnsi="Arial" w:cs="Arial"/>
          <w:vertAlign w:val="superscript"/>
        </w:rPr>
        <w:endnoteReference w:id="157"/>
      </w:r>
      <w:r w:rsidRPr="001C6877">
        <w:rPr>
          <w:rFonts w:ascii="Arial" w:hAnsi="Arial" w:cs="Arial"/>
        </w:rPr>
        <w:t xml:space="preserve"> The CDC supports this with data showing that compared to non-LGBTQ peers, LGBTQ high school students </w:t>
      </w:r>
      <w:r>
        <w:rPr>
          <w:rFonts w:ascii="Arial" w:hAnsi="Arial" w:cs="Arial"/>
        </w:rPr>
        <w:t>are</w:t>
      </w:r>
      <w:r w:rsidRPr="001C6877">
        <w:rPr>
          <w:rFonts w:ascii="Arial" w:hAnsi="Arial" w:cs="Arial"/>
        </w:rPr>
        <w:t xml:space="preserve"> more than three times as likely to have forced sexual intercourse (17.8% to 5.4%), two times </w:t>
      </w:r>
      <w:r>
        <w:rPr>
          <w:rFonts w:ascii="Arial" w:hAnsi="Arial" w:cs="Arial"/>
        </w:rPr>
        <w:t>as</w:t>
      </w:r>
      <w:r w:rsidRPr="001C6877">
        <w:rPr>
          <w:rFonts w:ascii="Arial" w:hAnsi="Arial" w:cs="Arial"/>
        </w:rPr>
        <w:t xml:space="preserve"> likely to experience physical violence </w:t>
      </w:r>
      <w:r>
        <w:rPr>
          <w:rFonts w:ascii="Arial" w:hAnsi="Arial" w:cs="Arial"/>
        </w:rPr>
        <w:t>while</w:t>
      </w:r>
      <w:r w:rsidRPr="001C6877">
        <w:rPr>
          <w:rFonts w:ascii="Arial" w:hAnsi="Arial" w:cs="Arial"/>
        </w:rPr>
        <w:t xml:space="preserve"> dating (17.5% and 8.3%), and two</w:t>
      </w:r>
      <w:r>
        <w:rPr>
          <w:rFonts w:ascii="Arial" w:hAnsi="Arial" w:cs="Arial"/>
        </w:rPr>
        <w:t>-</w:t>
      </w:r>
      <w:r w:rsidRPr="001C6877">
        <w:rPr>
          <w:rFonts w:ascii="Arial" w:hAnsi="Arial" w:cs="Arial"/>
        </w:rPr>
        <w:t>and</w:t>
      </w:r>
      <w:r>
        <w:rPr>
          <w:rFonts w:ascii="Arial" w:hAnsi="Arial" w:cs="Arial"/>
        </w:rPr>
        <w:t>-a-</w:t>
      </w:r>
      <w:r w:rsidRPr="001C6877">
        <w:rPr>
          <w:rFonts w:ascii="Arial" w:hAnsi="Arial" w:cs="Arial"/>
        </w:rPr>
        <w:t xml:space="preserve">half times </w:t>
      </w:r>
      <w:r>
        <w:rPr>
          <w:rFonts w:ascii="Arial" w:hAnsi="Arial" w:cs="Arial"/>
        </w:rPr>
        <w:t>as</w:t>
      </w:r>
      <w:r w:rsidRPr="001C6877">
        <w:rPr>
          <w:rFonts w:ascii="Arial" w:hAnsi="Arial" w:cs="Arial"/>
        </w:rPr>
        <w:t xml:space="preserve"> likely to experience sexual </w:t>
      </w:r>
      <w:r w:rsidRPr="001C6877">
        <w:rPr>
          <w:rFonts w:ascii="Arial" w:hAnsi="Arial" w:cs="Arial"/>
          <w:lang w:val="fr-FR"/>
        </w:rPr>
        <w:t xml:space="preserve">violence </w:t>
      </w:r>
      <w:r>
        <w:rPr>
          <w:rFonts w:ascii="Arial" w:hAnsi="Arial" w:cs="Arial"/>
        </w:rPr>
        <w:t>while</w:t>
      </w:r>
      <w:r w:rsidRPr="001C6877">
        <w:rPr>
          <w:rFonts w:ascii="Arial" w:hAnsi="Arial" w:cs="Arial"/>
        </w:rPr>
        <w:t xml:space="preserve"> dating (22.7% to 9.1%).</w:t>
      </w:r>
      <w:r w:rsidRPr="001C6877">
        <w:rPr>
          <w:rFonts w:ascii="Arial" w:hAnsi="Arial" w:cs="Arial"/>
          <w:vertAlign w:val="superscript"/>
        </w:rPr>
        <w:endnoteReference w:id="158"/>
      </w:r>
    </w:p>
    <w:p w14:paraId="4ABB6AB8" w14:textId="77777777" w:rsidR="00F37159" w:rsidRPr="00F37159" w:rsidRDefault="00F37159" w:rsidP="00F37159">
      <w:pPr>
        <w:spacing w:after="0"/>
        <w:jc w:val="both"/>
        <w:rPr>
          <w:rFonts w:ascii="Arial" w:hAnsi="Arial" w:cs="Arial"/>
        </w:rPr>
      </w:pPr>
    </w:p>
    <w:p w14:paraId="12F9FDAC" w14:textId="77777777" w:rsidR="00F37159" w:rsidRPr="00F37159" w:rsidRDefault="00F37159" w:rsidP="00F94896">
      <w:pPr>
        <w:pStyle w:val="Heading3"/>
      </w:pPr>
      <w:bookmarkStart w:id="26" w:name="_Toc512947904"/>
      <w:r w:rsidRPr="00F37159">
        <w:t>C. Healthcare Experiences</w:t>
      </w:r>
      <w:bookmarkEnd w:id="26"/>
    </w:p>
    <w:p w14:paraId="1B856762" w14:textId="77777777" w:rsidR="00F37159" w:rsidRPr="00F37159" w:rsidRDefault="00F37159" w:rsidP="00F37159">
      <w:pPr>
        <w:spacing w:after="0"/>
        <w:jc w:val="both"/>
        <w:rPr>
          <w:rFonts w:ascii="Arial" w:hAnsi="Arial" w:cs="Arial"/>
        </w:rPr>
      </w:pPr>
    </w:p>
    <w:p w14:paraId="67DBE168" w14:textId="7C2DAFF8" w:rsidR="0061191B" w:rsidRPr="008D418E" w:rsidRDefault="0061191B" w:rsidP="0061191B">
      <w:pPr>
        <w:spacing w:after="0"/>
        <w:jc w:val="both"/>
        <w:rPr>
          <w:rFonts w:ascii="Arial" w:hAnsi="Arial" w:cs="Arial"/>
        </w:rPr>
      </w:pPr>
      <w:r>
        <w:rPr>
          <w:rFonts w:ascii="Arial" w:hAnsi="Arial" w:cs="Arial"/>
        </w:rPr>
        <w:t xml:space="preserve">While all LGBTQ people can face discrimination and bias in accessing healthcare, transgender people face particularly high barriers. </w:t>
      </w:r>
      <w:r w:rsidRPr="008D418E">
        <w:rPr>
          <w:rFonts w:ascii="Arial" w:hAnsi="Arial" w:cs="Arial"/>
        </w:rPr>
        <w:t>A 2015 study of transgender people in Massachusetts revealed that 31% transgender people seeking medical care had negative experiences ranging from refusal of care</w:t>
      </w:r>
      <w:r>
        <w:rPr>
          <w:rFonts w:ascii="Arial" w:hAnsi="Arial" w:cs="Arial"/>
        </w:rPr>
        <w:t>,</w:t>
      </w:r>
      <w:r w:rsidRPr="008D418E">
        <w:rPr>
          <w:rFonts w:ascii="Arial" w:hAnsi="Arial" w:cs="Arial"/>
        </w:rPr>
        <w:t xml:space="preserve"> </w:t>
      </w:r>
      <w:r>
        <w:rPr>
          <w:rFonts w:ascii="Arial" w:hAnsi="Arial" w:cs="Arial"/>
        </w:rPr>
        <w:t>harassment of all types,</w:t>
      </w:r>
      <w:r w:rsidRPr="008D418E">
        <w:rPr>
          <w:rFonts w:ascii="Arial" w:hAnsi="Arial" w:cs="Arial"/>
        </w:rPr>
        <w:t xml:space="preserve"> and the need to teach providers about how to care for transgender people.</w:t>
      </w:r>
      <w:r w:rsidRPr="008D418E">
        <w:rPr>
          <w:rFonts w:ascii="Arial" w:hAnsi="Arial" w:cs="Arial"/>
          <w:vertAlign w:val="superscript"/>
        </w:rPr>
        <w:endnoteReference w:id="159"/>
      </w:r>
      <w:r w:rsidRPr="008D418E">
        <w:rPr>
          <w:rFonts w:ascii="Arial" w:hAnsi="Arial" w:cs="Arial"/>
        </w:rPr>
        <w:t xml:space="preserve"> It also found that 28% of transgender patients in Massachusetts struggled to get covered by insurance</w:t>
      </w:r>
      <w:r w:rsidR="00E456D0">
        <w:rPr>
          <w:rFonts w:ascii="Arial" w:hAnsi="Arial" w:cs="Arial"/>
        </w:rPr>
        <w:t>,</w:t>
      </w:r>
      <w:r w:rsidRPr="008D418E">
        <w:rPr>
          <w:rFonts w:ascii="Arial" w:hAnsi="Arial" w:cs="Arial"/>
          <w:vertAlign w:val="superscript"/>
        </w:rPr>
        <w:endnoteReference w:id="160"/>
      </w:r>
      <w:r w:rsidRPr="008D418E">
        <w:rPr>
          <w:rFonts w:ascii="Arial" w:hAnsi="Arial" w:cs="Arial"/>
        </w:rPr>
        <w:t xml:space="preserve"> </w:t>
      </w:r>
      <w:r w:rsidR="00E456D0">
        <w:rPr>
          <w:rFonts w:ascii="Arial" w:hAnsi="Arial" w:cs="Arial"/>
        </w:rPr>
        <w:t>which may reflect low rates of employment and high rates of discrimination in accessing services in general.</w:t>
      </w:r>
    </w:p>
    <w:p w14:paraId="79634591" w14:textId="77777777" w:rsidR="0061191B" w:rsidRDefault="0061191B" w:rsidP="0061191B">
      <w:pPr>
        <w:spacing w:after="0"/>
        <w:jc w:val="both"/>
        <w:rPr>
          <w:rFonts w:ascii="Arial" w:hAnsi="Arial" w:cs="Arial"/>
        </w:rPr>
      </w:pPr>
    </w:p>
    <w:p w14:paraId="7070D65E" w14:textId="01107040" w:rsidR="0061191B" w:rsidRDefault="0061191B" w:rsidP="0061191B">
      <w:pPr>
        <w:spacing w:after="0"/>
        <w:jc w:val="both"/>
        <w:rPr>
          <w:rFonts w:ascii="Arial" w:hAnsi="Arial" w:cs="Arial"/>
        </w:rPr>
      </w:pPr>
      <w:r w:rsidRPr="008D418E">
        <w:rPr>
          <w:rFonts w:ascii="Arial" w:hAnsi="Arial" w:cs="Arial"/>
        </w:rPr>
        <w:t>Additionally, many LGBTQ youth express concerns about confidentiality in issues surrounding sexual health.</w:t>
      </w:r>
      <w:r>
        <w:rPr>
          <w:rStyle w:val="EndnoteReference"/>
          <w:rFonts w:ascii="Arial" w:hAnsi="Arial" w:cs="Arial"/>
        </w:rPr>
        <w:endnoteReference w:id="161"/>
      </w:r>
      <w:r w:rsidRPr="008D418E">
        <w:rPr>
          <w:rFonts w:ascii="Arial" w:hAnsi="Arial" w:cs="Arial"/>
        </w:rPr>
        <w:t xml:space="preserve"> Although healthcare providers are bound to confidentiality by </w:t>
      </w:r>
      <w:r>
        <w:rPr>
          <w:rFonts w:ascii="Arial" w:hAnsi="Arial" w:cs="Arial"/>
        </w:rPr>
        <w:t>federal privacy law</w:t>
      </w:r>
      <w:r w:rsidRPr="008D418E">
        <w:rPr>
          <w:rFonts w:ascii="Arial" w:hAnsi="Arial" w:cs="Arial"/>
        </w:rPr>
        <w:t xml:space="preserve">, </w:t>
      </w:r>
      <w:r>
        <w:rPr>
          <w:rFonts w:ascii="Arial" w:hAnsi="Arial" w:cs="Arial"/>
        </w:rPr>
        <w:t xml:space="preserve">health insurers are not bound by the same principles and thus the risk has existed of LGBTQ youth having their sexual orientation or gender identity revealed or suggested by </w:t>
      </w:r>
      <w:r w:rsidR="00AA245D">
        <w:rPr>
          <w:rFonts w:ascii="Arial" w:hAnsi="Arial" w:cs="Arial"/>
        </w:rPr>
        <w:t>explanations of benefits and other documents</w:t>
      </w:r>
      <w:r>
        <w:rPr>
          <w:rFonts w:ascii="Arial" w:hAnsi="Arial" w:cs="Arial"/>
        </w:rPr>
        <w:t xml:space="preserve"> sent to their parents or guardian</w:t>
      </w:r>
      <w:r w:rsidR="00AA245D">
        <w:rPr>
          <w:rFonts w:ascii="Arial" w:hAnsi="Arial" w:cs="Arial"/>
        </w:rPr>
        <w:t>s</w:t>
      </w:r>
      <w:r>
        <w:rPr>
          <w:rFonts w:ascii="Arial" w:hAnsi="Arial" w:cs="Arial"/>
        </w:rPr>
        <w:t>.</w:t>
      </w:r>
      <w:r>
        <w:rPr>
          <w:rStyle w:val="EndnoteReference"/>
          <w:rFonts w:ascii="Arial" w:hAnsi="Arial" w:cs="Arial"/>
        </w:rPr>
        <w:endnoteReference w:id="162"/>
      </w:r>
      <w:r>
        <w:rPr>
          <w:rFonts w:ascii="Arial" w:hAnsi="Arial" w:cs="Arial"/>
        </w:rPr>
        <w:t xml:space="preserve"> Recent changes in Massachusetts law could address this issue and, if successfully promoted, decrease the likelihood that fear of such disclosure will lead to the avoidance of necessary treatment.</w:t>
      </w:r>
    </w:p>
    <w:p w14:paraId="33DCB661" w14:textId="77777777" w:rsidR="0061191B" w:rsidRPr="008D418E" w:rsidRDefault="0061191B" w:rsidP="0061191B">
      <w:pPr>
        <w:spacing w:after="0"/>
        <w:jc w:val="both"/>
        <w:rPr>
          <w:rFonts w:ascii="Arial" w:hAnsi="Arial" w:cs="Arial"/>
        </w:rPr>
      </w:pPr>
    </w:p>
    <w:p w14:paraId="354D862C" w14:textId="77777777" w:rsidR="008D418E" w:rsidRPr="008D418E" w:rsidRDefault="0061191B" w:rsidP="008D418E">
      <w:pPr>
        <w:spacing w:after="0"/>
        <w:jc w:val="both"/>
        <w:rPr>
          <w:rFonts w:ascii="Arial" w:hAnsi="Arial" w:cs="Arial"/>
        </w:rPr>
      </w:pPr>
      <w:r>
        <w:rPr>
          <w:rFonts w:ascii="Arial" w:hAnsi="Arial" w:cs="Arial"/>
        </w:rPr>
        <w:t xml:space="preserve">Experiences in getting HIV-related care, which is disproportionately needed by LGBTQ youth, continue to be mixed despite major scientific advancements in both treatment and prevention. </w:t>
      </w:r>
      <w:r w:rsidR="008D418E" w:rsidRPr="008D418E">
        <w:rPr>
          <w:rFonts w:ascii="Arial" w:hAnsi="Arial" w:cs="Arial"/>
        </w:rPr>
        <w:t xml:space="preserve">The advent of antiretroviral therapy has allowed </w:t>
      </w:r>
      <w:r w:rsidR="008D418E">
        <w:rPr>
          <w:rFonts w:ascii="Arial" w:hAnsi="Arial" w:cs="Arial"/>
        </w:rPr>
        <w:t>many</w:t>
      </w:r>
      <w:r w:rsidR="008D418E" w:rsidRPr="008D418E">
        <w:rPr>
          <w:rFonts w:ascii="Arial" w:hAnsi="Arial" w:cs="Arial"/>
        </w:rPr>
        <w:t xml:space="preserve"> people living with HIV to achieve viral suppression and live normal lives with virtually zero risk of transmission.</w:t>
      </w:r>
      <w:r w:rsidR="008D418E">
        <w:rPr>
          <w:rStyle w:val="EndnoteReference"/>
          <w:rFonts w:ascii="Arial" w:hAnsi="Arial" w:cs="Arial"/>
        </w:rPr>
        <w:endnoteReference w:id="163"/>
      </w:r>
      <w:r w:rsidR="008D418E" w:rsidRPr="008D418E">
        <w:rPr>
          <w:rFonts w:ascii="Arial" w:hAnsi="Arial" w:cs="Arial"/>
        </w:rPr>
        <w:t xml:space="preserve"> Unfortunately, rampant misinformation about available treatment options and a history of negative experiences with providers has led to underdiagnoses and under-treatment. Fewer than 85% of Massachusetts residents with HIV are diagnosed, and among Massachusetts residents aged 13 years or older who have been diagnosed with HIV, only 88.7% are linked with care within one month of diagnosis, 78.7% have initiated care, 63.6% have continued in care, and 67.9% have achieved viral suppression.</w:t>
      </w:r>
      <w:r w:rsidR="008D418E" w:rsidRPr="008D418E">
        <w:rPr>
          <w:rFonts w:ascii="Arial" w:hAnsi="Arial" w:cs="Arial"/>
          <w:vertAlign w:val="superscript"/>
        </w:rPr>
        <w:endnoteReference w:id="164"/>
      </w:r>
      <w:r>
        <w:rPr>
          <w:rFonts w:ascii="Arial" w:hAnsi="Arial" w:cs="Arial"/>
        </w:rPr>
        <w:t xml:space="preserve"> </w:t>
      </w:r>
      <w:r w:rsidR="008D418E" w:rsidRPr="008D418E">
        <w:rPr>
          <w:rFonts w:ascii="Arial" w:hAnsi="Arial" w:cs="Arial"/>
        </w:rPr>
        <w:t>Many cite misinformation and adverse experiences with healthcare as their reasons for not seeking or adhering to care.</w:t>
      </w:r>
    </w:p>
    <w:p w14:paraId="7A212524" w14:textId="77777777" w:rsidR="008D418E" w:rsidRDefault="008D418E" w:rsidP="008D418E">
      <w:pPr>
        <w:spacing w:after="0"/>
        <w:jc w:val="both"/>
        <w:rPr>
          <w:rFonts w:ascii="Arial" w:hAnsi="Arial" w:cs="Arial"/>
        </w:rPr>
      </w:pPr>
    </w:p>
    <w:p w14:paraId="649ACA24" w14:textId="77777777" w:rsidR="00710ECE" w:rsidRDefault="008D418E" w:rsidP="00710ECE">
      <w:pPr>
        <w:spacing w:after="0"/>
        <w:jc w:val="both"/>
        <w:rPr>
          <w:rFonts w:ascii="Arial" w:hAnsi="Arial" w:cs="Arial"/>
        </w:rPr>
      </w:pPr>
      <w:r w:rsidRPr="008D418E">
        <w:rPr>
          <w:rFonts w:ascii="Arial" w:hAnsi="Arial" w:cs="Arial"/>
        </w:rPr>
        <w:t xml:space="preserve">A 2014 study of a national sample of </w:t>
      </w:r>
      <w:r w:rsidR="0061191B">
        <w:rPr>
          <w:rFonts w:ascii="Arial" w:hAnsi="Arial" w:cs="Arial"/>
        </w:rPr>
        <w:t>sexual minority</w:t>
      </w:r>
      <w:r w:rsidRPr="008D418E">
        <w:rPr>
          <w:rFonts w:ascii="Arial" w:hAnsi="Arial" w:cs="Arial"/>
        </w:rPr>
        <w:t xml:space="preserve"> men found that only one in four (26%) knew that daily use of PrEP could effectively prevent HIV transmission and one in ten (10%) knew someone taking PrEP.</w:t>
      </w:r>
      <w:r w:rsidR="009300E4" w:rsidRPr="009300E4">
        <w:rPr>
          <w:rFonts w:ascii="Arial" w:hAnsi="Arial" w:cs="Arial"/>
          <w:vertAlign w:val="superscript"/>
        </w:rPr>
        <w:endnoteReference w:id="165"/>
      </w:r>
      <w:r w:rsidR="009300E4" w:rsidRPr="009300E4">
        <w:rPr>
          <w:rFonts w:ascii="Arial" w:hAnsi="Arial" w:cs="Arial"/>
        </w:rPr>
        <w:t xml:space="preserve"> </w:t>
      </w:r>
      <w:r w:rsidRPr="008D418E">
        <w:rPr>
          <w:rFonts w:ascii="Arial" w:hAnsi="Arial" w:cs="Arial"/>
        </w:rPr>
        <w:t>Eight in ten (80%) knew very little or nothing at all about PrEP, and fewer than half (46%) knew that antiretroviral therapy should be initiated immediately upon diagnosis.</w:t>
      </w:r>
      <w:r w:rsidRPr="008D418E">
        <w:rPr>
          <w:rFonts w:ascii="Arial" w:hAnsi="Arial" w:cs="Arial"/>
          <w:vertAlign w:val="superscript"/>
        </w:rPr>
        <w:endnoteReference w:id="166"/>
      </w:r>
      <w:r w:rsidRPr="008D418E">
        <w:rPr>
          <w:rFonts w:ascii="Arial" w:hAnsi="Arial" w:cs="Arial"/>
        </w:rPr>
        <w:t xml:space="preserve"> </w:t>
      </w:r>
      <w:r w:rsidR="00710ECE">
        <w:rPr>
          <w:rFonts w:ascii="Arial" w:hAnsi="Arial" w:cs="Arial"/>
        </w:rPr>
        <w:t>Additionally,</w:t>
      </w:r>
      <w:r w:rsidRPr="008D418E">
        <w:rPr>
          <w:rFonts w:ascii="Arial" w:hAnsi="Arial" w:cs="Arial"/>
        </w:rPr>
        <w:t xml:space="preserve"> 15% of respondents reported experiencing poor treatment by a healthcare provider</w:t>
      </w:r>
      <w:r w:rsidR="00710ECE">
        <w:rPr>
          <w:rFonts w:ascii="Arial" w:hAnsi="Arial" w:cs="Arial"/>
        </w:rPr>
        <w:t xml:space="preserve"> and</w:t>
      </w:r>
      <w:r w:rsidRPr="008D418E">
        <w:rPr>
          <w:rFonts w:ascii="Arial" w:hAnsi="Arial" w:cs="Arial"/>
        </w:rPr>
        <w:t xml:space="preserve"> 30% felt uncomfortable talking about sex with their provider.</w:t>
      </w:r>
      <w:r w:rsidRPr="008D418E">
        <w:rPr>
          <w:rFonts w:ascii="Arial" w:hAnsi="Arial" w:cs="Arial"/>
          <w:vertAlign w:val="superscript"/>
        </w:rPr>
        <w:endnoteReference w:id="167"/>
      </w:r>
      <w:r w:rsidRPr="008D418E">
        <w:rPr>
          <w:rFonts w:ascii="Arial" w:hAnsi="Arial" w:cs="Arial"/>
        </w:rPr>
        <w:t xml:space="preserve"> </w:t>
      </w:r>
    </w:p>
    <w:p w14:paraId="2149AEDB" w14:textId="77777777" w:rsidR="00DF2688" w:rsidRPr="00DF2688" w:rsidRDefault="00DF2688" w:rsidP="00DF2688">
      <w:pPr>
        <w:keepNext/>
        <w:keepLines/>
        <w:spacing w:before="200" w:after="0"/>
        <w:outlineLvl w:val="1"/>
        <w:rPr>
          <w:rFonts w:ascii="Arial" w:eastAsiaTheme="majorEastAsia" w:hAnsi="Arial" w:cstheme="majorBidi"/>
          <w:b/>
          <w:bCs/>
          <w:color w:val="000000" w:themeColor="text1"/>
          <w:sz w:val="26"/>
          <w:szCs w:val="26"/>
        </w:rPr>
      </w:pPr>
      <w:bookmarkStart w:id="27" w:name="_Toc512947905"/>
      <w:r>
        <w:rPr>
          <w:rFonts w:ascii="Arial" w:eastAsiaTheme="majorEastAsia" w:hAnsi="Arial" w:cstheme="majorBidi"/>
          <w:b/>
          <w:bCs/>
          <w:color w:val="000000" w:themeColor="text1"/>
          <w:sz w:val="26"/>
          <w:szCs w:val="26"/>
        </w:rPr>
        <w:lastRenderedPageBreak/>
        <w:t>V. Conclusion</w:t>
      </w:r>
      <w:bookmarkEnd w:id="27"/>
    </w:p>
    <w:p w14:paraId="22C5D0FE" w14:textId="77777777" w:rsidR="00DF2688" w:rsidRDefault="00DF2688" w:rsidP="00DF2688">
      <w:pPr>
        <w:spacing w:after="0"/>
        <w:jc w:val="both"/>
        <w:rPr>
          <w:rFonts w:ascii="Arial" w:hAnsi="Arial" w:cs="Arial"/>
        </w:rPr>
      </w:pPr>
      <w:r w:rsidRPr="00DF2688">
        <w:rPr>
          <w:noProof/>
        </w:rPr>
        <w:drawing>
          <wp:anchor distT="0" distB="0" distL="114300" distR="114300" simplePos="0" relativeHeight="251839488" behindDoc="0" locked="0" layoutInCell="0" allowOverlap="1" wp14:anchorId="4F754853" wp14:editId="61647164">
            <wp:simplePos x="0" y="0"/>
            <wp:positionH relativeFrom="page">
              <wp:posOffset>890270</wp:posOffset>
            </wp:positionH>
            <wp:positionV relativeFrom="page">
              <wp:posOffset>1178493</wp:posOffset>
            </wp:positionV>
            <wp:extent cx="3200400" cy="2413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00400" cy="24130"/>
                    </a:xfrm>
                    <a:prstGeom prst="rect">
                      <a:avLst/>
                    </a:prstGeom>
                    <a:noFill/>
                  </pic:spPr>
                </pic:pic>
              </a:graphicData>
            </a:graphic>
          </wp:anchor>
        </w:drawing>
      </w:r>
      <w:r>
        <w:rPr>
          <w:rFonts w:ascii="Arial" w:hAnsi="Arial" w:cs="Arial"/>
        </w:rPr>
        <w:br/>
      </w:r>
    </w:p>
    <w:p w14:paraId="4ADE884A" w14:textId="77777777" w:rsidR="00404442" w:rsidRPr="00404442" w:rsidRDefault="00404442" w:rsidP="00404442">
      <w:pPr>
        <w:jc w:val="both"/>
        <w:rPr>
          <w:rFonts w:ascii="Arial" w:hAnsi="Arial" w:cs="Arial"/>
        </w:rPr>
      </w:pPr>
      <w:r w:rsidRPr="00404442">
        <w:rPr>
          <w:rFonts w:ascii="Arial" w:hAnsi="Arial" w:cs="Arial"/>
        </w:rPr>
        <w:t>The disparities facing LGBTQ youth in the Commonwealth are vast and varied, but most are closely tied – in one way or another – to the rejection and exclusion of these young people from broader society. This includes being bullied or left out of curricula in the classroom, not finding competent and inclusive services in the community, and not having acceptance and support at home. To address this social exclusion, the Commonwealth must both treat the immediate needs of youth facing exclusion as well as work on the larger, more difficult project of making Massachusetts a more just and equitable place for all.</w:t>
      </w:r>
    </w:p>
    <w:p w14:paraId="561F6A1B" w14:textId="77777777" w:rsidR="00404442" w:rsidRPr="00404442" w:rsidRDefault="00404442" w:rsidP="00404442">
      <w:pPr>
        <w:jc w:val="both"/>
        <w:rPr>
          <w:rFonts w:ascii="Arial" w:hAnsi="Arial" w:cs="Arial"/>
        </w:rPr>
      </w:pPr>
      <w:r w:rsidRPr="00404442">
        <w:rPr>
          <w:rFonts w:ascii="Arial" w:hAnsi="Arial" w:cs="Arial"/>
        </w:rPr>
        <w:t>The Commission has chosen to build on its decades-long work by addressing key issues that can both result from and exacerbate bullying and suicidality: homelessness, criminal and juvenile justice, and health. The core recommendations issued at page 7 above, while ambitious in their scope, are far from radical expansions of the Commission’s work; rather, they are the reflections of the needs of the LGBTQ youth community as expressed to the Commission time and again through public meetings, convenings, listening sessions, coalitions, and calls for comment. Furthermore, while the complicated interaction of these issues may make the task at hand seem daunting, the interrelatedness of these topics – that family rejection can lead to homelessness and then sexual health issues or criminal justice involvement, for example – also means that progress in any area can start to erode injustice and inequality in every other field.</w:t>
      </w:r>
    </w:p>
    <w:p w14:paraId="65B91F29" w14:textId="0E3664E1" w:rsidR="00163884" w:rsidRPr="008D418E" w:rsidRDefault="00404442" w:rsidP="00404442">
      <w:pPr>
        <w:jc w:val="both"/>
        <w:rPr>
          <w:rFonts w:ascii="Arial" w:hAnsi="Arial" w:cs="Arial"/>
        </w:rPr>
      </w:pPr>
      <w:r w:rsidRPr="00404442">
        <w:rPr>
          <w:rFonts w:ascii="Arial" w:hAnsi="Arial" w:cs="Arial"/>
        </w:rPr>
        <w:t>Finally, while the data are clear that LGBTQ youth still face significant disadvantages in comparison with their non-LGBTQ peers, the resilience of this community (and their peers, families, community organizations, and allies) should not be underestimated. As the pages that follow indicate, progress has been made in many corners of state government thanks to dedicated members of the community and public servants working together to address racism and anti-LGBTQ bias. This Commission looks forward to continuing this work in the new fiscal year and beyond.</w:t>
      </w:r>
    </w:p>
    <w:p w14:paraId="09ED4BED" w14:textId="77777777" w:rsidR="00A07650" w:rsidRDefault="00A07650">
      <w:pPr>
        <w:rPr>
          <w:rFonts w:ascii="Arial" w:hAnsi="Arial" w:cs="Arial"/>
          <w:b/>
          <w:sz w:val="28"/>
          <w:szCs w:val="28"/>
        </w:rPr>
      </w:pPr>
      <w:r>
        <w:rPr>
          <w:rFonts w:ascii="Arial" w:hAnsi="Arial" w:cs="Arial"/>
          <w:b/>
          <w:sz w:val="28"/>
          <w:szCs w:val="28"/>
        </w:rPr>
        <w:br w:type="page"/>
      </w:r>
    </w:p>
    <w:p w14:paraId="6F868961" w14:textId="77777777" w:rsidR="00D80888" w:rsidRPr="00D80888" w:rsidRDefault="00245435" w:rsidP="00D80888">
      <w:pPr>
        <w:pStyle w:val="Heading1"/>
        <w:rPr>
          <w:sz w:val="22"/>
          <w:szCs w:val="22"/>
        </w:rPr>
      </w:pPr>
      <w:bookmarkStart w:id="28" w:name="_Toc512947906"/>
      <w:r>
        <w:rPr>
          <w:noProof/>
        </w:rPr>
        <w:lastRenderedPageBreak/>
        <w:drawing>
          <wp:anchor distT="0" distB="0" distL="114300" distR="114300" simplePos="0" relativeHeight="251752448" behindDoc="1" locked="0" layoutInCell="0" allowOverlap="1" wp14:anchorId="655EEFFA" wp14:editId="0629442F">
            <wp:simplePos x="0" y="0"/>
            <wp:positionH relativeFrom="column">
              <wp:posOffset>-24130</wp:posOffset>
            </wp:positionH>
            <wp:positionV relativeFrom="paragraph">
              <wp:posOffset>274320</wp:posOffset>
            </wp:positionV>
            <wp:extent cx="5980430" cy="27305"/>
            <wp:effectExtent l="0" t="0" r="127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80430" cy="27305"/>
                    </a:xfrm>
                    <a:prstGeom prst="rect">
                      <a:avLst/>
                    </a:prstGeom>
                    <a:noFill/>
                  </pic:spPr>
                </pic:pic>
              </a:graphicData>
            </a:graphic>
          </wp:anchor>
        </w:drawing>
      </w:r>
      <w:r w:rsidR="00D80888">
        <w:t>Executive Office of Education Recommendations</w:t>
      </w:r>
      <w:bookmarkEnd w:id="28"/>
    </w:p>
    <w:p w14:paraId="1751369E" w14:textId="77777777" w:rsidR="00D80888" w:rsidRDefault="00D80888" w:rsidP="007810C7">
      <w:pPr>
        <w:spacing w:after="0"/>
        <w:jc w:val="both"/>
        <w:rPr>
          <w:rFonts w:ascii="Arial" w:hAnsi="Arial" w:cs="Arial"/>
          <w:b/>
          <w:sz w:val="28"/>
          <w:szCs w:val="28"/>
        </w:rPr>
      </w:pPr>
    </w:p>
    <w:p w14:paraId="21A8FFED" w14:textId="77777777" w:rsidR="00DC01B6" w:rsidRDefault="00DC01B6" w:rsidP="007810C7">
      <w:pPr>
        <w:spacing w:after="0"/>
        <w:jc w:val="both"/>
        <w:rPr>
          <w:rFonts w:ascii="Arial" w:hAnsi="Arial" w:cs="Arial"/>
          <w:b/>
          <w:sz w:val="28"/>
          <w:szCs w:val="28"/>
        </w:rPr>
      </w:pPr>
    </w:p>
    <w:p w14:paraId="6B6EE73C" w14:textId="77777777" w:rsidR="00824598" w:rsidRDefault="00824598" w:rsidP="007810C7">
      <w:pPr>
        <w:spacing w:after="0"/>
        <w:jc w:val="both"/>
        <w:rPr>
          <w:rFonts w:ascii="Arial" w:hAnsi="Arial" w:cs="Arial"/>
        </w:rPr>
      </w:pPr>
      <w:r>
        <w:rPr>
          <w:rFonts w:ascii="Arial" w:hAnsi="Arial" w:cs="Arial"/>
        </w:rPr>
        <w:t>The Commission</w:t>
      </w:r>
      <w:r w:rsidR="00E8222F">
        <w:rPr>
          <w:rFonts w:ascii="Arial" w:hAnsi="Arial" w:cs="Arial"/>
        </w:rPr>
        <w:t xml:space="preserve"> has for many years enjoyed</w:t>
      </w:r>
      <w:r>
        <w:rPr>
          <w:rFonts w:ascii="Arial" w:hAnsi="Arial" w:cs="Arial"/>
        </w:rPr>
        <w:t xml:space="preserve"> a particularly strong relationship with the Department of Elementary and Secondary Education (DESE</w:t>
      </w:r>
      <w:r w:rsidR="00E8222F">
        <w:rPr>
          <w:rFonts w:ascii="Arial" w:hAnsi="Arial" w:cs="Arial"/>
        </w:rPr>
        <w:t>)</w:t>
      </w:r>
      <w:r>
        <w:rPr>
          <w:rFonts w:ascii="Arial" w:hAnsi="Arial" w:cs="Arial"/>
        </w:rPr>
        <w:t xml:space="preserve">. The work of the Commission is closely tied to that of DESE through the Commission’s founding legislation, the funding it receives to implement anti-bullying work, and the relationships that the Safe Schools Program </w:t>
      </w:r>
      <w:r w:rsidR="00E8222F">
        <w:rPr>
          <w:rFonts w:ascii="Arial" w:hAnsi="Arial" w:cs="Arial"/>
        </w:rPr>
        <w:t xml:space="preserve">– which today is co-sponsored by the Commission and DESE – </w:t>
      </w:r>
      <w:r>
        <w:rPr>
          <w:rFonts w:ascii="Arial" w:hAnsi="Arial" w:cs="Arial"/>
        </w:rPr>
        <w:t xml:space="preserve">has forged </w:t>
      </w:r>
      <w:r w:rsidR="00E8222F">
        <w:rPr>
          <w:rFonts w:ascii="Arial" w:hAnsi="Arial" w:cs="Arial"/>
        </w:rPr>
        <w:t>with the Department</w:t>
      </w:r>
      <w:r>
        <w:rPr>
          <w:rFonts w:ascii="Arial" w:hAnsi="Arial" w:cs="Arial"/>
        </w:rPr>
        <w:t>.</w:t>
      </w:r>
      <w:r w:rsidR="00E8222F">
        <w:rPr>
          <w:rFonts w:ascii="Arial" w:hAnsi="Arial" w:cs="Arial"/>
        </w:rPr>
        <w:t xml:space="preserve"> More recently</w:t>
      </w:r>
      <w:r>
        <w:rPr>
          <w:rFonts w:ascii="Arial" w:hAnsi="Arial" w:cs="Arial"/>
        </w:rPr>
        <w:t xml:space="preserve">, the Commission has also </w:t>
      </w:r>
      <w:r w:rsidR="00E8222F">
        <w:rPr>
          <w:rFonts w:ascii="Arial" w:hAnsi="Arial" w:cs="Arial"/>
        </w:rPr>
        <w:t>developed</w:t>
      </w:r>
      <w:r>
        <w:rPr>
          <w:rFonts w:ascii="Arial" w:hAnsi="Arial" w:cs="Arial"/>
        </w:rPr>
        <w:t xml:space="preserve"> fruitful relationships with the Department of Early Education and Care (DEEC) and the Department of Higher Education (DHE), both of which are represented </w:t>
      </w:r>
      <w:r w:rsidR="00457F0F">
        <w:rPr>
          <w:rFonts w:ascii="Arial" w:hAnsi="Arial" w:cs="Arial"/>
        </w:rPr>
        <w:t xml:space="preserve">along with DESE </w:t>
      </w:r>
      <w:r>
        <w:rPr>
          <w:rFonts w:ascii="Arial" w:hAnsi="Arial" w:cs="Arial"/>
        </w:rPr>
        <w:t xml:space="preserve">in the sections that follow. </w:t>
      </w:r>
    </w:p>
    <w:p w14:paraId="18A9D539" w14:textId="77777777" w:rsidR="00824598" w:rsidRDefault="00824598" w:rsidP="007810C7">
      <w:pPr>
        <w:spacing w:after="0"/>
        <w:jc w:val="both"/>
        <w:rPr>
          <w:rFonts w:ascii="Arial" w:hAnsi="Arial" w:cs="Arial"/>
        </w:rPr>
      </w:pPr>
    </w:p>
    <w:p w14:paraId="466598E4" w14:textId="2C1993EF" w:rsidR="00DC01B6" w:rsidRPr="00DC01B6" w:rsidRDefault="00824598" w:rsidP="007810C7">
      <w:pPr>
        <w:spacing w:after="0"/>
        <w:jc w:val="both"/>
        <w:rPr>
          <w:rFonts w:ascii="Arial" w:hAnsi="Arial" w:cs="Arial"/>
        </w:rPr>
      </w:pPr>
      <w:r>
        <w:rPr>
          <w:rFonts w:ascii="Arial" w:hAnsi="Arial" w:cs="Arial"/>
        </w:rPr>
        <w:t xml:space="preserve">The Commission looks forward to </w:t>
      </w:r>
      <w:r w:rsidR="00457F0F">
        <w:rPr>
          <w:rFonts w:ascii="Arial" w:hAnsi="Arial" w:cs="Arial"/>
        </w:rPr>
        <w:t xml:space="preserve">increasing its collaboration </w:t>
      </w:r>
      <w:r w:rsidR="00E8222F">
        <w:rPr>
          <w:rFonts w:ascii="Arial" w:hAnsi="Arial" w:cs="Arial"/>
        </w:rPr>
        <w:t xml:space="preserve">with and </w:t>
      </w:r>
      <w:r w:rsidR="00457F0F">
        <w:rPr>
          <w:rFonts w:ascii="Arial" w:hAnsi="Arial" w:cs="Arial"/>
        </w:rPr>
        <w:t>between these three agencies to ensure that the policies it recommends have maximum effect. For example, public school students in Massachusetts can presently elect to use a third, nonbinary gender marker in lieu of “male” or “female</w:t>
      </w:r>
      <w:r w:rsidR="00E8222F">
        <w:rPr>
          <w:rFonts w:ascii="Arial" w:hAnsi="Arial" w:cs="Arial"/>
        </w:rPr>
        <w:t>,</w:t>
      </w:r>
      <w:r w:rsidR="00457F0F">
        <w:rPr>
          <w:rFonts w:ascii="Arial" w:hAnsi="Arial" w:cs="Arial"/>
        </w:rPr>
        <w:t xml:space="preserve">” </w:t>
      </w:r>
      <w:r w:rsidR="00E8222F">
        <w:rPr>
          <w:rFonts w:ascii="Arial" w:hAnsi="Arial" w:cs="Arial"/>
        </w:rPr>
        <w:t>due</w:t>
      </w:r>
      <w:r w:rsidR="00457F0F">
        <w:rPr>
          <w:rFonts w:ascii="Arial" w:hAnsi="Arial" w:cs="Arial"/>
        </w:rPr>
        <w:t xml:space="preserve"> to a policy change at DESE. However, many colleges and universities in the state do not offer a similar option, </w:t>
      </w:r>
      <w:r w:rsidR="00E8222F">
        <w:rPr>
          <w:rFonts w:ascii="Arial" w:hAnsi="Arial" w:cs="Arial"/>
        </w:rPr>
        <w:t xml:space="preserve">leaving open an opportunity that </w:t>
      </w:r>
      <w:r w:rsidR="00457F0F">
        <w:rPr>
          <w:rFonts w:ascii="Arial" w:hAnsi="Arial" w:cs="Arial"/>
        </w:rPr>
        <w:t xml:space="preserve">DHE and the Commission could </w:t>
      </w:r>
      <w:r w:rsidR="00AA245D">
        <w:rPr>
          <w:rFonts w:ascii="Arial" w:hAnsi="Arial" w:cs="Arial"/>
        </w:rPr>
        <w:t xml:space="preserve">potentially </w:t>
      </w:r>
      <w:r w:rsidR="00457F0F">
        <w:rPr>
          <w:rFonts w:ascii="Arial" w:hAnsi="Arial" w:cs="Arial"/>
        </w:rPr>
        <w:t>work together to support. This is but one example of how increasing collaboration and coordination of the Commission’s recommendations to DEEC, DESE, and DHE could improve service delivery for all three agencies and have an even greater impact for the Commonwealth’s LGBTQ youth.</w:t>
      </w:r>
    </w:p>
    <w:p w14:paraId="42A72A9C" w14:textId="77777777" w:rsidR="00DC01B6" w:rsidRDefault="00DC01B6" w:rsidP="007810C7">
      <w:pPr>
        <w:spacing w:after="0"/>
        <w:jc w:val="both"/>
        <w:rPr>
          <w:rFonts w:ascii="Arial" w:hAnsi="Arial" w:cs="Arial"/>
          <w:b/>
          <w:sz w:val="28"/>
          <w:szCs w:val="28"/>
        </w:rPr>
      </w:pPr>
    </w:p>
    <w:p w14:paraId="221A7CF6" w14:textId="77777777" w:rsidR="00DC01B6" w:rsidRDefault="00DC01B6">
      <w:pPr>
        <w:rPr>
          <w:rFonts w:ascii="Arial" w:eastAsiaTheme="majorEastAsia" w:hAnsi="Arial" w:cstheme="majorBidi"/>
          <w:b/>
          <w:bCs/>
          <w:color w:val="000000" w:themeColor="text1"/>
          <w:sz w:val="26"/>
          <w:szCs w:val="26"/>
        </w:rPr>
      </w:pPr>
      <w:r>
        <w:br w:type="page"/>
      </w:r>
    </w:p>
    <w:p w14:paraId="6D38BE7C" w14:textId="77777777" w:rsidR="007810C7" w:rsidRPr="007810C7" w:rsidRDefault="007810C7" w:rsidP="00D80888">
      <w:pPr>
        <w:pStyle w:val="Heading2"/>
      </w:pPr>
      <w:bookmarkStart w:id="29" w:name="_Toc512947907"/>
      <w:r w:rsidRPr="007810C7">
        <w:lastRenderedPageBreak/>
        <w:t>Department of Early Education and Care</w:t>
      </w:r>
      <w:bookmarkEnd w:id="29"/>
    </w:p>
    <w:p w14:paraId="34F08213" w14:textId="77777777" w:rsidR="007810C7" w:rsidRPr="007810C7" w:rsidRDefault="00245435" w:rsidP="007810C7">
      <w:pPr>
        <w:spacing w:after="0"/>
        <w:jc w:val="both"/>
        <w:rPr>
          <w:rFonts w:ascii="Arial" w:hAnsi="Arial" w:cs="Arial"/>
        </w:rPr>
      </w:pPr>
      <w:r>
        <w:rPr>
          <w:noProof/>
        </w:rPr>
        <w:drawing>
          <wp:anchor distT="0" distB="0" distL="114300" distR="114300" simplePos="0" relativeHeight="251754496" behindDoc="1" locked="0" layoutInCell="0" allowOverlap="1" wp14:anchorId="782963F0" wp14:editId="66EBD61C">
            <wp:simplePos x="0" y="0"/>
            <wp:positionH relativeFrom="column">
              <wp:posOffset>-24130</wp:posOffset>
            </wp:positionH>
            <wp:positionV relativeFrom="paragraph">
              <wp:posOffset>4445</wp:posOffset>
            </wp:positionV>
            <wp:extent cx="5980430" cy="18415"/>
            <wp:effectExtent l="0" t="0" r="1270" b="63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anchor>
        </w:drawing>
      </w:r>
    </w:p>
    <w:p w14:paraId="09BAE374" w14:textId="77777777" w:rsidR="00245435" w:rsidRDefault="00245435" w:rsidP="00245435">
      <w:pPr>
        <w:spacing w:after="0"/>
        <w:jc w:val="center"/>
        <w:rPr>
          <w:rFonts w:ascii="Arial" w:hAnsi="Arial" w:cs="Arial"/>
          <w:b/>
          <w:u w:val="single"/>
        </w:rPr>
      </w:pPr>
    </w:p>
    <w:p w14:paraId="61B496BB" w14:textId="77777777" w:rsidR="002D194E" w:rsidRPr="0061191B" w:rsidRDefault="002D194E" w:rsidP="00245435">
      <w:pPr>
        <w:spacing w:after="0"/>
        <w:jc w:val="center"/>
        <w:rPr>
          <w:rFonts w:ascii="Arial" w:hAnsi="Arial" w:cs="Arial"/>
          <w:b/>
          <w:u w:val="single"/>
        </w:rPr>
      </w:pPr>
      <w:r w:rsidRPr="0061191B">
        <w:rPr>
          <w:rFonts w:ascii="Arial" w:hAnsi="Arial" w:cs="Arial"/>
          <w:b/>
          <w:u w:val="single"/>
        </w:rPr>
        <w:t>FY19 RECOMMENDATIONS</w:t>
      </w:r>
    </w:p>
    <w:p w14:paraId="6807699C" w14:textId="77777777" w:rsidR="002D194E" w:rsidRPr="002D194E" w:rsidRDefault="002D194E" w:rsidP="002D194E">
      <w:pPr>
        <w:spacing w:after="0"/>
        <w:jc w:val="both"/>
        <w:rPr>
          <w:rFonts w:ascii="Arial" w:hAnsi="Arial" w:cs="Arial"/>
        </w:rPr>
      </w:pPr>
    </w:p>
    <w:p w14:paraId="7F6B722A" w14:textId="77777777" w:rsidR="00245435" w:rsidRPr="00DC01B6" w:rsidRDefault="002D194E" w:rsidP="00DC01B6">
      <w:pPr>
        <w:numPr>
          <w:ilvl w:val="0"/>
          <w:numId w:val="1"/>
        </w:numPr>
        <w:spacing w:after="0"/>
        <w:contextualSpacing/>
        <w:jc w:val="both"/>
        <w:rPr>
          <w:rFonts w:ascii="Arial" w:hAnsi="Arial" w:cs="Arial"/>
          <w:b/>
          <w:color w:val="365F91" w:themeColor="accent1" w:themeShade="BF"/>
        </w:rPr>
      </w:pPr>
      <w:r w:rsidRPr="00245435">
        <w:rPr>
          <w:rFonts w:ascii="Arial" w:hAnsi="Arial" w:cs="Arial"/>
          <w:b/>
          <w:color w:val="365F91" w:themeColor="accent1" w:themeShade="BF"/>
        </w:rPr>
        <w:t xml:space="preserve">Provide professional development to staff in licensed </w:t>
      </w:r>
      <w:r w:rsidR="00446F40" w:rsidRPr="00245435">
        <w:rPr>
          <w:rFonts w:ascii="Arial" w:hAnsi="Arial" w:cs="Arial"/>
          <w:b/>
          <w:color w:val="365F91" w:themeColor="accent1" w:themeShade="BF"/>
        </w:rPr>
        <w:t>D</w:t>
      </w:r>
      <w:r w:rsidRPr="00245435">
        <w:rPr>
          <w:rFonts w:ascii="Arial" w:hAnsi="Arial" w:cs="Arial"/>
          <w:b/>
          <w:color w:val="365F91" w:themeColor="accent1" w:themeShade="BF"/>
        </w:rPr>
        <w:t>EEC programs and develop an online training module on best practices for serving LGBTQ youth and families.</w:t>
      </w:r>
    </w:p>
    <w:p w14:paraId="5807B60F" w14:textId="77777777" w:rsidR="00245435" w:rsidRPr="00DC01B6" w:rsidRDefault="002D194E" w:rsidP="00DC01B6">
      <w:pPr>
        <w:numPr>
          <w:ilvl w:val="0"/>
          <w:numId w:val="1"/>
        </w:numPr>
        <w:spacing w:after="0"/>
        <w:contextualSpacing/>
        <w:jc w:val="both"/>
        <w:rPr>
          <w:rFonts w:ascii="Arial" w:hAnsi="Arial" w:cs="Arial"/>
          <w:b/>
          <w:color w:val="365F91" w:themeColor="accent1" w:themeShade="BF"/>
        </w:rPr>
      </w:pPr>
      <w:r w:rsidRPr="00245435">
        <w:rPr>
          <w:rFonts w:ascii="Arial" w:hAnsi="Arial" w:cs="Arial"/>
          <w:b/>
          <w:color w:val="365F91" w:themeColor="accent1" w:themeShade="BF"/>
        </w:rPr>
        <w:t xml:space="preserve">Clarify that providers can and should house transgender youth </w:t>
      </w:r>
      <w:r w:rsidR="00245435">
        <w:rPr>
          <w:rFonts w:ascii="Arial" w:hAnsi="Arial" w:cs="Arial"/>
          <w:b/>
          <w:color w:val="365F91" w:themeColor="accent1" w:themeShade="BF"/>
        </w:rPr>
        <w:t>based on their gender identity.</w:t>
      </w:r>
    </w:p>
    <w:p w14:paraId="3AE04094" w14:textId="77777777" w:rsidR="00245435" w:rsidRPr="00DC01B6" w:rsidRDefault="002D194E" w:rsidP="00245435">
      <w:pPr>
        <w:numPr>
          <w:ilvl w:val="0"/>
          <w:numId w:val="1"/>
        </w:numPr>
        <w:spacing w:after="0"/>
        <w:contextualSpacing/>
        <w:jc w:val="both"/>
        <w:rPr>
          <w:rFonts w:ascii="Arial" w:hAnsi="Arial" w:cs="Arial"/>
          <w:b/>
          <w:color w:val="365F91" w:themeColor="accent1" w:themeShade="BF"/>
        </w:rPr>
      </w:pPr>
      <w:r w:rsidRPr="00245435">
        <w:rPr>
          <w:rFonts w:ascii="Arial" w:hAnsi="Arial" w:cs="Arial"/>
          <w:b/>
          <w:color w:val="365F91" w:themeColor="accent1" w:themeShade="BF"/>
        </w:rPr>
        <w:t>Share information about LGBTQ-affirming residential placements with the Department of Children and Families</w:t>
      </w:r>
      <w:r w:rsidR="00AB4728" w:rsidRPr="00245435">
        <w:rPr>
          <w:rFonts w:ascii="Arial" w:hAnsi="Arial" w:cs="Arial"/>
          <w:b/>
          <w:color w:val="365F91" w:themeColor="accent1" w:themeShade="BF"/>
        </w:rPr>
        <w:t xml:space="preserve"> (DCF)</w:t>
      </w:r>
      <w:r w:rsidRPr="00245435">
        <w:rPr>
          <w:rFonts w:ascii="Arial" w:hAnsi="Arial" w:cs="Arial"/>
          <w:b/>
          <w:color w:val="365F91" w:themeColor="accent1" w:themeShade="BF"/>
        </w:rPr>
        <w:t xml:space="preserve">. </w:t>
      </w:r>
    </w:p>
    <w:p w14:paraId="481A5385" w14:textId="77777777" w:rsidR="002D194E" w:rsidRPr="00245435" w:rsidRDefault="002D194E" w:rsidP="00961B5D">
      <w:pPr>
        <w:numPr>
          <w:ilvl w:val="0"/>
          <w:numId w:val="1"/>
        </w:numPr>
        <w:spacing w:after="0"/>
        <w:contextualSpacing/>
        <w:jc w:val="both"/>
        <w:rPr>
          <w:rFonts w:ascii="Arial" w:hAnsi="Arial" w:cs="Arial"/>
          <w:color w:val="0070C0"/>
        </w:rPr>
      </w:pPr>
      <w:r w:rsidRPr="00245435">
        <w:rPr>
          <w:rFonts w:ascii="Arial" w:hAnsi="Arial" w:cs="Arial"/>
          <w:b/>
          <w:color w:val="365F91" w:themeColor="accent1" w:themeShade="BF"/>
        </w:rPr>
        <w:t xml:space="preserve">Continue to collaborate with the Department of Elementary and Secondary Education </w:t>
      </w:r>
      <w:r w:rsidR="00AB4728" w:rsidRPr="00245435">
        <w:rPr>
          <w:rFonts w:ascii="Arial" w:hAnsi="Arial" w:cs="Arial"/>
          <w:b/>
          <w:color w:val="365F91" w:themeColor="accent1" w:themeShade="BF"/>
        </w:rPr>
        <w:t xml:space="preserve">(DESE) </w:t>
      </w:r>
      <w:r w:rsidRPr="00245435">
        <w:rPr>
          <w:rFonts w:ascii="Arial" w:hAnsi="Arial" w:cs="Arial"/>
          <w:b/>
          <w:color w:val="365F91" w:themeColor="accent1" w:themeShade="BF"/>
        </w:rPr>
        <w:t>on the Fam</w:t>
      </w:r>
      <w:r w:rsidR="00AB4728" w:rsidRPr="00245435">
        <w:rPr>
          <w:rFonts w:ascii="Arial" w:hAnsi="Arial" w:cs="Arial"/>
          <w:b/>
          <w:color w:val="365F91" w:themeColor="accent1" w:themeShade="BF"/>
        </w:rPr>
        <w:t>ily Engagement Framework (birth through</w:t>
      </w:r>
      <w:r w:rsidRPr="00245435">
        <w:rPr>
          <w:rFonts w:ascii="Arial" w:hAnsi="Arial" w:cs="Arial"/>
          <w:b/>
          <w:color w:val="365F91" w:themeColor="accent1" w:themeShade="BF"/>
        </w:rPr>
        <w:t xml:space="preserve"> age 12)</w:t>
      </w:r>
      <w:r w:rsidR="00AC5422" w:rsidRPr="00245435">
        <w:rPr>
          <w:b/>
          <w:color w:val="365F91" w:themeColor="accent1" w:themeShade="BF"/>
        </w:rPr>
        <w:t xml:space="preserve"> t</w:t>
      </w:r>
      <w:r w:rsidR="00AC5422" w:rsidRPr="00245435">
        <w:rPr>
          <w:rFonts w:ascii="Arial" w:hAnsi="Arial" w:cs="Arial"/>
          <w:b/>
          <w:color w:val="365F91" w:themeColor="accent1" w:themeShade="BF"/>
        </w:rPr>
        <w:t>o ensure that LGBTQ content and family diversity are well-represented.</w:t>
      </w:r>
    </w:p>
    <w:p w14:paraId="3502E26B" w14:textId="46C739A1" w:rsidR="007810C7" w:rsidRPr="007810C7" w:rsidRDefault="009619C1" w:rsidP="007810C7">
      <w:pPr>
        <w:spacing w:after="0"/>
        <w:jc w:val="both"/>
        <w:rPr>
          <w:rFonts w:ascii="Arial" w:hAnsi="Arial" w:cs="Arial"/>
        </w:rPr>
      </w:pPr>
      <w:r>
        <w:rPr>
          <w:rFonts w:ascii="Arial" w:hAnsi="Arial" w:cs="Arial"/>
          <w:b/>
          <w:noProof/>
          <w:color w:val="365F91" w:themeColor="accent1" w:themeShade="BF"/>
        </w:rPr>
        <mc:AlternateContent>
          <mc:Choice Requires="wps">
            <w:drawing>
              <wp:anchor distT="0" distB="0" distL="114300" distR="114300" simplePos="0" relativeHeight="251684864" behindDoc="0" locked="0" layoutInCell="1" allowOverlap="1" wp14:anchorId="0081EDFB" wp14:editId="3B3DA3F1">
                <wp:simplePos x="0" y="0"/>
                <wp:positionH relativeFrom="column">
                  <wp:posOffset>-24130</wp:posOffset>
                </wp:positionH>
                <wp:positionV relativeFrom="paragraph">
                  <wp:posOffset>206375</wp:posOffset>
                </wp:positionV>
                <wp:extent cx="5960110" cy="1483995"/>
                <wp:effectExtent l="0" t="0" r="21590" b="2095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0110" cy="1483995"/>
                        </a:xfrm>
                        <a:prstGeom prst="rect">
                          <a:avLst/>
                        </a:prstGeom>
                        <a:solidFill>
                          <a:schemeClr val="lt1"/>
                        </a:solidFill>
                        <a:ln w="19050">
                          <a:solidFill>
                            <a:srgbClr val="FFBC37"/>
                          </a:solidFill>
                        </a:ln>
                      </wps:spPr>
                      <wps:txbx>
                        <w:txbxContent>
                          <w:p w14:paraId="4E2768A9" w14:textId="77777777" w:rsidR="00411ECA" w:rsidRPr="007810C7" w:rsidRDefault="00411ECA" w:rsidP="00FA523B">
                            <w:pPr>
                              <w:spacing w:after="0"/>
                              <w:jc w:val="both"/>
                              <w:rPr>
                                <w:rFonts w:ascii="Arial" w:hAnsi="Arial" w:cs="Arial"/>
                                <w:i/>
                              </w:rPr>
                            </w:pPr>
                            <w:r w:rsidRPr="007810C7">
                              <w:rPr>
                                <w:rFonts w:ascii="Arial" w:hAnsi="Arial" w:cs="Arial"/>
                                <w:i/>
                              </w:rPr>
                              <w:t>“I've had clients five to ten years of age understand that they "love" their same sex classmate(s) but be very confused by it all. It can be brushed off by adults as "a phase," I think, because of the child's age. I know the focus has been on our high risk population of 13-18 year olds, but I'd like a more proactive approach to education, advocacy, and family coaching for our much younger kids.”</w:t>
                            </w:r>
                          </w:p>
                          <w:p w14:paraId="58E70C9C" w14:textId="77777777" w:rsidR="00411ECA" w:rsidRPr="007810C7" w:rsidRDefault="00411ECA" w:rsidP="00FA523B">
                            <w:pPr>
                              <w:spacing w:after="0"/>
                              <w:jc w:val="both"/>
                              <w:rPr>
                                <w:rFonts w:ascii="Arial" w:hAnsi="Arial" w:cs="Arial"/>
                              </w:rPr>
                            </w:pPr>
                          </w:p>
                          <w:p w14:paraId="32DBA81F" w14:textId="77777777" w:rsidR="00411ECA" w:rsidRPr="007810C7" w:rsidRDefault="00411ECA" w:rsidP="00FA523B">
                            <w:pPr>
                              <w:spacing w:after="0"/>
                              <w:jc w:val="both"/>
                              <w:rPr>
                                <w:rFonts w:ascii="Arial" w:hAnsi="Arial" w:cs="Arial"/>
                              </w:rPr>
                            </w:pPr>
                            <w:r w:rsidRPr="007810C7">
                              <w:rPr>
                                <w:rFonts w:ascii="Arial" w:hAnsi="Arial" w:cs="Arial"/>
                              </w:rPr>
                              <w:t>– Service Provider, Cape and Islands</w:t>
                            </w:r>
                          </w:p>
                          <w:p w14:paraId="2FCD72DF" w14:textId="77777777" w:rsidR="00411ECA" w:rsidRDefault="00411E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6" o:spid="_x0000_s1031" type="#_x0000_t202" style="position:absolute;left:0;text-align:left;margin-left:-1.9pt;margin-top:16.25pt;width:469.3pt;height:116.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" fillcolor="white [3201]" strokecolor="#ffbc37" strokeweight="1.5pt">
                <v:path arrowok="t"/>
                <v:textbox>
                  <w:txbxContent>
                    <w:p w14:paraId="4E2768A9" w14:textId="77777777" w:rsidR="00411ECA" w:rsidRPr="007810C7" w:rsidRDefault="00411ECA" w:rsidP="00FA523B">
                      <w:pPr>
                        <w:spacing w:after="0"/>
                        <w:jc w:val="both"/>
                        <w:rPr>
                          <w:rFonts w:ascii="Arial" w:hAnsi="Arial" w:cs="Arial"/>
                          <w:i/>
                        </w:rPr>
                      </w:pPr>
                      <w:r w:rsidRPr="007810C7">
                        <w:rPr>
                          <w:rFonts w:ascii="Arial" w:hAnsi="Arial" w:cs="Arial"/>
                          <w:i/>
                        </w:rPr>
                        <w:t>“I've had clients five to ten years of age understand that they "love" their same sex classmate(s) but be very confused by it all. It can be brushed off by adults as "a phase," I think, because of the child's age. I know the focus has been on our high risk population of 13-18 year olds, but I'd like a more proactive approach to education, advocacy, and family coaching for our much younger kids.”</w:t>
                      </w:r>
                    </w:p>
                    <w:p w14:paraId="58E70C9C" w14:textId="77777777" w:rsidR="00411ECA" w:rsidRPr="007810C7" w:rsidRDefault="00411ECA" w:rsidP="00FA523B">
                      <w:pPr>
                        <w:spacing w:after="0"/>
                        <w:jc w:val="both"/>
                        <w:rPr>
                          <w:rFonts w:ascii="Arial" w:hAnsi="Arial" w:cs="Arial"/>
                        </w:rPr>
                      </w:pPr>
                    </w:p>
                    <w:p w14:paraId="32DBA81F" w14:textId="77777777" w:rsidR="00411ECA" w:rsidRPr="007810C7" w:rsidRDefault="00411ECA" w:rsidP="00FA523B">
                      <w:pPr>
                        <w:spacing w:after="0"/>
                        <w:jc w:val="both"/>
                        <w:rPr>
                          <w:rFonts w:ascii="Arial" w:hAnsi="Arial" w:cs="Arial"/>
                        </w:rPr>
                      </w:pPr>
                      <w:r w:rsidRPr="007810C7">
                        <w:rPr>
                          <w:rFonts w:ascii="Arial" w:hAnsi="Arial" w:cs="Arial"/>
                        </w:rPr>
                        <w:t>– Service Provider, Cape and Islands</w:t>
                      </w:r>
                    </w:p>
                    <w:p w14:paraId="2FCD72DF" w14:textId="77777777" w:rsidR="00411ECA" w:rsidRDefault="00411ECA"/>
                  </w:txbxContent>
                </v:textbox>
                <w10:wrap type="square"/>
              </v:shape>
            </w:pict>
          </mc:Fallback>
        </mc:AlternateContent>
      </w:r>
    </w:p>
    <w:p w14:paraId="4AB4F930" w14:textId="77777777" w:rsidR="00245435" w:rsidRDefault="00245435" w:rsidP="00245435">
      <w:pPr>
        <w:spacing w:after="0"/>
        <w:jc w:val="center"/>
        <w:rPr>
          <w:rFonts w:ascii="Arial" w:hAnsi="Arial" w:cs="Arial"/>
          <w:b/>
          <w:u w:val="single"/>
        </w:rPr>
      </w:pPr>
    </w:p>
    <w:p w14:paraId="1BC889DF" w14:textId="77777777" w:rsidR="007810C7" w:rsidRPr="0061191B" w:rsidRDefault="007810C7" w:rsidP="00245435">
      <w:pPr>
        <w:spacing w:after="0"/>
        <w:jc w:val="center"/>
        <w:rPr>
          <w:rFonts w:ascii="Arial" w:hAnsi="Arial" w:cs="Arial"/>
          <w:b/>
          <w:u w:val="single"/>
        </w:rPr>
      </w:pPr>
      <w:r w:rsidRPr="0061191B">
        <w:rPr>
          <w:rFonts w:ascii="Arial" w:hAnsi="Arial" w:cs="Arial"/>
          <w:b/>
          <w:u w:val="single"/>
        </w:rPr>
        <w:t>BACKGROUND &amp; RESEARCH</w:t>
      </w:r>
    </w:p>
    <w:p w14:paraId="775DE4E8" w14:textId="77777777" w:rsidR="007810C7" w:rsidRDefault="007810C7" w:rsidP="007810C7">
      <w:pPr>
        <w:spacing w:after="0"/>
        <w:jc w:val="both"/>
        <w:rPr>
          <w:rFonts w:ascii="Arial" w:hAnsi="Arial" w:cs="Arial"/>
        </w:rPr>
      </w:pPr>
    </w:p>
    <w:p w14:paraId="6823A19F" w14:textId="77777777" w:rsidR="00AB4728" w:rsidRDefault="00AB4728" w:rsidP="007810C7">
      <w:pPr>
        <w:spacing w:after="0"/>
        <w:jc w:val="both"/>
        <w:rPr>
          <w:rFonts w:ascii="Arial" w:hAnsi="Arial" w:cs="Arial"/>
        </w:rPr>
      </w:pPr>
      <w:r w:rsidRPr="00AB4728">
        <w:rPr>
          <w:rFonts w:ascii="Arial" w:hAnsi="Arial" w:cs="Arial"/>
        </w:rPr>
        <w:t>The Department of Early Education and Care (</w:t>
      </w:r>
      <w:r w:rsidR="00446F40">
        <w:rPr>
          <w:rFonts w:ascii="Arial" w:hAnsi="Arial" w:cs="Arial"/>
        </w:rPr>
        <w:t>D</w:t>
      </w:r>
      <w:r w:rsidRPr="00AB4728">
        <w:rPr>
          <w:rFonts w:ascii="Arial" w:hAnsi="Arial" w:cs="Arial"/>
        </w:rPr>
        <w:t xml:space="preserve">EEC) not only provides guidance on early education, but also has important priorities such as working with teenage parents and licensing child-serving organizations that work with state government, including temporary shelters and foster homes. The Commission has worked with </w:t>
      </w:r>
      <w:r w:rsidR="00446F40">
        <w:rPr>
          <w:rFonts w:ascii="Arial" w:hAnsi="Arial" w:cs="Arial"/>
        </w:rPr>
        <w:t>D</w:t>
      </w:r>
      <w:r w:rsidRPr="00AB4728">
        <w:rPr>
          <w:rFonts w:ascii="Arial" w:hAnsi="Arial" w:cs="Arial"/>
        </w:rPr>
        <w:t xml:space="preserve">EEC for a number of years, and is </w:t>
      </w:r>
      <w:r w:rsidR="00BA0679">
        <w:rPr>
          <w:rFonts w:ascii="Arial" w:hAnsi="Arial" w:cs="Arial"/>
        </w:rPr>
        <w:t xml:space="preserve">appreciative of </w:t>
      </w:r>
      <w:r w:rsidR="0094008B">
        <w:rPr>
          <w:rFonts w:ascii="Arial" w:hAnsi="Arial" w:cs="Arial"/>
        </w:rPr>
        <w:t>D</w:t>
      </w:r>
      <w:r>
        <w:rPr>
          <w:rFonts w:ascii="Arial" w:hAnsi="Arial" w:cs="Arial"/>
        </w:rPr>
        <w:t xml:space="preserve">EEC’s </w:t>
      </w:r>
      <w:r w:rsidRPr="00AB4728">
        <w:rPr>
          <w:rFonts w:ascii="Arial" w:hAnsi="Arial" w:cs="Arial"/>
        </w:rPr>
        <w:t>commitment to youth of all ages under its care.</w:t>
      </w:r>
    </w:p>
    <w:p w14:paraId="39FC4F04" w14:textId="77777777" w:rsidR="00AB4728" w:rsidRPr="007810C7" w:rsidRDefault="00AB4728" w:rsidP="007810C7">
      <w:pPr>
        <w:spacing w:after="0"/>
        <w:jc w:val="both"/>
        <w:rPr>
          <w:rFonts w:ascii="Arial" w:hAnsi="Arial" w:cs="Arial"/>
        </w:rPr>
      </w:pPr>
    </w:p>
    <w:p w14:paraId="1F7028C4" w14:textId="23867FE8" w:rsidR="007810C7" w:rsidRDefault="007810C7" w:rsidP="007810C7">
      <w:pPr>
        <w:spacing w:after="0"/>
        <w:jc w:val="both"/>
        <w:rPr>
          <w:rFonts w:ascii="Arial" w:hAnsi="Arial" w:cs="Arial"/>
        </w:rPr>
      </w:pPr>
      <w:r w:rsidRPr="007810C7">
        <w:rPr>
          <w:rFonts w:ascii="Arial" w:hAnsi="Arial" w:cs="Arial"/>
        </w:rPr>
        <w:t>LGBTQ youth are disproportionately represented in state systems of care. Although Massachusetts data are limited, estimates from Los Angeles suggest that approximately 19 percent of y</w:t>
      </w:r>
      <w:r>
        <w:rPr>
          <w:rFonts w:ascii="Arial" w:hAnsi="Arial" w:cs="Arial"/>
        </w:rPr>
        <w:t>outh in foster care are LGBTQ.</w:t>
      </w:r>
      <w:r>
        <w:rPr>
          <w:rStyle w:val="EndnoteReference"/>
          <w:rFonts w:ascii="Arial" w:hAnsi="Arial" w:cs="Arial"/>
        </w:rPr>
        <w:endnoteReference w:id="168"/>
      </w:r>
      <w:r w:rsidR="00AB4728">
        <w:rPr>
          <w:rFonts w:ascii="Arial" w:hAnsi="Arial" w:cs="Arial"/>
        </w:rPr>
        <w:t xml:space="preserve"> Additionally, detailed information provided </w:t>
      </w:r>
      <w:r w:rsidR="00AA245D">
        <w:rPr>
          <w:rFonts w:ascii="Arial" w:hAnsi="Arial" w:cs="Arial"/>
        </w:rPr>
        <w:t>at</w:t>
      </w:r>
      <w:r w:rsidR="00623992">
        <w:rPr>
          <w:rFonts w:ascii="Arial" w:hAnsi="Arial" w:cs="Arial"/>
        </w:rPr>
        <w:t xml:space="preserve"> page 18</w:t>
      </w:r>
      <w:r w:rsidR="00AB4728">
        <w:rPr>
          <w:rFonts w:ascii="Arial" w:hAnsi="Arial" w:cs="Arial"/>
        </w:rPr>
        <w:t xml:space="preserve"> demonstrates that LGBTQ youth in foster care face unique challenges. </w:t>
      </w:r>
      <w:r w:rsidRPr="007810C7">
        <w:rPr>
          <w:rFonts w:ascii="Arial" w:hAnsi="Arial" w:cs="Arial"/>
        </w:rPr>
        <w:t>EEC is</w:t>
      </w:r>
      <w:r w:rsidR="00623992">
        <w:rPr>
          <w:rFonts w:ascii="Arial" w:hAnsi="Arial" w:cs="Arial"/>
        </w:rPr>
        <w:t xml:space="preserve"> therefore</w:t>
      </w:r>
      <w:r w:rsidRPr="007810C7">
        <w:rPr>
          <w:rFonts w:ascii="Arial" w:hAnsi="Arial" w:cs="Arial"/>
        </w:rPr>
        <w:t xml:space="preserve"> well-positioned to impact youth in early education programs as well as at-risk LGBTQ youth through its process of licensing child-serving organizations, including temporary shelters and foster homes. The Commission continues to hear that agencies managing group homes are unsure of best practices for serving LGBTQ youth, and in particular that they believe existing licensing requirements are a barrier to housing transgender young people according to their gender identity rather than sex assigned at birth.</w:t>
      </w:r>
    </w:p>
    <w:p w14:paraId="2CD8B8A7" w14:textId="77777777" w:rsidR="0094008B" w:rsidRDefault="0094008B" w:rsidP="007810C7">
      <w:pPr>
        <w:spacing w:after="0"/>
        <w:jc w:val="both"/>
        <w:rPr>
          <w:rFonts w:ascii="Arial" w:hAnsi="Arial" w:cs="Arial"/>
        </w:rPr>
      </w:pPr>
    </w:p>
    <w:p w14:paraId="1130A328" w14:textId="77777777" w:rsidR="0094008B" w:rsidRDefault="0094008B" w:rsidP="007810C7">
      <w:pPr>
        <w:spacing w:after="0"/>
        <w:jc w:val="both"/>
        <w:rPr>
          <w:rFonts w:ascii="Arial" w:hAnsi="Arial" w:cs="Arial"/>
        </w:rPr>
      </w:pPr>
      <w:r>
        <w:rPr>
          <w:rFonts w:ascii="Arial" w:hAnsi="Arial" w:cs="Arial"/>
        </w:rPr>
        <w:lastRenderedPageBreak/>
        <w:t xml:space="preserve">Beyond the recommendations issued below, the Commission looks forward to working with DEEC to examine how LGBTQ competencies might be included in the years ahead in its Career Lattice, which is currently under development. </w:t>
      </w:r>
    </w:p>
    <w:p w14:paraId="11EFE9C2" w14:textId="77777777" w:rsidR="007810C7" w:rsidRPr="007810C7" w:rsidRDefault="007810C7" w:rsidP="007810C7">
      <w:pPr>
        <w:spacing w:after="0"/>
        <w:jc w:val="both"/>
        <w:rPr>
          <w:rFonts w:ascii="Arial" w:hAnsi="Arial" w:cs="Arial"/>
        </w:rPr>
      </w:pPr>
    </w:p>
    <w:p w14:paraId="3BE7821B" w14:textId="480518D5" w:rsidR="00FA523B" w:rsidRPr="00FA523B" w:rsidRDefault="009619C1" w:rsidP="007810C7">
      <w:pPr>
        <w:spacing w:after="0"/>
        <w:jc w:val="both"/>
        <w:rPr>
          <w:rFonts w:ascii="Arial" w:hAnsi="Arial" w:cs="Arial"/>
        </w:rPr>
      </w:pPr>
      <w:r>
        <w:rPr>
          <w:rFonts w:ascii="Arial" w:hAnsi="Arial" w:cs="Arial"/>
          <w:noProof/>
        </w:rPr>
        <mc:AlternateContent>
          <mc:Choice Requires="wps">
            <w:drawing>
              <wp:anchor distT="0" distB="0" distL="114300" distR="114300" simplePos="0" relativeHeight="251685888" behindDoc="0" locked="0" layoutInCell="1" allowOverlap="1" wp14:anchorId="139368B0" wp14:editId="16409E49">
                <wp:simplePos x="0" y="0"/>
                <wp:positionH relativeFrom="column">
                  <wp:posOffset>11430</wp:posOffset>
                </wp:positionH>
                <wp:positionV relativeFrom="paragraph">
                  <wp:posOffset>20320</wp:posOffset>
                </wp:positionV>
                <wp:extent cx="5948680" cy="2327275"/>
                <wp:effectExtent l="0" t="0" r="13970" b="158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8680" cy="2327275"/>
                        </a:xfrm>
                        <a:prstGeom prst="rect">
                          <a:avLst/>
                        </a:prstGeom>
                        <a:solidFill>
                          <a:schemeClr val="lt1"/>
                        </a:solidFill>
                        <a:ln w="19050">
                          <a:solidFill>
                            <a:srgbClr val="FFBC37"/>
                          </a:solidFill>
                        </a:ln>
                      </wps:spPr>
                      <wps:txbx>
                        <w:txbxContent>
                          <w:p w14:paraId="1B1423D0" w14:textId="77777777" w:rsidR="00411ECA" w:rsidRPr="007810C7" w:rsidRDefault="00411ECA" w:rsidP="00FA523B">
                            <w:pPr>
                              <w:spacing w:after="0"/>
                              <w:jc w:val="both"/>
                              <w:rPr>
                                <w:rFonts w:ascii="Arial" w:hAnsi="Arial" w:cs="Arial"/>
                                <w:i/>
                              </w:rPr>
                            </w:pPr>
                            <w:r w:rsidRPr="007810C7">
                              <w:rPr>
                                <w:rFonts w:ascii="Arial" w:hAnsi="Arial" w:cs="Arial"/>
                                <w:i/>
                              </w:rPr>
                              <w:t>"We wanted to foster or adopt because we know there is such a need for transgender and gender-nonconforming youth in the system. What was really important to me as a trans person was finding an adoption agency to work with that understood my identity, where it wouldn't be an issue. During my home study, the process took a turn to focus solely on my identity. I was asked questions about what kind of surgery I had had. In the home study doc</w:t>
                            </w:r>
                            <w:r>
                              <w:rPr>
                                <w:rFonts w:ascii="Arial" w:hAnsi="Arial" w:cs="Arial"/>
                                <w:i/>
                              </w:rPr>
                              <w:t xml:space="preserve">ument that goes out to everyone… [i]t </w:t>
                            </w:r>
                            <w:r w:rsidRPr="007810C7">
                              <w:rPr>
                                <w:rFonts w:ascii="Arial" w:hAnsi="Arial" w:cs="Arial"/>
                                <w:i/>
                              </w:rPr>
                              <w:t>talks nothing about who I am. It's not strength-based. It felt like my social worker was asking a lot of questions just to satisfy her own curiosity and it caused us a lot of stress. Later, during our disclosure meeting, someone else asked if we would force our child to be transgender or gender-nonconforming – and it was like, would you ever ask a cisgender person if they would force their kid to be cisgender?"</w:t>
                            </w:r>
                          </w:p>
                          <w:p w14:paraId="6EAE986F" w14:textId="77777777" w:rsidR="00411ECA" w:rsidRPr="007810C7" w:rsidRDefault="00411ECA" w:rsidP="00FA523B">
                            <w:pPr>
                              <w:spacing w:after="0"/>
                              <w:jc w:val="both"/>
                              <w:rPr>
                                <w:rFonts w:ascii="Arial" w:hAnsi="Arial" w:cs="Arial"/>
                              </w:rPr>
                            </w:pPr>
                          </w:p>
                          <w:p w14:paraId="3B1ACB2B" w14:textId="77777777" w:rsidR="00411ECA" w:rsidRPr="007810C7" w:rsidRDefault="00411ECA" w:rsidP="00FA523B">
                            <w:pPr>
                              <w:spacing w:after="0"/>
                              <w:jc w:val="both"/>
                              <w:rPr>
                                <w:rFonts w:ascii="Arial" w:hAnsi="Arial" w:cs="Arial"/>
                              </w:rPr>
                            </w:pPr>
                            <w:r w:rsidRPr="007810C7">
                              <w:rPr>
                                <w:rFonts w:ascii="Arial" w:hAnsi="Arial" w:cs="Arial"/>
                              </w:rPr>
                              <w:t>– Pre-adop</w:t>
                            </w:r>
                            <w:r>
                              <w:rPr>
                                <w:rFonts w:ascii="Arial" w:hAnsi="Arial" w:cs="Arial"/>
                              </w:rPr>
                              <w:t>tive parent</w:t>
                            </w:r>
                          </w:p>
                          <w:p w14:paraId="0DF0F961" w14:textId="77777777" w:rsidR="00411ECA" w:rsidRDefault="00411E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2" type="#_x0000_t202" style="position:absolute;left:0;text-align:left;margin-left:.9pt;margin-top:1.6pt;width:468.4pt;height:18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" fillcolor="white [3201]" strokecolor="#ffbc37" strokeweight="1.5pt">
                <v:path arrowok="t"/>
                <v:textbox>
                  <w:txbxContent>
                    <w:p w14:paraId="1B1423D0" w14:textId="77777777" w:rsidR="00411ECA" w:rsidRPr="007810C7" w:rsidRDefault="00411ECA" w:rsidP="00FA523B">
                      <w:pPr>
                        <w:spacing w:after="0"/>
                        <w:jc w:val="both"/>
                        <w:rPr>
                          <w:rFonts w:ascii="Arial" w:hAnsi="Arial" w:cs="Arial"/>
                          <w:i/>
                        </w:rPr>
                      </w:pPr>
                      <w:r w:rsidRPr="007810C7">
                        <w:rPr>
                          <w:rFonts w:ascii="Arial" w:hAnsi="Arial" w:cs="Arial"/>
                          <w:i/>
                        </w:rPr>
                        <w:t>"We wanted to foster or adopt because we know there is such a need for transgender and gender-nonconforming youth in the system. What was really important to me as a trans person was finding an adoption agency to work with that understood my identity, where it wouldn't be an issue. During my home study, the process took a turn to focus solely on my identity. I was asked questions about what kind of surgery I had had. In the home study doc</w:t>
                      </w:r>
                      <w:r>
                        <w:rPr>
                          <w:rFonts w:ascii="Arial" w:hAnsi="Arial" w:cs="Arial"/>
                          <w:i/>
                        </w:rPr>
                        <w:t>ument that goes out to everyone… [</w:t>
                      </w:r>
                      <w:proofErr w:type="spellStart"/>
                      <w:r>
                        <w:rPr>
                          <w:rFonts w:ascii="Arial" w:hAnsi="Arial" w:cs="Arial"/>
                          <w:i/>
                        </w:rPr>
                        <w:t>i</w:t>
                      </w:r>
                      <w:proofErr w:type="spellEnd"/>
                      <w:r>
                        <w:rPr>
                          <w:rFonts w:ascii="Arial" w:hAnsi="Arial" w:cs="Arial"/>
                          <w:i/>
                        </w:rPr>
                        <w:t xml:space="preserve">]t </w:t>
                      </w:r>
                      <w:r w:rsidRPr="007810C7">
                        <w:rPr>
                          <w:rFonts w:ascii="Arial" w:hAnsi="Arial" w:cs="Arial"/>
                          <w:i/>
                        </w:rPr>
                        <w:t>talks nothing about who I am. It's not strength-based. It felt like my social worker was asking a lot of questions just to satisfy her own curiosity and it caused us a lot of stress. Later, during our disclosure meeting, someone else asked if we would force our child to be transgender or gender-nonconforming – and it was like, would you ever ask a cisgender person if they would force their kid to be cisgender?"</w:t>
                      </w:r>
                    </w:p>
                    <w:p w14:paraId="6EAE986F" w14:textId="77777777" w:rsidR="00411ECA" w:rsidRPr="007810C7" w:rsidRDefault="00411ECA" w:rsidP="00FA523B">
                      <w:pPr>
                        <w:spacing w:after="0"/>
                        <w:jc w:val="both"/>
                        <w:rPr>
                          <w:rFonts w:ascii="Arial" w:hAnsi="Arial" w:cs="Arial"/>
                        </w:rPr>
                      </w:pPr>
                    </w:p>
                    <w:p w14:paraId="3B1ACB2B" w14:textId="77777777" w:rsidR="00411ECA" w:rsidRPr="007810C7" w:rsidRDefault="00411ECA" w:rsidP="00FA523B">
                      <w:pPr>
                        <w:spacing w:after="0"/>
                        <w:jc w:val="both"/>
                        <w:rPr>
                          <w:rFonts w:ascii="Arial" w:hAnsi="Arial" w:cs="Arial"/>
                        </w:rPr>
                      </w:pPr>
                      <w:r w:rsidRPr="007810C7">
                        <w:rPr>
                          <w:rFonts w:ascii="Arial" w:hAnsi="Arial" w:cs="Arial"/>
                        </w:rPr>
                        <w:t>– Pre-adop</w:t>
                      </w:r>
                      <w:r>
                        <w:rPr>
                          <w:rFonts w:ascii="Arial" w:hAnsi="Arial" w:cs="Arial"/>
                        </w:rPr>
                        <w:t>tive parent</w:t>
                      </w:r>
                    </w:p>
                    <w:p w14:paraId="0DF0F961" w14:textId="77777777" w:rsidR="00411ECA" w:rsidRDefault="00411ECA"/>
                  </w:txbxContent>
                </v:textbox>
              </v:shape>
            </w:pict>
          </mc:Fallback>
        </mc:AlternateContent>
      </w:r>
    </w:p>
    <w:p w14:paraId="3B771C5A" w14:textId="77777777" w:rsidR="00FA523B" w:rsidRDefault="00FA523B" w:rsidP="007810C7">
      <w:pPr>
        <w:spacing w:after="0"/>
        <w:jc w:val="both"/>
        <w:rPr>
          <w:rFonts w:ascii="Arial" w:hAnsi="Arial" w:cs="Arial"/>
          <w:i/>
        </w:rPr>
      </w:pPr>
    </w:p>
    <w:p w14:paraId="63877AAA" w14:textId="77777777" w:rsidR="00FA523B" w:rsidRDefault="00FA523B" w:rsidP="007810C7">
      <w:pPr>
        <w:spacing w:after="0"/>
        <w:jc w:val="both"/>
        <w:rPr>
          <w:rFonts w:ascii="Arial" w:hAnsi="Arial" w:cs="Arial"/>
          <w:i/>
        </w:rPr>
      </w:pPr>
    </w:p>
    <w:p w14:paraId="5F79C105" w14:textId="77777777" w:rsidR="00FA523B" w:rsidRDefault="00FA523B" w:rsidP="007810C7">
      <w:pPr>
        <w:spacing w:after="0"/>
        <w:jc w:val="both"/>
        <w:rPr>
          <w:rFonts w:ascii="Arial" w:hAnsi="Arial" w:cs="Arial"/>
          <w:i/>
        </w:rPr>
      </w:pPr>
    </w:p>
    <w:p w14:paraId="5CEEC0EB" w14:textId="77777777" w:rsidR="00FA523B" w:rsidRDefault="00FA523B" w:rsidP="007810C7">
      <w:pPr>
        <w:spacing w:after="0"/>
        <w:jc w:val="both"/>
        <w:rPr>
          <w:rFonts w:ascii="Arial" w:hAnsi="Arial" w:cs="Arial"/>
          <w:i/>
        </w:rPr>
      </w:pPr>
    </w:p>
    <w:p w14:paraId="4E6BEAFC" w14:textId="77777777" w:rsidR="00FA523B" w:rsidRDefault="00FA523B" w:rsidP="007810C7">
      <w:pPr>
        <w:spacing w:after="0"/>
        <w:jc w:val="both"/>
        <w:rPr>
          <w:rFonts w:ascii="Arial" w:hAnsi="Arial" w:cs="Arial"/>
          <w:i/>
        </w:rPr>
      </w:pPr>
    </w:p>
    <w:p w14:paraId="1D22A9CE" w14:textId="77777777" w:rsidR="00FA523B" w:rsidRDefault="00FA523B" w:rsidP="007810C7">
      <w:pPr>
        <w:spacing w:after="0"/>
        <w:jc w:val="both"/>
        <w:rPr>
          <w:rFonts w:ascii="Arial" w:hAnsi="Arial" w:cs="Arial"/>
          <w:i/>
        </w:rPr>
      </w:pPr>
    </w:p>
    <w:p w14:paraId="55D8F8A9" w14:textId="77777777" w:rsidR="00FA523B" w:rsidRDefault="00FA523B" w:rsidP="007810C7">
      <w:pPr>
        <w:spacing w:after="0"/>
        <w:jc w:val="both"/>
        <w:rPr>
          <w:rFonts w:ascii="Arial" w:hAnsi="Arial" w:cs="Arial"/>
          <w:i/>
        </w:rPr>
      </w:pPr>
    </w:p>
    <w:p w14:paraId="7FC84767" w14:textId="77777777" w:rsidR="00FA523B" w:rsidRDefault="00FA523B" w:rsidP="007810C7">
      <w:pPr>
        <w:spacing w:after="0"/>
        <w:jc w:val="both"/>
        <w:rPr>
          <w:rFonts w:ascii="Arial" w:hAnsi="Arial" w:cs="Arial"/>
          <w:i/>
        </w:rPr>
      </w:pPr>
    </w:p>
    <w:p w14:paraId="41683CB8" w14:textId="77777777" w:rsidR="00FA523B" w:rsidRDefault="00FA523B" w:rsidP="007810C7">
      <w:pPr>
        <w:spacing w:after="0"/>
        <w:jc w:val="both"/>
        <w:rPr>
          <w:rFonts w:ascii="Arial" w:hAnsi="Arial" w:cs="Arial"/>
          <w:i/>
        </w:rPr>
      </w:pPr>
    </w:p>
    <w:p w14:paraId="56EE33E3" w14:textId="77777777" w:rsidR="00FA523B" w:rsidRDefault="00FA523B" w:rsidP="007810C7">
      <w:pPr>
        <w:spacing w:after="0"/>
        <w:jc w:val="both"/>
        <w:rPr>
          <w:rFonts w:ascii="Arial" w:hAnsi="Arial" w:cs="Arial"/>
          <w:i/>
        </w:rPr>
      </w:pPr>
    </w:p>
    <w:p w14:paraId="0B496B87" w14:textId="77777777" w:rsidR="00FA523B" w:rsidRDefault="00FA523B" w:rsidP="007810C7">
      <w:pPr>
        <w:spacing w:after="0"/>
        <w:jc w:val="both"/>
        <w:rPr>
          <w:rFonts w:ascii="Arial" w:hAnsi="Arial" w:cs="Arial"/>
          <w:i/>
        </w:rPr>
      </w:pPr>
    </w:p>
    <w:p w14:paraId="1AAEC847" w14:textId="77777777" w:rsidR="007810C7" w:rsidRDefault="007810C7" w:rsidP="007810C7">
      <w:pPr>
        <w:spacing w:after="0"/>
        <w:jc w:val="both"/>
        <w:rPr>
          <w:rFonts w:ascii="Arial" w:hAnsi="Arial" w:cs="Arial"/>
          <w:i/>
        </w:rPr>
      </w:pPr>
    </w:p>
    <w:p w14:paraId="3E46020B" w14:textId="77777777" w:rsidR="00FA523B" w:rsidRDefault="00FA523B" w:rsidP="007810C7">
      <w:pPr>
        <w:spacing w:after="0"/>
        <w:jc w:val="both"/>
        <w:rPr>
          <w:rFonts w:ascii="Arial" w:hAnsi="Arial" w:cs="Arial"/>
          <w:b/>
        </w:rPr>
      </w:pPr>
    </w:p>
    <w:p w14:paraId="1EC926F5" w14:textId="77777777" w:rsidR="007810C7" w:rsidRPr="0061191B" w:rsidRDefault="007810C7" w:rsidP="00245435">
      <w:pPr>
        <w:spacing w:after="0"/>
        <w:jc w:val="center"/>
        <w:rPr>
          <w:rFonts w:ascii="Arial" w:hAnsi="Arial" w:cs="Arial"/>
          <w:b/>
          <w:u w:val="single"/>
        </w:rPr>
      </w:pPr>
      <w:r w:rsidRPr="0061191B">
        <w:rPr>
          <w:rFonts w:ascii="Arial" w:hAnsi="Arial" w:cs="Arial"/>
          <w:b/>
          <w:u w:val="single"/>
        </w:rPr>
        <w:t>EXPANDED RECOMMENDATIONS</w:t>
      </w:r>
    </w:p>
    <w:p w14:paraId="25E83902" w14:textId="77777777" w:rsidR="007810C7" w:rsidRDefault="007810C7" w:rsidP="007810C7">
      <w:pPr>
        <w:spacing w:after="0"/>
        <w:jc w:val="both"/>
        <w:rPr>
          <w:rFonts w:ascii="Arial" w:hAnsi="Arial" w:cs="Arial"/>
        </w:rPr>
      </w:pPr>
      <w:r w:rsidRPr="007810C7">
        <w:rPr>
          <w:rFonts w:ascii="Arial" w:hAnsi="Arial" w:cs="Arial"/>
        </w:rPr>
        <w:t xml:space="preserve"> </w:t>
      </w:r>
    </w:p>
    <w:p w14:paraId="58DFB773" w14:textId="77777777" w:rsidR="00AB4728" w:rsidRPr="00245435" w:rsidRDefault="00AB4728" w:rsidP="0061191B">
      <w:pPr>
        <w:pStyle w:val="ListParagraph"/>
        <w:numPr>
          <w:ilvl w:val="0"/>
          <w:numId w:val="31"/>
        </w:numPr>
        <w:jc w:val="both"/>
        <w:rPr>
          <w:rFonts w:ascii="Arial" w:hAnsi="Arial" w:cs="Arial"/>
          <w:b/>
          <w:color w:val="365F91" w:themeColor="accent1" w:themeShade="BF"/>
        </w:rPr>
      </w:pPr>
      <w:r w:rsidRPr="00245435">
        <w:rPr>
          <w:rFonts w:ascii="Arial" w:hAnsi="Arial" w:cs="Arial"/>
          <w:b/>
          <w:bCs/>
          <w:color w:val="365F91" w:themeColor="accent1" w:themeShade="BF"/>
        </w:rPr>
        <w:t xml:space="preserve">Provide professional development to staff in licensed </w:t>
      </w:r>
      <w:r w:rsidR="00446F40" w:rsidRPr="00245435">
        <w:rPr>
          <w:rFonts w:ascii="Arial" w:hAnsi="Arial" w:cs="Arial"/>
          <w:b/>
          <w:bCs/>
          <w:color w:val="365F91" w:themeColor="accent1" w:themeShade="BF"/>
        </w:rPr>
        <w:t>D</w:t>
      </w:r>
      <w:r w:rsidRPr="00245435">
        <w:rPr>
          <w:rFonts w:ascii="Arial" w:hAnsi="Arial" w:cs="Arial"/>
          <w:b/>
          <w:bCs/>
          <w:color w:val="365F91" w:themeColor="accent1" w:themeShade="BF"/>
        </w:rPr>
        <w:t>EEC programs and develop an online training module on best practices for serving LGBTQ youth and families.</w:t>
      </w:r>
    </w:p>
    <w:p w14:paraId="198D99AF" w14:textId="77777777" w:rsidR="00AB4728" w:rsidRPr="00AB4728" w:rsidRDefault="00AB4728" w:rsidP="0061191B">
      <w:pPr>
        <w:jc w:val="both"/>
        <w:rPr>
          <w:rFonts w:ascii="Arial" w:hAnsi="Arial" w:cs="Arial"/>
        </w:rPr>
      </w:pPr>
      <w:r w:rsidRPr="00AB4728">
        <w:rPr>
          <w:rFonts w:ascii="Arial" w:hAnsi="Arial" w:cs="Arial"/>
        </w:rPr>
        <w:t xml:space="preserve">The Commission recommends that all employees who serve youth at </w:t>
      </w:r>
      <w:r w:rsidR="00446F40">
        <w:rPr>
          <w:rFonts w:ascii="Arial" w:hAnsi="Arial" w:cs="Arial"/>
        </w:rPr>
        <w:t>D</w:t>
      </w:r>
      <w:r w:rsidRPr="00AB4728">
        <w:rPr>
          <w:rFonts w:ascii="Arial" w:hAnsi="Arial" w:cs="Arial"/>
        </w:rPr>
        <w:t xml:space="preserve">EEC-licensed or approved programs and facilities attend mandatory LGBTQ cultural competency training. </w:t>
      </w:r>
      <w:r>
        <w:rPr>
          <w:rFonts w:ascii="Arial" w:hAnsi="Arial" w:cs="Arial"/>
        </w:rPr>
        <w:t>The Commission</w:t>
      </w:r>
      <w:r w:rsidRPr="00AB4728">
        <w:rPr>
          <w:rFonts w:ascii="Arial" w:hAnsi="Arial" w:cs="Arial"/>
        </w:rPr>
        <w:t xml:space="preserve"> encourage</w:t>
      </w:r>
      <w:r>
        <w:rPr>
          <w:rFonts w:ascii="Arial" w:hAnsi="Arial" w:cs="Arial"/>
        </w:rPr>
        <w:t>s</w:t>
      </w:r>
      <w:r w:rsidRPr="00AB4728">
        <w:rPr>
          <w:rFonts w:ascii="Arial" w:hAnsi="Arial" w:cs="Arial"/>
        </w:rPr>
        <w:t xml:space="preserve"> </w:t>
      </w:r>
      <w:r w:rsidR="00446F40">
        <w:rPr>
          <w:rFonts w:ascii="Arial" w:hAnsi="Arial" w:cs="Arial"/>
        </w:rPr>
        <w:t>D</w:t>
      </w:r>
      <w:r w:rsidRPr="00AB4728">
        <w:rPr>
          <w:rFonts w:ascii="Arial" w:hAnsi="Arial" w:cs="Arial"/>
        </w:rPr>
        <w:t xml:space="preserve">EEC to support licensees in providing the resources staff need to serve LGBTQ youth. Training and professional development should include information on LGBTQ cultural competency and best practices for creating safe, affirming, and trauma-informed environments. </w:t>
      </w:r>
      <w:r>
        <w:rPr>
          <w:rFonts w:ascii="Arial" w:hAnsi="Arial" w:cs="Arial"/>
        </w:rPr>
        <w:t>The Commission</w:t>
      </w:r>
      <w:r w:rsidRPr="00AB4728">
        <w:rPr>
          <w:rFonts w:ascii="Arial" w:hAnsi="Arial" w:cs="Arial"/>
        </w:rPr>
        <w:t xml:space="preserve"> urge</w:t>
      </w:r>
      <w:r>
        <w:rPr>
          <w:rFonts w:ascii="Arial" w:hAnsi="Arial" w:cs="Arial"/>
        </w:rPr>
        <w:t>s</w:t>
      </w:r>
      <w:r w:rsidRPr="00AB4728">
        <w:rPr>
          <w:rFonts w:ascii="Arial" w:hAnsi="Arial" w:cs="Arial"/>
        </w:rPr>
        <w:t xml:space="preserve"> </w:t>
      </w:r>
      <w:r w:rsidR="00446F40">
        <w:rPr>
          <w:rFonts w:ascii="Arial" w:hAnsi="Arial" w:cs="Arial"/>
        </w:rPr>
        <w:t>D</w:t>
      </w:r>
      <w:r w:rsidRPr="00AB4728">
        <w:rPr>
          <w:rFonts w:ascii="Arial" w:hAnsi="Arial" w:cs="Arial"/>
        </w:rPr>
        <w:t xml:space="preserve">EEC to collaborate with community partners and other state agencies to ensure that educators and staff receive training and professional development. As </w:t>
      </w:r>
      <w:r w:rsidR="00446F40">
        <w:rPr>
          <w:rFonts w:ascii="Arial" w:hAnsi="Arial" w:cs="Arial"/>
        </w:rPr>
        <w:t>D</w:t>
      </w:r>
      <w:r w:rsidRPr="00AB4728">
        <w:rPr>
          <w:rFonts w:ascii="Arial" w:hAnsi="Arial" w:cs="Arial"/>
        </w:rPr>
        <w:t xml:space="preserve">EEC relies on online training modules for many of its trainings, </w:t>
      </w:r>
      <w:r>
        <w:rPr>
          <w:rFonts w:ascii="Arial" w:hAnsi="Arial" w:cs="Arial"/>
        </w:rPr>
        <w:t>the Commission encourages</w:t>
      </w:r>
      <w:r w:rsidR="001C1AEE">
        <w:rPr>
          <w:rFonts w:ascii="Arial" w:hAnsi="Arial" w:cs="Arial"/>
        </w:rPr>
        <w:t xml:space="preserve"> </w:t>
      </w:r>
      <w:r w:rsidR="00446F40">
        <w:rPr>
          <w:rFonts w:ascii="Arial" w:hAnsi="Arial" w:cs="Arial"/>
        </w:rPr>
        <w:t>D</w:t>
      </w:r>
      <w:r w:rsidR="001C1AEE">
        <w:rPr>
          <w:rFonts w:ascii="Arial" w:hAnsi="Arial" w:cs="Arial"/>
        </w:rPr>
        <w:t>EEC to develop a regularly-updated module or</w:t>
      </w:r>
      <w:r w:rsidRPr="00AB4728">
        <w:rPr>
          <w:rFonts w:ascii="Arial" w:hAnsi="Arial" w:cs="Arial"/>
        </w:rPr>
        <w:t xml:space="preserve"> continuing education unit that addresses sexual orientation, gender identity, gender expression,</w:t>
      </w:r>
      <w:r w:rsidR="001C1AEE">
        <w:rPr>
          <w:rFonts w:ascii="Arial" w:hAnsi="Arial" w:cs="Arial"/>
        </w:rPr>
        <w:t xml:space="preserve"> and</w:t>
      </w:r>
      <w:r w:rsidRPr="00AB4728">
        <w:rPr>
          <w:rFonts w:ascii="Arial" w:hAnsi="Arial" w:cs="Arial"/>
        </w:rPr>
        <w:t xml:space="preserve"> best practices for serving LGBTQ youth and families</w:t>
      </w:r>
      <w:r w:rsidR="001C1AEE">
        <w:rPr>
          <w:rFonts w:ascii="Arial" w:hAnsi="Arial" w:cs="Arial"/>
        </w:rPr>
        <w:t xml:space="preserve">. The Commission’s current effort to develop an online training with interagency support </w:t>
      </w:r>
      <w:r w:rsidR="0061191B">
        <w:rPr>
          <w:rFonts w:ascii="Arial" w:hAnsi="Arial" w:cs="Arial"/>
        </w:rPr>
        <w:t xml:space="preserve">(in conjunction with the Commission’s recommendation to this effect at page </w:t>
      </w:r>
      <w:r w:rsidR="00C64403">
        <w:rPr>
          <w:rFonts w:ascii="Arial" w:hAnsi="Arial" w:cs="Arial"/>
        </w:rPr>
        <w:t>7</w:t>
      </w:r>
      <w:r w:rsidR="0061191B">
        <w:rPr>
          <w:rFonts w:ascii="Arial" w:hAnsi="Arial" w:cs="Arial"/>
        </w:rPr>
        <w:t xml:space="preserve"> above) </w:t>
      </w:r>
      <w:r w:rsidR="001C1AEE">
        <w:rPr>
          <w:rFonts w:ascii="Arial" w:hAnsi="Arial" w:cs="Arial"/>
        </w:rPr>
        <w:t xml:space="preserve">might provide a useful example for what </w:t>
      </w:r>
      <w:r w:rsidR="00446F40">
        <w:rPr>
          <w:rFonts w:ascii="Arial" w:hAnsi="Arial" w:cs="Arial"/>
        </w:rPr>
        <w:t>D</w:t>
      </w:r>
      <w:r w:rsidR="001C1AEE">
        <w:rPr>
          <w:rFonts w:ascii="Arial" w:hAnsi="Arial" w:cs="Arial"/>
        </w:rPr>
        <w:t>EEC could itself develop, as could some of the Commission’s work with DESE through its Safe Schools Program.</w:t>
      </w:r>
    </w:p>
    <w:p w14:paraId="684D9F6B" w14:textId="77777777" w:rsidR="00AB4728" w:rsidRPr="00245435" w:rsidRDefault="00AB4728" w:rsidP="0061191B">
      <w:pPr>
        <w:pStyle w:val="ListParagraph"/>
        <w:numPr>
          <w:ilvl w:val="0"/>
          <w:numId w:val="31"/>
        </w:numPr>
        <w:jc w:val="both"/>
        <w:rPr>
          <w:rFonts w:ascii="Arial" w:hAnsi="Arial" w:cs="Arial"/>
          <w:b/>
          <w:color w:val="365F91" w:themeColor="accent1" w:themeShade="BF"/>
        </w:rPr>
      </w:pPr>
      <w:r w:rsidRPr="00245435">
        <w:rPr>
          <w:rFonts w:ascii="Arial" w:hAnsi="Arial" w:cs="Arial"/>
          <w:b/>
          <w:bCs/>
          <w:color w:val="365F91" w:themeColor="accent1" w:themeShade="BF"/>
        </w:rPr>
        <w:t>Clarify that providers can and should house transgender youth based on their gender identity.</w:t>
      </w:r>
    </w:p>
    <w:p w14:paraId="04E9CBB4" w14:textId="77777777" w:rsidR="00AB4728" w:rsidRPr="00AB4728" w:rsidRDefault="00AB4728" w:rsidP="0061191B">
      <w:pPr>
        <w:jc w:val="both"/>
        <w:rPr>
          <w:rFonts w:ascii="Arial" w:hAnsi="Arial" w:cs="Arial"/>
        </w:rPr>
      </w:pPr>
      <w:r w:rsidRPr="00AB4728">
        <w:rPr>
          <w:rFonts w:ascii="Arial" w:hAnsi="Arial" w:cs="Arial"/>
        </w:rPr>
        <w:t xml:space="preserve">Without affirming placements, transgender young people experience barriers to success and stability. Where relevant, </w:t>
      </w:r>
      <w:r w:rsidR="001C1AEE">
        <w:rPr>
          <w:rFonts w:ascii="Arial" w:hAnsi="Arial" w:cs="Arial"/>
        </w:rPr>
        <w:t>the Commission</w:t>
      </w:r>
      <w:r w:rsidRPr="00AB4728">
        <w:rPr>
          <w:rFonts w:ascii="Arial" w:hAnsi="Arial" w:cs="Arial"/>
        </w:rPr>
        <w:t xml:space="preserve"> urge</w:t>
      </w:r>
      <w:r w:rsidR="001C1AEE">
        <w:rPr>
          <w:rFonts w:ascii="Arial" w:hAnsi="Arial" w:cs="Arial"/>
        </w:rPr>
        <w:t>s</w:t>
      </w:r>
      <w:r w:rsidRPr="00AB4728">
        <w:rPr>
          <w:rFonts w:ascii="Arial" w:hAnsi="Arial" w:cs="Arial"/>
        </w:rPr>
        <w:t xml:space="preserve"> </w:t>
      </w:r>
      <w:r w:rsidR="00446F40">
        <w:rPr>
          <w:rFonts w:ascii="Arial" w:hAnsi="Arial" w:cs="Arial"/>
        </w:rPr>
        <w:t>D</w:t>
      </w:r>
      <w:r w:rsidRPr="00AB4728">
        <w:rPr>
          <w:rFonts w:ascii="Arial" w:hAnsi="Arial" w:cs="Arial"/>
        </w:rPr>
        <w:t xml:space="preserve">EEC to clarify that licensees should make housing and placement decisions for transgender youth in residential programs on the basis of </w:t>
      </w:r>
      <w:r w:rsidRPr="00AB4728">
        <w:rPr>
          <w:rFonts w:ascii="Arial" w:hAnsi="Arial" w:cs="Arial"/>
        </w:rPr>
        <w:lastRenderedPageBreak/>
        <w:t xml:space="preserve">their gender identities, consistent with best practices and the preferences of the young person. When any young person expresses safety based concerns, </w:t>
      </w:r>
      <w:r w:rsidR="00446F40">
        <w:rPr>
          <w:rFonts w:ascii="Arial" w:hAnsi="Arial" w:cs="Arial"/>
        </w:rPr>
        <w:t>D</w:t>
      </w:r>
      <w:r w:rsidRPr="00AB4728">
        <w:rPr>
          <w:rFonts w:ascii="Arial" w:hAnsi="Arial" w:cs="Arial"/>
        </w:rPr>
        <w:t>EEC should support licensed programs in making individualized housing and placement decisions for the young person.</w:t>
      </w:r>
    </w:p>
    <w:p w14:paraId="18386739" w14:textId="77777777" w:rsidR="00AB4728" w:rsidRPr="00245435" w:rsidRDefault="00AB4728" w:rsidP="0061191B">
      <w:pPr>
        <w:pStyle w:val="ListParagraph"/>
        <w:numPr>
          <w:ilvl w:val="0"/>
          <w:numId w:val="31"/>
        </w:numPr>
        <w:jc w:val="both"/>
        <w:rPr>
          <w:rFonts w:ascii="Arial" w:hAnsi="Arial" w:cs="Arial"/>
          <w:b/>
          <w:color w:val="365F91" w:themeColor="accent1" w:themeShade="BF"/>
        </w:rPr>
      </w:pPr>
      <w:r w:rsidRPr="00245435">
        <w:rPr>
          <w:rFonts w:ascii="Arial" w:hAnsi="Arial" w:cs="Arial"/>
          <w:b/>
          <w:bCs/>
          <w:color w:val="365F91" w:themeColor="accent1" w:themeShade="BF"/>
        </w:rPr>
        <w:t xml:space="preserve">Share information about LGBTQ-affirming residential placements with the Department of Children and Families (DCF). </w:t>
      </w:r>
    </w:p>
    <w:p w14:paraId="46DCBD57" w14:textId="77777777" w:rsidR="00AB4728" w:rsidRPr="00AB4728" w:rsidRDefault="00446F40" w:rsidP="0061191B">
      <w:pPr>
        <w:jc w:val="both"/>
        <w:rPr>
          <w:rFonts w:ascii="Arial" w:hAnsi="Arial" w:cs="Arial"/>
        </w:rPr>
      </w:pPr>
      <w:r>
        <w:rPr>
          <w:rFonts w:ascii="Arial" w:hAnsi="Arial" w:cs="Arial"/>
        </w:rPr>
        <w:t>D</w:t>
      </w:r>
      <w:r w:rsidR="00AB4728" w:rsidRPr="00AB4728">
        <w:rPr>
          <w:rFonts w:ascii="Arial" w:hAnsi="Arial" w:cs="Arial"/>
        </w:rPr>
        <w:t xml:space="preserve">EEC works closely with </w:t>
      </w:r>
      <w:r w:rsidR="00AB4728">
        <w:rPr>
          <w:rFonts w:ascii="Arial" w:hAnsi="Arial" w:cs="Arial"/>
        </w:rPr>
        <w:t>DCF</w:t>
      </w:r>
      <w:r w:rsidR="00AB4728" w:rsidRPr="00AB4728">
        <w:rPr>
          <w:rFonts w:ascii="Arial" w:hAnsi="Arial" w:cs="Arial"/>
        </w:rPr>
        <w:t xml:space="preserve"> on child welfare matters. </w:t>
      </w:r>
      <w:r w:rsidR="001C1AEE">
        <w:rPr>
          <w:rFonts w:ascii="Arial" w:hAnsi="Arial" w:cs="Arial"/>
        </w:rPr>
        <w:t>The Commission</w:t>
      </w:r>
      <w:r w:rsidR="00AB4728" w:rsidRPr="00AB4728">
        <w:rPr>
          <w:rFonts w:ascii="Arial" w:hAnsi="Arial" w:cs="Arial"/>
        </w:rPr>
        <w:t xml:space="preserve"> urge</w:t>
      </w:r>
      <w:r w:rsidR="001C1AEE">
        <w:rPr>
          <w:rFonts w:ascii="Arial" w:hAnsi="Arial" w:cs="Arial"/>
        </w:rPr>
        <w:t>s</w:t>
      </w:r>
      <w:r w:rsidR="00AB4728" w:rsidRPr="00AB4728">
        <w:rPr>
          <w:rFonts w:ascii="Arial" w:hAnsi="Arial" w:cs="Arial"/>
        </w:rPr>
        <w:t xml:space="preserve"> both agencies share information about LGBTQ-affirming placements and recognize LGBTQ youth as a priority population.</w:t>
      </w:r>
    </w:p>
    <w:p w14:paraId="1D587EF6" w14:textId="77777777" w:rsidR="00AB4728" w:rsidRPr="00245435" w:rsidRDefault="00AB4728" w:rsidP="0061191B">
      <w:pPr>
        <w:pStyle w:val="ListParagraph"/>
        <w:numPr>
          <w:ilvl w:val="0"/>
          <w:numId w:val="31"/>
        </w:numPr>
        <w:jc w:val="both"/>
        <w:rPr>
          <w:rFonts w:ascii="Arial" w:hAnsi="Arial" w:cs="Arial"/>
          <w:b/>
          <w:color w:val="365F91" w:themeColor="accent1" w:themeShade="BF"/>
        </w:rPr>
      </w:pPr>
      <w:r w:rsidRPr="00245435">
        <w:rPr>
          <w:rFonts w:ascii="Arial" w:hAnsi="Arial" w:cs="Arial"/>
          <w:b/>
          <w:bCs/>
          <w:color w:val="365F91" w:themeColor="accent1" w:themeShade="BF"/>
        </w:rPr>
        <w:t>Continue to collaborate with the Department of Elementary and Secondary Education (DESE) on the Family Engagement Fra</w:t>
      </w:r>
      <w:r w:rsidR="00AC5422" w:rsidRPr="00245435">
        <w:rPr>
          <w:rFonts w:ascii="Arial" w:hAnsi="Arial" w:cs="Arial"/>
          <w:b/>
          <w:bCs/>
          <w:color w:val="365F91" w:themeColor="accent1" w:themeShade="BF"/>
        </w:rPr>
        <w:t xml:space="preserve">mework (birth through age 12) to ensure that </w:t>
      </w:r>
      <w:r w:rsidRPr="00245435">
        <w:rPr>
          <w:rFonts w:ascii="Arial" w:hAnsi="Arial" w:cs="Arial"/>
          <w:b/>
          <w:bCs/>
          <w:color w:val="365F91" w:themeColor="accent1" w:themeShade="BF"/>
        </w:rPr>
        <w:t xml:space="preserve">LGBTQ content and family diversity are well-represented. </w:t>
      </w:r>
    </w:p>
    <w:p w14:paraId="670B5A5D" w14:textId="25894908" w:rsidR="00AB4728" w:rsidRDefault="00446F40" w:rsidP="0061191B">
      <w:pPr>
        <w:jc w:val="both"/>
        <w:rPr>
          <w:rFonts w:ascii="Arial" w:hAnsi="Arial" w:cs="Arial"/>
          <w:bCs/>
        </w:rPr>
      </w:pPr>
      <w:r>
        <w:rPr>
          <w:rFonts w:ascii="Arial" w:hAnsi="Arial" w:cs="Arial"/>
          <w:bCs/>
        </w:rPr>
        <w:t xml:space="preserve">The Commission encourages DEEC to continue its collaboration with DESE on the Family Engagement Framework, which the Commission believes is important for reducing family rejection of LGBTQ youth. This effort could play a role with the Commission’s core recommendation on family rejection </w:t>
      </w:r>
      <w:r w:rsidR="00AA245D">
        <w:rPr>
          <w:rFonts w:ascii="Arial" w:hAnsi="Arial" w:cs="Arial"/>
          <w:bCs/>
        </w:rPr>
        <w:t>at</w:t>
      </w:r>
      <w:r w:rsidR="00623992">
        <w:rPr>
          <w:rFonts w:ascii="Arial" w:hAnsi="Arial" w:cs="Arial"/>
          <w:bCs/>
        </w:rPr>
        <w:t xml:space="preserve"> page 8</w:t>
      </w:r>
      <w:r w:rsidR="00AA245D">
        <w:rPr>
          <w:rFonts w:ascii="Arial" w:hAnsi="Arial" w:cs="Arial"/>
          <w:bCs/>
        </w:rPr>
        <w:t xml:space="preserve"> above</w:t>
      </w:r>
      <w:r>
        <w:rPr>
          <w:rFonts w:ascii="Arial" w:hAnsi="Arial" w:cs="Arial"/>
          <w:bCs/>
        </w:rPr>
        <w:t>.</w:t>
      </w:r>
    </w:p>
    <w:p w14:paraId="39968810" w14:textId="77777777" w:rsidR="00A07650" w:rsidRDefault="00A07650">
      <w:pPr>
        <w:rPr>
          <w:rFonts w:ascii="Arial" w:hAnsi="Arial" w:cs="Arial"/>
          <w:b/>
          <w:sz w:val="28"/>
          <w:szCs w:val="28"/>
        </w:rPr>
      </w:pPr>
      <w:r>
        <w:rPr>
          <w:rFonts w:ascii="Arial" w:hAnsi="Arial" w:cs="Arial"/>
          <w:b/>
          <w:sz w:val="28"/>
          <w:szCs w:val="28"/>
        </w:rPr>
        <w:br w:type="page"/>
      </w:r>
    </w:p>
    <w:p w14:paraId="5EEEA554" w14:textId="77777777" w:rsidR="007810C7" w:rsidRPr="007810C7" w:rsidRDefault="00245435" w:rsidP="00D80888">
      <w:pPr>
        <w:pStyle w:val="Heading2"/>
      </w:pPr>
      <w:bookmarkStart w:id="30" w:name="_Toc512947908"/>
      <w:r>
        <w:rPr>
          <w:noProof/>
        </w:rPr>
        <w:lastRenderedPageBreak/>
        <w:drawing>
          <wp:anchor distT="0" distB="0" distL="114300" distR="114300" simplePos="0" relativeHeight="251756544" behindDoc="1" locked="0" layoutInCell="0" allowOverlap="1" wp14:anchorId="1923EBC0" wp14:editId="1217F27E">
            <wp:simplePos x="0" y="0"/>
            <wp:positionH relativeFrom="column">
              <wp:posOffset>13970</wp:posOffset>
            </wp:positionH>
            <wp:positionV relativeFrom="paragraph">
              <wp:posOffset>212090</wp:posOffset>
            </wp:positionV>
            <wp:extent cx="5980430" cy="18415"/>
            <wp:effectExtent l="0" t="0" r="1270" b="63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anchor>
        </w:drawing>
      </w:r>
      <w:r w:rsidR="007810C7" w:rsidRPr="007810C7">
        <w:t>Department of Elementary and Secondary Education</w:t>
      </w:r>
      <w:bookmarkEnd w:id="30"/>
    </w:p>
    <w:p w14:paraId="0449675A" w14:textId="77777777" w:rsidR="007810C7" w:rsidRDefault="007810C7" w:rsidP="007810C7">
      <w:pPr>
        <w:spacing w:after="0"/>
        <w:jc w:val="both"/>
        <w:rPr>
          <w:rFonts w:ascii="Arial" w:hAnsi="Arial" w:cs="Arial"/>
        </w:rPr>
      </w:pPr>
    </w:p>
    <w:p w14:paraId="0F0EA763" w14:textId="77777777" w:rsidR="00CB053A" w:rsidRPr="007810C7" w:rsidRDefault="00CB053A" w:rsidP="007810C7">
      <w:pPr>
        <w:spacing w:after="0"/>
        <w:jc w:val="both"/>
        <w:rPr>
          <w:rFonts w:ascii="Arial" w:hAnsi="Arial" w:cs="Arial"/>
        </w:rPr>
      </w:pPr>
    </w:p>
    <w:p w14:paraId="40384394" w14:textId="77777777" w:rsidR="00CB053A" w:rsidRPr="00961B5D" w:rsidRDefault="00CB053A" w:rsidP="00CB053A">
      <w:pPr>
        <w:spacing w:after="0"/>
        <w:jc w:val="center"/>
        <w:rPr>
          <w:rFonts w:ascii="Arial" w:hAnsi="Arial" w:cs="Arial"/>
          <w:b/>
          <w:u w:val="single"/>
        </w:rPr>
      </w:pPr>
      <w:r w:rsidRPr="00961B5D">
        <w:rPr>
          <w:rFonts w:ascii="Arial" w:hAnsi="Arial" w:cs="Arial"/>
          <w:b/>
          <w:u w:val="single"/>
        </w:rPr>
        <w:t>FY19 RECOMMENDATIONS</w:t>
      </w:r>
    </w:p>
    <w:p w14:paraId="49854A99" w14:textId="77777777" w:rsidR="00CB053A" w:rsidRPr="002D194E" w:rsidRDefault="00CB053A" w:rsidP="00CB053A">
      <w:pPr>
        <w:spacing w:after="0"/>
        <w:jc w:val="both"/>
        <w:rPr>
          <w:rFonts w:ascii="Arial" w:hAnsi="Arial" w:cs="Arial"/>
        </w:rPr>
      </w:pPr>
    </w:p>
    <w:p w14:paraId="198BB483" w14:textId="10175A34" w:rsidR="009F6A54" w:rsidRDefault="00CB053A" w:rsidP="00961B5D">
      <w:pPr>
        <w:pStyle w:val="ListParagraph"/>
        <w:numPr>
          <w:ilvl w:val="0"/>
          <w:numId w:val="35"/>
        </w:numPr>
        <w:spacing w:after="0"/>
        <w:ind w:left="360"/>
        <w:jc w:val="both"/>
        <w:rPr>
          <w:rFonts w:ascii="Arial" w:hAnsi="Arial" w:cs="Arial"/>
          <w:b/>
          <w:color w:val="365F91" w:themeColor="accent1" w:themeShade="BF"/>
        </w:rPr>
      </w:pPr>
      <w:r w:rsidRPr="00CB053A">
        <w:rPr>
          <w:rFonts w:ascii="Arial" w:hAnsi="Arial" w:cs="Arial"/>
          <w:b/>
          <w:color w:val="365F91" w:themeColor="accent1" w:themeShade="BF"/>
        </w:rPr>
        <w:t xml:space="preserve">Increase collaboration between the Safe Schools Program for LGBTQ Students and programs in special education, early education, adult education, sexual health, after school programming, curriculum, homeless assistance, family engagement, student leadership, student discipline, </w:t>
      </w:r>
      <w:r w:rsidR="00C84E4E">
        <w:rPr>
          <w:rFonts w:ascii="Arial" w:hAnsi="Arial" w:cs="Arial"/>
          <w:b/>
          <w:color w:val="365F91" w:themeColor="accent1" w:themeShade="BF"/>
        </w:rPr>
        <w:t>and</w:t>
      </w:r>
      <w:r w:rsidRPr="00CB053A">
        <w:rPr>
          <w:rFonts w:ascii="Arial" w:hAnsi="Arial" w:cs="Arial"/>
          <w:b/>
          <w:color w:val="365F91" w:themeColor="accent1" w:themeShade="BF"/>
        </w:rPr>
        <w:t xml:space="preserve"> the Safe and Supportive Schools Commission.</w:t>
      </w:r>
    </w:p>
    <w:p w14:paraId="1F98D2C5" w14:textId="77777777" w:rsidR="00CB053A" w:rsidRPr="00CB053A" w:rsidRDefault="00CB053A" w:rsidP="00961B5D">
      <w:pPr>
        <w:pStyle w:val="ListParagraph"/>
        <w:numPr>
          <w:ilvl w:val="0"/>
          <w:numId w:val="35"/>
        </w:numPr>
        <w:spacing w:after="0"/>
        <w:ind w:left="360"/>
        <w:jc w:val="both"/>
        <w:rPr>
          <w:rFonts w:ascii="Arial" w:hAnsi="Arial" w:cs="Arial"/>
          <w:b/>
          <w:color w:val="365F91" w:themeColor="accent1" w:themeShade="BF"/>
        </w:rPr>
      </w:pPr>
      <w:r w:rsidRPr="00CB053A">
        <w:rPr>
          <w:rFonts w:ascii="Arial" w:hAnsi="Arial" w:cs="Arial"/>
          <w:b/>
          <w:bCs/>
          <w:color w:val="365F91" w:themeColor="accent1" w:themeShade="BF"/>
        </w:rPr>
        <w:t xml:space="preserve">On student surveys </w:t>
      </w:r>
      <w:r>
        <w:rPr>
          <w:rFonts w:ascii="Arial" w:hAnsi="Arial" w:cs="Arial"/>
          <w:b/>
          <w:bCs/>
          <w:color w:val="365F91" w:themeColor="accent1" w:themeShade="BF"/>
        </w:rPr>
        <w:t>regarding</w:t>
      </w:r>
      <w:r w:rsidRPr="00CB053A">
        <w:rPr>
          <w:rFonts w:ascii="Arial" w:hAnsi="Arial" w:cs="Arial"/>
          <w:b/>
          <w:bCs/>
          <w:color w:val="365F91" w:themeColor="accent1" w:themeShade="BF"/>
        </w:rPr>
        <w:t xml:space="preserve"> school climate, capture demographic information related to gender identity and gender expression and report on findings assessing the prevalence, nature, and severity of school-based bullying.</w:t>
      </w:r>
    </w:p>
    <w:p w14:paraId="44DA867D" w14:textId="77777777" w:rsidR="00CB053A" w:rsidRPr="00CB053A" w:rsidRDefault="00CB053A" w:rsidP="00961B5D">
      <w:pPr>
        <w:pStyle w:val="ListParagraph"/>
        <w:numPr>
          <w:ilvl w:val="0"/>
          <w:numId w:val="35"/>
        </w:numPr>
        <w:spacing w:after="0"/>
        <w:ind w:left="360"/>
        <w:jc w:val="both"/>
        <w:rPr>
          <w:rFonts w:ascii="Arial" w:hAnsi="Arial" w:cs="Arial"/>
          <w:b/>
          <w:color w:val="365F91" w:themeColor="accent1" w:themeShade="BF"/>
        </w:rPr>
      </w:pPr>
      <w:r w:rsidRPr="00CB053A">
        <w:rPr>
          <w:rFonts w:ascii="Arial" w:hAnsi="Arial" w:cs="Arial"/>
          <w:b/>
          <w:bCs/>
          <w:color w:val="365F91" w:themeColor="accent1" w:themeShade="BF"/>
        </w:rPr>
        <w:t>Ensure LGBTQ inclusivity of all curriculum initiatives, including curriculum frameworks, model curriculum units, and supplementary curricular materials.</w:t>
      </w:r>
    </w:p>
    <w:p w14:paraId="0E6648B9" w14:textId="77777777" w:rsidR="00CB053A" w:rsidRPr="00CB053A" w:rsidRDefault="00CB053A" w:rsidP="00961B5D">
      <w:pPr>
        <w:pStyle w:val="ListParagraph"/>
        <w:numPr>
          <w:ilvl w:val="0"/>
          <w:numId w:val="35"/>
        </w:numPr>
        <w:spacing w:after="0"/>
        <w:ind w:left="360"/>
        <w:jc w:val="both"/>
        <w:rPr>
          <w:rFonts w:ascii="Arial" w:hAnsi="Arial" w:cs="Arial"/>
          <w:b/>
          <w:color w:val="365F91" w:themeColor="accent1" w:themeShade="BF"/>
        </w:rPr>
      </w:pPr>
      <w:r w:rsidRPr="00CB053A">
        <w:rPr>
          <w:rFonts w:ascii="Arial" w:hAnsi="Arial" w:cs="Arial"/>
          <w:b/>
          <w:bCs/>
          <w:color w:val="365F91" w:themeColor="accent1" w:themeShade="BF"/>
        </w:rPr>
        <w:t>Continue DESE’s leadership on sexual health education in schools, including identifying new funding and leveraging existing resources to promote comprehensive, inclusive, and mandatory health education.</w:t>
      </w:r>
    </w:p>
    <w:p w14:paraId="0500967C" w14:textId="77777777" w:rsidR="00CB053A" w:rsidRPr="00CB053A" w:rsidRDefault="00CB053A" w:rsidP="00961B5D">
      <w:pPr>
        <w:pStyle w:val="ListParagraph"/>
        <w:numPr>
          <w:ilvl w:val="0"/>
          <w:numId w:val="35"/>
        </w:numPr>
        <w:spacing w:after="0"/>
        <w:ind w:left="360"/>
        <w:jc w:val="both"/>
        <w:rPr>
          <w:rFonts w:ascii="Arial" w:hAnsi="Arial" w:cs="Arial"/>
          <w:b/>
          <w:color w:val="365F91" w:themeColor="accent1" w:themeShade="BF"/>
        </w:rPr>
      </w:pPr>
      <w:r w:rsidRPr="00CB053A">
        <w:rPr>
          <w:rFonts w:ascii="Arial" w:hAnsi="Arial" w:cs="Arial"/>
          <w:b/>
          <w:bCs/>
          <w:color w:val="365F91" w:themeColor="accent1" w:themeShade="BF"/>
        </w:rPr>
        <w:t>Develop and model strategies for school districts to recruit and retain a diverse workforce that includes diversity in gender identity and sexual orientation.</w:t>
      </w:r>
    </w:p>
    <w:p w14:paraId="0299CC25" w14:textId="77777777" w:rsidR="00CB053A" w:rsidRPr="00CB053A" w:rsidRDefault="00CB053A" w:rsidP="00961B5D">
      <w:pPr>
        <w:pStyle w:val="ListParagraph"/>
        <w:numPr>
          <w:ilvl w:val="0"/>
          <w:numId w:val="35"/>
        </w:numPr>
        <w:spacing w:after="0"/>
        <w:ind w:left="360"/>
        <w:jc w:val="both"/>
        <w:rPr>
          <w:rFonts w:ascii="Arial" w:hAnsi="Arial" w:cs="Arial"/>
          <w:b/>
          <w:color w:val="365F91" w:themeColor="accent1" w:themeShade="BF"/>
        </w:rPr>
      </w:pPr>
      <w:r w:rsidRPr="00CB053A">
        <w:rPr>
          <w:rFonts w:ascii="Arial" w:hAnsi="Arial" w:cs="Arial"/>
          <w:b/>
          <w:bCs/>
          <w:color w:val="365F91" w:themeColor="accent1" w:themeShade="BF"/>
        </w:rPr>
        <w:t>Investigate how LGBTQ students of color are affected by policies and practices that create barriers to a safe and successful learning experience, and develop strategies and interventions to address these barriers.</w:t>
      </w:r>
    </w:p>
    <w:p w14:paraId="61396AA6" w14:textId="1706CE4B" w:rsidR="00CB053A" w:rsidRDefault="009619C1" w:rsidP="007810C7">
      <w:pPr>
        <w:spacing w:after="0"/>
        <w:jc w:val="both"/>
        <w:rPr>
          <w:rFonts w:ascii="Arial" w:hAnsi="Arial" w:cs="Arial"/>
        </w:rPr>
      </w:pPr>
      <w:r>
        <w:rPr>
          <w:rFonts w:ascii="Arial" w:hAnsi="Arial" w:cs="Arial"/>
          <w:noProof/>
        </w:rPr>
        <mc:AlternateContent>
          <mc:Choice Requires="wps">
            <w:drawing>
              <wp:anchor distT="0" distB="0" distL="114300" distR="114300" simplePos="0" relativeHeight="251799552" behindDoc="0" locked="0" layoutInCell="1" allowOverlap="1" wp14:anchorId="3BBE7D6A" wp14:editId="1F518FCF">
                <wp:simplePos x="0" y="0"/>
                <wp:positionH relativeFrom="column">
                  <wp:posOffset>17145</wp:posOffset>
                </wp:positionH>
                <wp:positionV relativeFrom="paragraph">
                  <wp:posOffset>187325</wp:posOffset>
                </wp:positionV>
                <wp:extent cx="5904865" cy="1134110"/>
                <wp:effectExtent l="0" t="0" r="19685" b="2794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865" cy="1134110"/>
                        </a:xfrm>
                        <a:prstGeom prst="rect">
                          <a:avLst/>
                        </a:prstGeom>
                        <a:solidFill>
                          <a:schemeClr val="lt1"/>
                        </a:solidFill>
                        <a:ln w="19050">
                          <a:solidFill>
                            <a:srgbClr val="FFBC37"/>
                          </a:solidFill>
                        </a:ln>
                      </wps:spPr>
                      <wps:txbx>
                        <w:txbxContent>
                          <w:p w14:paraId="22229274" w14:textId="77777777" w:rsidR="00411ECA" w:rsidRPr="00FA523B" w:rsidRDefault="00411ECA" w:rsidP="00C84E4E">
                            <w:pPr>
                              <w:jc w:val="both"/>
                              <w:rPr>
                                <w:rFonts w:ascii="Arial" w:hAnsi="Arial" w:cs="Arial"/>
                                <w:i/>
                                <w:shd w:val="clear" w:color="auto" w:fill="FFFFFF"/>
                              </w:rPr>
                            </w:pPr>
                            <w:r w:rsidRPr="00FA523B">
                              <w:rPr>
                                <w:rFonts w:ascii="Arial" w:hAnsi="Arial" w:cs="Arial"/>
                                <w:i/>
                              </w:rPr>
                              <w:t>“</w:t>
                            </w:r>
                            <w:r w:rsidRPr="00FA523B">
                              <w:rPr>
                                <w:rFonts w:ascii="Arial" w:hAnsi="Arial" w:cs="Arial"/>
                                <w:i/>
                                <w:shd w:val="clear" w:color="auto" w:fill="FFFFFF"/>
                              </w:rPr>
                              <w:t xml:space="preserve">Schools should provide better resources for LGBTQIA+ students in order for them to discover their identities. For instance, guidance counselors could be provided more training on ways to be an ally to the queer community and be able to guide LGBTQIA+ students.” </w:t>
                            </w:r>
                          </w:p>
                          <w:p w14:paraId="235931C0" w14:textId="77777777" w:rsidR="00411ECA" w:rsidRPr="00FA523B" w:rsidRDefault="00411ECA" w:rsidP="00CB053A">
                            <w:pPr>
                              <w:rPr>
                                <w:rFonts w:ascii="Arial" w:hAnsi="Arial" w:cs="Arial"/>
                              </w:rPr>
                            </w:pPr>
                            <w:r>
                              <w:rPr>
                                <w:rFonts w:ascii="Arial" w:hAnsi="Arial" w:cs="Arial"/>
                                <w:shd w:val="clear" w:color="auto" w:fill="FFFFFF"/>
                              </w:rPr>
                              <w:t xml:space="preserve"> </w:t>
                            </w:r>
                            <w:r w:rsidRPr="00FA523B">
                              <w:rPr>
                                <w:rFonts w:ascii="Arial" w:hAnsi="Arial" w:cs="Arial"/>
                                <w:shd w:val="clear" w:color="auto" w:fill="FFFFFF"/>
                              </w:rPr>
                              <w:t>– High School Student, Greater Boston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9" o:spid="_x0000_s1033" type="#_x0000_t202" style="position:absolute;left:0;text-align:left;margin-left:1.35pt;margin-top:14.75pt;width:464.95pt;height:89.3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" fillcolor="white [3201]" strokecolor="#ffbc37" strokeweight="1.5pt">
                <v:path arrowok="t"/>
                <v:textbox>
                  <w:txbxContent>
                    <w:p w14:paraId="22229274" w14:textId="77777777" w:rsidR="00411ECA" w:rsidRPr="00FA523B" w:rsidRDefault="00411ECA" w:rsidP="00C84E4E">
                      <w:pPr>
                        <w:jc w:val="both"/>
                        <w:rPr>
                          <w:rFonts w:ascii="Arial" w:hAnsi="Arial" w:cs="Arial"/>
                          <w:i/>
                          <w:shd w:val="clear" w:color="auto" w:fill="FFFFFF"/>
                        </w:rPr>
                      </w:pPr>
                      <w:r w:rsidRPr="00FA523B">
                        <w:rPr>
                          <w:rFonts w:ascii="Arial" w:hAnsi="Arial" w:cs="Arial"/>
                          <w:i/>
                        </w:rPr>
                        <w:t>“</w:t>
                      </w:r>
                      <w:r w:rsidRPr="00FA523B">
                        <w:rPr>
                          <w:rFonts w:ascii="Arial" w:hAnsi="Arial" w:cs="Arial"/>
                          <w:i/>
                          <w:shd w:val="clear" w:color="auto" w:fill="FFFFFF"/>
                        </w:rPr>
                        <w:t xml:space="preserve">Schools should provide better resources for LGBTQIA+ students in order for them to discover their identities. For instance, guidance counselors could be provided more training on ways to be an ally to the queer community and be able to guide LGBTQIA+ students.” </w:t>
                      </w:r>
                    </w:p>
                    <w:p w14:paraId="235931C0" w14:textId="77777777" w:rsidR="00411ECA" w:rsidRPr="00FA523B" w:rsidRDefault="00411ECA" w:rsidP="00CB053A">
                      <w:pPr>
                        <w:rPr>
                          <w:rFonts w:ascii="Arial" w:hAnsi="Arial" w:cs="Arial"/>
                        </w:rPr>
                      </w:pPr>
                      <w:r>
                        <w:rPr>
                          <w:rFonts w:ascii="Arial" w:hAnsi="Arial" w:cs="Arial"/>
                          <w:shd w:val="clear" w:color="auto" w:fill="FFFFFF"/>
                        </w:rPr>
                        <w:t xml:space="preserve"> </w:t>
                      </w:r>
                      <w:r w:rsidRPr="00FA523B">
                        <w:rPr>
                          <w:rFonts w:ascii="Arial" w:hAnsi="Arial" w:cs="Arial"/>
                          <w:shd w:val="clear" w:color="auto" w:fill="FFFFFF"/>
                        </w:rPr>
                        <w:t>– High School Student, Greater Boston</w:t>
                      </w:r>
                    </w:p>
                  </w:txbxContent>
                </v:textbox>
                <w10:wrap type="square"/>
              </v:shape>
            </w:pict>
          </mc:Fallback>
        </mc:AlternateContent>
      </w:r>
    </w:p>
    <w:p w14:paraId="72BD5FE2" w14:textId="77777777" w:rsidR="00CB053A" w:rsidRDefault="00CB053A" w:rsidP="007810C7">
      <w:pPr>
        <w:spacing w:after="0"/>
        <w:jc w:val="both"/>
        <w:rPr>
          <w:rFonts w:ascii="Arial" w:hAnsi="Arial" w:cs="Arial"/>
        </w:rPr>
      </w:pPr>
    </w:p>
    <w:p w14:paraId="6614626D" w14:textId="77777777" w:rsidR="00CB053A" w:rsidRPr="00961B5D" w:rsidRDefault="00CB053A" w:rsidP="00CB053A">
      <w:pPr>
        <w:spacing w:after="0"/>
        <w:jc w:val="center"/>
        <w:rPr>
          <w:rFonts w:ascii="Arial" w:hAnsi="Arial" w:cs="Arial"/>
          <w:b/>
          <w:u w:val="single"/>
        </w:rPr>
      </w:pPr>
      <w:r w:rsidRPr="00961B5D">
        <w:rPr>
          <w:rFonts w:ascii="Arial" w:hAnsi="Arial" w:cs="Arial"/>
          <w:b/>
          <w:u w:val="single"/>
        </w:rPr>
        <w:t>BACKGROUND &amp; RESEARCH</w:t>
      </w:r>
    </w:p>
    <w:p w14:paraId="3710DD38" w14:textId="77777777" w:rsidR="00CB053A" w:rsidRDefault="00CB053A" w:rsidP="007810C7">
      <w:pPr>
        <w:spacing w:after="0"/>
        <w:jc w:val="both"/>
        <w:rPr>
          <w:rFonts w:ascii="Arial" w:hAnsi="Arial" w:cs="Arial"/>
        </w:rPr>
      </w:pPr>
    </w:p>
    <w:p w14:paraId="1D037D38" w14:textId="77777777" w:rsidR="00CB053A" w:rsidRPr="00CB053A" w:rsidRDefault="00CB053A" w:rsidP="00CB053A">
      <w:pPr>
        <w:spacing w:after="0"/>
        <w:jc w:val="both"/>
        <w:rPr>
          <w:rFonts w:ascii="Arial" w:hAnsi="Arial" w:cs="Arial"/>
        </w:rPr>
      </w:pPr>
      <w:r w:rsidRPr="00CB053A">
        <w:rPr>
          <w:rFonts w:ascii="Arial" w:hAnsi="Arial" w:cs="Arial"/>
        </w:rPr>
        <w:t xml:space="preserve">Since 1993, the Safe Schools Program for LGBTQ Students at the Department of Elementary and Secondary Education (DESE) has been a national leader in creating policies and programs to foster safe and supportive environments for LGBTQ students. The Commission has supported DESE in increasing its capacity to create landmark policies, provide professional development and technical assistance to schools, and promote student leadership throughout the Commonwealth. </w:t>
      </w:r>
    </w:p>
    <w:p w14:paraId="29E798F3" w14:textId="77777777" w:rsidR="00CB053A" w:rsidRPr="00CB053A" w:rsidRDefault="00CB053A" w:rsidP="00CB053A">
      <w:pPr>
        <w:spacing w:after="0"/>
        <w:jc w:val="both"/>
        <w:rPr>
          <w:rFonts w:ascii="Arial" w:hAnsi="Arial" w:cs="Arial"/>
        </w:rPr>
      </w:pPr>
    </w:p>
    <w:p w14:paraId="34E36052" w14:textId="77777777" w:rsidR="00CB053A" w:rsidRPr="00CB053A" w:rsidRDefault="00CB053A" w:rsidP="00CB053A">
      <w:pPr>
        <w:spacing w:after="0"/>
        <w:jc w:val="both"/>
        <w:rPr>
          <w:rFonts w:ascii="Arial" w:hAnsi="Arial" w:cs="Arial"/>
        </w:rPr>
      </w:pPr>
      <w:r w:rsidRPr="00CB053A">
        <w:rPr>
          <w:rFonts w:ascii="Arial" w:hAnsi="Arial" w:cs="Arial"/>
        </w:rPr>
        <w:t xml:space="preserve">Since the establishment of a Memorandum of Understanding (MOU) with DESE in 2013, the Commission has been working in collaboration with DESE on multiple initiatives, including trainings for school personnel on bias-based bullying and policy guidance to implement An Act Relative to Gender Identity and the Principles for Ensuring Safe and Supportive Learning Environments for LGBTQ Students. The Commission is grateful to DESE for its leadership on </w:t>
      </w:r>
      <w:r w:rsidRPr="00CB053A">
        <w:rPr>
          <w:rFonts w:ascii="Arial" w:hAnsi="Arial" w:cs="Arial"/>
        </w:rPr>
        <w:lastRenderedPageBreak/>
        <w:t xml:space="preserve">these issues, the support of key staff, and the annual Commissioner’s communication to school administrators. The Commission also thanks DESE for providing space and support for Safe Schools Program personnel. </w:t>
      </w:r>
    </w:p>
    <w:p w14:paraId="11F2EC8E" w14:textId="77777777" w:rsidR="00CB053A" w:rsidRPr="00CB053A" w:rsidRDefault="00CB053A" w:rsidP="00CB053A">
      <w:pPr>
        <w:spacing w:after="0"/>
        <w:jc w:val="both"/>
        <w:rPr>
          <w:rFonts w:ascii="Arial" w:hAnsi="Arial" w:cs="Arial"/>
        </w:rPr>
      </w:pPr>
    </w:p>
    <w:p w14:paraId="2F69B0FE" w14:textId="779D211D" w:rsidR="00CB053A" w:rsidRPr="00CB053A" w:rsidRDefault="00CB053A" w:rsidP="00CB053A">
      <w:pPr>
        <w:spacing w:after="0"/>
        <w:jc w:val="both"/>
        <w:rPr>
          <w:rFonts w:ascii="Arial" w:hAnsi="Arial" w:cs="Arial"/>
        </w:rPr>
      </w:pPr>
      <w:r w:rsidRPr="00CB053A">
        <w:rPr>
          <w:rFonts w:ascii="Arial" w:hAnsi="Arial" w:cs="Arial"/>
        </w:rPr>
        <w:t>The Commission is pleased that Massachusetts is collecting information on gender identity and gender expression through the Massachusetts Youth Risk Behavior Survey (MYRBS) and support</w:t>
      </w:r>
      <w:r w:rsidR="00623992">
        <w:rPr>
          <w:rFonts w:ascii="Arial" w:hAnsi="Arial" w:cs="Arial"/>
        </w:rPr>
        <w:t>s</w:t>
      </w:r>
      <w:r w:rsidRPr="00CB053A">
        <w:rPr>
          <w:rFonts w:ascii="Arial" w:hAnsi="Arial" w:cs="Arial"/>
        </w:rPr>
        <w:t xml:space="preserve"> the continued inclusion of questions on gender identity, gender expression, and transgender students on the MYRBS and the School Health Profiles. </w:t>
      </w:r>
    </w:p>
    <w:p w14:paraId="04B7DCF7" w14:textId="77777777" w:rsidR="00CB053A" w:rsidRPr="00CB053A" w:rsidRDefault="00CB053A" w:rsidP="00CB053A">
      <w:pPr>
        <w:spacing w:after="0"/>
        <w:jc w:val="both"/>
        <w:rPr>
          <w:rFonts w:ascii="Arial" w:hAnsi="Arial" w:cs="Arial"/>
        </w:rPr>
      </w:pPr>
    </w:p>
    <w:p w14:paraId="1CA4974C" w14:textId="77777777" w:rsidR="00CB053A" w:rsidRPr="00CB053A" w:rsidRDefault="00CB053A" w:rsidP="00CB053A">
      <w:pPr>
        <w:spacing w:after="0"/>
        <w:jc w:val="both"/>
        <w:rPr>
          <w:rFonts w:ascii="Arial" w:hAnsi="Arial" w:cs="Arial"/>
        </w:rPr>
      </w:pPr>
      <w:r w:rsidRPr="00CB053A">
        <w:rPr>
          <w:rFonts w:ascii="Arial" w:hAnsi="Arial" w:cs="Arial"/>
        </w:rPr>
        <w:t xml:space="preserve">The Commission continues to partner with DESE in administering the student-run, adult-supported Massachusetts GSA Leadership Council. State and regional GSA councils meet bimonthly to give input on policy to DESE and the Commission and to support students and advisors in networking, developing leadership skills, and improving school climate. In addition, the Commission and DESE have collaborated for the past seven years to offer a three-day leadership summit for student leaders and advisors from across Massachusetts. </w:t>
      </w:r>
    </w:p>
    <w:p w14:paraId="714CEE7C" w14:textId="77777777" w:rsidR="00CB053A" w:rsidRPr="00CB053A" w:rsidRDefault="00CB053A" w:rsidP="00CB053A">
      <w:pPr>
        <w:spacing w:after="0"/>
        <w:jc w:val="both"/>
        <w:rPr>
          <w:rFonts w:ascii="Arial" w:hAnsi="Arial" w:cs="Arial"/>
        </w:rPr>
      </w:pPr>
    </w:p>
    <w:p w14:paraId="2F660DDF" w14:textId="072BB245" w:rsidR="00FA523B" w:rsidRDefault="009619C1" w:rsidP="007810C7">
      <w:pPr>
        <w:spacing w:after="0"/>
        <w:jc w:val="both"/>
        <w:rPr>
          <w:rFonts w:ascii="Arial" w:hAnsi="Arial" w:cs="Arial"/>
        </w:rPr>
      </w:pPr>
      <w:r>
        <w:rPr>
          <w:rFonts w:ascii="Arial" w:hAnsi="Arial" w:cs="Arial"/>
          <w:noProof/>
        </w:rPr>
        <mc:AlternateContent>
          <mc:Choice Requires="wps">
            <w:drawing>
              <wp:anchor distT="0" distB="0" distL="114300" distR="114300" simplePos="0" relativeHeight="251801600" behindDoc="0" locked="0" layoutInCell="1" allowOverlap="1" wp14:anchorId="15DE1F18" wp14:editId="31619206">
                <wp:simplePos x="0" y="0"/>
                <wp:positionH relativeFrom="column">
                  <wp:posOffset>-10795</wp:posOffset>
                </wp:positionH>
                <wp:positionV relativeFrom="paragraph">
                  <wp:posOffset>1243330</wp:posOffset>
                </wp:positionV>
                <wp:extent cx="5937885" cy="796925"/>
                <wp:effectExtent l="0" t="0" r="24765" b="22225"/>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7885" cy="796925"/>
                        </a:xfrm>
                        <a:prstGeom prst="rect">
                          <a:avLst/>
                        </a:prstGeom>
                        <a:solidFill>
                          <a:schemeClr val="lt1"/>
                        </a:solidFill>
                        <a:ln w="19050">
                          <a:solidFill>
                            <a:srgbClr val="FFBC37"/>
                          </a:solidFill>
                        </a:ln>
                      </wps:spPr>
                      <wps:txbx>
                        <w:txbxContent>
                          <w:p w14:paraId="4E981F78" w14:textId="77777777" w:rsidR="00411ECA" w:rsidRPr="00A6527B" w:rsidRDefault="00411ECA" w:rsidP="00C84E4E">
                            <w:pPr>
                              <w:jc w:val="both"/>
                              <w:rPr>
                                <w:rFonts w:ascii="Arial" w:hAnsi="Arial" w:cs="Arial"/>
                                <w:i/>
                                <w:shd w:val="clear" w:color="auto" w:fill="FFFFFF"/>
                              </w:rPr>
                            </w:pPr>
                            <w:r w:rsidRPr="00A6527B">
                              <w:rPr>
                                <w:rFonts w:ascii="Arial" w:hAnsi="Arial" w:cs="Arial"/>
                                <w:i/>
                                <w:shd w:val="clear" w:color="auto" w:fill="FFFFFF"/>
                              </w:rPr>
                              <w:t>“I'd like more supports in schools. LGBT bullying is still prominent in schools, even if there are GSA groups in schools.”</w:t>
                            </w:r>
                          </w:p>
                          <w:p w14:paraId="3CFC1AC2" w14:textId="77777777" w:rsidR="00411ECA" w:rsidRPr="00A6527B" w:rsidRDefault="00411ECA" w:rsidP="00961B5D">
                            <w:pPr>
                              <w:rPr>
                                <w:rFonts w:ascii="Arial" w:hAnsi="Arial" w:cs="Arial"/>
                              </w:rPr>
                            </w:pPr>
                            <w:r>
                              <w:rPr>
                                <w:rFonts w:ascii="Arial" w:hAnsi="Arial" w:cs="Arial"/>
                                <w:shd w:val="clear" w:color="auto" w:fill="FFFFFF"/>
                              </w:rPr>
                              <w:t xml:space="preserve"> </w:t>
                            </w:r>
                            <w:r w:rsidRPr="00467ECB">
                              <w:rPr>
                                <w:rFonts w:ascii="Arial" w:hAnsi="Arial" w:cs="Arial"/>
                              </w:rPr>
                              <w:t xml:space="preserve">– </w:t>
                            </w:r>
                            <w:r w:rsidRPr="00A6527B">
                              <w:rPr>
                                <w:rFonts w:ascii="Arial" w:hAnsi="Arial" w:cs="Arial"/>
                                <w:shd w:val="clear" w:color="auto" w:fill="FFFFFF"/>
                              </w:rPr>
                              <w:t>High school student,</w:t>
                            </w:r>
                            <w:r>
                              <w:rPr>
                                <w:rFonts w:ascii="Arial" w:hAnsi="Arial" w:cs="Arial"/>
                                <w:shd w:val="clear" w:color="auto" w:fill="FFFFFF"/>
                              </w:rPr>
                              <w:t xml:space="preserve"> North S</w:t>
                            </w:r>
                            <w:r w:rsidRPr="00A6527B">
                              <w:rPr>
                                <w:rFonts w:ascii="Arial" w:hAnsi="Arial" w:cs="Arial"/>
                                <w:shd w:val="clear" w:color="auto" w:fill="FFFFFF"/>
                              </w:rPr>
                              <w:t>hore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34" type="#_x0000_t202" style="position:absolute;left:0;text-align:left;margin-left:-.85pt;margin-top:97.9pt;width:467.55pt;height:62.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" fillcolor="white [3201]" strokecolor="#ffbc37" strokeweight="1.5pt">
                <v:path arrowok="t"/>
                <v:textbox>
                  <w:txbxContent>
                    <w:p w14:paraId="4E981F78" w14:textId="77777777" w:rsidR="00411ECA" w:rsidRPr="00A6527B" w:rsidRDefault="00411ECA" w:rsidP="00C84E4E">
                      <w:pPr>
                        <w:jc w:val="both"/>
                        <w:rPr>
                          <w:rFonts w:ascii="Arial" w:hAnsi="Arial" w:cs="Arial"/>
                          <w:i/>
                          <w:shd w:val="clear" w:color="auto" w:fill="FFFFFF"/>
                        </w:rPr>
                      </w:pPr>
                      <w:r w:rsidRPr="00A6527B">
                        <w:rPr>
                          <w:rFonts w:ascii="Arial" w:hAnsi="Arial" w:cs="Arial"/>
                          <w:i/>
                          <w:shd w:val="clear" w:color="auto" w:fill="FFFFFF"/>
                        </w:rPr>
                        <w:t>“I'd like more supports in schools. LGBT bullying is still prominent in schools, even if there are GSA groups in schools.”</w:t>
                      </w:r>
                    </w:p>
                    <w:p w14:paraId="3CFC1AC2" w14:textId="77777777" w:rsidR="00411ECA" w:rsidRPr="00A6527B" w:rsidRDefault="00411ECA" w:rsidP="00961B5D">
                      <w:pPr>
                        <w:rPr>
                          <w:rFonts w:ascii="Arial" w:hAnsi="Arial" w:cs="Arial"/>
                        </w:rPr>
                      </w:pPr>
                      <w:r>
                        <w:rPr>
                          <w:rFonts w:ascii="Arial" w:hAnsi="Arial" w:cs="Arial"/>
                          <w:shd w:val="clear" w:color="auto" w:fill="FFFFFF"/>
                        </w:rPr>
                        <w:t xml:space="preserve"> </w:t>
                      </w:r>
                      <w:r w:rsidRPr="00467ECB">
                        <w:rPr>
                          <w:rFonts w:ascii="Arial" w:hAnsi="Arial" w:cs="Arial"/>
                        </w:rPr>
                        <w:t xml:space="preserve">– </w:t>
                      </w:r>
                      <w:r w:rsidRPr="00A6527B">
                        <w:rPr>
                          <w:rFonts w:ascii="Arial" w:hAnsi="Arial" w:cs="Arial"/>
                          <w:shd w:val="clear" w:color="auto" w:fill="FFFFFF"/>
                        </w:rPr>
                        <w:t>High school student,</w:t>
                      </w:r>
                      <w:r>
                        <w:rPr>
                          <w:rFonts w:ascii="Arial" w:hAnsi="Arial" w:cs="Arial"/>
                          <w:shd w:val="clear" w:color="auto" w:fill="FFFFFF"/>
                        </w:rPr>
                        <w:t xml:space="preserve"> North S</w:t>
                      </w:r>
                      <w:r w:rsidRPr="00A6527B">
                        <w:rPr>
                          <w:rFonts w:ascii="Arial" w:hAnsi="Arial" w:cs="Arial"/>
                          <w:shd w:val="clear" w:color="auto" w:fill="FFFFFF"/>
                        </w:rPr>
                        <w:t>hore</w:t>
                      </w:r>
                    </w:p>
                  </w:txbxContent>
                </v:textbox>
                <w10:wrap type="square"/>
              </v:shape>
            </w:pict>
          </mc:Fallback>
        </mc:AlternateContent>
      </w:r>
      <w:r w:rsidR="00CB053A" w:rsidRPr="00CB053A">
        <w:rPr>
          <w:rFonts w:ascii="Arial" w:hAnsi="Arial" w:cs="Arial"/>
        </w:rPr>
        <w:t>The Commission is particularly appreciative of DESE’s leadership on behalf of transgender and gender-nonconforming students. At the beginning of the 2016-17 academic year, DESE launched an additional gender marker in its student information management system, providing students the ability to select “nonbinary” in place of “male” or “female.” Continued integration of the needs of LGBTQ students in all aspects of the Department’s work has made Massachusetts a national leader in this arena.</w:t>
      </w:r>
    </w:p>
    <w:p w14:paraId="792F038B" w14:textId="77777777" w:rsidR="007810C7" w:rsidRPr="007810C7" w:rsidRDefault="007810C7" w:rsidP="007810C7">
      <w:pPr>
        <w:spacing w:after="0"/>
        <w:jc w:val="both"/>
        <w:rPr>
          <w:rFonts w:ascii="Arial" w:hAnsi="Arial" w:cs="Arial"/>
        </w:rPr>
      </w:pPr>
    </w:p>
    <w:p w14:paraId="1BA7DC0A" w14:textId="77777777" w:rsidR="007810C7" w:rsidRPr="00961B5D" w:rsidRDefault="00CB053A" w:rsidP="00245435">
      <w:pPr>
        <w:spacing w:after="0"/>
        <w:jc w:val="center"/>
        <w:rPr>
          <w:rFonts w:ascii="Arial" w:hAnsi="Arial" w:cs="Arial"/>
          <w:b/>
          <w:u w:val="single"/>
        </w:rPr>
      </w:pPr>
      <w:r w:rsidRPr="00961B5D">
        <w:rPr>
          <w:rFonts w:ascii="Arial" w:hAnsi="Arial" w:cs="Arial"/>
          <w:b/>
          <w:u w:val="single"/>
        </w:rPr>
        <w:t>EXPANDED RECOMMENDATIONS</w:t>
      </w:r>
    </w:p>
    <w:p w14:paraId="11B13EE2" w14:textId="77777777" w:rsidR="00CB053A" w:rsidRPr="00CB053A" w:rsidRDefault="00CB053A" w:rsidP="00245435">
      <w:pPr>
        <w:spacing w:after="0"/>
        <w:jc w:val="center"/>
        <w:rPr>
          <w:rFonts w:ascii="Arial" w:hAnsi="Arial" w:cs="Arial"/>
          <w:b/>
        </w:rPr>
      </w:pPr>
    </w:p>
    <w:p w14:paraId="57C61002" w14:textId="77777777" w:rsidR="00CB053A" w:rsidRDefault="00CB053A" w:rsidP="00961B5D">
      <w:pPr>
        <w:pStyle w:val="ListParagraph"/>
        <w:numPr>
          <w:ilvl w:val="0"/>
          <w:numId w:val="36"/>
        </w:numPr>
        <w:spacing w:after="0"/>
        <w:ind w:left="360"/>
        <w:jc w:val="both"/>
        <w:rPr>
          <w:rFonts w:ascii="Arial" w:hAnsi="Arial" w:cs="Arial"/>
          <w:b/>
          <w:color w:val="365F91" w:themeColor="accent1" w:themeShade="BF"/>
        </w:rPr>
      </w:pPr>
      <w:r w:rsidRPr="00CB053A">
        <w:rPr>
          <w:rFonts w:ascii="Arial" w:hAnsi="Arial" w:cs="Arial"/>
          <w:b/>
          <w:color w:val="365F91" w:themeColor="accent1" w:themeShade="BF"/>
        </w:rPr>
        <w:t xml:space="preserve">Increase collaboration between the Safe Schools Program for LGBTQ Students and programs in special education, early education, adult education, sexual health, after school programming, curriculum, homeless assistance, family engagement, student leadership, </w:t>
      </w:r>
      <w:r w:rsidR="00C84E4E">
        <w:rPr>
          <w:rFonts w:ascii="Arial" w:hAnsi="Arial" w:cs="Arial"/>
          <w:b/>
          <w:color w:val="365F91" w:themeColor="accent1" w:themeShade="BF"/>
        </w:rPr>
        <w:t xml:space="preserve">and </w:t>
      </w:r>
      <w:r w:rsidRPr="00CB053A">
        <w:rPr>
          <w:rFonts w:ascii="Arial" w:hAnsi="Arial" w:cs="Arial"/>
          <w:b/>
          <w:color w:val="365F91" w:themeColor="accent1" w:themeShade="BF"/>
        </w:rPr>
        <w:t xml:space="preserve">student discipline, </w:t>
      </w:r>
      <w:r w:rsidR="00C84E4E">
        <w:rPr>
          <w:rFonts w:ascii="Arial" w:hAnsi="Arial" w:cs="Arial"/>
          <w:b/>
          <w:color w:val="365F91" w:themeColor="accent1" w:themeShade="BF"/>
        </w:rPr>
        <w:t>and</w:t>
      </w:r>
      <w:r w:rsidRPr="00CB053A">
        <w:rPr>
          <w:rFonts w:ascii="Arial" w:hAnsi="Arial" w:cs="Arial"/>
          <w:b/>
          <w:color w:val="365F91" w:themeColor="accent1" w:themeShade="BF"/>
        </w:rPr>
        <w:t xml:space="preserve"> the Safe and Supportive Schools Commission.</w:t>
      </w:r>
    </w:p>
    <w:p w14:paraId="6461077F" w14:textId="77777777" w:rsidR="00CB053A" w:rsidRDefault="00CB053A" w:rsidP="00CB053A">
      <w:pPr>
        <w:spacing w:after="0"/>
        <w:jc w:val="both"/>
        <w:rPr>
          <w:rFonts w:ascii="Arial" w:hAnsi="Arial" w:cs="Arial"/>
          <w:b/>
          <w:color w:val="365F91" w:themeColor="accent1" w:themeShade="BF"/>
        </w:rPr>
      </w:pPr>
    </w:p>
    <w:p w14:paraId="79698D1E" w14:textId="025E93F2" w:rsidR="00CB053A" w:rsidRPr="00961B5D" w:rsidRDefault="00961B5D" w:rsidP="00CB053A">
      <w:pPr>
        <w:spacing w:after="0"/>
        <w:jc w:val="both"/>
        <w:rPr>
          <w:rFonts w:ascii="Arial" w:hAnsi="Arial" w:cs="Arial"/>
        </w:rPr>
      </w:pPr>
      <w:r w:rsidRPr="00961B5D">
        <w:rPr>
          <w:rFonts w:ascii="Arial" w:hAnsi="Arial" w:cs="Arial"/>
        </w:rPr>
        <w:t xml:space="preserve">LGBTQ students and families need safe and supportive learning environments both in and out of the classroom. LGBTQ students </w:t>
      </w:r>
      <w:r w:rsidR="00AA245D">
        <w:rPr>
          <w:rFonts w:ascii="Arial" w:hAnsi="Arial" w:cs="Arial"/>
        </w:rPr>
        <w:t xml:space="preserve">may have unique needs based on race, ethnicity, age, disability, experiences of trauma, and more. </w:t>
      </w:r>
      <w:r w:rsidRPr="00961B5D">
        <w:rPr>
          <w:rFonts w:ascii="Arial" w:hAnsi="Arial" w:cs="Arial"/>
        </w:rPr>
        <w:t xml:space="preserve">By leveraging the resources of the Safe Schools Program, DESE has begun to address the needs of these young people by incorporating LGBTQ topics in statewide and regional trainings. The Commission recommends that DESE continue to integrate resources and </w:t>
      </w:r>
      <w:r w:rsidR="0054496E">
        <w:rPr>
          <w:rFonts w:ascii="Arial" w:hAnsi="Arial" w:cs="Arial"/>
        </w:rPr>
        <w:t>personnel</w:t>
      </w:r>
      <w:r w:rsidRPr="00961B5D">
        <w:rPr>
          <w:rFonts w:ascii="Arial" w:hAnsi="Arial" w:cs="Arial"/>
        </w:rPr>
        <w:t xml:space="preserve"> from the Safe Schools Program into programmatic work in these areas to maximize the opportunities provided for LGBTQ students and families.</w:t>
      </w:r>
    </w:p>
    <w:p w14:paraId="6157AD02" w14:textId="7D635A04" w:rsidR="00CB053A" w:rsidRPr="00CB053A" w:rsidRDefault="009619C1" w:rsidP="00CB053A">
      <w:pPr>
        <w:spacing w:after="0"/>
        <w:jc w:val="both"/>
        <w:rPr>
          <w:rFonts w:ascii="Arial" w:hAnsi="Arial" w:cs="Arial"/>
          <w:b/>
          <w:color w:val="365F91" w:themeColor="accent1" w:themeShade="BF"/>
        </w:rPr>
      </w:pPr>
      <w:r>
        <w:rPr>
          <w:rFonts w:ascii="Arial" w:hAnsi="Arial" w:cs="Arial"/>
          <w:noProof/>
        </w:rPr>
        <w:lastRenderedPageBreak/>
        <mc:AlternateContent>
          <mc:Choice Requires="wps">
            <w:drawing>
              <wp:anchor distT="0" distB="0" distL="114300" distR="114300" simplePos="0" relativeHeight="251805696" behindDoc="0" locked="0" layoutInCell="1" allowOverlap="1" wp14:anchorId="055B93C5" wp14:editId="4C12B279">
                <wp:simplePos x="0" y="0"/>
                <wp:positionH relativeFrom="column">
                  <wp:posOffset>10795</wp:posOffset>
                </wp:positionH>
                <wp:positionV relativeFrom="paragraph">
                  <wp:posOffset>-83820</wp:posOffset>
                </wp:positionV>
                <wp:extent cx="5893435" cy="1167765"/>
                <wp:effectExtent l="0" t="0" r="12065" b="13335"/>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3435" cy="1167765"/>
                        </a:xfrm>
                        <a:prstGeom prst="rect">
                          <a:avLst/>
                        </a:prstGeom>
                        <a:solidFill>
                          <a:schemeClr val="lt1"/>
                        </a:solidFill>
                        <a:ln w="19050">
                          <a:solidFill>
                            <a:srgbClr val="FFBC37"/>
                          </a:solidFill>
                        </a:ln>
                      </wps:spPr>
                      <wps:txbx>
                        <w:txbxContent>
                          <w:p w14:paraId="162581A4" w14:textId="77777777" w:rsidR="00411ECA" w:rsidRPr="00A6527B" w:rsidRDefault="00411ECA" w:rsidP="00C84E4E">
                            <w:pPr>
                              <w:jc w:val="both"/>
                              <w:rPr>
                                <w:rFonts w:ascii="Arial" w:hAnsi="Arial" w:cs="Arial"/>
                                <w:i/>
                                <w:shd w:val="clear" w:color="auto" w:fill="FFFFFF"/>
                              </w:rPr>
                            </w:pPr>
                            <w:r w:rsidRPr="00A6527B">
                              <w:rPr>
                                <w:rFonts w:ascii="Arial" w:hAnsi="Arial" w:cs="Arial"/>
                                <w:i/>
                              </w:rPr>
                              <w:t>“</w:t>
                            </w:r>
                            <w:r w:rsidRPr="00A6527B">
                              <w:rPr>
                                <w:rFonts w:ascii="Arial" w:hAnsi="Arial" w:cs="Arial"/>
                                <w:i/>
                                <w:shd w:val="clear" w:color="auto" w:fill="FFFFFF"/>
                              </w:rPr>
                              <w:t>I'd like to see more education in schools about what LGBTQ+ means, especially in regards to gender identity. I've seen and heard so many awful stories of bullying in schools if you identify as anything other than cisgender, and I think education could be a starting point to less bullying and more tolerance.”</w:t>
                            </w:r>
                          </w:p>
                          <w:p w14:paraId="37EB240E" w14:textId="77777777" w:rsidR="00411ECA" w:rsidRPr="00A6527B" w:rsidRDefault="00411ECA" w:rsidP="00DD704C">
                            <w:pPr>
                              <w:rPr>
                                <w:rFonts w:ascii="Arial" w:hAnsi="Arial" w:cs="Arial"/>
                              </w:rPr>
                            </w:pPr>
                            <w:r>
                              <w:rPr>
                                <w:rFonts w:ascii="Arial" w:hAnsi="Arial" w:cs="Arial"/>
                              </w:rPr>
                              <w:t xml:space="preserve"> </w:t>
                            </w:r>
                            <w:r w:rsidRPr="00467ECB">
                              <w:rPr>
                                <w:rFonts w:ascii="Arial" w:hAnsi="Arial" w:cs="Arial"/>
                              </w:rPr>
                              <w:t xml:space="preserve">– </w:t>
                            </w:r>
                            <w:r w:rsidRPr="00A6527B">
                              <w:rPr>
                                <w:rFonts w:ascii="Arial" w:hAnsi="Arial" w:cs="Arial"/>
                              </w:rPr>
                              <w:t>Youth, Central Massachusetts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1" o:spid="_x0000_s1035" type="#_x0000_t202" style="position:absolute;left:0;text-align:left;margin-left:.85pt;margin-top:-6.6pt;width:464.05pt;height:91.9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" fillcolor="white [3201]" strokecolor="#ffbc37" strokeweight="1.5pt">
                <v:path arrowok="t"/>
                <v:textbox>
                  <w:txbxContent>
                    <w:p w14:paraId="162581A4" w14:textId="77777777" w:rsidR="00411ECA" w:rsidRPr="00A6527B" w:rsidRDefault="00411ECA" w:rsidP="00C84E4E">
                      <w:pPr>
                        <w:jc w:val="both"/>
                        <w:rPr>
                          <w:rFonts w:ascii="Arial" w:hAnsi="Arial" w:cs="Arial"/>
                          <w:i/>
                          <w:shd w:val="clear" w:color="auto" w:fill="FFFFFF"/>
                        </w:rPr>
                      </w:pPr>
                      <w:r w:rsidRPr="00A6527B">
                        <w:rPr>
                          <w:rFonts w:ascii="Arial" w:hAnsi="Arial" w:cs="Arial"/>
                          <w:i/>
                        </w:rPr>
                        <w:t>“</w:t>
                      </w:r>
                      <w:r w:rsidRPr="00A6527B">
                        <w:rPr>
                          <w:rFonts w:ascii="Arial" w:hAnsi="Arial" w:cs="Arial"/>
                          <w:i/>
                          <w:shd w:val="clear" w:color="auto" w:fill="FFFFFF"/>
                        </w:rPr>
                        <w:t>I'd like to see more education in schools about what LGBTQ+ means, especially in regards to gender identity. I've seen and heard so many awful stories of bullying in schools if you identify as anything other than cisgender, and I think education could be a starting point to less bullying and more tolerance.”</w:t>
                      </w:r>
                    </w:p>
                    <w:p w14:paraId="37EB240E" w14:textId="77777777" w:rsidR="00411ECA" w:rsidRPr="00A6527B" w:rsidRDefault="00411ECA" w:rsidP="00DD704C">
                      <w:pPr>
                        <w:rPr>
                          <w:rFonts w:ascii="Arial" w:hAnsi="Arial" w:cs="Arial"/>
                        </w:rPr>
                      </w:pPr>
                      <w:r>
                        <w:rPr>
                          <w:rFonts w:ascii="Arial" w:hAnsi="Arial" w:cs="Arial"/>
                        </w:rPr>
                        <w:t xml:space="preserve"> </w:t>
                      </w:r>
                      <w:r w:rsidRPr="00467ECB">
                        <w:rPr>
                          <w:rFonts w:ascii="Arial" w:hAnsi="Arial" w:cs="Arial"/>
                        </w:rPr>
                        <w:t xml:space="preserve">– </w:t>
                      </w:r>
                      <w:r w:rsidRPr="00A6527B">
                        <w:rPr>
                          <w:rFonts w:ascii="Arial" w:hAnsi="Arial" w:cs="Arial"/>
                        </w:rPr>
                        <w:t>Youth, Central Massachusetts</w:t>
                      </w:r>
                    </w:p>
                  </w:txbxContent>
                </v:textbox>
                <w10:wrap type="square"/>
              </v:shape>
            </w:pict>
          </mc:Fallback>
        </mc:AlternateContent>
      </w:r>
    </w:p>
    <w:p w14:paraId="7B952254" w14:textId="77777777" w:rsidR="00CB053A" w:rsidRPr="00CB053A" w:rsidRDefault="00CB053A" w:rsidP="00961B5D">
      <w:pPr>
        <w:pStyle w:val="ListParagraph"/>
        <w:numPr>
          <w:ilvl w:val="0"/>
          <w:numId w:val="36"/>
        </w:numPr>
        <w:spacing w:after="0"/>
        <w:ind w:left="360"/>
        <w:jc w:val="both"/>
        <w:rPr>
          <w:rFonts w:ascii="Arial" w:hAnsi="Arial" w:cs="Arial"/>
          <w:b/>
          <w:color w:val="365F91" w:themeColor="accent1" w:themeShade="BF"/>
        </w:rPr>
      </w:pPr>
      <w:r w:rsidRPr="00CB053A">
        <w:rPr>
          <w:rFonts w:ascii="Arial" w:hAnsi="Arial" w:cs="Arial"/>
          <w:b/>
          <w:bCs/>
          <w:color w:val="365F91" w:themeColor="accent1" w:themeShade="BF"/>
        </w:rPr>
        <w:t xml:space="preserve">On student surveys </w:t>
      </w:r>
      <w:r>
        <w:rPr>
          <w:rFonts w:ascii="Arial" w:hAnsi="Arial" w:cs="Arial"/>
          <w:b/>
          <w:bCs/>
          <w:color w:val="365F91" w:themeColor="accent1" w:themeShade="BF"/>
        </w:rPr>
        <w:t>regarding</w:t>
      </w:r>
      <w:r w:rsidRPr="00CB053A">
        <w:rPr>
          <w:rFonts w:ascii="Arial" w:hAnsi="Arial" w:cs="Arial"/>
          <w:b/>
          <w:bCs/>
          <w:color w:val="365F91" w:themeColor="accent1" w:themeShade="BF"/>
        </w:rPr>
        <w:t xml:space="preserve"> school climate, capture demographic information related to gender identity and gender expression and report on findings assessing the prevalence, nature, and severity of school-based bullying.</w:t>
      </w:r>
    </w:p>
    <w:p w14:paraId="2352F358" w14:textId="77777777" w:rsidR="00CB053A" w:rsidRDefault="00CB053A" w:rsidP="00CB053A">
      <w:pPr>
        <w:spacing w:after="0"/>
        <w:jc w:val="both"/>
        <w:rPr>
          <w:rFonts w:ascii="Arial" w:hAnsi="Arial" w:cs="Arial"/>
          <w:b/>
          <w:color w:val="365F91" w:themeColor="accent1" w:themeShade="BF"/>
        </w:rPr>
      </w:pPr>
    </w:p>
    <w:p w14:paraId="404E3024" w14:textId="015E5567" w:rsidR="00CB053A" w:rsidRPr="00DD704C" w:rsidRDefault="0054496E" w:rsidP="00CB053A">
      <w:pPr>
        <w:spacing w:after="0"/>
        <w:jc w:val="both"/>
        <w:rPr>
          <w:rFonts w:ascii="Arial" w:hAnsi="Arial" w:cs="Arial"/>
        </w:rPr>
      </w:pPr>
      <w:r w:rsidRPr="0054496E">
        <w:rPr>
          <w:rFonts w:ascii="Arial" w:hAnsi="Arial" w:cs="Arial"/>
        </w:rPr>
        <w:t>Massachusetts law requires DESE to develop a student survey on school climate to be administered at least once every four years assessing the prevalence, nature, and severity of bullying in schools. As DESE has begun to administer this survey, the Commission encourages DESE to include demographic items on student sexual orientation and gender identity, as well as specific items assessing bias-based bullying related to sexual orientation, gender identity, and gender expression. Although the nonbinary gender marker is available in district-provided demographic information, the Commission believes that self-reported identities would be more accurate and provide an opportunity to generate conclusions abo</w:t>
      </w:r>
      <w:r w:rsidR="00BA0679">
        <w:rPr>
          <w:rFonts w:ascii="Arial" w:hAnsi="Arial" w:cs="Arial"/>
        </w:rPr>
        <w:t>ut binary transgender students.</w:t>
      </w:r>
      <w:r w:rsidRPr="0054496E">
        <w:rPr>
          <w:rFonts w:ascii="Arial" w:hAnsi="Arial" w:cs="Arial"/>
        </w:rPr>
        <w:t xml:space="preserve"> The Commission also requests that DESE share the results from this survey, especially with respect to the experiences of students who </w:t>
      </w:r>
      <w:r w:rsidR="004071C8">
        <w:rPr>
          <w:rFonts w:ascii="Arial" w:hAnsi="Arial" w:cs="Arial"/>
        </w:rPr>
        <w:t>identify as</w:t>
      </w:r>
      <w:r w:rsidR="004071C8" w:rsidRPr="0054496E">
        <w:rPr>
          <w:rFonts w:ascii="Arial" w:hAnsi="Arial" w:cs="Arial"/>
        </w:rPr>
        <w:t xml:space="preserve"> </w:t>
      </w:r>
      <w:r w:rsidRPr="0054496E">
        <w:rPr>
          <w:rFonts w:ascii="Arial" w:hAnsi="Arial" w:cs="Arial"/>
        </w:rPr>
        <w:t>or are perceived to be LGBTQ.</w:t>
      </w:r>
    </w:p>
    <w:p w14:paraId="12999F43" w14:textId="77777777" w:rsidR="00961B5D" w:rsidRPr="00961B5D" w:rsidRDefault="00961B5D" w:rsidP="00961B5D">
      <w:pPr>
        <w:pStyle w:val="ListParagraph"/>
        <w:spacing w:after="0"/>
        <w:ind w:left="360"/>
        <w:jc w:val="both"/>
        <w:rPr>
          <w:rFonts w:ascii="Arial" w:hAnsi="Arial" w:cs="Arial"/>
          <w:b/>
          <w:color w:val="365F91" w:themeColor="accent1" w:themeShade="BF"/>
        </w:rPr>
      </w:pPr>
    </w:p>
    <w:p w14:paraId="2A7F7A13" w14:textId="7FC27FDD" w:rsidR="00CB053A" w:rsidRPr="00CB053A" w:rsidRDefault="009619C1" w:rsidP="00961B5D">
      <w:pPr>
        <w:pStyle w:val="ListParagraph"/>
        <w:numPr>
          <w:ilvl w:val="0"/>
          <w:numId w:val="36"/>
        </w:numPr>
        <w:spacing w:after="0"/>
        <w:ind w:left="360"/>
        <w:jc w:val="both"/>
        <w:rPr>
          <w:rFonts w:ascii="Arial" w:hAnsi="Arial" w:cs="Arial"/>
          <w:b/>
          <w:color w:val="365F91" w:themeColor="accent1" w:themeShade="BF"/>
        </w:rPr>
      </w:pPr>
      <w:r>
        <w:rPr>
          <w:rFonts w:ascii="Arial" w:hAnsi="Arial" w:cs="Arial"/>
          <w:noProof/>
        </w:rPr>
        <mc:AlternateContent>
          <mc:Choice Requires="wps">
            <w:drawing>
              <wp:anchor distT="0" distB="0" distL="114300" distR="114300" simplePos="0" relativeHeight="251803648" behindDoc="0" locked="0" layoutInCell="1" allowOverlap="1" wp14:anchorId="25409AF3" wp14:editId="3E87EE01">
                <wp:simplePos x="0" y="0"/>
                <wp:positionH relativeFrom="column">
                  <wp:posOffset>10795</wp:posOffset>
                </wp:positionH>
                <wp:positionV relativeFrom="paragraph">
                  <wp:posOffset>-9525</wp:posOffset>
                </wp:positionV>
                <wp:extent cx="5948680" cy="1743075"/>
                <wp:effectExtent l="0" t="0" r="13970" b="28575"/>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8680" cy="1743075"/>
                        </a:xfrm>
                        <a:prstGeom prst="rect">
                          <a:avLst/>
                        </a:prstGeom>
                        <a:solidFill>
                          <a:schemeClr val="lt1"/>
                        </a:solidFill>
                        <a:ln w="19050">
                          <a:solidFill>
                            <a:srgbClr val="FFBC37"/>
                          </a:solidFill>
                        </a:ln>
                      </wps:spPr>
                      <wps:txbx>
                        <w:txbxContent>
                          <w:p w14:paraId="038431DF" w14:textId="77777777" w:rsidR="00411ECA" w:rsidRPr="0005733A" w:rsidRDefault="00411ECA" w:rsidP="00961B5D">
                            <w:pPr>
                              <w:spacing w:after="0"/>
                              <w:jc w:val="both"/>
                              <w:rPr>
                                <w:rFonts w:ascii="Arial" w:hAnsi="Arial" w:cs="Arial"/>
                                <w:i/>
                              </w:rPr>
                            </w:pPr>
                            <w:r w:rsidRPr="0005733A">
                              <w:rPr>
                                <w:rFonts w:ascii="Arial" w:hAnsi="Arial" w:cs="Arial"/>
                                <w:i/>
                              </w:rPr>
                              <w:t>“For my school project, I’m doing it on trans women of color. My history teacher was like, ‘that’s not a big thing.’ And I said, ‘I’m doing it on the Stonewall riots,’ and he says, ‘what’s that?’ He’s a U.S. history teacher! It’s funny that we’re learning about how wonderful the Pilgrims were, but what about the transgender women that risked their lives for their rights that he knows nothing about? My high school is very diverse – 80 percent of the school is of students of color – so I feel like that’s very important. They act like LGBTQ history just started in 2000 – and no!”</w:t>
                            </w:r>
                          </w:p>
                          <w:p w14:paraId="0179DFE1" w14:textId="77777777" w:rsidR="00411ECA" w:rsidRPr="007810C7" w:rsidRDefault="00411ECA" w:rsidP="00961B5D">
                            <w:pPr>
                              <w:spacing w:after="0"/>
                              <w:jc w:val="both"/>
                              <w:rPr>
                                <w:rFonts w:ascii="Arial" w:hAnsi="Arial" w:cs="Arial"/>
                              </w:rPr>
                            </w:pPr>
                          </w:p>
                          <w:p w14:paraId="3B8E6021" w14:textId="77777777" w:rsidR="00411ECA" w:rsidRPr="007810C7" w:rsidRDefault="00411ECA" w:rsidP="00961B5D">
                            <w:pPr>
                              <w:spacing w:after="0"/>
                              <w:jc w:val="both"/>
                              <w:rPr>
                                <w:rFonts w:ascii="Arial" w:hAnsi="Arial" w:cs="Arial"/>
                              </w:rPr>
                            </w:pPr>
                            <w:r w:rsidRPr="007810C7">
                              <w:rPr>
                                <w:rFonts w:ascii="Arial" w:hAnsi="Arial" w:cs="Arial"/>
                              </w:rPr>
                              <w:t>– Student, Southeastern Massachusetts</w:t>
                            </w:r>
                          </w:p>
                          <w:p w14:paraId="600A9DF7" w14:textId="77777777" w:rsidR="00411ECA" w:rsidRDefault="00411ECA" w:rsidP="00961B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6" type="#_x0000_t202" style="position:absolute;left:0;text-align:left;margin-left:.85pt;margin-top:-.75pt;width:468.4pt;height:137.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" fillcolor="white [3201]" strokecolor="#ffbc37" strokeweight="1.5pt">
                <v:path arrowok="t"/>
                <v:textbox>
                  <w:txbxContent>
                    <w:p w14:paraId="038431DF" w14:textId="77777777" w:rsidR="00411ECA" w:rsidRPr="0005733A" w:rsidRDefault="00411ECA" w:rsidP="00961B5D">
                      <w:pPr>
                        <w:spacing w:after="0"/>
                        <w:jc w:val="both"/>
                        <w:rPr>
                          <w:rFonts w:ascii="Arial" w:hAnsi="Arial" w:cs="Arial"/>
                          <w:i/>
                        </w:rPr>
                      </w:pPr>
                      <w:r w:rsidRPr="0005733A">
                        <w:rPr>
                          <w:rFonts w:ascii="Arial" w:hAnsi="Arial" w:cs="Arial"/>
                          <w:i/>
                        </w:rPr>
                        <w:t>“For my school project, I’m doing it on trans women of color. My history teacher was like, ‘that’s not a big thing.’ And I said, ‘I’m doing it on the Stonewall riots,’ and he says, ‘what’s that?’ He’s a U.S. history teacher! It’s funny that we’re learning about how wonderful the Pilgrims were, but what about the transgender women that risked their lives for their rights that he knows nothing about? My high school is very diverse – 80 percent of the school is of students of color – so I feel like that’s very important. They act like LGBTQ history just started in 2000 – and no!”</w:t>
                      </w:r>
                    </w:p>
                    <w:p w14:paraId="0179DFE1" w14:textId="77777777" w:rsidR="00411ECA" w:rsidRPr="007810C7" w:rsidRDefault="00411ECA" w:rsidP="00961B5D">
                      <w:pPr>
                        <w:spacing w:after="0"/>
                        <w:jc w:val="both"/>
                        <w:rPr>
                          <w:rFonts w:ascii="Arial" w:hAnsi="Arial" w:cs="Arial"/>
                        </w:rPr>
                      </w:pPr>
                    </w:p>
                    <w:p w14:paraId="3B8E6021" w14:textId="77777777" w:rsidR="00411ECA" w:rsidRPr="007810C7" w:rsidRDefault="00411ECA" w:rsidP="00961B5D">
                      <w:pPr>
                        <w:spacing w:after="0"/>
                        <w:jc w:val="both"/>
                        <w:rPr>
                          <w:rFonts w:ascii="Arial" w:hAnsi="Arial" w:cs="Arial"/>
                        </w:rPr>
                      </w:pPr>
                      <w:r w:rsidRPr="007810C7">
                        <w:rPr>
                          <w:rFonts w:ascii="Arial" w:hAnsi="Arial" w:cs="Arial"/>
                        </w:rPr>
                        <w:t>– Student, Southeastern Massachusetts</w:t>
                      </w:r>
                    </w:p>
                    <w:p w14:paraId="600A9DF7" w14:textId="77777777" w:rsidR="00411ECA" w:rsidRDefault="00411ECA" w:rsidP="00961B5D"/>
                  </w:txbxContent>
                </v:textbox>
                <w10:wrap type="square"/>
              </v:shape>
            </w:pict>
          </mc:Fallback>
        </mc:AlternateContent>
      </w:r>
      <w:r w:rsidR="00CB053A" w:rsidRPr="00CB053A">
        <w:rPr>
          <w:rFonts w:ascii="Arial" w:hAnsi="Arial" w:cs="Arial"/>
          <w:b/>
          <w:bCs/>
          <w:color w:val="365F91" w:themeColor="accent1" w:themeShade="BF"/>
        </w:rPr>
        <w:t>Ensure LGBTQ inclusivity of all curriculum initiatives, including curriculum frameworks, model curriculum units, and supplementary curricular materials.</w:t>
      </w:r>
    </w:p>
    <w:p w14:paraId="777AEF3C" w14:textId="77777777" w:rsidR="00CB053A" w:rsidRDefault="00CB053A" w:rsidP="00CB053A">
      <w:pPr>
        <w:spacing w:after="0"/>
        <w:jc w:val="both"/>
        <w:rPr>
          <w:rFonts w:ascii="Arial" w:hAnsi="Arial" w:cs="Arial"/>
          <w:b/>
          <w:color w:val="365F91" w:themeColor="accent1" w:themeShade="BF"/>
        </w:rPr>
      </w:pPr>
    </w:p>
    <w:p w14:paraId="4238C3D0" w14:textId="5A40C538" w:rsidR="00CB053A" w:rsidRDefault="004D497B" w:rsidP="00CB053A">
      <w:pPr>
        <w:spacing w:after="0"/>
        <w:jc w:val="both"/>
        <w:rPr>
          <w:rFonts w:ascii="Arial" w:hAnsi="Arial" w:cs="Arial"/>
        </w:rPr>
      </w:pPr>
      <w:r w:rsidRPr="00DD704C">
        <w:rPr>
          <w:rFonts w:ascii="Arial" w:hAnsi="Arial" w:cs="Arial"/>
        </w:rPr>
        <w:t>Existing curricula often fail to reflec</w:t>
      </w:r>
      <w:r>
        <w:rPr>
          <w:rFonts w:ascii="Arial" w:hAnsi="Arial" w:cs="Arial"/>
        </w:rPr>
        <w:t xml:space="preserve">t LGBTQ people. </w:t>
      </w:r>
      <w:r w:rsidR="00DD704C" w:rsidRPr="00DD704C">
        <w:rPr>
          <w:rFonts w:ascii="Arial" w:hAnsi="Arial" w:cs="Arial"/>
        </w:rPr>
        <w:t xml:space="preserve">DESE’s </w:t>
      </w:r>
      <w:r w:rsidR="00C84E4E">
        <w:rPr>
          <w:rFonts w:ascii="Arial" w:hAnsi="Arial" w:cs="Arial"/>
        </w:rPr>
        <w:t xml:space="preserve">regulation, </w:t>
      </w:r>
      <w:r w:rsidR="00DD704C" w:rsidRPr="00DD704C">
        <w:rPr>
          <w:rFonts w:ascii="Arial" w:hAnsi="Arial" w:cs="Arial"/>
          <w:i/>
        </w:rPr>
        <w:t>Access to Equal Educational Opportunity Regulations for the Student Anti-discrimination Law and Principles for Ensuring Safe and Supportive Learning Environments for LGBTQ Students</w:t>
      </w:r>
      <w:r w:rsidR="00C84E4E">
        <w:rPr>
          <w:rFonts w:ascii="Arial" w:hAnsi="Arial" w:cs="Arial"/>
        </w:rPr>
        <w:t>,</w:t>
      </w:r>
      <w:r w:rsidR="00DD704C" w:rsidRPr="00DD704C">
        <w:rPr>
          <w:rFonts w:ascii="Arial" w:hAnsi="Arial" w:cs="Arial"/>
        </w:rPr>
        <w:t xml:space="preserve"> indicates that curricula shall encourage respect for the human and civil rights of all individuals, including LGBTQ individuals. </w:t>
      </w:r>
      <w:r>
        <w:rPr>
          <w:rFonts w:ascii="Arial" w:hAnsi="Arial" w:cs="Arial"/>
        </w:rPr>
        <w:t>It states:</w:t>
      </w:r>
      <w:r w:rsidR="00DD704C" w:rsidRPr="00DD704C">
        <w:rPr>
          <w:rFonts w:ascii="Arial" w:hAnsi="Arial" w:cs="Arial"/>
        </w:rPr>
        <w:t xml:space="preserve"> “Research shows that inclusion of LGBTQ topics in curricula corresponds to all students reporting that they feel safer in school, regardless of sexual orientation or gender identity. Curricula should reflect issues of sexual orientation and gender identity, as relevant, to be inclusive across subject areas, including, but not limited to, health, social science, language arts, and family life curricula.”</w:t>
      </w:r>
      <w:r w:rsidR="00DD704C">
        <w:rPr>
          <w:rStyle w:val="EndnoteReference"/>
          <w:rFonts w:ascii="Arial" w:hAnsi="Arial" w:cs="Arial"/>
        </w:rPr>
        <w:endnoteReference w:id="169"/>
      </w:r>
      <w:r w:rsidR="00DD704C" w:rsidRPr="00DD704C">
        <w:rPr>
          <w:rFonts w:ascii="Arial" w:hAnsi="Arial" w:cs="Arial"/>
        </w:rPr>
        <w:t xml:space="preserve"> As DESE prepares to make available </w:t>
      </w:r>
      <w:r>
        <w:rPr>
          <w:rFonts w:ascii="Arial" w:hAnsi="Arial" w:cs="Arial"/>
        </w:rPr>
        <w:lastRenderedPageBreak/>
        <w:t xml:space="preserve">LGBTQ-inclusive </w:t>
      </w:r>
      <w:r w:rsidR="00DD704C" w:rsidRPr="00DD704C">
        <w:rPr>
          <w:rFonts w:ascii="Arial" w:hAnsi="Arial" w:cs="Arial"/>
        </w:rPr>
        <w:t xml:space="preserve">model curriculum units (MCUs) in language arts and social science, the Commission urges DESE to publicize these MCUs, develop and make available additional MCUs, and ensure that all curriculum initiatives are LGBTQ-inclusive, including the revision of </w:t>
      </w:r>
      <w:r w:rsidR="009619C1">
        <w:rPr>
          <w:rFonts w:ascii="Arial" w:hAnsi="Arial" w:cs="Arial"/>
          <w:noProof/>
        </w:rPr>
        <mc:AlternateContent>
          <mc:Choice Requires="wps">
            <w:drawing>
              <wp:anchor distT="0" distB="0" distL="114300" distR="114300" simplePos="0" relativeHeight="251807744" behindDoc="0" locked="0" layoutInCell="1" allowOverlap="1" wp14:anchorId="3A852076" wp14:editId="3E1A0C0B">
                <wp:simplePos x="0" y="0"/>
                <wp:positionH relativeFrom="column">
                  <wp:posOffset>10160</wp:posOffset>
                </wp:positionH>
                <wp:positionV relativeFrom="paragraph">
                  <wp:posOffset>850265</wp:posOffset>
                </wp:positionV>
                <wp:extent cx="5948680" cy="1169035"/>
                <wp:effectExtent l="0" t="0" r="13970" b="12065"/>
                <wp:wrapSquare wrapText="bothSides"/>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8680" cy="1169035"/>
                        </a:xfrm>
                        <a:prstGeom prst="rect">
                          <a:avLst/>
                        </a:prstGeom>
                        <a:solidFill>
                          <a:schemeClr val="lt1"/>
                        </a:solidFill>
                        <a:ln w="19050">
                          <a:solidFill>
                            <a:srgbClr val="FFBC37"/>
                          </a:solidFill>
                        </a:ln>
                      </wps:spPr>
                      <wps:txbx>
                        <w:txbxContent>
                          <w:p w14:paraId="471240C4" w14:textId="77777777" w:rsidR="00411ECA" w:rsidRDefault="00411ECA" w:rsidP="00C84E4E">
                            <w:pPr>
                              <w:jc w:val="both"/>
                              <w:rPr>
                                <w:rFonts w:ascii="Arial" w:hAnsi="Arial" w:cs="Arial"/>
                                <w:i/>
                              </w:rPr>
                            </w:pPr>
                            <w:r w:rsidRPr="00DD704C">
                              <w:rPr>
                                <w:rFonts w:ascii="Arial" w:hAnsi="Arial" w:cs="Arial"/>
                                <w:i/>
                              </w:rPr>
                              <w:t xml:space="preserve">The Stonewall Riot may also not be taught well in school, as it usually depicts gay, white people who protested against police brutality. It ignores other LGBTQIA+ groups and other people of color, misrepresenting those who contributed to making sure the LGBTQIA+ community is more accepted today. </w:t>
                            </w:r>
                          </w:p>
                          <w:p w14:paraId="224B8A81" w14:textId="77777777" w:rsidR="00411ECA" w:rsidRPr="00467ECB" w:rsidRDefault="00411ECA" w:rsidP="00DD704C">
                            <w:pPr>
                              <w:rPr>
                                <w:rFonts w:ascii="Arial" w:hAnsi="Arial" w:cs="Arial"/>
                              </w:rPr>
                            </w:pPr>
                            <w:r>
                              <w:rPr>
                                <w:rFonts w:ascii="Arial" w:hAnsi="Arial" w:cs="Arial"/>
                              </w:rPr>
                              <w:t>– H</w:t>
                            </w:r>
                            <w:r w:rsidRPr="00467ECB">
                              <w:rPr>
                                <w:rFonts w:ascii="Arial" w:hAnsi="Arial" w:cs="Arial"/>
                              </w:rPr>
                              <w:t xml:space="preserve">igh school student, </w:t>
                            </w:r>
                            <w:r>
                              <w:rPr>
                                <w:rFonts w:ascii="Arial" w:hAnsi="Arial" w:cs="Arial"/>
                              </w:rPr>
                              <w:t>Boston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4" o:spid="_x0000_s1037" type="#_x0000_t202" style="position:absolute;left:0;text-align:left;margin-left:.8pt;margin-top:66.95pt;width:468.4pt;height:92.0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" fillcolor="white [3201]" strokecolor="#ffbc37" strokeweight="1.5pt">
                <v:path arrowok="t"/>
                <v:textbox>
                  <w:txbxContent>
                    <w:p w14:paraId="471240C4" w14:textId="77777777" w:rsidR="00411ECA" w:rsidRDefault="00411ECA" w:rsidP="00C84E4E">
                      <w:pPr>
                        <w:jc w:val="both"/>
                        <w:rPr>
                          <w:rFonts w:ascii="Arial" w:hAnsi="Arial" w:cs="Arial"/>
                          <w:i/>
                        </w:rPr>
                      </w:pPr>
                      <w:r w:rsidRPr="00DD704C">
                        <w:rPr>
                          <w:rFonts w:ascii="Arial" w:hAnsi="Arial" w:cs="Arial"/>
                          <w:i/>
                        </w:rPr>
                        <w:t xml:space="preserve">The Stonewall Riot may also not be taught well in school, as it usually depicts gay, white people who protested against police brutality. It ignores other LGBTQIA+ groups and other people of color, misrepresenting those who contributed to making sure the LGBTQIA+ community is more accepted today. </w:t>
                      </w:r>
                    </w:p>
                    <w:p w14:paraId="224B8A81" w14:textId="77777777" w:rsidR="00411ECA" w:rsidRPr="00467ECB" w:rsidRDefault="00411ECA" w:rsidP="00DD704C">
                      <w:pPr>
                        <w:rPr>
                          <w:rFonts w:ascii="Arial" w:hAnsi="Arial" w:cs="Arial"/>
                        </w:rPr>
                      </w:pPr>
                      <w:r>
                        <w:rPr>
                          <w:rFonts w:ascii="Arial" w:hAnsi="Arial" w:cs="Arial"/>
                        </w:rPr>
                        <w:t>– H</w:t>
                      </w:r>
                      <w:r w:rsidRPr="00467ECB">
                        <w:rPr>
                          <w:rFonts w:ascii="Arial" w:hAnsi="Arial" w:cs="Arial"/>
                        </w:rPr>
                        <w:t xml:space="preserve">igh school student, </w:t>
                      </w:r>
                      <w:r>
                        <w:rPr>
                          <w:rFonts w:ascii="Arial" w:hAnsi="Arial" w:cs="Arial"/>
                        </w:rPr>
                        <w:t>Boston</w:t>
                      </w:r>
                    </w:p>
                  </w:txbxContent>
                </v:textbox>
                <w10:wrap type="square"/>
              </v:shape>
            </w:pict>
          </mc:Fallback>
        </mc:AlternateContent>
      </w:r>
      <w:r w:rsidR="00DD704C" w:rsidRPr="00DD704C">
        <w:rPr>
          <w:rFonts w:ascii="Arial" w:hAnsi="Arial" w:cs="Arial"/>
        </w:rPr>
        <w:t>the health, social science, and other curriculum frameworks.</w:t>
      </w:r>
    </w:p>
    <w:p w14:paraId="16BCD583" w14:textId="7E847A41" w:rsidR="00CB053A" w:rsidRPr="00CB053A" w:rsidRDefault="009619C1" w:rsidP="00CB053A">
      <w:pPr>
        <w:spacing w:after="0"/>
        <w:jc w:val="both"/>
        <w:rPr>
          <w:rFonts w:ascii="Arial" w:hAnsi="Arial" w:cs="Arial"/>
          <w:b/>
          <w:color w:val="365F91" w:themeColor="accent1" w:themeShade="BF"/>
        </w:rPr>
      </w:pPr>
      <w:r>
        <w:rPr>
          <w:rFonts w:ascii="Arial" w:hAnsi="Arial" w:cs="Arial"/>
          <w:noProof/>
        </w:rPr>
        <mc:AlternateContent>
          <mc:Choice Requires="wps">
            <w:drawing>
              <wp:anchor distT="0" distB="0" distL="114300" distR="114300" simplePos="0" relativeHeight="251689984" behindDoc="0" locked="0" layoutInCell="1" allowOverlap="1" wp14:anchorId="203B33F3" wp14:editId="41F2110A">
                <wp:simplePos x="0" y="0"/>
                <wp:positionH relativeFrom="column">
                  <wp:posOffset>13335</wp:posOffset>
                </wp:positionH>
                <wp:positionV relativeFrom="paragraph">
                  <wp:posOffset>1441450</wp:posOffset>
                </wp:positionV>
                <wp:extent cx="5948680" cy="847725"/>
                <wp:effectExtent l="0" t="0" r="13970" b="28575"/>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8680" cy="847725"/>
                        </a:xfrm>
                        <a:prstGeom prst="rect">
                          <a:avLst/>
                        </a:prstGeom>
                        <a:solidFill>
                          <a:schemeClr val="lt1"/>
                        </a:solidFill>
                        <a:ln w="19050">
                          <a:solidFill>
                            <a:srgbClr val="FFBC37"/>
                          </a:solidFill>
                        </a:ln>
                      </wps:spPr>
                      <wps:txbx>
                        <w:txbxContent>
                          <w:p w14:paraId="5FBF1609" w14:textId="77777777" w:rsidR="00411ECA" w:rsidRPr="00467ECB" w:rsidRDefault="00411ECA" w:rsidP="00C84E4E">
                            <w:pPr>
                              <w:jc w:val="both"/>
                              <w:rPr>
                                <w:rFonts w:ascii="Arial" w:hAnsi="Arial" w:cs="Arial"/>
                                <w:i/>
                              </w:rPr>
                            </w:pPr>
                            <w:r>
                              <w:rPr>
                                <w:rFonts w:ascii="Arial" w:hAnsi="Arial" w:cs="Arial"/>
                                <w:i/>
                              </w:rPr>
                              <w:t>“[Sexual health education]’s</w:t>
                            </w:r>
                            <w:r w:rsidRPr="00467ECB">
                              <w:rPr>
                                <w:rFonts w:ascii="Arial" w:hAnsi="Arial" w:cs="Arial"/>
                                <w:i/>
                              </w:rPr>
                              <w:t xml:space="preserve"> super important because all student</w:t>
                            </w:r>
                            <w:r>
                              <w:rPr>
                                <w:rFonts w:ascii="Arial" w:hAnsi="Arial" w:cs="Arial"/>
                                <w:i/>
                              </w:rPr>
                              <w:t>s</w:t>
                            </w:r>
                            <w:r w:rsidRPr="00467ECB">
                              <w:rPr>
                                <w:rFonts w:ascii="Arial" w:hAnsi="Arial" w:cs="Arial"/>
                                <w:i/>
                              </w:rPr>
                              <w:t xml:space="preserve"> should have access to sexual education regardless of sexual orientation” </w:t>
                            </w:r>
                          </w:p>
                          <w:p w14:paraId="40BD300F" w14:textId="77777777" w:rsidR="00411ECA" w:rsidRPr="00467ECB" w:rsidRDefault="00411ECA">
                            <w:pPr>
                              <w:rPr>
                                <w:rFonts w:ascii="Arial" w:hAnsi="Arial" w:cs="Arial"/>
                              </w:rPr>
                            </w:pPr>
                            <w:r>
                              <w:rPr>
                                <w:rFonts w:ascii="Arial" w:hAnsi="Arial" w:cs="Arial"/>
                              </w:rPr>
                              <w:t>– H</w:t>
                            </w:r>
                            <w:r w:rsidRPr="00467ECB">
                              <w:rPr>
                                <w:rFonts w:ascii="Arial" w:hAnsi="Arial" w:cs="Arial"/>
                              </w:rPr>
                              <w:t>igh school student, GSA Leadership Council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2" o:spid="_x0000_s1038" type="#_x0000_t202" style="position:absolute;left:0;text-align:left;margin-left:1.05pt;margin-top:113.5pt;width:468.4pt;height:66.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" fillcolor="white [3201]" strokecolor="#ffbc37" strokeweight="1.5pt">
                <v:path arrowok="t"/>
                <v:textbox>
                  <w:txbxContent>
                    <w:p w14:paraId="5FBF1609" w14:textId="77777777" w:rsidR="00411ECA" w:rsidRPr="00467ECB" w:rsidRDefault="00411ECA" w:rsidP="00C84E4E">
                      <w:pPr>
                        <w:jc w:val="both"/>
                        <w:rPr>
                          <w:rFonts w:ascii="Arial" w:hAnsi="Arial" w:cs="Arial"/>
                          <w:i/>
                        </w:rPr>
                      </w:pPr>
                      <w:r>
                        <w:rPr>
                          <w:rFonts w:ascii="Arial" w:hAnsi="Arial" w:cs="Arial"/>
                          <w:i/>
                        </w:rPr>
                        <w:t>“[Sexual health education]’s</w:t>
                      </w:r>
                      <w:r w:rsidRPr="00467ECB">
                        <w:rPr>
                          <w:rFonts w:ascii="Arial" w:hAnsi="Arial" w:cs="Arial"/>
                          <w:i/>
                        </w:rPr>
                        <w:t xml:space="preserve"> super important because all student</w:t>
                      </w:r>
                      <w:r>
                        <w:rPr>
                          <w:rFonts w:ascii="Arial" w:hAnsi="Arial" w:cs="Arial"/>
                          <w:i/>
                        </w:rPr>
                        <w:t>s</w:t>
                      </w:r>
                      <w:r w:rsidRPr="00467ECB">
                        <w:rPr>
                          <w:rFonts w:ascii="Arial" w:hAnsi="Arial" w:cs="Arial"/>
                          <w:i/>
                        </w:rPr>
                        <w:t xml:space="preserve"> should have access to sexual education regardless of sexual orientation” </w:t>
                      </w:r>
                    </w:p>
                    <w:p w14:paraId="40BD300F" w14:textId="77777777" w:rsidR="00411ECA" w:rsidRPr="00467ECB" w:rsidRDefault="00411ECA">
                      <w:pPr>
                        <w:rPr>
                          <w:rFonts w:ascii="Arial" w:hAnsi="Arial" w:cs="Arial"/>
                        </w:rPr>
                      </w:pPr>
                      <w:r>
                        <w:rPr>
                          <w:rFonts w:ascii="Arial" w:hAnsi="Arial" w:cs="Arial"/>
                        </w:rPr>
                        <w:t>– H</w:t>
                      </w:r>
                      <w:r w:rsidRPr="00467ECB">
                        <w:rPr>
                          <w:rFonts w:ascii="Arial" w:hAnsi="Arial" w:cs="Arial"/>
                        </w:rPr>
                        <w:t>igh school student, GSA Leadership Council</w:t>
                      </w:r>
                    </w:p>
                  </w:txbxContent>
                </v:textbox>
                <w10:wrap type="square"/>
              </v:shape>
            </w:pict>
          </mc:Fallback>
        </mc:AlternateContent>
      </w:r>
    </w:p>
    <w:p w14:paraId="6557B8FC" w14:textId="77777777" w:rsidR="00CB053A" w:rsidRPr="00CB053A" w:rsidRDefault="00CB053A" w:rsidP="00961B5D">
      <w:pPr>
        <w:pStyle w:val="ListParagraph"/>
        <w:numPr>
          <w:ilvl w:val="0"/>
          <w:numId w:val="36"/>
        </w:numPr>
        <w:spacing w:after="0"/>
        <w:ind w:left="360"/>
        <w:jc w:val="both"/>
        <w:rPr>
          <w:rFonts w:ascii="Arial" w:hAnsi="Arial" w:cs="Arial"/>
          <w:b/>
          <w:color w:val="365F91" w:themeColor="accent1" w:themeShade="BF"/>
        </w:rPr>
      </w:pPr>
      <w:r w:rsidRPr="00CB053A">
        <w:rPr>
          <w:rFonts w:ascii="Arial" w:hAnsi="Arial" w:cs="Arial"/>
          <w:b/>
          <w:bCs/>
          <w:color w:val="365F91" w:themeColor="accent1" w:themeShade="BF"/>
        </w:rPr>
        <w:t>Continue DESE’s leadership on sexual health education in schools, including identifying new funding and leveraging existing resources to promote comprehensive, inclusive, and mandatory health education.</w:t>
      </w:r>
    </w:p>
    <w:p w14:paraId="716096CD" w14:textId="77777777" w:rsidR="00CB053A" w:rsidRDefault="00CB053A" w:rsidP="00CB053A">
      <w:pPr>
        <w:spacing w:after="0"/>
        <w:jc w:val="both"/>
        <w:rPr>
          <w:rFonts w:ascii="Arial" w:hAnsi="Arial" w:cs="Arial"/>
          <w:b/>
          <w:color w:val="365F91" w:themeColor="accent1" w:themeShade="BF"/>
        </w:rPr>
      </w:pPr>
    </w:p>
    <w:p w14:paraId="21862EF6" w14:textId="77777777" w:rsidR="00DD704C" w:rsidRPr="00DD704C" w:rsidRDefault="00DD704C" w:rsidP="00DD704C">
      <w:pPr>
        <w:spacing w:after="0"/>
        <w:jc w:val="both"/>
        <w:rPr>
          <w:rFonts w:ascii="Arial" w:hAnsi="Arial" w:cs="Arial"/>
        </w:rPr>
      </w:pPr>
      <w:r w:rsidRPr="00DD704C">
        <w:rPr>
          <w:rFonts w:ascii="Arial" w:hAnsi="Arial" w:cs="Arial"/>
        </w:rPr>
        <w:t xml:space="preserve">For several decades, DESE has had a cooperative agreement with the Centers for Disease Control (CDC) to promote adolescent sexual health. This agreement charged DESE with improving sexual health education, sexual health services, and safe and supportive environments. DESE provided funding and other support, statewide and in priority districts, with a particular emphasis on supporting LGBTQ students at the policy and programmatic levels. After many years of success, CDC has abruptly ended this funding which </w:t>
      </w:r>
      <w:r>
        <w:rPr>
          <w:rFonts w:ascii="Arial" w:hAnsi="Arial" w:cs="Arial"/>
        </w:rPr>
        <w:t>has</w:t>
      </w:r>
      <w:r w:rsidRPr="00DD704C">
        <w:rPr>
          <w:rFonts w:ascii="Arial" w:hAnsi="Arial" w:cs="Arial"/>
        </w:rPr>
        <w:t xml:space="preserve"> supported DESE staff and initiatives. </w:t>
      </w:r>
    </w:p>
    <w:p w14:paraId="33C449D7" w14:textId="77777777" w:rsidR="00DD704C" w:rsidRPr="00DD704C" w:rsidRDefault="00DD704C" w:rsidP="00DD704C">
      <w:pPr>
        <w:spacing w:after="0"/>
        <w:jc w:val="both"/>
        <w:rPr>
          <w:rFonts w:ascii="Arial" w:hAnsi="Arial" w:cs="Arial"/>
        </w:rPr>
      </w:pPr>
    </w:p>
    <w:p w14:paraId="0C5198F9" w14:textId="637BB20A" w:rsidR="00CB053A" w:rsidRDefault="009619C1" w:rsidP="00DD704C">
      <w:pPr>
        <w:spacing w:after="0"/>
        <w:jc w:val="both"/>
        <w:rPr>
          <w:rFonts w:ascii="Arial" w:hAnsi="Arial" w:cs="Arial"/>
        </w:rPr>
      </w:pPr>
      <w:r>
        <w:rPr>
          <w:rFonts w:ascii="Arial" w:hAnsi="Arial" w:cs="Arial"/>
          <w:noProof/>
        </w:rPr>
        <mc:AlternateContent>
          <mc:Choice Requires="wps">
            <w:drawing>
              <wp:anchor distT="0" distB="0" distL="114300" distR="114300" simplePos="0" relativeHeight="251692032" behindDoc="0" locked="0" layoutInCell="1" allowOverlap="1" wp14:anchorId="1A44A608" wp14:editId="5A8F691A">
                <wp:simplePos x="0" y="0"/>
                <wp:positionH relativeFrom="column">
                  <wp:posOffset>11430</wp:posOffset>
                </wp:positionH>
                <wp:positionV relativeFrom="paragraph">
                  <wp:posOffset>1303020</wp:posOffset>
                </wp:positionV>
                <wp:extent cx="5948680" cy="1234440"/>
                <wp:effectExtent l="0" t="0" r="13970" b="2286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8680" cy="1234440"/>
                        </a:xfrm>
                        <a:prstGeom prst="rect">
                          <a:avLst/>
                        </a:prstGeom>
                        <a:solidFill>
                          <a:schemeClr val="lt1"/>
                        </a:solidFill>
                        <a:ln w="19050">
                          <a:solidFill>
                            <a:srgbClr val="FFBC37"/>
                          </a:solidFill>
                        </a:ln>
                      </wps:spPr>
                      <wps:txbx>
                        <w:txbxContent>
                          <w:p w14:paraId="7FABFD63" w14:textId="77777777" w:rsidR="00411ECA" w:rsidRPr="0005733A" w:rsidRDefault="00411ECA" w:rsidP="00335AB1">
                            <w:pPr>
                              <w:spacing w:after="0"/>
                              <w:jc w:val="both"/>
                              <w:rPr>
                                <w:rFonts w:ascii="Arial" w:hAnsi="Arial" w:cs="Arial"/>
                                <w:i/>
                              </w:rPr>
                            </w:pPr>
                            <w:r w:rsidRPr="0005733A">
                              <w:rPr>
                                <w:rFonts w:ascii="Arial" w:hAnsi="Arial" w:cs="Arial"/>
                                <w:i/>
                              </w:rPr>
                              <w:t>“The education for LGBTQ issues is lacking at best. The information we receive in health classes is either overgeneralized or inaccurate. I remember in 10th grade I was essentially teaching my health class for my teacher because he just wasn't well educate</w:t>
                            </w:r>
                            <w:r>
                              <w:rPr>
                                <w:rFonts w:ascii="Arial" w:hAnsi="Arial" w:cs="Arial"/>
                                <w:i/>
                              </w:rPr>
                              <w:t>d on what he was talking about.”</w:t>
                            </w:r>
                          </w:p>
                          <w:p w14:paraId="0424AE50" w14:textId="77777777" w:rsidR="00411ECA" w:rsidRPr="007810C7" w:rsidRDefault="00411ECA" w:rsidP="00335AB1">
                            <w:pPr>
                              <w:spacing w:after="0"/>
                              <w:jc w:val="both"/>
                              <w:rPr>
                                <w:rFonts w:ascii="Arial" w:hAnsi="Arial" w:cs="Arial"/>
                              </w:rPr>
                            </w:pPr>
                          </w:p>
                          <w:p w14:paraId="0E3FE38B" w14:textId="77777777" w:rsidR="00411ECA" w:rsidRPr="007810C7" w:rsidRDefault="00411ECA" w:rsidP="00335AB1">
                            <w:pPr>
                              <w:spacing w:after="0"/>
                              <w:jc w:val="both"/>
                              <w:rPr>
                                <w:rFonts w:ascii="Arial" w:hAnsi="Arial" w:cs="Arial"/>
                              </w:rPr>
                            </w:pPr>
                            <w:r w:rsidRPr="007810C7">
                              <w:rPr>
                                <w:rFonts w:ascii="Arial" w:hAnsi="Arial" w:cs="Arial"/>
                              </w:rPr>
                              <w:t>– Student, Greater Boston</w:t>
                            </w:r>
                          </w:p>
                          <w:p w14:paraId="440912FA" w14:textId="77777777" w:rsidR="00411ECA" w:rsidRDefault="00411E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4" o:spid="_x0000_s1039" type="#_x0000_t202" style="position:absolute;left:0;text-align:left;margin-left:.9pt;margin-top:102.6pt;width:468.4pt;height:97.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" fillcolor="white [3201]" strokecolor="#ffbc37" strokeweight="1.5pt">
                <v:path arrowok="t"/>
                <v:textbox>
                  <w:txbxContent>
                    <w:p w14:paraId="7FABFD63" w14:textId="77777777" w:rsidR="00411ECA" w:rsidRPr="0005733A" w:rsidRDefault="00411ECA" w:rsidP="00335AB1">
                      <w:pPr>
                        <w:spacing w:after="0"/>
                        <w:jc w:val="both"/>
                        <w:rPr>
                          <w:rFonts w:ascii="Arial" w:hAnsi="Arial" w:cs="Arial"/>
                          <w:i/>
                        </w:rPr>
                      </w:pPr>
                      <w:r w:rsidRPr="0005733A">
                        <w:rPr>
                          <w:rFonts w:ascii="Arial" w:hAnsi="Arial" w:cs="Arial"/>
                          <w:i/>
                        </w:rPr>
                        <w:t>“The education for LGBTQ issues is lacking at best. The information we receive in health classes is either overgeneralized or inaccurate. I remember in 10th grade I was essentially teaching my health class for my teacher because he just wasn't well educate</w:t>
                      </w:r>
                      <w:r>
                        <w:rPr>
                          <w:rFonts w:ascii="Arial" w:hAnsi="Arial" w:cs="Arial"/>
                          <w:i/>
                        </w:rPr>
                        <w:t>d on what he was talking about.”</w:t>
                      </w:r>
                    </w:p>
                    <w:p w14:paraId="0424AE50" w14:textId="77777777" w:rsidR="00411ECA" w:rsidRPr="007810C7" w:rsidRDefault="00411ECA" w:rsidP="00335AB1">
                      <w:pPr>
                        <w:spacing w:after="0"/>
                        <w:jc w:val="both"/>
                        <w:rPr>
                          <w:rFonts w:ascii="Arial" w:hAnsi="Arial" w:cs="Arial"/>
                        </w:rPr>
                      </w:pPr>
                    </w:p>
                    <w:p w14:paraId="0E3FE38B" w14:textId="77777777" w:rsidR="00411ECA" w:rsidRPr="007810C7" w:rsidRDefault="00411ECA" w:rsidP="00335AB1">
                      <w:pPr>
                        <w:spacing w:after="0"/>
                        <w:jc w:val="both"/>
                        <w:rPr>
                          <w:rFonts w:ascii="Arial" w:hAnsi="Arial" w:cs="Arial"/>
                        </w:rPr>
                      </w:pPr>
                      <w:r w:rsidRPr="007810C7">
                        <w:rPr>
                          <w:rFonts w:ascii="Arial" w:hAnsi="Arial" w:cs="Arial"/>
                        </w:rPr>
                        <w:t>– Student, Greater Boston</w:t>
                      </w:r>
                    </w:p>
                    <w:p w14:paraId="440912FA" w14:textId="77777777" w:rsidR="00411ECA" w:rsidRDefault="00411ECA"/>
                  </w:txbxContent>
                </v:textbox>
                <w10:wrap type="square"/>
              </v:shape>
            </w:pict>
          </mc:Fallback>
        </mc:AlternateContent>
      </w:r>
      <w:r w:rsidR="00DD704C" w:rsidRPr="00DD704C">
        <w:rPr>
          <w:rFonts w:ascii="Arial" w:hAnsi="Arial" w:cs="Arial"/>
        </w:rPr>
        <w:t xml:space="preserve">Sexual health disparities for LGBTQ students remain significant, and sexually transmitted infection rates are on the rise at a time when sexual health education remains limited and inconsistent across the state. Therefore, the Commission recommends that DESE works to leverage existing funding sources </w:t>
      </w:r>
      <w:r w:rsidR="00BE6AE0">
        <w:rPr>
          <w:rFonts w:ascii="Arial" w:hAnsi="Arial" w:cs="Arial"/>
        </w:rPr>
        <w:t xml:space="preserve">and identify new </w:t>
      </w:r>
      <w:r w:rsidR="00AA245D">
        <w:rPr>
          <w:rFonts w:ascii="Arial" w:hAnsi="Arial" w:cs="Arial"/>
        </w:rPr>
        <w:t>resources</w:t>
      </w:r>
      <w:r w:rsidR="00BE6AE0">
        <w:rPr>
          <w:rFonts w:ascii="Arial" w:hAnsi="Arial" w:cs="Arial"/>
        </w:rPr>
        <w:t xml:space="preserve"> </w:t>
      </w:r>
      <w:r w:rsidR="00DD704C" w:rsidRPr="00DD704C">
        <w:rPr>
          <w:rFonts w:ascii="Arial" w:hAnsi="Arial" w:cs="Arial"/>
        </w:rPr>
        <w:t xml:space="preserve">to support comprehensive, LGBTQ-inclusive, and mandatory health education. This is in keeping with the Commission’s second health-related core recommendation on page </w:t>
      </w:r>
      <w:r w:rsidR="00C64403">
        <w:rPr>
          <w:rFonts w:ascii="Arial" w:hAnsi="Arial" w:cs="Arial"/>
        </w:rPr>
        <w:t>11</w:t>
      </w:r>
      <w:r w:rsidR="00DD704C" w:rsidRPr="00DD704C">
        <w:rPr>
          <w:rFonts w:ascii="Arial" w:hAnsi="Arial" w:cs="Arial"/>
        </w:rPr>
        <w:t>.</w:t>
      </w:r>
    </w:p>
    <w:p w14:paraId="31663018" w14:textId="77777777" w:rsidR="004D497B" w:rsidRPr="00DD704C" w:rsidRDefault="004D497B" w:rsidP="00DD704C">
      <w:pPr>
        <w:spacing w:after="0"/>
        <w:jc w:val="both"/>
        <w:rPr>
          <w:rFonts w:ascii="Arial" w:hAnsi="Arial" w:cs="Arial"/>
        </w:rPr>
      </w:pPr>
    </w:p>
    <w:p w14:paraId="384FE5EE" w14:textId="77777777" w:rsidR="00CB053A" w:rsidRPr="00CB053A" w:rsidRDefault="00CB053A" w:rsidP="00961B5D">
      <w:pPr>
        <w:pStyle w:val="ListParagraph"/>
        <w:numPr>
          <w:ilvl w:val="0"/>
          <w:numId w:val="36"/>
        </w:numPr>
        <w:spacing w:after="0"/>
        <w:ind w:left="360"/>
        <w:jc w:val="both"/>
        <w:rPr>
          <w:rFonts w:ascii="Arial" w:hAnsi="Arial" w:cs="Arial"/>
          <w:b/>
          <w:color w:val="365F91" w:themeColor="accent1" w:themeShade="BF"/>
        </w:rPr>
      </w:pPr>
      <w:r w:rsidRPr="00CB053A">
        <w:rPr>
          <w:rFonts w:ascii="Arial" w:hAnsi="Arial" w:cs="Arial"/>
          <w:b/>
          <w:bCs/>
          <w:color w:val="365F91" w:themeColor="accent1" w:themeShade="BF"/>
        </w:rPr>
        <w:lastRenderedPageBreak/>
        <w:t>Develop and model strategies for school districts to recruit and retain a diverse workforce that includes diversity in gender identity and sexual orientation.</w:t>
      </w:r>
    </w:p>
    <w:p w14:paraId="6C34B3CD" w14:textId="77777777" w:rsidR="00CB053A" w:rsidRDefault="00CB053A" w:rsidP="00CB053A">
      <w:pPr>
        <w:spacing w:after="0"/>
        <w:jc w:val="both"/>
        <w:rPr>
          <w:rFonts w:ascii="Arial" w:hAnsi="Arial" w:cs="Arial"/>
          <w:b/>
          <w:color w:val="365F91" w:themeColor="accent1" w:themeShade="BF"/>
        </w:rPr>
      </w:pPr>
    </w:p>
    <w:p w14:paraId="3CE29F3B" w14:textId="297C68DD" w:rsidR="00CB053A" w:rsidRPr="00DC01B6" w:rsidRDefault="00DC01B6" w:rsidP="00CB053A">
      <w:pPr>
        <w:spacing w:after="0"/>
        <w:jc w:val="both"/>
        <w:rPr>
          <w:rFonts w:ascii="Arial" w:hAnsi="Arial" w:cs="Arial"/>
        </w:rPr>
      </w:pPr>
      <w:r w:rsidRPr="00DC01B6">
        <w:rPr>
          <w:rFonts w:ascii="Arial" w:hAnsi="Arial" w:cs="Arial"/>
        </w:rPr>
        <w:t>DESE’s policy on LGBTQ students states, in part: “Schools are encouraged to have a diverse workforce. In order to provide authentic role models for all students, schools are encouraged to have diverse staff who reflect the protected categories in the Student Anti-discrimination Law, including gender identity and sexual orie</w:t>
      </w:r>
      <w:r>
        <w:rPr>
          <w:rFonts w:ascii="Arial" w:hAnsi="Arial" w:cs="Arial"/>
        </w:rPr>
        <w:t>ntation…</w:t>
      </w:r>
      <w:r w:rsidRPr="00DC01B6">
        <w:rPr>
          <w:rFonts w:ascii="Arial" w:hAnsi="Arial" w:cs="Arial"/>
        </w:rPr>
        <w:t xml:space="preserve"> </w:t>
      </w:r>
      <w:r>
        <w:rPr>
          <w:rFonts w:ascii="Arial" w:hAnsi="Arial" w:cs="Arial"/>
        </w:rPr>
        <w:t>[I]</w:t>
      </w:r>
      <w:r w:rsidRPr="00DC01B6">
        <w:rPr>
          <w:rFonts w:ascii="Arial" w:hAnsi="Arial" w:cs="Arial"/>
        </w:rPr>
        <w:t>t is important that school systems have work environments where openly LGBTQ staff members feel safe, supported, and valued.” The Commission recommends that DESE state clearly its commitment to foster a diverse workforce by supporting and valuing LGBTQ educators who are open about their identities, collecting relevant data and best practices,</w:t>
      </w:r>
      <w:r w:rsidR="004071C8">
        <w:rPr>
          <w:rFonts w:ascii="Arial" w:hAnsi="Arial" w:cs="Arial"/>
        </w:rPr>
        <w:t xml:space="preserve"> </w:t>
      </w:r>
      <w:r w:rsidRPr="00DC01B6">
        <w:rPr>
          <w:rFonts w:ascii="Arial" w:hAnsi="Arial" w:cs="Arial"/>
        </w:rPr>
        <w:t>determining areas to focus attention and resources</w:t>
      </w:r>
      <w:r w:rsidR="00AA245D">
        <w:rPr>
          <w:rFonts w:ascii="Arial" w:hAnsi="Arial" w:cs="Arial"/>
        </w:rPr>
        <w:t>,</w:t>
      </w:r>
      <w:r w:rsidR="004071C8">
        <w:rPr>
          <w:rFonts w:ascii="Arial" w:hAnsi="Arial" w:cs="Arial"/>
        </w:rPr>
        <w:t xml:space="preserve"> and modifying the Educator Licensure and Renewal (ELAR) system to include a</w:t>
      </w:r>
      <w:r w:rsidR="00AA245D">
        <w:rPr>
          <w:rFonts w:ascii="Arial" w:hAnsi="Arial" w:cs="Arial"/>
        </w:rPr>
        <w:t xml:space="preserve"> nonbinary</w:t>
      </w:r>
      <w:r w:rsidR="004071C8">
        <w:rPr>
          <w:rFonts w:ascii="Arial" w:hAnsi="Arial" w:cs="Arial"/>
        </w:rPr>
        <w:t xml:space="preserve"> gender marker</w:t>
      </w:r>
      <w:r w:rsidRPr="00DC01B6">
        <w:rPr>
          <w:rFonts w:ascii="Arial" w:hAnsi="Arial" w:cs="Arial"/>
        </w:rPr>
        <w:t xml:space="preserve">. The Commission’s second core recommendation on addressing discrimination and bias, on page </w:t>
      </w:r>
      <w:r w:rsidR="00C64403">
        <w:rPr>
          <w:rFonts w:ascii="Arial" w:hAnsi="Arial" w:cs="Arial"/>
        </w:rPr>
        <w:t>7</w:t>
      </w:r>
      <w:r w:rsidRPr="00DC01B6">
        <w:rPr>
          <w:rFonts w:ascii="Arial" w:hAnsi="Arial" w:cs="Arial"/>
        </w:rPr>
        <w:t xml:space="preserve"> above, provides further information on this matter, including reference to policy guidance issued by the Commission in respect to gender identity diversity in particular.</w:t>
      </w:r>
    </w:p>
    <w:p w14:paraId="5D0379AA" w14:textId="77777777" w:rsidR="00CB053A" w:rsidRPr="00CB053A" w:rsidRDefault="00CB053A" w:rsidP="00CB053A">
      <w:pPr>
        <w:spacing w:after="0"/>
        <w:jc w:val="both"/>
        <w:rPr>
          <w:rFonts w:ascii="Arial" w:hAnsi="Arial" w:cs="Arial"/>
          <w:b/>
          <w:color w:val="365F91" w:themeColor="accent1" w:themeShade="BF"/>
        </w:rPr>
      </w:pPr>
    </w:p>
    <w:p w14:paraId="695F69CA" w14:textId="77777777" w:rsidR="00CB053A" w:rsidRPr="00CB053A" w:rsidRDefault="00CB053A" w:rsidP="00961B5D">
      <w:pPr>
        <w:pStyle w:val="ListParagraph"/>
        <w:numPr>
          <w:ilvl w:val="0"/>
          <w:numId w:val="36"/>
        </w:numPr>
        <w:spacing w:after="0"/>
        <w:ind w:left="360"/>
        <w:jc w:val="both"/>
        <w:rPr>
          <w:rFonts w:ascii="Arial" w:hAnsi="Arial" w:cs="Arial"/>
          <w:b/>
          <w:color w:val="365F91" w:themeColor="accent1" w:themeShade="BF"/>
        </w:rPr>
      </w:pPr>
      <w:r w:rsidRPr="00CB053A">
        <w:rPr>
          <w:rFonts w:ascii="Arial" w:hAnsi="Arial" w:cs="Arial"/>
          <w:b/>
          <w:bCs/>
          <w:color w:val="365F91" w:themeColor="accent1" w:themeShade="BF"/>
        </w:rPr>
        <w:t>Investigate how LGBTQ students of color are affected by policies and practices that create barriers to a safe and successful learning experience, and develop strategies and interventions to address these barriers.</w:t>
      </w:r>
    </w:p>
    <w:p w14:paraId="0C6A4DF7" w14:textId="77777777" w:rsidR="007810C7" w:rsidRPr="007810C7" w:rsidRDefault="007810C7" w:rsidP="007810C7">
      <w:pPr>
        <w:spacing w:after="0"/>
        <w:jc w:val="both"/>
        <w:rPr>
          <w:rFonts w:ascii="Arial" w:hAnsi="Arial" w:cs="Arial"/>
        </w:rPr>
      </w:pPr>
    </w:p>
    <w:p w14:paraId="2D48D313" w14:textId="5E0014D6" w:rsidR="00335AB1" w:rsidRDefault="00AA245D" w:rsidP="007810C7">
      <w:pPr>
        <w:spacing w:after="0"/>
        <w:jc w:val="both"/>
        <w:rPr>
          <w:rFonts w:ascii="Arial" w:hAnsi="Arial" w:cs="Arial"/>
        </w:rPr>
      </w:pPr>
      <w:r>
        <w:rPr>
          <w:rFonts w:ascii="Arial" w:hAnsi="Arial" w:cs="Arial"/>
          <w:noProof/>
        </w:rPr>
        <mc:AlternateContent>
          <mc:Choice Requires="wps">
            <w:drawing>
              <wp:anchor distT="0" distB="0" distL="114300" distR="114300" simplePos="0" relativeHeight="251809792" behindDoc="0" locked="0" layoutInCell="1" allowOverlap="1" wp14:anchorId="56A22F96" wp14:editId="0E9DC719">
                <wp:simplePos x="0" y="0"/>
                <wp:positionH relativeFrom="column">
                  <wp:posOffset>16510</wp:posOffset>
                </wp:positionH>
                <wp:positionV relativeFrom="paragraph">
                  <wp:posOffset>3147060</wp:posOffset>
                </wp:positionV>
                <wp:extent cx="5948680" cy="1341755"/>
                <wp:effectExtent l="0" t="0" r="13970" b="10795"/>
                <wp:wrapSquare wrapText="bothSides"/>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8680" cy="1341755"/>
                        </a:xfrm>
                        <a:prstGeom prst="rect">
                          <a:avLst/>
                        </a:prstGeom>
                        <a:solidFill>
                          <a:schemeClr val="lt1"/>
                        </a:solidFill>
                        <a:ln w="19050">
                          <a:solidFill>
                            <a:srgbClr val="FFBC37"/>
                          </a:solidFill>
                        </a:ln>
                      </wps:spPr>
                      <wps:txbx>
                        <w:txbxContent>
                          <w:p w14:paraId="015A0430" w14:textId="77777777" w:rsidR="00411ECA" w:rsidRPr="00DD704C" w:rsidRDefault="00411ECA" w:rsidP="00C84E4E">
                            <w:pPr>
                              <w:jc w:val="both"/>
                              <w:rPr>
                                <w:rFonts w:ascii="Arial" w:hAnsi="Arial" w:cs="Arial"/>
                                <w:i/>
                              </w:rPr>
                            </w:pPr>
                            <w:r>
                              <w:rPr>
                                <w:rFonts w:ascii="Arial" w:hAnsi="Arial" w:cs="Arial"/>
                                <w:i/>
                              </w:rPr>
                              <w:t>“</w:t>
                            </w:r>
                            <w:r w:rsidRPr="00DD704C">
                              <w:rPr>
                                <w:rFonts w:ascii="Arial" w:hAnsi="Arial" w:cs="Arial"/>
                                <w:i/>
                              </w:rPr>
                              <w:t xml:space="preserve">I also get very stressed out at school because there's only one gender neutral restroom and it is </w:t>
                            </w:r>
                            <w:r>
                              <w:rPr>
                                <w:rFonts w:ascii="Arial" w:hAnsi="Arial" w:cs="Arial"/>
                                <w:i/>
                              </w:rPr>
                              <w:t xml:space="preserve">all the way on the first floor… </w:t>
                            </w:r>
                            <w:r w:rsidRPr="00DD704C">
                              <w:rPr>
                                <w:rFonts w:ascii="Arial" w:hAnsi="Arial" w:cs="Arial"/>
                                <w:i/>
                              </w:rPr>
                              <w:t xml:space="preserve">I'm trans </w:t>
                            </w:r>
                            <w:r>
                              <w:rPr>
                                <w:rFonts w:ascii="Arial" w:hAnsi="Arial" w:cs="Arial"/>
                                <w:i/>
                              </w:rPr>
                              <w:t>[male]</w:t>
                            </w:r>
                            <w:r w:rsidRPr="00DD704C">
                              <w:rPr>
                                <w:rFonts w:ascii="Arial" w:hAnsi="Arial" w:cs="Arial"/>
                                <w:i/>
                              </w:rPr>
                              <w:t>, but I'm far from passing. I can't go into the guys’ restroom because I don't look like a guy and I can't go into the girls’ because it's very uncomfortable for me and because most of my school knows I'm trans. Because of this I just refuse to use the restroom at school unless</w:t>
                            </w:r>
                            <w:r>
                              <w:rPr>
                                <w:rFonts w:ascii="Arial" w:hAnsi="Arial" w:cs="Arial"/>
                                <w:i/>
                              </w:rPr>
                              <w:t xml:space="preserve"> I'm already on the first floor</w:t>
                            </w:r>
                            <w:r w:rsidRPr="00DD704C">
                              <w:rPr>
                                <w:rFonts w:ascii="Arial" w:hAnsi="Arial" w:cs="Arial"/>
                                <w:i/>
                              </w:rPr>
                              <w:t>.”</w:t>
                            </w:r>
                          </w:p>
                          <w:p w14:paraId="755F6499" w14:textId="77777777" w:rsidR="00411ECA" w:rsidRPr="00DD704C" w:rsidRDefault="00411ECA" w:rsidP="00DD704C">
                            <w:pPr>
                              <w:rPr>
                                <w:rFonts w:ascii="Arial" w:hAnsi="Arial" w:cs="Arial"/>
                              </w:rPr>
                            </w:pPr>
                            <w:r w:rsidRPr="00DD704C">
                              <w:rPr>
                                <w:rFonts w:ascii="Arial" w:hAnsi="Arial" w:cs="Arial"/>
                              </w:rPr>
                              <w:t>– Student, Greater Boston</w:t>
                            </w:r>
                          </w:p>
                          <w:p w14:paraId="67A34681" w14:textId="77777777" w:rsidR="00411ECA" w:rsidRDefault="00411ECA" w:rsidP="00DD70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44" o:spid="_x0000_s1040" type="#_x0000_t202" style="position:absolute;left:0;text-align:left;margin-left:1.3pt;margin-top:247.8pt;width:468.4pt;height:105.6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" fillcolor="white [3201]" strokecolor="#ffbc37" strokeweight="1.5pt">
                <v:path arrowok="t"/>
                <v:textbox>
                  <w:txbxContent>
                    <w:p w14:paraId="015A0430" w14:textId="77777777" w:rsidR="00411ECA" w:rsidRPr="00DD704C" w:rsidRDefault="00411ECA" w:rsidP="00C84E4E">
                      <w:pPr>
                        <w:jc w:val="both"/>
                        <w:rPr>
                          <w:rFonts w:ascii="Arial" w:hAnsi="Arial" w:cs="Arial"/>
                          <w:i/>
                        </w:rPr>
                      </w:pPr>
                      <w:r>
                        <w:rPr>
                          <w:rFonts w:ascii="Arial" w:hAnsi="Arial" w:cs="Arial"/>
                          <w:i/>
                        </w:rPr>
                        <w:t>“</w:t>
                      </w:r>
                      <w:r w:rsidRPr="00DD704C">
                        <w:rPr>
                          <w:rFonts w:ascii="Arial" w:hAnsi="Arial" w:cs="Arial"/>
                          <w:i/>
                        </w:rPr>
                        <w:t xml:space="preserve">I also get very stressed out at school because there's only one gender neutral restroom and it is </w:t>
                      </w:r>
                      <w:r>
                        <w:rPr>
                          <w:rFonts w:ascii="Arial" w:hAnsi="Arial" w:cs="Arial"/>
                          <w:i/>
                        </w:rPr>
                        <w:t xml:space="preserve">all the way on the first floor… </w:t>
                      </w:r>
                      <w:r w:rsidRPr="00DD704C">
                        <w:rPr>
                          <w:rFonts w:ascii="Arial" w:hAnsi="Arial" w:cs="Arial"/>
                          <w:i/>
                        </w:rPr>
                        <w:t xml:space="preserve">I'm trans </w:t>
                      </w:r>
                      <w:r>
                        <w:rPr>
                          <w:rFonts w:ascii="Arial" w:hAnsi="Arial" w:cs="Arial"/>
                          <w:i/>
                        </w:rPr>
                        <w:t>[male]</w:t>
                      </w:r>
                      <w:r w:rsidRPr="00DD704C">
                        <w:rPr>
                          <w:rFonts w:ascii="Arial" w:hAnsi="Arial" w:cs="Arial"/>
                          <w:i/>
                        </w:rPr>
                        <w:t>, but I'm far from passing. I can't go into the guys’ restroom because I don't look like a guy and I can't go into the girls’ because it's very uncomfortable for me and because most of my school knows I'm trans. Because of this I just refuse to use the restroom at school unless</w:t>
                      </w:r>
                      <w:r>
                        <w:rPr>
                          <w:rFonts w:ascii="Arial" w:hAnsi="Arial" w:cs="Arial"/>
                          <w:i/>
                        </w:rPr>
                        <w:t xml:space="preserve"> I'm already on the first floor</w:t>
                      </w:r>
                      <w:r w:rsidRPr="00DD704C">
                        <w:rPr>
                          <w:rFonts w:ascii="Arial" w:hAnsi="Arial" w:cs="Arial"/>
                          <w:i/>
                        </w:rPr>
                        <w:t>.”</w:t>
                      </w:r>
                    </w:p>
                    <w:p w14:paraId="755F6499" w14:textId="77777777" w:rsidR="00411ECA" w:rsidRPr="00DD704C" w:rsidRDefault="00411ECA" w:rsidP="00DD704C">
                      <w:pPr>
                        <w:rPr>
                          <w:rFonts w:ascii="Arial" w:hAnsi="Arial" w:cs="Arial"/>
                        </w:rPr>
                      </w:pPr>
                      <w:r w:rsidRPr="00DD704C">
                        <w:rPr>
                          <w:rFonts w:ascii="Arial" w:hAnsi="Arial" w:cs="Arial"/>
                        </w:rPr>
                        <w:t>– Student, Greater Boston</w:t>
                      </w:r>
                    </w:p>
                    <w:p w14:paraId="67A34681" w14:textId="77777777" w:rsidR="00411ECA" w:rsidRDefault="00411ECA" w:rsidP="00DD704C"/>
                  </w:txbxContent>
                </v:textbox>
                <w10:wrap type="square"/>
              </v:shape>
            </w:pict>
          </mc:Fallback>
        </mc:AlternateContent>
      </w:r>
      <w:r w:rsidR="00DC01B6">
        <w:rPr>
          <w:rFonts w:ascii="Arial" w:hAnsi="Arial" w:cs="Arial"/>
        </w:rPr>
        <w:t>DESE’s policy on LGBTQ students states</w:t>
      </w:r>
      <w:r w:rsidR="00DC01B6" w:rsidRPr="00DC01B6">
        <w:rPr>
          <w:rFonts w:ascii="Arial" w:hAnsi="Arial" w:cs="Arial"/>
        </w:rPr>
        <w:t>, in part: “Schools are encouraged to review academic and non-academic policies and procedures, and available data, to identify issues or patterns that may create barriers to a safe and successful learning experience for LGBTQ students.</w:t>
      </w:r>
      <w:r w:rsidR="00DC01B6">
        <w:rPr>
          <w:rFonts w:ascii="Arial" w:hAnsi="Arial" w:cs="Arial"/>
        </w:rPr>
        <w:t xml:space="preserve"> </w:t>
      </w:r>
      <w:r w:rsidR="00DC01B6" w:rsidRPr="00DC01B6">
        <w:rPr>
          <w:rFonts w:ascii="Arial" w:hAnsi="Arial" w:cs="Arial"/>
        </w:rPr>
        <w:t>LGBTQ youth are frequently cited as being disproportionately at risk for experiencing bullying, truancy, violence, substance use, unaccompanied homelessness, discipline treatment, and involvement with the juvenile justice system. Schools are encouraged to analyze available attendance, suspension, expulsion, bullying, and school climate data to identify and address patterns and barriers that may exist for LGBTQ students, and to promote practices that improve their attendance and participation in school.”</w:t>
      </w:r>
      <w:r w:rsidR="00DC01B6">
        <w:rPr>
          <w:rStyle w:val="EndnoteReference"/>
          <w:rFonts w:ascii="Arial" w:hAnsi="Arial" w:cs="Arial"/>
        </w:rPr>
        <w:endnoteReference w:id="170"/>
      </w:r>
      <w:r>
        <w:rPr>
          <w:rFonts w:ascii="Arial" w:hAnsi="Arial" w:cs="Arial"/>
        </w:rPr>
        <w:t xml:space="preserve"> </w:t>
      </w:r>
      <w:r w:rsidR="00DC01B6" w:rsidRPr="00DC01B6">
        <w:rPr>
          <w:rFonts w:ascii="Arial" w:hAnsi="Arial" w:cs="Arial"/>
        </w:rPr>
        <w:t>The Commission recommends that DESE investigate how LGBTQ students of color and those with intersecting marginalized identities are affected by policies and practices that create barriers to a safe and successful learning experience, and develop trauma-informed strategies and interventions to address these barriers</w:t>
      </w:r>
      <w:r w:rsidR="00E22499">
        <w:rPr>
          <w:rFonts w:ascii="Arial" w:hAnsi="Arial" w:cs="Arial"/>
        </w:rPr>
        <w:t xml:space="preserve">. This could include </w:t>
      </w:r>
      <w:r w:rsidR="00DC01B6" w:rsidRPr="00DC01B6">
        <w:rPr>
          <w:rFonts w:ascii="Arial" w:hAnsi="Arial" w:cs="Arial"/>
        </w:rPr>
        <w:t xml:space="preserve">collecting and analyzing disciplinary data as it relates to </w:t>
      </w:r>
      <w:r>
        <w:rPr>
          <w:rFonts w:ascii="Arial" w:hAnsi="Arial" w:cs="Arial"/>
        </w:rPr>
        <w:t xml:space="preserve">factors like </w:t>
      </w:r>
      <w:r w:rsidR="00DC01B6" w:rsidRPr="00DC01B6">
        <w:rPr>
          <w:rFonts w:ascii="Arial" w:hAnsi="Arial" w:cs="Arial"/>
        </w:rPr>
        <w:t xml:space="preserve">sexual orientation, gender identity, race, </w:t>
      </w:r>
      <w:r>
        <w:rPr>
          <w:rFonts w:ascii="Arial" w:hAnsi="Arial" w:cs="Arial"/>
        </w:rPr>
        <w:t xml:space="preserve">and </w:t>
      </w:r>
      <w:r w:rsidR="00DC01B6" w:rsidRPr="00DC01B6">
        <w:rPr>
          <w:rFonts w:ascii="Arial" w:hAnsi="Arial" w:cs="Arial"/>
        </w:rPr>
        <w:t>disability</w:t>
      </w:r>
      <w:r>
        <w:rPr>
          <w:rFonts w:ascii="Arial" w:hAnsi="Arial" w:cs="Arial"/>
        </w:rPr>
        <w:t>, as well as</w:t>
      </w:r>
      <w:r w:rsidR="00DC01B6" w:rsidRPr="00DC01B6">
        <w:rPr>
          <w:rFonts w:ascii="Arial" w:hAnsi="Arial" w:cs="Arial"/>
        </w:rPr>
        <w:t xml:space="preserve"> training for school resource officers, administrators, and counselors in accordance with the Commission’s third core recommendation on criminal justice</w:t>
      </w:r>
      <w:r>
        <w:rPr>
          <w:rFonts w:ascii="Arial" w:hAnsi="Arial" w:cs="Arial"/>
        </w:rPr>
        <w:t xml:space="preserve"> </w:t>
      </w:r>
      <w:r w:rsidR="00DC01B6" w:rsidRPr="00DC01B6">
        <w:rPr>
          <w:rFonts w:ascii="Arial" w:hAnsi="Arial" w:cs="Arial"/>
        </w:rPr>
        <w:t xml:space="preserve">at page </w:t>
      </w:r>
      <w:r w:rsidR="00C64403">
        <w:rPr>
          <w:rFonts w:ascii="Arial" w:hAnsi="Arial" w:cs="Arial"/>
        </w:rPr>
        <w:t>10</w:t>
      </w:r>
      <w:r>
        <w:rPr>
          <w:rFonts w:ascii="Arial" w:hAnsi="Arial" w:cs="Arial"/>
        </w:rPr>
        <w:t>.</w:t>
      </w:r>
    </w:p>
    <w:p w14:paraId="5DD64E33" w14:textId="77777777" w:rsidR="00D31C14" w:rsidRPr="00D31C14" w:rsidRDefault="00D31C14" w:rsidP="00D80888">
      <w:pPr>
        <w:pStyle w:val="Heading2"/>
      </w:pPr>
      <w:bookmarkStart w:id="31" w:name="_Toc512947909"/>
      <w:r>
        <w:lastRenderedPageBreak/>
        <w:t>Department of Higher Education</w:t>
      </w:r>
      <w:bookmarkEnd w:id="31"/>
    </w:p>
    <w:p w14:paraId="0182F39E" w14:textId="77777777" w:rsidR="00D31C14" w:rsidRPr="00D31C14" w:rsidRDefault="00F30878" w:rsidP="00D31C14">
      <w:pPr>
        <w:spacing w:after="0"/>
        <w:jc w:val="both"/>
        <w:rPr>
          <w:rFonts w:ascii="Arial" w:hAnsi="Arial" w:cs="Arial"/>
        </w:rPr>
      </w:pPr>
      <w:r>
        <w:rPr>
          <w:noProof/>
        </w:rPr>
        <w:drawing>
          <wp:anchor distT="0" distB="0" distL="114300" distR="114300" simplePos="0" relativeHeight="251758592" behindDoc="1" locked="0" layoutInCell="0" allowOverlap="1" wp14:anchorId="27086D8D" wp14:editId="095F8ED2">
            <wp:simplePos x="0" y="0"/>
            <wp:positionH relativeFrom="page">
              <wp:posOffset>927735</wp:posOffset>
            </wp:positionH>
            <wp:positionV relativeFrom="page">
              <wp:posOffset>1146175</wp:posOffset>
            </wp:positionV>
            <wp:extent cx="5980430" cy="18415"/>
            <wp:effectExtent l="0" t="0" r="1270" b="635"/>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anchor>
        </w:drawing>
      </w:r>
    </w:p>
    <w:p w14:paraId="17C895E5" w14:textId="77777777" w:rsidR="00F30878" w:rsidRDefault="00F30878" w:rsidP="00F30878">
      <w:pPr>
        <w:spacing w:after="0"/>
        <w:jc w:val="center"/>
        <w:rPr>
          <w:rFonts w:ascii="Arial" w:hAnsi="Arial" w:cs="Arial"/>
          <w:b/>
          <w:u w:val="single"/>
        </w:rPr>
      </w:pPr>
    </w:p>
    <w:p w14:paraId="052B2D17" w14:textId="77777777" w:rsidR="00D31C14" w:rsidRPr="00F30878" w:rsidRDefault="009F6A54" w:rsidP="00F30878">
      <w:pPr>
        <w:spacing w:after="0"/>
        <w:jc w:val="center"/>
        <w:rPr>
          <w:rFonts w:ascii="Arial" w:hAnsi="Arial" w:cs="Arial"/>
          <w:b/>
          <w:u w:val="single"/>
        </w:rPr>
      </w:pPr>
      <w:r w:rsidRPr="00F30878">
        <w:rPr>
          <w:rFonts w:ascii="Arial" w:hAnsi="Arial" w:cs="Arial"/>
          <w:b/>
          <w:u w:val="single"/>
        </w:rPr>
        <w:t>FY19</w:t>
      </w:r>
      <w:r w:rsidR="00D31C14" w:rsidRPr="00F30878">
        <w:rPr>
          <w:rFonts w:ascii="Arial" w:hAnsi="Arial" w:cs="Arial"/>
          <w:b/>
          <w:u w:val="single"/>
        </w:rPr>
        <w:t xml:space="preserve"> RECOMMENDATIONS</w:t>
      </w:r>
    </w:p>
    <w:p w14:paraId="646D817D" w14:textId="77777777" w:rsidR="00D31C14" w:rsidRPr="00D31C14" w:rsidRDefault="00D31C14" w:rsidP="00D31C14">
      <w:pPr>
        <w:spacing w:after="0"/>
        <w:jc w:val="both"/>
        <w:rPr>
          <w:rFonts w:ascii="Arial" w:hAnsi="Arial" w:cs="Arial"/>
        </w:rPr>
      </w:pPr>
    </w:p>
    <w:p w14:paraId="580D8E75" w14:textId="77777777" w:rsidR="009F6A54" w:rsidRPr="00F30878" w:rsidRDefault="009F6A54" w:rsidP="00961B5D">
      <w:pPr>
        <w:pStyle w:val="ListParagraph"/>
        <w:numPr>
          <w:ilvl w:val="0"/>
          <w:numId w:val="2"/>
        </w:numPr>
        <w:spacing w:after="0"/>
        <w:jc w:val="both"/>
        <w:rPr>
          <w:rFonts w:ascii="Arial" w:hAnsi="Arial" w:cs="Arial"/>
          <w:b/>
          <w:color w:val="365F91" w:themeColor="accent1" w:themeShade="BF"/>
        </w:rPr>
      </w:pPr>
      <w:r w:rsidRPr="00F30878">
        <w:rPr>
          <w:rFonts w:ascii="Arial" w:hAnsi="Arial" w:cs="Arial"/>
          <w:b/>
          <w:color w:val="365F91" w:themeColor="accent1" w:themeShade="BF"/>
        </w:rPr>
        <w:t>Establish a liaison to the Commission.</w:t>
      </w:r>
    </w:p>
    <w:p w14:paraId="1B1F1232" w14:textId="77777777" w:rsidR="00D31C14" w:rsidRPr="00F30878" w:rsidRDefault="00D31C14" w:rsidP="00961B5D">
      <w:pPr>
        <w:pStyle w:val="ListParagraph"/>
        <w:numPr>
          <w:ilvl w:val="0"/>
          <w:numId w:val="2"/>
        </w:numPr>
        <w:spacing w:after="0"/>
        <w:jc w:val="both"/>
        <w:rPr>
          <w:rFonts w:ascii="Arial" w:hAnsi="Arial" w:cs="Arial"/>
          <w:b/>
          <w:color w:val="365F91" w:themeColor="accent1" w:themeShade="BF"/>
        </w:rPr>
      </w:pPr>
      <w:r w:rsidRPr="00F30878">
        <w:rPr>
          <w:rFonts w:ascii="Arial" w:hAnsi="Arial" w:cs="Arial"/>
          <w:b/>
          <w:color w:val="365F91" w:themeColor="accent1" w:themeShade="BF"/>
        </w:rPr>
        <w:t xml:space="preserve">Encourage public and private </w:t>
      </w:r>
      <w:r w:rsidR="009F6A54" w:rsidRPr="00F30878">
        <w:rPr>
          <w:rFonts w:ascii="Arial" w:hAnsi="Arial" w:cs="Arial"/>
          <w:b/>
          <w:color w:val="365F91" w:themeColor="accent1" w:themeShade="BF"/>
        </w:rPr>
        <w:t>higher education institutions to</w:t>
      </w:r>
      <w:r w:rsidRPr="00F30878">
        <w:rPr>
          <w:rFonts w:ascii="Arial" w:hAnsi="Arial" w:cs="Arial"/>
          <w:b/>
          <w:color w:val="365F91" w:themeColor="accent1" w:themeShade="BF"/>
        </w:rPr>
        <w:t xml:space="preserve"> enact anti-discrimination policies and best practices that include sex, gender identity, gender expression, and sexual orientation to be in compliance with the Attorney General’s Guide to Civil Rights in Schools. </w:t>
      </w:r>
    </w:p>
    <w:p w14:paraId="1209CD07" w14:textId="77777777" w:rsidR="00D31C14" w:rsidRPr="00F30878" w:rsidRDefault="00D31C14" w:rsidP="00961B5D">
      <w:pPr>
        <w:pStyle w:val="ListParagraph"/>
        <w:numPr>
          <w:ilvl w:val="0"/>
          <w:numId w:val="2"/>
        </w:numPr>
        <w:spacing w:after="0"/>
        <w:jc w:val="both"/>
        <w:rPr>
          <w:rFonts w:ascii="Arial" w:hAnsi="Arial" w:cs="Arial"/>
          <w:b/>
          <w:color w:val="365F91" w:themeColor="accent1" w:themeShade="BF"/>
        </w:rPr>
      </w:pPr>
      <w:r w:rsidRPr="00F30878">
        <w:rPr>
          <w:rFonts w:ascii="Arial" w:hAnsi="Arial" w:cs="Arial"/>
          <w:b/>
          <w:color w:val="365F91" w:themeColor="accent1" w:themeShade="BF"/>
        </w:rPr>
        <w:t xml:space="preserve">Continue to support quantitative and qualitative data collection measures within the public higher education system to address potential inequities in sexual violence occurrence among LGBTQ students versus their non-LGBTQ counterparts. </w:t>
      </w:r>
    </w:p>
    <w:p w14:paraId="1D0B3640" w14:textId="77777777" w:rsidR="00D31C14" w:rsidRPr="00D31C14" w:rsidRDefault="00D31C14" w:rsidP="00D31C14">
      <w:pPr>
        <w:spacing w:after="0"/>
        <w:jc w:val="both"/>
        <w:rPr>
          <w:rFonts w:ascii="Arial" w:hAnsi="Arial" w:cs="Arial"/>
        </w:rPr>
      </w:pPr>
    </w:p>
    <w:p w14:paraId="522CEB46" w14:textId="7C3A8367" w:rsidR="00E233AB" w:rsidRPr="00E233AB" w:rsidRDefault="009619C1" w:rsidP="00D31C14">
      <w:pPr>
        <w:spacing w:after="0"/>
        <w:jc w:val="both"/>
        <w:rPr>
          <w:rFonts w:ascii="Arial" w:hAnsi="Arial" w:cs="Arial"/>
        </w:rPr>
      </w:pPr>
      <w:r>
        <w:rPr>
          <w:rFonts w:ascii="Arial" w:hAnsi="Arial" w:cs="Arial"/>
          <w:noProof/>
        </w:rPr>
        <mc:AlternateContent>
          <mc:Choice Requires="wps">
            <w:drawing>
              <wp:anchor distT="0" distB="0" distL="114300" distR="114300" simplePos="0" relativeHeight="251695104" behindDoc="0" locked="0" layoutInCell="1" allowOverlap="1" wp14:anchorId="31F6C48A" wp14:editId="704AAF78">
                <wp:simplePos x="0" y="0"/>
                <wp:positionH relativeFrom="column">
                  <wp:posOffset>10795</wp:posOffset>
                </wp:positionH>
                <wp:positionV relativeFrom="paragraph">
                  <wp:posOffset>50165</wp:posOffset>
                </wp:positionV>
                <wp:extent cx="5937885" cy="1256030"/>
                <wp:effectExtent l="0" t="0" r="24765" b="2032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7885" cy="1256030"/>
                        </a:xfrm>
                        <a:prstGeom prst="rect">
                          <a:avLst/>
                        </a:prstGeom>
                        <a:solidFill>
                          <a:schemeClr val="lt1"/>
                        </a:solidFill>
                        <a:ln w="19050">
                          <a:solidFill>
                            <a:srgbClr val="FFBC37"/>
                          </a:solidFill>
                        </a:ln>
                      </wps:spPr>
                      <wps:txbx>
                        <w:txbxContent>
                          <w:p w14:paraId="639A53E2" w14:textId="77777777" w:rsidR="00411ECA" w:rsidRPr="00D31C14" w:rsidRDefault="00411ECA" w:rsidP="00E233AB">
                            <w:pPr>
                              <w:spacing w:after="0"/>
                              <w:jc w:val="both"/>
                              <w:rPr>
                                <w:rFonts w:ascii="Arial" w:hAnsi="Arial" w:cs="Arial"/>
                                <w:i/>
                              </w:rPr>
                            </w:pPr>
                            <w:r w:rsidRPr="00D31C14">
                              <w:rPr>
                                <w:rFonts w:ascii="Arial" w:hAnsi="Arial" w:cs="Arial"/>
                                <w:i/>
                              </w:rPr>
                              <w:t>“It is mostly accepted and comforting, but going to a small university, there are some stifling situations where many people choose to be closeted. I would like more visibility of LGBTQ+ inclusion as many areas are inclusive yet some individuals who are new to the area for college still hold prejudices.”</w:t>
                            </w:r>
                          </w:p>
                          <w:p w14:paraId="3290FC9D" w14:textId="77777777" w:rsidR="00411ECA" w:rsidRPr="00D31C14" w:rsidRDefault="00411ECA" w:rsidP="00E233AB">
                            <w:pPr>
                              <w:spacing w:after="0"/>
                              <w:jc w:val="both"/>
                              <w:rPr>
                                <w:rFonts w:ascii="Arial" w:hAnsi="Arial" w:cs="Arial"/>
                              </w:rPr>
                            </w:pPr>
                          </w:p>
                          <w:p w14:paraId="7F37E202" w14:textId="77777777" w:rsidR="00411ECA" w:rsidRPr="00D31C14" w:rsidRDefault="00411ECA" w:rsidP="00E233AB">
                            <w:pPr>
                              <w:spacing w:after="0"/>
                              <w:jc w:val="both"/>
                              <w:rPr>
                                <w:rFonts w:ascii="Arial" w:hAnsi="Arial" w:cs="Arial"/>
                              </w:rPr>
                            </w:pPr>
                            <w:r w:rsidRPr="00D31C14">
                              <w:rPr>
                                <w:rFonts w:ascii="Arial" w:hAnsi="Arial" w:cs="Arial"/>
                              </w:rPr>
                              <w:t>– College Student, Greater Boston</w:t>
                            </w:r>
                          </w:p>
                          <w:p w14:paraId="1DE651CD" w14:textId="77777777" w:rsidR="00411ECA" w:rsidRDefault="00411E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7" o:spid="_x0000_s1041" type="#_x0000_t202" style="position:absolute;left:0;text-align:left;margin-left:.85pt;margin-top:3.95pt;width:467.55pt;height:98.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" fillcolor="white [3201]" strokecolor="#ffbc37" strokeweight="1.5pt">
                <v:path arrowok="t"/>
                <v:textbox>
                  <w:txbxContent>
                    <w:p w14:paraId="639A53E2" w14:textId="77777777" w:rsidR="00411ECA" w:rsidRPr="00D31C14" w:rsidRDefault="00411ECA" w:rsidP="00E233AB">
                      <w:pPr>
                        <w:spacing w:after="0"/>
                        <w:jc w:val="both"/>
                        <w:rPr>
                          <w:rFonts w:ascii="Arial" w:hAnsi="Arial" w:cs="Arial"/>
                          <w:i/>
                        </w:rPr>
                      </w:pPr>
                      <w:r w:rsidRPr="00D31C14">
                        <w:rPr>
                          <w:rFonts w:ascii="Arial" w:hAnsi="Arial" w:cs="Arial"/>
                          <w:i/>
                        </w:rPr>
                        <w:t>“It is mostly accepted and comforting, but going to a small university, there are some stifling situations where many people choose to be closeted. I would like more visibility of LGBTQ+ inclusion as many areas are inclusive yet some individuals who are new to the area for college still hold prejudices.”</w:t>
                      </w:r>
                    </w:p>
                    <w:p w14:paraId="3290FC9D" w14:textId="77777777" w:rsidR="00411ECA" w:rsidRPr="00D31C14" w:rsidRDefault="00411ECA" w:rsidP="00E233AB">
                      <w:pPr>
                        <w:spacing w:after="0"/>
                        <w:jc w:val="both"/>
                        <w:rPr>
                          <w:rFonts w:ascii="Arial" w:hAnsi="Arial" w:cs="Arial"/>
                        </w:rPr>
                      </w:pPr>
                    </w:p>
                    <w:p w14:paraId="7F37E202" w14:textId="77777777" w:rsidR="00411ECA" w:rsidRPr="00D31C14" w:rsidRDefault="00411ECA" w:rsidP="00E233AB">
                      <w:pPr>
                        <w:spacing w:after="0"/>
                        <w:jc w:val="both"/>
                        <w:rPr>
                          <w:rFonts w:ascii="Arial" w:hAnsi="Arial" w:cs="Arial"/>
                        </w:rPr>
                      </w:pPr>
                      <w:r w:rsidRPr="00D31C14">
                        <w:rPr>
                          <w:rFonts w:ascii="Arial" w:hAnsi="Arial" w:cs="Arial"/>
                        </w:rPr>
                        <w:t>– College Student, Greater Boston</w:t>
                      </w:r>
                    </w:p>
                    <w:p w14:paraId="1DE651CD" w14:textId="77777777" w:rsidR="00411ECA" w:rsidRDefault="00411ECA"/>
                  </w:txbxContent>
                </v:textbox>
              </v:shape>
            </w:pict>
          </mc:Fallback>
        </mc:AlternateContent>
      </w:r>
    </w:p>
    <w:p w14:paraId="204AB4D9" w14:textId="77777777" w:rsidR="00E233AB" w:rsidRDefault="00E233AB" w:rsidP="00D31C14">
      <w:pPr>
        <w:spacing w:after="0"/>
        <w:jc w:val="both"/>
        <w:rPr>
          <w:rFonts w:ascii="Arial" w:hAnsi="Arial" w:cs="Arial"/>
          <w:i/>
        </w:rPr>
      </w:pPr>
    </w:p>
    <w:p w14:paraId="6D08A931" w14:textId="77777777" w:rsidR="00E233AB" w:rsidRDefault="00E233AB" w:rsidP="00D31C14">
      <w:pPr>
        <w:spacing w:after="0"/>
        <w:jc w:val="both"/>
        <w:rPr>
          <w:rFonts w:ascii="Arial" w:hAnsi="Arial" w:cs="Arial"/>
          <w:i/>
        </w:rPr>
      </w:pPr>
    </w:p>
    <w:p w14:paraId="004FBE22" w14:textId="77777777" w:rsidR="00E233AB" w:rsidRDefault="00E233AB" w:rsidP="00D31C14">
      <w:pPr>
        <w:spacing w:after="0"/>
        <w:jc w:val="both"/>
        <w:rPr>
          <w:rFonts w:ascii="Arial" w:hAnsi="Arial" w:cs="Arial"/>
          <w:i/>
        </w:rPr>
      </w:pPr>
    </w:p>
    <w:p w14:paraId="0E3DBF40" w14:textId="77777777" w:rsidR="00E233AB" w:rsidRDefault="00E233AB" w:rsidP="00D31C14">
      <w:pPr>
        <w:spacing w:after="0"/>
        <w:jc w:val="both"/>
        <w:rPr>
          <w:rFonts w:ascii="Arial" w:hAnsi="Arial" w:cs="Arial"/>
          <w:i/>
        </w:rPr>
      </w:pPr>
    </w:p>
    <w:p w14:paraId="71DEA3C2" w14:textId="77777777" w:rsidR="00E233AB" w:rsidRDefault="00E233AB" w:rsidP="00D31C14">
      <w:pPr>
        <w:spacing w:after="0"/>
        <w:jc w:val="both"/>
        <w:rPr>
          <w:rFonts w:ascii="Arial" w:hAnsi="Arial" w:cs="Arial"/>
          <w:i/>
        </w:rPr>
      </w:pPr>
    </w:p>
    <w:p w14:paraId="053D49D0" w14:textId="77777777" w:rsidR="00E233AB" w:rsidRDefault="00E233AB" w:rsidP="00D31C14">
      <w:pPr>
        <w:spacing w:after="0"/>
        <w:jc w:val="both"/>
        <w:rPr>
          <w:rFonts w:ascii="Arial" w:hAnsi="Arial" w:cs="Arial"/>
          <w:i/>
        </w:rPr>
      </w:pPr>
    </w:p>
    <w:p w14:paraId="1B4571AE" w14:textId="77777777" w:rsidR="00D31C14" w:rsidRDefault="00D31C14" w:rsidP="00D31C14">
      <w:pPr>
        <w:spacing w:after="0"/>
        <w:jc w:val="both"/>
        <w:rPr>
          <w:rFonts w:ascii="Arial" w:hAnsi="Arial" w:cs="Arial"/>
        </w:rPr>
      </w:pPr>
    </w:p>
    <w:p w14:paraId="5226CDC4" w14:textId="77777777" w:rsidR="00A2496E" w:rsidRPr="00D31C14" w:rsidRDefault="00A2496E" w:rsidP="00D31C14">
      <w:pPr>
        <w:spacing w:after="0"/>
        <w:jc w:val="both"/>
        <w:rPr>
          <w:rFonts w:ascii="Arial" w:hAnsi="Arial" w:cs="Arial"/>
        </w:rPr>
      </w:pPr>
    </w:p>
    <w:p w14:paraId="35B0C2D4" w14:textId="77777777" w:rsidR="00D31C14" w:rsidRPr="00F30878" w:rsidRDefault="00D31C14" w:rsidP="00F30878">
      <w:pPr>
        <w:spacing w:after="0"/>
        <w:jc w:val="center"/>
        <w:rPr>
          <w:rFonts w:ascii="Arial" w:hAnsi="Arial" w:cs="Arial"/>
          <w:b/>
          <w:u w:val="single"/>
        </w:rPr>
      </w:pPr>
      <w:r w:rsidRPr="00F30878">
        <w:rPr>
          <w:rFonts w:ascii="Arial" w:hAnsi="Arial" w:cs="Arial"/>
          <w:b/>
          <w:u w:val="single"/>
        </w:rPr>
        <w:t>BACKGROUND &amp; RESEARCH</w:t>
      </w:r>
    </w:p>
    <w:p w14:paraId="592F04B3" w14:textId="77777777" w:rsidR="00D31C14" w:rsidRDefault="00D31C14" w:rsidP="00D31C14">
      <w:pPr>
        <w:spacing w:after="0"/>
        <w:jc w:val="both"/>
        <w:rPr>
          <w:rFonts w:ascii="Arial" w:hAnsi="Arial" w:cs="Arial"/>
        </w:rPr>
      </w:pPr>
      <w:r>
        <w:rPr>
          <w:rFonts w:ascii="Arial" w:hAnsi="Arial" w:cs="Arial"/>
        </w:rPr>
        <w:t xml:space="preserve"> </w:t>
      </w:r>
    </w:p>
    <w:p w14:paraId="7BD41E04" w14:textId="77777777" w:rsidR="009F6A54" w:rsidRDefault="009F6A54" w:rsidP="00D31C14">
      <w:pPr>
        <w:spacing w:after="0"/>
        <w:jc w:val="both"/>
        <w:rPr>
          <w:rFonts w:ascii="Arial" w:hAnsi="Arial" w:cs="Arial"/>
        </w:rPr>
      </w:pPr>
      <w:r w:rsidRPr="009F6A54">
        <w:rPr>
          <w:rFonts w:ascii="Arial" w:hAnsi="Arial" w:cs="Arial"/>
        </w:rPr>
        <w:t xml:space="preserve">The Department of Higher Education (DHE) offers vital educational opportunities to nearly 300,000 students at fifteen community colleges, nine state universities, and the five campuses of the University of Massachusetts. DHE seeks to provide accessible and relevant programs that meet the changing individual and societal needs for education and employment in the Commonwealth. The Commission </w:t>
      </w:r>
      <w:r>
        <w:rPr>
          <w:rFonts w:ascii="Arial" w:hAnsi="Arial" w:cs="Arial"/>
        </w:rPr>
        <w:t xml:space="preserve">began </w:t>
      </w:r>
      <w:r w:rsidRPr="009F6A54">
        <w:rPr>
          <w:rFonts w:ascii="Arial" w:hAnsi="Arial" w:cs="Arial"/>
        </w:rPr>
        <w:t xml:space="preserve">meeting with DHE </w:t>
      </w:r>
      <w:r>
        <w:rPr>
          <w:rFonts w:ascii="Arial" w:hAnsi="Arial" w:cs="Arial"/>
        </w:rPr>
        <w:t>in</w:t>
      </w:r>
      <w:r w:rsidRPr="009F6A54">
        <w:rPr>
          <w:rFonts w:ascii="Arial" w:hAnsi="Arial" w:cs="Arial"/>
        </w:rPr>
        <w:t xml:space="preserve"> 2013 to promote inclusive and welcoming campus climates and to improve educational outcomes for LGBTQ students at the collegiate level. </w:t>
      </w:r>
      <w:r>
        <w:rPr>
          <w:rFonts w:ascii="Arial" w:hAnsi="Arial" w:cs="Arial"/>
        </w:rPr>
        <w:t>Through</w:t>
      </w:r>
      <w:r w:rsidRPr="009F6A54">
        <w:rPr>
          <w:rFonts w:ascii="Arial" w:hAnsi="Arial" w:cs="Arial"/>
        </w:rPr>
        <w:t xml:space="preserve"> our work together, DHE has ensured that state campuses consider LGBTQ identities in model guidance and best practices</w:t>
      </w:r>
      <w:r>
        <w:rPr>
          <w:rFonts w:ascii="Arial" w:hAnsi="Arial" w:cs="Arial"/>
        </w:rPr>
        <w:t xml:space="preserve">, </w:t>
      </w:r>
      <w:r w:rsidRPr="009F6A54">
        <w:rPr>
          <w:rFonts w:ascii="Arial" w:hAnsi="Arial" w:cs="Arial"/>
        </w:rPr>
        <w:t xml:space="preserve">has updated its campus safety and violence prevention regulations, and has committed to ensuring the protection </w:t>
      </w:r>
      <w:r>
        <w:rPr>
          <w:rFonts w:ascii="Arial" w:hAnsi="Arial" w:cs="Arial"/>
        </w:rPr>
        <w:t>LGBTQ students and students of color.</w:t>
      </w:r>
    </w:p>
    <w:p w14:paraId="13907B3D" w14:textId="77777777" w:rsidR="009F6A54" w:rsidRPr="00D31C14" w:rsidRDefault="009F6A54" w:rsidP="00D31C14">
      <w:pPr>
        <w:spacing w:after="0"/>
        <w:jc w:val="both"/>
        <w:rPr>
          <w:rFonts w:ascii="Arial" w:hAnsi="Arial" w:cs="Arial"/>
        </w:rPr>
      </w:pPr>
    </w:p>
    <w:p w14:paraId="28D48956" w14:textId="77777777" w:rsidR="00A2496E" w:rsidRDefault="00D31C14" w:rsidP="00D31C14">
      <w:pPr>
        <w:spacing w:after="0"/>
        <w:jc w:val="both"/>
        <w:rPr>
          <w:rFonts w:ascii="Arial" w:hAnsi="Arial" w:cs="Arial"/>
        </w:rPr>
      </w:pPr>
      <w:r w:rsidRPr="00D31C14">
        <w:rPr>
          <w:rFonts w:ascii="Arial" w:hAnsi="Arial" w:cs="Arial"/>
        </w:rPr>
        <w:t xml:space="preserve">While there is limited information regarding the experience and outcomes of LGBTQ students in public university and college campuses across the country, including in Massachusetts, national research suggests that LGBTQ college students face barriers to access and achievement in higher education programs. Despite the existence of inclusive anti-discrimination policies at some institutions, many LGBTQ students and staff members face harassment or feel pressured to hide their sexual orientation or gender identity on campus. Indeed, the harassment and discrimination that many LGBTQ high school students experience continues beyond secondary </w:t>
      </w:r>
    </w:p>
    <w:p w14:paraId="7CA5683A" w14:textId="77777777" w:rsidR="00A2496E" w:rsidRDefault="00A2496E">
      <w:pPr>
        <w:rPr>
          <w:rFonts w:ascii="Arial" w:hAnsi="Arial" w:cs="Arial"/>
        </w:rPr>
      </w:pPr>
      <w:r>
        <w:rPr>
          <w:rFonts w:ascii="Arial" w:hAnsi="Arial" w:cs="Arial"/>
        </w:rPr>
        <w:br w:type="page"/>
      </w:r>
    </w:p>
    <w:p w14:paraId="709C7DEA" w14:textId="77777777" w:rsidR="00D31C14" w:rsidRPr="00D31C14" w:rsidRDefault="00D31C14" w:rsidP="00D31C14">
      <w:pPr>
        <w:spacing w:after="0"/>
        <w:jc w:val="both"/>
        <w:rPr>
          <w:rFonts w:ascii="Arial" w:hAnsi="Arial" w:cs="Arial"/>
        </w:rPr>
      </w:pPr>
      <w:r w:rsidRPr="00D31C14">
        <w:rPr>
          <w:rFonts w:ascii="Arial" w:hAnsi="Arial" w:cs="Arial"/>
        </w:rPr>
        <w:lastRenderedPageBreak/>
        <w:t>school and into higher education. A report by Campus Pride</w:t>
      </w:r>
      <w:r w:rsidR="00343416">
        <w:rPr>
          <w:rFonts w:ascii="Arial" w:hAnsi="Arial" w:cs="Arial"/>
        </w:rPr>
        <w:t>, an organization that rates universities and colleges based on LGBTQ inclusion,</w:t>
      </w:r>
      <w:r w:rsidRPr="00D31C14">
        <w:rPr>
          <w:rFonts w:ascii="Arial" w:hAnsi="Arial" w:cs="Arial"/>
        </w:rPr>
        <w:t xml:space="preserve"> indicates that LGBTQ individuals are significantly more likely to experience harassment on campus comp</w:t>
      </w:r>
      <w:r>
        <w:rPr>
          <w:rFonts w:ascii="Arial" w:hAnsi="Arial" w:cs="Arial"/>
        </w:rPr>
        <w:t>ared to their non-LGBTQ peers.</w:t>
      </w:r>
      <w:r>
        <w:rPr>
          <w:rStyle w:val="EndnoteReference"/>
          <w:rFonts w:ascii="Arial" w:hAnsi="Arial" w:cs="Arial"/>
        </w:rPr>
        <w:endnoteReference w:id="171"/>
      </w:r>
      <w:r w:rsidRPr="00D31C14">
        <w:rPr>
          <w:rFonts w:ascii="Arial" w:hAnsi="Arial" w:cs="Arial"/>
        </w:rPr>
        <w:t xml:space="preserve"> Harassment based on sexual orientation or gender identity may also intersect with racial bias, resulting in even higher levels of harassment for LGBTQ students of color i</w:t>
      </w:r>
      <w:r>
        <w:rPr>
          <w:rFonts w:ascii="Arial" w:hAnsi="Arial" w:cs="Arial"/>
        </w:rPr>
        <w:t>n higher educational settings.</w:t>
      </w:r>
      <w:r>
        <w:rPr>
          <w:rStyle w:val="EndnoteReference"/>
          <w:rFonts w:ascii="Arial" w:hAnsi="Arial" w:cs="Arial"/>
        </w:rPr>
        <w:endnoteReference w:id="172"/>
      </w:r>
      <w:r w:rsidRPr="00D31C14">
        <w:rPr>
          <w:rFonts w:ascii="Arial" w:hAnsi="Arial" w:cs="Arial"/>
        </w:rPr>
        <w:t xml:space="preserve"> </w:t>
      </w:r>
      <w:r w:rsidR="00343416">
        <w:rPr>
          <w:rFonts w:ascii="Arial" w:hAnsi="Arial" w:cs="Arial"/>
        </w:rPr>
        <w:t>F</w:t>
      </w:r>
      <w:r w:rsidRPr="00D31C14">
        <w:rPr>
          <w:rFonts w:ascii="Arial" w:hAnsi="Arial" w:cs="Arial"/>
        </w:rPr>
        <w:t xml:space="preserve">our of </w:t>
      </w:r>
      <w:r w:rsidR="00343416">
        <w:rPr>
          <w:rFonts w:ascii="Arial" w:hAnsi="Arial" w:cs="Arial"/>
        </w:rPr>
        <w:t>Massachusetts’s</w:t>
      </w:r>
      <w:r w:rsidRPr="00D31C14">
        <w:rPr>
          <w:rFonts w:ascii="Arial" w:hAnsi="Arial" w:cs="Arial"/>
        </w:rPr>
        <w:t xml:space="preserve"> 29 public </w:t>
      </w:r>
      <w:r w:rsidR="00343416">
        <w:rPr>
          <w:rFonts w:ascii="Arial" w:hAnsi="Arial" w:cs="Arial"/>
        </w:rPr>
        <w:t xml:space="preserve">colleges and universities </w:t>
      </w:r>
      <w:r w:rsidRPr="00D31C14">
        <w:rPr>
          <w:rFonts w:ascii="Arial" w:hAnsi="Arial" w:cs="Arial"/>
        </w:rPr>
        <w:t xml:space="preserve">are listed on </w:t>
      </w:r>
      <w:r w:rsidR="00343416">
        <w:rPr>
          <w:rFonts w:ascii="Arial" w:hAnsi="Arial" w:cs="Arial"/>
        </w:rPr>
        <w:t>the national Campus Pride index,</w:t>
      </w:r>
      <w:r w:rsidRPr="00D31C14">
        <w:rPr>
          <w:rFonts w:ascii="Arial" w:hAnsi="Arial" w:cs="Arial"/>
        </w:rPr>
        <w:t xml:space="preserve"> where Salem S</w:t>
      </w:r>
      <w:r w:rsidR="003C1A45">
        <w:rPr>
          <w:rFonts w:ascii="Arial" w:hAnsi="Arial" w:cs="Arial"/>
        </w:rPr>
        <w:t>tate University</w:t>
      </w:r>
      <w:r w:rsidR="003C1A45">
        <w:rPr>
          <w:rStyle w:val="EndnoteReference"/>
          <w:rFonts w:ascii="Arial" w:hAnsi="Arial" w:cs="Arial"/>
        </w:rPr>
        <w:endnoteReference w:id="173"/>
      </w:r>
      <w:r w:rsidR="003C1A45">
        <w:rPr>
          <w:rFonts w:ascii="Arial" w:hAnsi="Arial" w:cs="Arial"/>
        </w:rPr>
        <w:t xml:space="preserve"> and UMass Dartmouth</w:t>
      </w:r>
      <w:r w:rsidR="003C1A45">
        <w:rPr>
          <w:rStyle w:val="EndnoteReference"/>
          <w:rFonts w:ascii="Arial" w:hAnsi="Arial" w:cs="Arial"/>
        </w:rPr>
        <w:endnoteReference w:id="174"/>
      </w:r>
      <w:r w:rsidRPr="00D31C14">
        <w:rPr>
          <w:rFonts w:ascii="Arial" w:hAnsi="Arial" w:cs="Arial"/>
        </w:rPr>
        <w:t xml:space="preserve"> both earned a three star rating</w:t>
      </w:r>
      <w:r w:rsidR="00343416">
        <w:rPr>
          <w:rFonts w:ascii="Arial" w:hAnsi="Arial" w:cs="Arial"/>
        </w:rPr>
        <w:t>,</w:t>
      </w:r>
      <w:r w:rsidR="003C1A45">
        <w:rPr>
          <w:rFonts w:ascii="Arial" w:hAnsi="Arial" w:cs="Arial"/>
        </w:rPr>
        <w:t xml:space="preserve"> Bridgewater State University</w:t>
      </w:r>
      <w:r w:rsidR="003C1A45">
        <w:rPr>
          <w:rStyle w:val="EndnoteReference"/>
          <w:rFonts w:ascii="Arial" w:hAnsi="Arial" w:cs="Arial"/>
        </w:rPr>
        <w:endnoteReference w:id="175"/>
      </w:r>
      <w:r w:rsidRPr="00D31C14">
        <w:rPr>
          <w:rFonts w:ascii="Arial" w:hAnsi="Arial" w:cs="Arial"/>
        </w:rPr>
        <w:t xml:space="preserve"> earned a four </w:t>
      </w:r>
      <w:r w:rsidR="003C1A45">
        <w:rPr>
          <w:rFonts w:ascii="Arial" w:hAnsi="Arial" w:cs="Arial"/>
        </w:rPr>
        <w:t>star rating</w:t>
      </w:r>
      <w:r w:rsidR="00343416">
        <w:rPr>
          <w:rFonts w:ascii="Arial" w:hAnsi="Arial" w:cs="Arial"/>
        </w:rPr>
        <w:t>,</w:t>
      </w:r>
      <w:r w:rsidR="003C1A45">
        <w:rPr>
          <w:rFonts w:ascii="Arial" w:hAnsi="Arial" w:cs="Arial"/>
        </w:rPr>
        <w:t xml:space="preserve"> and UMass Amherst</w:t>
      </w:r>
      <w:r w:rsidR="003C1A45">
        <w:rPr>
          <w:rStyle w:val="EndnoteReference"/>
          <w:rFonts w:ascii="Arial" w:hAnsi="Arial" w:cs="Arial"/>
        </w:rPr>
        <w:endnoteReference w:id="176"/>
      </w:r>
      <w:r w:rsidRPr="00D31C14">
        <w:rPr>
          <w:rFonts w:ascii="Arial" w:hAnsi="Arial" w:cs="Arial"/>
        </w:rPr>
        <w:t xml:space="preserve"> </w:t>
      </w:r>
      <w:r w:rsidR="00343416">
        <w:rPr>
          <w:rFonts w:ascii="Arial" w:hAnsi="Arial" w:cs="Arial"/>
        </w:rPr>
        <w:t>earned a</w:t>
      </w:r>
      <w:r w:rsidRPr="00D31C14">
        <w:rPr>
          <w:rFonts w:ascii="Arial" w:hAnsi="Arial" w:cs="Arial"/>
        </w:rPr>
        <w:t xml:space="preserve"> five star rating. The Campus Pride Index issues each campus a rating out of five stars that is determined by the existence of and commitment to forms of LGBTQ student inclusion such as inclusion policies, institutional support, academic life, housing and residence life, student life, campus safety, counseling and health, and LGBTQ recru</w:t>
      </w:r>
      <w:r w:rsidR="003C1A45">
        <w:rPr>
          <w:rFonts w:ascii="Arial" w:hAnsi="Arial" w:cs="Arial"/>
        </w:rPr>
        <w:t xml:space="preserve">itment and </w:t>
      </w:r>
      <w:r w:rsidR="00457F0F">
        <w:rPr>
          <w:rFonts w:ascii="Arial" w:hAnsi="Arial" w:cs="Arial"/>
        </w:rPr>
        <w:t>retention</w:t>
      </w:r>
      <w:r w:rsidR="003C1A45">
        <w:rPr>
          <w:rFonts w:ascii="Arial" w:hAnsi="Arial" w:cs="Arial"/>
        </w:rPr>
        <w:t xml:space="preserve"> efforts.</w:t>
      </w:r>
      <w:r w:rsidR="003C1A45">
        <w:rPr>
          <w:rStyle w:val="EndnoteReference"/>
          <w:rFonts w:ascii="Arial" w:hAnsi="Arial" w:cs="Arial"/>
        </w:rPr>
        <w:endnoteReference w:id="177"/>
      </w:r>
    </w:p>
    <w:p w14:paraId="3E977C29" w14:textId="77777777" w:rsidR="00D31C14" w:rsidRPr="00D31C14" w:rsidRDefault="00D31C14" w:rsidP="00D31C14">
      <w:pPr>
        <w:spacing w:after="0"/>
        <w:jc w:val="both"/>
        <w:rPr>
          <w:rFonts w:ascii="Arial" w:hAnsi="Arial" w:cs="Arial"/>
        </w:rPr>
      </w:pPr>
    </w:p>
    <w:p w14:paraId="5482F800" w14:textId="77777777" w:rsidR="00D31C14" w:rsidRPr="00D31C14" w:rsidRDefault="00D31C14" w:rsidP="00D31C14">
      <w:pPr>
        <w:spacing w:after="0"/>
        <w:jc w:val="both"/>
        <w:rPr>
          <w:rFonts w:ascii="Arial" w:hAnsi="Arial" w:cs="Arial"/>
        </w:rPr>
      </w:pPr>
      <w:r w:rsidRPr="00D31C14">
        <w:rPr>
          <w:rFonts w:ascii="Arial" w:hAnsi="Arial" w:cs="Arial"/>
        </w:rPr>
        <w:t xml:space="preserve">Stress and concerns induced by anti-LGBTQ campus climate, whether through lack of support or targeted acts of hate, can interfere with the education of LGBTQ students. The Commission </w:t>
      </w:r>
      <w:r w:rsidR="00BB2B2D">
        <w:rPr>
          <w:rFonts w:ascii="Arial" w:hAnsi="Arial" w:cs="Arial"/>
        </w:rPr>
        <w:t>surveyed</w:t>
      </w:r>
      <w:r w:rsidRPr="00D31C14">
        <w:rPr>
          <w:rFonts w:ascii="Arial" w:hAnsi="Arial" w:cs="Arial"/>
        </w:rPr>
        <w:t xml:space="preserve"> students and campus professionals in 2015 </w:t>
      </w:r>
      <w:r w:rsidR="00BB2B2D">
        <w:rPr>
          <w:rFonts w:ascii="Arial" w:hAnsi="Arial" w:cs="Arial"/>
        </w:rPr>
        <w:t xml:space="preserve">and found </w:t>
      </w:r>
      <w:r w:rsidR="003C1A45">
        <w:rPr>
          <w:rFonts w:ascii="Arial" w:hAnsi="Arial" w:cs="Arial"/>
        </w:rPr>
        <w:t xml:space="preserve">that LGBTQ college students are </w:t>
      </w:r>
      <w:r w:rsidRPr="00D31C14">
        <w:rPr>
          <w:rFonts w:ascii="Arial" w:hAnsi="Arial" w:cs="Arial"/>
        </w:rPr>
        <w:t xml:space="preserve">more likely to consider withdrawing from their institution and more likely to fear for their physical safety on campus than their non-LGBTQ peers. Additionally, LGBTQ students often feel that their public college or university does not provide adequate resources on LGBTQ issues or respond appropriately to incidents of harassment on campus. </w:t>
      </w:r>
      <w:r w:rsidR="00BB2B2D">
        <w:rPr>
          <w:rFonts w:ascii="Arial" w:hAnsi="Arial" w:cs="Arial"/>
        </w:rPr>
        <w:t>The Commission is</w:t>
      </w:r>
      <w:r w:rsidRPr="00D31C14">
        <w:rPr>
          <w:rFonts w:ascii="Arial" w:hAnsi="Arial" w:cs="Arial"/>
        </w:rPr>
        <w:t xml:space="preserve"> particularly concerned that this is the reality on some public campuses, especially at community colleges where limited resources exist for student services.</w:t>
      </w:r>
    </w:p>
    <w:p w14:paraId="3F71004D" w14:textId="77777777" w:rsidR="00D31C14" w:rsidRPr="00D31C14" w:rsidRDefault="00D31C14" w:rsidP="00D31C14">
      <w:pPr>
        <w:spacing w:after="0"/>
        <w:jc w:val="both"/>
        <w:rPr>
          <w:rFonts w:ascii="Arial" w:hAnsi="Arial" w:cs="Arial"/>
        </w:rPr>
      </w:pPr>
    </w:p>
    <w:p w14:paraId="6D255DD1" w14:textId="77777777" w:rsidR="009F6A54" w:rsidRDefault="00D31C14" w:rsidP="00D31C14">
      <w:pPr>
        <w:spacing w:after="0"/>
        <w:jc w:val="both"/>
        <w:rPr>
          <w:rFonts w:ascii="Arial" w:hAnsi="Arial" w:cs="Arial"/>
        </w:rPr>
      </w:pPr>
      <w:r w:rsidRPr="00D31C14">
        <w:rPr>
          <w:rFonts w:ascii="Arial" w:hAnsi="Arial" w:cs="Arial"/>
        </w:rPr>
        <w:t>Finally, sexual violence is pervasive on college campuses across the country. For instance, a survey of Minnesota college students found that 12 percent of bisexual students, 7 percent of gay and lesbian students, and 3.3 percent of heterosexual students reported a se</w:t>
      </w:r>
      <w:r w:rsidR="003C1A45">
        <w:rPr>
          <w:rFonts w:ascii="Arial" w:hAnsi="Arial" w:cs="Arial"/>
        </w:rPr>
        <w:t>xual assault in the past year.</w:t>
      </w:r>
      <w:r w:rsidR="003C1A45">
        <w:rPr>
          <w:rStyle w:val="EndnoteReference"/>
          <w:rFonts w:ascii="Arial" w:hAnsi="Arial" w:cs="Arial"/>
        </w:rPr>
        <w:endnoteReference w:id="178"/>
      </w:r>
      <w:r w:rsidRPr="00D31C14">
        <w:rPr>
          <w:rFonts w:ascii="Arial" w:hAnsi="Arial" w:cs="Arial"/>
        </w:rPr>
        <w:t xml:space="preserve"> The same study found that 47 percent of bisexual college students, 33 percent of gay and lesbian students, and 17 percent of heterosexual students reported one or more incidents of sexual assault in their lifetime.</w:t>
      </w:r>
      <w:r w:rsidR="009F6A54">
        <w:rPr>
          <w:rStyle w:val="EndnoteReference"/>
          <w:rFonts w:ascii="Arial" w:hAnsi="Arial" w:cs="Arial"/>
        </w:rPr>
        <w:endnoteReference w:id="179"/>
      </w:r>
      <w:r w:rsidR="009F6A54">
        <w:rPr>
          <w:rFonts w:ascii="Arial" w:hAnsi="Arial" w:cs="Arial"/>
        </w:rPr>
        <w:t xml:space="preserve"> LGBTQ students are already more likely to begin higher education having been exposed to unwanted sexual contact, with</w:t>
      </w:r>
      <w:r w:rsidR="00480249">
        <w:rPr>
          <w:rFonts w:ascii="Arial" w:hAnsi="Arial" w:cs="Arial"/>
        </w:rPr>
        <w:t xml:space="preserve"> 21.8% LGBTQ </w:t>
      </w:r>
      <w:r w:rsidR="009F6A54">
        <w:rPr>
          <w:rFonts w:ascii="Arial" w:hAnsi="Arial" w:cs="Arial"/>
        </w:rPr>
        <w:t>s</w:t>
      </w:r>
      <w:r w:rsidR="00480249">
        <w:rPr>
          <w:rFonts w:ascii="Arial" w:hAnsi="Arial" w:cs="Arial"/>
        </w:rPr>
        <w:t xml:space="preserve">tudents </w:t>
      </w:r>
      <w:r w:rsidR="009F6A54">
        <w:rPr>
          <w:rFonts w:ascii="Arial" w:hAnsi="Arial" w:cs="Arial"/>
        </w:rPr>
        <w:t xml:space="preserve">in Massachusetts reporting such an experience compared to </w:t>
      </w:r>
      <w:r w:rsidR="00480249">
        <w:rPr>
          <w:rFonts w:ascii="Arial" w:hAnsi="Arial" w:cs="Arial"/>
        </w:rPr>
        <w:t xml:space="preserve">7.4% of </w:t>
      </w:r>
      <w:r w:rsidR="009F6A54">
        <w:rPr>
          <w:rFonts w:ascii="Arial" w:hAnsi="Arial" w:cs="Arial"/>
        </w:rPr>
        <w:t>their non-LGBTQ peers.</w:t>
      </w:r>
      <w:r w:rsidR="00480249">
        <w:rPr>
          <w:rStyle w:val="EndnoteReference"/>
          <w:rFonts w:ascii="Arial" w:hAnsi="Arial" w:cs="Arial"/>
        </w:rPr>
        <w:endnoteReference w:id="180"/>
      </w:r>
    </w:p>
    <w:p w14:paraId="4D8CFE94" w14:textId="77777777" w:rsidR="009F6A54" w:rsidRDefault="009F6A54" w:rsidP="00D31C14">
      <w:pPr>
        <w:spacing w:after="0"/>
        <w:jc w:val="both"/>
        <w:rPr>
          <w:rFonts w:ascii="Arial" w:hAnsi="Arial" w:cs="Arial"/>
        </w:rPr>
      </w:pPr>
    </w:p>
    <w:p w14:paraId="350F6416" w14:textId="77777777" w:rsidR="00D31C14" w:rsidRPr="00D31C14" w:rsidRDefault="00D31C14" w:rsidP="00D31C14">
      <w:pPr>
        <w:spacing w:after="0"/>
        <w:jc w:val="both"/>
        <w:rPr>
          <w:rFonts w:ascii="Arial" w:hAnsi="Arial" w:cs="Arial"/>
        </w:rPr>
      </w:pPr>
      <w:r w:rsidRPr="00D31C14">
        <w:rPr>
          <w:rFonts w:ascii="Arial" w:hAnsi="Arial" w:cs="Arial"/>
        </w:rPr>
        <w:t xml:space="preserve">LGBTQ students interact with every facet of the higher education system. Best practices in policies related to housing, bias incident reporting protocols, health services, health insurance plans, and changing identity documents are increasingly addressing LGBTQ student needs on campuses nationwide, and </w:t>
      </w:r>
      <w:r w:rsidR="00BB2B2D">
        <w:rPr>
          <w:rFonts w:ascii="Arial" w:hAnsi="Arial" w:cs="Arial"/>
        </w:rPr>
        <w:t>the Commission is</w:t>
      </w:r>
      <w:r w:rsidRPr="00D31C14">
        <w:rPr>
          <w:rFonts w:ascii="Arial" w:hAnsi="Arial" w:cs="Arial"/>
        </w:rPr>
        <w:t xml:space="preserve"> eager to work with DHE to ensure that our public campuses have access to the resources they need to develop the internal policies, procedures, and best practices necessary for our campuses to exceed national standards for LGBTQ student support.</w:t>
      </w:r>
    </w:p>
    <w:p w14:paraId="2A7F5E2F" w14:textId="77777777" w:rsidR="00D31C14" w:rsidRPr="00D31C14" w:rsidRDefault="00D31C14" w:rsidP="00D31C14">
      <w:pPr>
        <w:spacing w:after="0"/>
        <w:jc w:val="both"/>
        <w:rPr>
          <w:rFonts w:ascii="Arial" w:hAnsi="Arial" w:cs="Arial"/>
        </w:rPr>
      </w:pPr>
    </w:p>
    <w:p w14:paraId="734D01C5" w14:textId="77777777" w:rsidR="00A2496E" w:rsidRDefault="00A2496E">
      <w:pPr>
        <w:rPr>
          <w:rFonts w:ascii="Arial" w:hAnsi="Arial" w:cs="Arial"/>
          <w:b/>
          <w:u w:val="single"/>
        </w:rPr>
      </w:pPr>
      <w:r>
        <w:rPr>
          <w:rFonts w:ascii="Arial" w:hAnsi="Arial" w:cs="Arial"/>
          <w:b/>
          <w:u w:val="single"/>
        </w:rPr>
        <w:br w:type="page"/>
      </w:r>
    </w:p>
    <w:p w14:paraId="6C49D474" w14:textId="77777777" w:rsidR="00D31C14" w:rsidRPr="00F30878" w:rsidRDefault="00D31C14" w:rsidP="00F30878">
      <w:pPr>
        <w:spacing w:after="0"/>
        <w:jc w:val="center"/>
        <w:rPr>
          <w:rFonts w:ascii="Arial" w:hAnsi="Arial" w:cs="Arial"/>
          <w:b/>
          <w:u w:val="single"/>
        </w:rPr>
      </w:pPr>
      <w:r w:rsidRPr="00F30878">
        <w:rPr>
          <w:rFonts w:ascii="Arial" w:hAnsi="Arial" w:cs="Arial"/>
          <w:b/>
          <w:u w:val="single"/>
        </w:rPr>
        <w:lastRenderedPageBreak/>
        <w:t>EXPANDED RECOMMENDATIONS</w:t>
      </w:r>
    </w:p>
    <w:p w14:paraId="676869F0" w14:textId="77777777" w:rsidR="007810C7" w:rsidRDefault="007810C7" w:rsidP="00F37FB7">
      <w:pPr>
        <w:spacing w:after="0"/>
        <w:jc w:val="both"/>
        <w:rPr>
          <w:rFonts w:ascii="Arial" w:hAnsi="Arial" w:cs="Arial"/>
        </w:rPr>
      </w:pPr>
    </w:p>
    <w:p w14:paraId="2BB50982" w14:textId="77777777" w:rsidR="009F6A54" w:rsidRPr="00F30878" w:rsidRDefault="009F6A54" w:rsidP="00961B5D">
      <w:pPr>
        <w:pStyle w:val="ListParagraph"/>
        <w:numPr>
          <w:ilvl w:val="0"/>
          <w:numId w:val="32"/>
        </w:numPr>
        <w:spacing w:after="0"/>
        <w:jc w:val="both"/>
        <w:rPr>
          <w:rFonts w:ascii="Arial" w:hAnsi="Arial" w:cs="Arial"/>
          <w:b/>
          <w:color w:val="365F91" w:themeColor="accent1" w:themeShade="BF"/>
        </w:rPr>
      </w:pPr>
      <w:r w:rsidRPr="00F30878">
        <w:rPr>
          <w:rFonts w:ascii="Arial" w:hAnsi="Arial" w:cs="Arial"/>
          <w:b/>
          <w:color w:val="365F91" w:themeColor="accent1" w:themeShade="BF"/>
        </w:rPr>
        <w:t>Establish a liaison to the Commission.</w:t>
      </w:r>
    </w:p>
    <w:p w14:paraId="5B3A9A97" w14:textId="77777777" w:rsidR="009F6A54" w:rsidRDefault="009F6A54" w:rsidP="009F6A54">
      <w:pPr>
        <w:spacing w:after="0"/>
        <w:jc w:val="both"/>
        <w:rPr>
          <w:rFonts w:ascii="Arial" w:hAnsi="Arial" w:cs="Arial"/>
        </w:rPr>
      </w:pPr>
    </w:p>
    <w:p w14:paraId="72496EF1" w14:textId="77777777" w:rsidR="009F6A54" w:rsidRDefault="009F6A54" w:rsidP="009F6A54">
      <w:pPr>
        <w:spacing w:after="0"/>
        <w:jc w:val="both"/>
        <w:rPr>
          <w:rFonts w:ascii="Arial" w:hAnsi="Arial" w:cs="Arial"/>
        </w:rPr>
      </w:pPr>
      <w:r>
        <w:rPr>
          <w:rFonts w:ascii="Arial" w:hAnsi="Arial" w:cs="Arial"/>
        </w:rPr>
        <w:t xml:space="preserve">The Commission’s work largely relies on a joint liaison system in which both the Commission and the agency with which it is working appoint a dedicated liaison to serve as a consistent source of communication. The Commission encourages DHE to appoint a liaison to the Commission, and </w:t>
      </w:r>
      <w:r w:rsidR="00EA3A9C">
        <w:rPr>
          <w:rFonts w:ascii="Arial" w:hAnsi="Arial" w:cs="Arial"/>
        </w:rPr>
        <w:t xml:space="preserve">commits to doing so in turn, so that regular meetings can be scheduled </w:t>
      </w:r>
      <w:r>
        <w:rPr>
          <w:rFonts w:ascii="Arial" w:hAnsi="Arial" w:cs="Arial"/>
        </w:rPr>
        <w:t xml:space="preserve">to work together on </w:t>
      </w:r>
      <w:r w:rsidR="00EA3A9C">
        <w:rPr>
          <w:rFonts w:ascii="Arial" w:hAnsi="Arial" w:cs="Arial"/>
        </w:rPr>
        <w:t>achieving</w:t>
      </w:r>
      <w:r>
        <w:rPr>
          <w:rFonts w:ascii="Arial" w:hAnsi="Arial" w:cs="Arial"/>
        </w:rPr>
        <w:t xml:space="preserve"> these recommendations.</w:t>
      </w:r>
    </w:p>
    <w:p w14:paraId="0631F676" w14:textId="77777777" w:rsidR="009F6A54" w:rsidRPr="009F6A54" w:rsidRDefault="009F6A54" w:rsidP="009F6A54">
      <w:pPr>
        <w:spacing w:after="0"/>
        <w:jc w:val="both"/>
        <w:rPr>
          <w:rFonts w:ascii="Arial" w:hAnsi="Arial" w:cs="Arial"/>
        </w:rPr>
      </w:pPr>
    </w:p>
    <w:p w14:paraId="45C8B75A" w14:textId="77777777" w:rsidR="009F6A54" w:rsidRPr="00F30878" w:rsidRDefault="009F6A54" w:rsidP="00961B5D">
      <w:pPr>
        <w:pStyle w:val="ListParagraph"/>
        <w:numPr>
          <w:ilvl w:val="0"/>
          <w:numId w:val="32"/>
        </w:numPr>
        <w:spacing w:after="0"/>
        <w:jc w:val="both"/>
        <w:rPr>
          <w:rFonts w:ascii="Arial" w:hAnsi="Arial" w:cs="Arial"/>
          <w:b/>
          <w:color w:val="365F91" w:themeColor="accent1" w:themeShade="BF"/>
        </w:rPr>
      </w:pPr>
      <w:r w:rsidRPr="00F30878">
        <w:rPr>
          <w:rFonts w:ascii="Arial" w:hAnsi="Arial" w:cs="Arial"/>
          <w:b/>
          <w:color w:val="365F91" w:themeColor="accent1" w:themeShade="BF"/>
        </w:rPr>
        <w:t xml:space="preserve">Encourage public and private higher education institutions to enact anti-discrimination policies and best practices that include sex, gender identity, gender expression, and sexual orientation to be in compliance with the Attorney General’s Guide to Civil Rights in Schools. </w:t>
      </w:r>
    </w:p>
    <w:p w14:paraId="402ED129" w14:textId="77777777" w:rsidR="009F6A54" w:rsidRDefault="009F6A54" w:rsidP="009F6A54">
      <w:pPr>
        <w:spacing w:after="0"/>
        <w:jc w:val="both"/>
        <w:rPr>
          <w:rFonts w:ascii="Arial" w:hAnsi="Arial" w:cs="Arial"/>
        </w:rPr>
      </w:pPr>
    </w:p>
    <w:p w14:paraId="5F1AE716" w14:textId="5A4AAE0F" w:rsidR="009F6A54" w:rsidRDefault="009F6A54" w:rsidP="009F6A54">
      <w:pPr>
        <w:spacing w:after="0"/>
        <w:jc w:val="both"/>
        <w:rPr>
          <w:rFonts w:ascii="Arial" w:hAnsi="Arial" w:cs="Arial"/>
        </w:rPr>
      </w:pPr>
      <w:r w:rsidRPr="009F6A54">
        <w:rPr>
          <w:rFonts w:ascii="Arial" w:hAnsi="Arial" w:cs="Arial"/>
        </w:rPr>
        <w:t>As with younger students, students in higher education programs do best when their classrooms and campuses offer a safe</w:t>
      </w:r>
      <w:r w:rsidR="004071C8">
        <w:rPr>
          <w:rFonts w:ascii="Arial" w:hAnsi="Arial" w:cs="Arial"/>
        </w:rPr>
        <w:t xml:space="preserve"> and supportive</w:t>
      </w:r>
      <w:r w:rsidRPr="009F6A54">
        <w:rPr>
          <w:rFonts w:ascii="Arial" w:hAnsi="Arial" w:cs="Arial"/>
        </w:rPr>
        <w:t xml:space="preserve"> climate free from violence, discrimination, or harassment. Given its positioning in the state, DHE is uniquely positioned to support institutions in establishing policies and guidance that provide campus professionals with the tools they need to support LGBTQ young people.</w:t>
      </w:r>
    </w:p>
    <w:p w14:paraId="262024FD" w14:textId="77777777" w:rsidR="009F6A54" w:rsidRPr="009F6A54" w:rsidRDefault="009F6A54" w:rsidP="009F6A54">
      <w:pPr>
        <w:spacing w:after="0"/>
        <w:jc w:val="both"/>
        <w:rPr>
          <w:rFonts w:ascii="Arial" w:hAnsi="Arial" w:cs="Arial"/>
        </w:rPr>
      </w:pPr>
    </w:p>
    <w:p w14:paraId="3A37CA43" w14:textId="77777777" w:rsidR="009F6A54" w:rsidRPr="00F30878" w:rsidRDefault="009F6A54" w:rsidP="00961B5D">
      <w:pPr>
        <w:pStyle w:val="ListParagraph"/>
        <w:numPr>
          <w:ilvl w:val="0"/>
          <w:numId w:val="32"/>
        </w:numPr>
        <w:spacing w:after="0"/>
        <w:jc w:val="both"/>
        <w:rPr>
          <w:rFonts w:ascii="Arial" w:hAnsi="Arial" w:cs="Arial"/>
          <w:b/>
          <w:color w:val="365F91" w:themeColor="accent1" w:themeShade="BF"/>
        </w:rPr>
      </w:pPr>
      <w:r w:rsidRPr="00F30878">
        <w:rPr>
          <w:rFonts w:ascii="Arial" w:hAnsi="Arial" w:cs="Arial"/>
          <w:b/>
          <w:color w:val="365F91" w:themeColor="accent1" w:themeShade="BF"/>
        </w:rPr>
        <w:t xml:space="preserve">Continue to support quantitative and qualitative data collection measures within the public higher education system to address potential inequities in sexual violence occurrence among LGBTQ students versus their non-LGBTQ counterparts. </w:t>
      </w:r>
    </w:p>
    <w:p w14:paraId="095749B4" w14:textId="77777777" w:rsidR="009F6A54" w:rsidRDefault="009F6A54" w:rsidP="009F6A54">
      <w:pPr>
        <w:spacing w:after="0"/>
        <w:jc w:val="both"/>
        <w:rPr>
          <w:rFonts w:ascii="Arial" w:hAnsi="Arial" w:cs="Arial"/>
        </w:rPr>
      </w:pPr>
    </w:p>
    <w:p w14:paraId="74B33E4D" w14:textId="39A0C671" w:rsidR="00A07650" w:rsidRPr="00335AB1" w:rsidRDefault="009F6A54" w:rsidP="00335AB1">
      <w:pPr>
        <w:spacing w:after="0"/>
        <w:jc w:val="both"/>
        <w:rPr>
          <w:rFonts w:ascii="Arial" w:hAnsi="Arial" w:cs="Arial"/>
        </w:rPr>
      </w:pPr>
      <w:r w:rsidRPr="009F6A54">
        <w:rPr>
          <w:rFonts w:ascii="Arial" w:hAnsi="Arial" w:cs="Arial"/>
        </w:rPr>
        <w:t>National data indicate that sexual violence continues to have a disproportionate impact on LGBTQ students.</w:t>
      </w:r>
      <w:r w:rsidRPr="009F6A54">
        <w:rPr>
          <w:rFonts w:ascii="Arial" w:hAnsi="Arial" w:cs="Arial"/>
          <w:vertAlign w:val="superscript"/>
        </w:rPr>
        <w:t>30</w:t>
      </w:r>
      <w:r w:rsidRPr="009F6A54">
        <w:rPr>
          <w:rFonts w:ascii="Arial" w:hAnsi="Arial" w:cs="Arial"/>
        </w:rPr>
        <w:t xml:space="preserve"> </w:t>
      </w:r>
      <w:r w:rsidR="00BB2B2D">
        <w:rPr>
          <w:rFonts w:ascii="Arial" w:hAnsi="Arial" w:cs="Arial"/>
        </w:rPr>
        <w:t>The Commission</w:t>
      </w:r>
      <w:r w:rsidRPr="009F6A54">
        <w:rPr>
          <w:rFonts w:ascii="Arial" w:hAnsi="Arial" w:cs="Arial"/>
        </w:rPr>
        <w:t xml:space="preserve"> urge</w:t>
      </w:r>
      <w:r w:rsidR="00BB2B2D">
        <w:rPr>
          <w:rFonts w:ascii="Arial" w:hAnsi="Arial" w:cs="Arial"/>
        </w:rPr>
        <w:t>s</w:t>
      </w:r>
      <w:r w:rsidRPr="009F6A54">
        <w:rPr>
          <w:rFonts w:ascii="Arial" w:hAnsi="Arial" w:cs="Arial"/>
        </w:rPr>
        <w:t xml:space="preserve"> DHE to continue supporting data collection that allows Massachusetts institutions to identify </w:t>
      </w:r>
      <w:r w:rsidR="00072735">
        <w:rPr>
          <w:rFonts w:ascii="Arial" w:hAnsi="Arial" w:cs="Arial"/>
        </w:rPr>
        <w:t>disparities on their campuses and to develop inclusive policy and programmatic solutions to end them.</w:t>
      </w:r>
    </w:p>
    <w:p w14:paraId="1B6A0DDB" w14:textId="77777777" w:rsidR="00D80888" w:rsidRPr="00D80888" w:rsidRDefault="00D80888" w:rsidP="004964E3">
      <w:pPr>
        <w:pStyle w:val="Heading1"/>
        <w:rPr>
          <w:sz w:val="22"/>
          <w:szCs w:val="22"/>
        </w:rPr>
      </w:pPr>
      <w:bookmarkStart w:id="32" w:name="_Toc512947910"/>
      <w:r>
        <w:lastRenderedPageBreak/>
        <w:t>Executive Office of Health and Human Services Recommendations</w:t>
      </w:r>
      <w:bookmarkEnd w:id="32"/>
    </w:p>
    <w:p w14:paraId="4EA24407" w14:textId="77777777" w:rsidR="00D80888" w:rsidRDefault="00F30878" w:rsidP="003C1A45">
      <w:pPr>
        <w:spacing w:after="0"/>
        <w:jc w:val="both"/>
        <w:rPr>
          <w:rFonts w:ascii="Arial" w:hAnsi="Arial" w:cs="Arial"/>
          <w:b/>
          <w:sz w:val="28"/>
          <w:szCs w:val="28"/>
        </w:rPr>
      </w:pPr>
      <w:r>
        <w:rPr>
          <w:noProof/>
        </w:rPr>
        <w:drawing>
          <wp:anchor distT="0" distB="0" distL="114300" distR="114300" simplePos="0" relativeHeight="251760640" behindDoc="1" locked="0" layoutInCell="0" allowOverlap="1" wp14:anchorId="62DEA917" wp14:editId="1309B1B9">
            <wp:simplePos x="0" y="0"/>
            <wp:positionH relativeFrom="column">
              <wp:posOffset>4445</wp:posOffset>
            </wp:positionH>
            <wp:positionV relativeFrom="paragraph">
              <wp:posOffset>-5715</wp:posOffset>
            </wp:positionV>
            <wp:extent cx="5980430" cy="27305"/>
            <wp:effectExtent l="0" t="0" r="127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80430" cy="27305"/>
                    </a:xfrm>
                    <a:prstGeom prst="rect">
                      <a:avLst/>
                    </a:prstGeom>
                    <a:noFill/>
                  </pic:spPr>
                </pic:pic>
              </a:graphicData>
            </a:graphic>
          </wp:anchor>
        </w:drawing>
      </w:r>
    </w:p>
    <w:p w14:paraId="4218A698" w14:textId="77777777" w:rsidR="00843531" w:rsidRDefault="00843531" w:rsidP="00F94896">
      <w:pPr>
        <w:shd w:val="clear" w:color="auto" w:fill="FFFFFF"/>
        <w:spacing w:after="0"/>
        <w:jc w:val="both"/>
        <w:rPr>
          <w:rFonts w:ascii="Arial" w:hAnsi="Arial" w:cs="Arial"/>
          <w:color w:val="222222"/>
        </w:rPr>
      </w:pPr>
      <w:r w:rsidRPr="003B2E04">
        <w:rPr>
          <w:rFonts w:ascii="Arial" w:hAnsi="Arial" w:cs="Arial"/>
          <w:color w:val="222222"/>
        </w:rPr>
        <w:t>The Commission commends the Executive Office of Health and Human Services for beginning an interagency committee on LGBTQ issues in FY2017, which has been co-facilitated by EOHHS and Commission staff. The Commission appreciates the frequent and thoughtful collaboration with staff of the Office of Children</w:t>
      </w:r>
      <w:r w:rsidR="00C8686D">
        <w:rPr>
          <w:rFonts w:ascii="Arial" w:hAnsi="Arial" w:cs="Arial"/>
          <w:color w:val="222222"/>
        </w:rPr>
        <w:t>,</w:t>
      </w:r>
      <w:r w:rsidRPr="003B2E04">
        <w:rPr>
          <w:rFonts w:ascii="Arial" w:hAnsi="Arial" w:cs="Arial"/>
          <w:color w:val="222222"/>
        </w:rPr>
        <w:t xml:space="preserve"> Youth and Families, which has resulted in EOHHS taking a coordinated and collaborative approach to addressing the recommendations presented by the Commission to EOHHS agencies.</w:t>
      </w:r>
    </w:p>
    <w:p w14:paraId="46BBFE31" w14:textId="77777777" w:rsidR="00843531" w:rsidRPr="003B2E04" w:rsidRDefault="00843531" w:rsidP="00F94896">
      <w:pPr>
        <w:shd w:val="clear" w:color="auto" w:fill="FFFFFF"/>
        <w:spacing w:after="0"/>
        <w:jc w:val="both"/>
        <w:rPr>
          <w:rFonts w:ascii="Arial" w:hAnsi="Arial" w:cs="Arial"/>
          <w:color w:val="222222"/>
        </w:rPr>
      </w:pPr>
    </w:p>
    <w:p w14:paraId="35138A00" w14:textId="77777777" w:rsidR="00843531" w:rsidRPr="003B2E04" w:rsidRDefault="00843531" w:rsidP="00F94896">
      <w:pPr>
        <w:shd w:val="clear" w:color="auto" w:fill="FFFFFF"/>
        <w:spacing w:after="0"/>
        <w:jc w:val="both"/>
        <w:rPr>
          <w:rFonts w:ascii="Arial" w:hAnsi="Arial" w:cs="Arial"/>
          <w:color w:val="222222"/>
        </w:rPr>
      </w:pPr>
      <w:r w:rsidRPr="003B2E04">
        <w:rPr>
          <w:rFonts w:ascii="Arial" w:hAnsi="Arial" w:cs="Arial"/>
          <w:color w:val="222222"/>
        </w:rPr>
        <w:t xml:space="preserve">The </w:t>
      </w:r>
      <w:r w:rsidR="00370BE2">
        <w:rPr>
          <w:rFonts w:ascii="Arial" w:hAnsi="Arial" w:cs="Arial"/>
          <w:color w:val="222222"/>
        </w:rPr>
        <w:t xml:space="preserve">EOHHS </w:t>
      </w:r>
      <w:r w:rsidRPr="003B2E04">
        <w:rPr>
          <w:rFonts w:ascii="Arial" w:hAnsi="Arial" w:cs="Arial"/>
          <w:color w:val="222222"/>
        </w:rPr>
        <w:t>interagency committee, which the Commission hopes will be a model for other executive offices, is comprised of representatives from each of the relevant EOHHS agenc</w:t>
      </w:r>
      <w:r w:rsidR="000263ED" w:rsidRPr="000263ED">
        <w:rPr>
          <w:rFonts w:ascii="Arial" w:hAnsi="Arial" w:cs="Arial"/>
          <w:color w:val="222222"/>
        </w:rPr>
        <w:t xml:space="preserve">ies. These representatives </w:t>
      </w:r>
      <w:r w:rsidRPr="003B2E04">
        <w:rPr>
          <w:rFonts w:ascii="Arial" w:hAnsi="Arial" w:cs="Arial"/>
          <w:color w:val="222222"/>
        </w:rPr>
        <w:t>met regularly during the end of FY2017 and throughout FY2018 to discuss their individual recommendations from the Commission, the many commonalities, and how they can best work together to effectively and efficiently achieve goals related to LGBTQ youth.</w:t>
      </w:r>
    </w:p>
    <w:p w14:paraId="49A1E091" w14:textId="77777777" w:rsidR="00843531" w:rsidRPr="003B2E04" w:rsidRDefault="00843531" w:rsidP="00F94896">
      <w:pPr>
        <w:shd w:val="clear" w:color="auto" w:fill="FFFFFF"/>
        <w:spacing w:after="0"/>
        <w:jc w:val="both"/>
        <w:rPr>
          <w:rFonts w:ascii="Arial" w:hAnsi="Arial" w:cs="Arial"/>
          <w:color w:val="222222"/>
        </w:rPr>
      </w:pPr>
    </w:p>
    <w:p w14:paraId="6230E7DA" w14:textId="77777777" w:rsidR="00843531" w:rsidRPr="003B2E04" w:rsidRDefault="00843531" w:rsidP="00F94896">
      <w:pPr>
        <w:shd w:val="clear" w:color="auto" w:fill="FFFFFF"/>
        <w:spacing w:after="0"/>
        <w:jc w:val="both"/>
        <w:rPr>
          <w:rFonts w:ascii="Arial" w:hAnsi="Arial" w:cs="Arial"/>
          <w:color w:val="222222"/>
        </w:rPr>
      </w:pPr>
      <w:r w:rsidRPr="003B2E04">
        <w:rPr>
          <w:rFonts w:ascii="Arial" w:hAnsi="Arial" w:cs="Arial"/>
          <w:color w:val="222222"/>
        </w:rPr>
        <w:t xml:space="preserve">The committee initially conducted work in comparing nondiscrimination and other policies relevant to LGBTQ youth before </w:t>
      </w:r>
      <w:r w:rsidR="00737BDC">
        <w:rPr>
          <w:rFonts w:ascii="Arial" w:hAnsi="Arial" w:cs="Arial"/>
          <w:color w:val="222222"/>
        </w:rPr>
        <w:t xml:space="preserve">beginning to develop </w:t>
      </w:r>
      <w:r w:rsidRPr="003B2E04">
        <w:rPr>
          <w:rFonts w:ascii="Arial" w:hAnsi="Arial" w:cs="Arial"/>
          <w:color w:val="222222"/>
        </w:rPr>
        <w:t xml:space="preserve">interagency training content. This draft training content provides a basic explanation of the LGBTQ community, the health disparities that LGBTQ people face, and how state employees and contractors can address the needs of LGBTQ clients. The draft also </w:t>
      </w:r>
      <w:r w:rsidR="00737BDC">
        <w:rPr>
          <w:rFonts w:ascii="Arial" w:hAnsi="Arial" w:cs="Arial"/>
          <w:color w:val="222222"/>
        </w:rPr>
        <w:t>includes content designed to s</w:t>
      </w:r>
      <w:r w:rsidRPr="003B2E04">
        <w:rPr>
          <w:rFonts w:ascii="Arial" w:hAnsi="Arial" w:cs="Arial"/>
          <w:color w:val="222222"/>
        </w:rPr>
        <w:t>upport an inclusive state workforce. For agencies that are already conducting in-person trainings for at least portions of their staff, the Commission recommends that they explore how the content developed by the committee may be useful to train the rest of their staff, or to augment in-person trainings. It is expected that this discussion will continue into FY2019, both with individual agencies and in the interagency committee.</w:t>
      </w:r>
    </w:p>
    <w:p w14:paraId="093B737C" w14:textId="77777777" w:rsidR="00843531" w:rsidRPr="003B2E04" w:rsidRDefault="00843531" w:rsidP="00F94896">
      <w:pPr>
        <w:shd w:val="clear" w:color="auto" w:fill="FFFFFF"/>
        <w:spacing w:after="0"/>
        <w:jc w:val="both"/>
        <w:rPr>
          <w:rFonts w:ascii="Arial" w:hAnsi="Arial" w:cs="Arial"/>
          <w:color w:val="222222"/>
        </w:rPr>
      </w:pPr>
    </w:p>
    <w:p w14:paraId="48CA14FE" w14:textId="77777777" w:rsidR="00843531" w:rsidRPr="003B2E04" w:rsidRDefault="00843531" w:rsidP="00F94896">
      <w:pPr>
        <w:shd w:val="clear" w:color="auto" w:fill="FFFFFF"/>
        <w:spacing w:after="0"/>
        <w:jc w:val="both"/>
        <w:rPr>
          <w:rFonts w:ascii="Arial" w:hAnsi="Arial" w:cs="Arial"/>
          <w:color w:val="222222"/>
        </w:rPr>
      </w:pPr>
      <w:r w:rsidRPr="003B2E04">
        <w:rPr>
          <w:rFonts w:ascii="Arial" w:hAnsi="Arial" w:cs="Arial"/>
          <w:color w:val="222222"/>
        </w:rPr>
        <w:t xml:space="preserve">The Commission hopes that once the </w:t>
      </w:r>
      <w:r w:rsidR="003B2E04">
        <w:rPr>
          <w:rFonts w:ascii="Arial" w:hAnsi="Arial" w:cs="Arial"/>
          <w:color w:val="222222"/>
        </w:rPr>
        <w:t>majority</w:t>
      </w:r>
      <w:r w:rsidRPr="003B2E04">
        <w:rPr>
          <w:rFonts w:ascii="Arial" w:hAnsi="Arial" w:cs="Arial"/>
          <w:color w:val="222222"/>
        </w:rPr>
        <w:t xml:space="preserve"> of the work is completed with respect to the training, the committee can shift in FY2019 to discussing data </w:t>
      </w:r>
      <w:r w:rsidR="00737BDC">
        <w:rPr>
          <w:rFonts w:ascii="Arial" w:hAnsi="Arial" w:cs="Arial"/>
          <w:color w:val="222222"/>
        </w:rPr>
        <w:t>collection, a topic on which many agencies have recommendations in the sections that follow</w:t>
      </w:r>
      <w:r w:rsidRPr="003B2E04">
        <w:rPr>
          <w:rFonts w:ascii="Arial" w:hAnsi="Arial" w:cs="Arial"/>
          <w:color w:val="222222"/>
        </w:rPr>
        <w:t>. This is another area in which interagency coordination can produce better results.</w:t>
      </w:r>
    </w:p>
    <w:p w14:paraId="0B942FEA" w14:textId="77777777" w:rsidR="00843531" w:rsidRDefault="00843531" w:rsidP="003C1A45">
      <w:pPr>
        <w:spacing w:after="0"/>
        <w:jc w:val="both"/>
        <w:rPr>
          <w:rFonts w:ascii="Arial" w:hAnsi="Arial" w:cs="Arial"/>
          <w:b/>
          <w:sz w:val="28"/>
          <w:szCs w:val="28"/>
        </w:rPr>
      </w:pPr>
    </w:p>
    <w:p w14:paraId="4EFEDD1A" w14:textId="77777777" w:rsidR="00843531" w:rsidRDefault="00843531" w:rsidP="003C1A45">
      <w:pPr>
        <w:spacing w:after="0"/>
        <w:jc w:val="both"/>
        <w:rPr>
          <w:rFonts w:ascii="Arial" w:hAnsi="Arial" w:cs="Arial"/>
          <w:b/>
          <w:sz w:val="28"/>
          <w:szCs w:val="28"/>
        </w:rPr>
      </w:pPr>
    </w:p>
    <w:p w14:paraId="22751805" w14:textId="77777777" w:rsidR="00F94896" w:rsidRDefault="00F94896">
      <w:pPr>
        <w:rPr>
          <w:rFonts w:ascii="Arial" w:eastAsiaTheme="majorEastAsia" w:hAnsi="Arial" w:cstheme="majorBidi"/>
          <w:b/>
          <w:bCs/>
          <w:color w:val="000000" w:themeColor="text1"/>
          <w:sz w:val="26"/>
          <w:szCs w:val="26"/>
        </w:rPr>
      </w:pPr>
      <w:r>
        <w:br w:type="page"/>
      </w:r>
    </w:p>
    <w:p w14:paraId="01274F09" w14:textId="77777777" w:rsidR="003C1A45" w:rsidRPr="003C1A45" w:rsidRDefault="00F30878" w:rsidP="004964E3">
      <w:pPr>
        <w:pStyle w:val="Heading2"/>
      </w:pPr>
      <w:bookmarkStart w:id="33" w:name="_Toc512947911"/>
      <w:r>
        <w:rPr>
          <w:noProof/>
        </w:rPr>
        <w:lastRenderedPageBreak/>
        <w:drawing>
          <wp:anchor distT="0" distB="0" distL="114300" distR="114300" simplePos="0" relativeHeight="251762688" behindDoc="1" locked="0" layoutInCell="0" allowOverlap="1" wp14:anchorId="75F3BBED" wp14:editId="227D7C5E">
            <wp:simplePos x="0" y="0"/>
            <wp:positionH relativeFrom="page">
              <wp:posOffset>918210</wp:posOffset>
            </wp:positionH>
            <wp:positionV relativeFrom="page">
              <wp:posOffset>1127125</wp:posOffset>
            </wp:positionV>
            <wp:extent cx="5980430" cy="18415"/>
            <wp:effectExtent l="0" t="0" r="1270" b="63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anchor>
        </w:drawing>
      </w:r>
      <w:r w:rsidR="003C1A45" w:rsidRPr="003C1A45">
        <w:t>Depa</w:t>
      </w:r>
      <w:r w:rsidR="003C1A45">
        <w:t>rtment of Children and Families</w:t>
      </w:r>
      <w:bookmarkEnd w:id="33"/>
    </w:p>
    <w:p w14:paraId="5C0FD03A" w14:textId="77777777" w:rsidR="00B60838" w:rsidRDefault="00B60838" w:rsidP="00B60838">
      <w:pPr>
        <w:spacing w:after="0"/>
        <w:jc w:val="both"/>
        <w:rPr>
          <w:rFonts w:ascii="Arial" w:hAnsi="Arial" w:cs="Arial"/>
          <w:b/>
        </w:rPr>
      </w:pPr>
    </w:p>
    <w:p w14:paraId="65B4379B" w14:textId="77777777" w:rsidR="00F30878" w:rsidRDefault="00F30878" w:rsidP="00F30878">
      <w:pPr>
        <w:spacing w:after="0"/>
        <w:jc w:val="center"/>
        <w:rPr>
          <w:rFonts w:ascii="Arial" w:hAnsi="Arial" w:cs="Arial"/>
          <w:b/>
          <w:u w:val="single"/>
        </w:rPr>
      </w:pPr>
    </w:p>
    <w:p w14:paraId="4DC62840" w14:textId="77777777" w:rsidR="00B60838" w:rsidRPr="00F30878" w:rsidRDefault="00B60838" w:rsidP="00F30878">
      <w:pPr>
        <w:spacing w:after="0"/>
        <w:jc w:val="center"/>
        <w:rPr>
          <w:rFonts w:ascii="Arial" w:hAnsi="Arial" w:cs="Arial"/>
          <w:b/>
          <w:u w:val="single"/>
        </w:rPr>
      </w:pPr>
      <w:r w:rsidRPr="00F30878">
        <w:rPr>
          <w:rFonts w:ascii="Arial" w:hAnsi="Arial" w:cs="Arial"/>
          <w:b/>
          <w:u w:val="single"/>
        </w:rPr>
        <w:t>FY2019 RECOMMENDATIONS</w:t>
      </w:r>
    </w:p>
    <w:p w14:paraId="4602EB27" w14:textId="77777777" w:rsidR="00B60838" w:rsidRPr="00B60838" w:rsidRDefault="00B60838" w:rsidP="00B60838">
      <w:pPr>
        <w:spacing w:after="0"/>
        <w:jc w:val="both"/>
        <w:rPr>
          <w:rFonts w:ascii="Arial" w:hAnsi="Arial" w:cs="Arial"/>
        </w:rPr>
      </w:pPr>
    </w:p>
    <w:p w14:paraId="79041114" w14:textId="77777777" w:rsidR="00B60838" w:rsidRPr="00F30878" w:rsidRDefault="00B60838" w:rsidP="00961B5D">
      <w:pPr>
        <w:numPr>
          <w:ilvl w:val="0"/>
          <w:numId w:val="16"/>
        </w:numPr>
        <w:spacing w:after="0"/>
        <w:jc w:val="both"/>
        <w:rPr>
          <w:rFonts w:ascii="Arial" w:hAnsi="Arial" w:cs="Arial"/>
          <w:b/>
          <w:color w:val="365F91" w:themeColor="accent1" w:themeShade="BF"/>
        </w:rPr>
      </w:pPr>
      <w:r w:rsidRPr="00F30878">
        <w:rPr>
          <w:rFonts w:ascii="Arial" w:hAnsi="Arial" w:cs="Arial"/>
          <w:b/>
          <w:color w:val="365F91" w:themeColor="accent1" w:themeShade="BF"/>
        </w:rPr>
        <w:t>Adopt a comprehensive LGBTQ policy.</w:t>
      </w:r>
    </w:p>
    <w:p w14:paraId="2C102B45" w14:textId="77777777" w:rsidR="00B60838" w:rsidRPr="00F30878" w:rsidRDefault="00B60838" w:rsidP="00961B5D">
      <w:pPr>
        <w:numPr>
          <w:ilvl w:val="0"/>
          <w:numId w:val="16"/>
        </w:numPr>
        <w:spacing w:after="0"/>
        <w:jc w:val="both"/>
        <w:rPr>
          <w:rFonts w:ascii="Arial" w:hAnsi="Arial" w:cs="Arial"/>
          <w:b/>
          <w:color w:val="365F91" w:themeColor="accent1" w:themeShade="BF"/>
        </w:rPr>
      </w:pPr>
      <w:r w:rsidRPr="00F30878">
        <w:rPr>
          <w:rFonts w:ascii="Arial" w:hAnsi="Arial" w:cs="Arial"/>
          <w:b/>
          <w:color w:val="365F91" w:themeColor="accent1" w:themeShade="BF"/>
        </w:rPr>
        <w:t xml:space="preserve">Make the agency’s LGBTQ Guide publicly available and easily findable on the agency's website, and </w:t>
      </w:r>
      <w:r w:rsidR="0038780B" w:rsidRPr="00F30878">
        <w:rPr>
          <w:rFonts w:ascii="Arial" w:hAnsi="Arial" w:cs="Arial"/>
          <w:b/>
          <w:color w:val="365F91" w:themeColor="accent1" w:themeShade="BF"/>
        </w:rPr>
        <w:t xml:space="preserve">create and implement a plan to ensure regular distribution to staff, parents, </w:t>
      </w:r>
      <w:r w:rsidR="00D92921" w:rsidRPr="00F30878">
        <w:rPr>
          <w:rFonts w:ascii="Arial" w:hAnsi="Arial" w:cs="Arial"/>
          <w:b/>
          <w:color w:val="365F91" w:themeColor="accent1" w:themeShade="BF"/>
        </w:rPr>
        <w:t xml:space="preserve">guardians, </w:t>
      </w:r>
      <w:r w:rsidR="0038780B" w:rsidRPr="00F30878">
        <w:rPr>
          <w:rFonts w:ascii="Arial" w:hAnsi="Arial" w:cs="Arial"/>
          <w:b/>
          <w:color w:val="365F91" w:themeColor="accent1" w:themeShade="BF"/>
        </w:rPr>
        <w:t>and</w:t>
      </w:r>
      <w:r w:rsidR="007736EB">
        <w:rPr>
          <w:rFonts w:ascii="Arial" w:hAnsi="Arial" w:cs="Arial"/>
          <w:b/>
          <w:color w:val="365F91" w:themeColor="accent1" w:themeShade="BF"/>
        </w:rPr>
        <w:t xml:space="preserve"> (as appropriate)</w:t>
      </w:r>
      <w:r w:rsidR="0038780B" w:rsidRPr="00F30878">
        <w:rPr>
          <w:rFonts w:ascii="Arial" w:hAnsi="Arial" w:cs="Arial"/>
          <w:b/>
          <w:color w:val="365F91" w:themeColor="accent1" w:themeShade="BF"/>
        </w:rPr>
        <w:t xml:space="preserve"> youth.</w:t>
      </w:r>
      <w:r w:rsidRPr="00F30878">
        <w:rPr>
          <w:rFonts w:ascii="Arial" w:hAnsi="Arial" w:cs="Arial"/>
          <w:b/>
          <w:color w:val="365F91" w:themeColor="accent1" w:themeShade="BF"/>
        </w:rPr>
        <w:t xml:space="preserve"> </w:t>
      </w:r>
    </w:p>
    <w:p w14:paraId="0358CB6A" w14:textId="77777777" w:rsidR="00B60838" w:rsidRPr="00F30878" w:rsidRDefault="00B60838" w:rsidP="00961B5D">
      <w:pPr>
        <w:numPr>
          <w:ilvl w:val="0"/>
          <w:numId w:val="16"/>
        </w:numPr>
        <w:spacing w:after="0"/>
        <w:jc w:val="both"/>
        <w:rPr>
          <w:rFonts w:ascii="Arial" w:hAnsi="Arial" w:cs="Arial"/>
          <w:b/>
          <w:color w:val="365F91" w:themeColor="accent1" w:themeShade="BF"/>
        </w:rPr>
      </w:pPr>
      <w:r w:rsidRPr="00F30878">
        <w:rPr>
          <w:rFonts w:ascii="Arial" w:hAnsi="Arial" w:cs="Arial"/>
          <w:b/>
          <w:color w:val="365F91" w:themeColor="accent1" w:themeShade="BF"/>
        </w:rPr>
        <w:t xml:space="preserve">Identify LGBTQ-friendly foster placements, hotline homes, and residential facilities in every region across the Commonwealth, and store this information in a manner easily accessible to DCF workers, while maintaining appropriate levels of privacy. </w:t>
      </w:r>
    </w:p>
    <w:p w14:paraId="008050B8" w14:textId="67E9B996" w:rsidR="00B60838" w:rsidRPr="00F30878" w:rsidRDefault="00B60838" w:rsidP="00961B5D">
      <w:pPr>
        <w:numPr>
          <w:ilvl w:val="0"/>
          <w:numId w:val="16"/>
        </w:numPr>
        <w:spacing w:after="0"/>
        <w:jc w:val="both"/>
        <w:rPr>
          <w:rFonts w:ascii="Arial" w:hAnsi="Arial" w:cs="Arial"/>
          <w:b/>
          <w:color w:val="365F91" w:themeColor="accent1" w:themeShade="BF"/>
        </w:rPr>
      </w:pPr>
      <w:r w:rsidRPr="00F30878">
        <w:rPr>
          <w:rFonts w:ascii="Arial" w:hAnsi="Arial" w:cs="Arial"/>
          <w:b/>
          <w:color w:val="365F91" w:themeColor="accent1" w:themeShade="BF"/>
        </w:rPr>
        <w:t>Expand training programs to all workers and supervisors on issues that affect LGBTQ youth and young adults, while continuing participati</w:t>
      </w:r>
      <w:r w:rsidR="004071C8">
        <w:rPr>
          <w:rFonts w:ascii="Arial" w:hAnsi="Arial" w:cs="Arial"/>
          <w:b/>
          <w:color w:val="365F91" w:themeColor="accent1" w:themeShade="BF"/>
        </w:rPr>
        <w:t>on</w:t>
      </w:r>
      <w:r w:rsidRPr="00F30878">
        <w:rPr>
          <w:rFonts w:ascii="Arial" w:hAnsi="Arial" w:cs="Arial"/>
          <w:b/>
          <w:color w:val="365F91" w:themeColor="accent1" w:themeShade="BF"/>
        </w:rPr>
        <w:t xml:space="preserve"> in the EOHHS interagency training development and explore potential uses of that training.</w:t>
      </w:r>
    </w:p>
    <w:p w14:paraId="55A54097" w14:textId="1BD6A420" w:rsidR="00B60838" w:rsidRPr="00F30878" w:rsidRDefault="00B60838" w:rsidP="00961B5D">
      <w:pPr>
        <w:numPr>
          <w:ilvl w:val="0"/>
          <w:numId w:val="16"/>
        </w:numPr>
        <w:spacing w:after="0"/>
        <w:jc w:val="both"/>
        <w:rPr>
          <w:rFonts w:ascii="Arial" w:hAnsi="Arial" w:cs="Arial"/>
          <w:b/>
          <w:color w:val="365F91" w:themeColor="accent1" w:themeShade="BF"/>
        </w:rPr>
      </w:pPr>
      <w:r w:rsidRPr="00F30878">
        <w:rPr>
          <w:rFonts w:ascii="Arial" w:hAnsi="Arial" w:cs="Arial"/>
          <w:b/>
          <w:color w:val="365F91" w:themeColor="accent1" w:themeShade="BF"/>
        </w:rPr>
        <w:t>Ensure revised foster family training is consistently provided by trained presenters</w:t>
      </w:r>
      <w:r w:rsidR="0038780B" w:rsidRPr="00F30878">
        <w:rPr>
          <w:rFonts w:ascii="Arial" w:hAnsi="Arial" w:cs="Arial"/>
          <w:b/>
          <w:color w:val="365F91" w:themeColor="accent1" w:themeShade="BF"/>
        </w:rPr>
        <w:t>, and update training materials for participants</w:t>
      </w:r>
      <w:r w:rsidRPr="00F30878">
        <w:rPr>
          <w:rFonts w:ascii="Arial" w:hAnsi="Arial" w:cs="Arial"/>
          <w:b/>
          <w:color w:val="365F91" w:themeColor="accent1" w:themeShade="BF"/>
        </w:rPr>
        <w:t>.</w:t>
      </w:r>
    </w:p>
    <w:p w14:paraId="3FABBEF8" w14:textId="27A9E2A2" w:rsidR="00B60838" w:rsidRPr="00E233AB" w:rsidRDefault="009619C1" w:rsidP="00961B5D">
      <w:pPr>
        <w:numPr>
          <w:ilvl w:val="0"/>
          <w:numId w:val="16"/>
        </w:numPr>
        <w:spacing w:after="0"/>
        <w:jc w:val="both"/>
        <w:rPr>
          <w:rFonts w:ascii="Arial" w:hAnsi="Arial" w:cs="Arial"/>
        </w:rPr>
      </w:pPr>
      <w:r>
        <w:rPr>
          <w:rFonts w:ascii="Arial" w:hAnsi="Arial" w:cs="Arial"/>
          <w:b/>
          <w:noProof/>
          <w:color w:val="365F91" w:themeColor="accent1" w:themeShade="BF"/>
        </w:rPr>
        <mc:AlternateContent>
          <mc:Choice Requires="wps">
            <w:drawing>
              <wp:anchor distT="0" distB="0" distL="114300" distR="114300" simplePos="0" relativeHeight="251673600" behindDoc="0" locked="0" layoutInCell="1" allowOverlap="1" wp14:anchorId="4318F2FF" wp14:editId="249FF5EA">
                <wp:simplePos x="0" y="0"/>
                <wp:positionH relativeFrom="column">
                  <wp:posOffset>-55245</wp:posOffset>
                </wp:positionH>
                <wp:positionV relativeFrom="paragraph">
                  <wp:posOffset>497205</wp:posOffset>
                </wp:positionV>
                <wp:extent cx="5962650" cy="1442720"/>
                <wp:effectExtent l="0" t="0" r="19050" b="2413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42720"/>
                        </a:xfrm>
                        <a:prstGeom prst="rect">
                          <a:avLst/>
                        </a:prstGeom>
                        <a:solidFill>
                          <a:srgbClr val="FFFFFF"/>
                        </a:solidFill>
                        <a:ln w="19050">
                          <a:solidFill>
                            <a:srgbClr val="FFBC37"/>
                          </a:solidFill>
                          <a:miter lim="800000"/>
                          <a:headEnd/>
                          <a:tailEnd/>
                        </a:ln>
                      </wps:spPr>
                      <wps:txbx>
                        <w:txbxContent>
                          <w:p w14:paraId="61BD4E71" w14:textId="77777777" w:rsidR="00411ECA" w:rsidRPr="00A2496E" w:rsidRDefault="00411ECA" w:rsidP="00C84E4E">
                            <w:pPr>
                              <w:jc w:val="both"/>
                              <w:rPr>
                                <w:rFonts w:ascii="Arial" w:hAnsi="Arial" w:cs="Arial"/>
                                <w:i/>
                              </w:rPr>
                            </w:pPr>
                            <w:r w:rsidRPr="00A2496E">
                              <w:rPr>
                                <w:rFonts w:ascii="Arial" w:hAnsi="Arial" w:cs="Arial"/>
                                <w:i/>
                              </w:rPr>
                              <w:t>“A transgender young person currently in a foster home in Massachusetts experienced issues with their social worker and attorney. The social worker and attorney were not using proper pronouns when speaking to the young person or referring to the young person in court, avoided eye contact with the young person, and overall seemed uncomfortable and unaccepting of this young person's gender identity and expression.”</w:t>
                            </w:r>
                          </w:p>
                          <w:p w14:paraId="36773EF6" w14:textId="77777777" w:rsidR="00411ECA" w:rsidRPr="00A2496E" w:rsidRDefault="00411ECA" w:rsidP="00B60838">
                            <w:pPr>
                              <w:rPr>
                                <w:rFonts w:ascii="Arial" w:hAnsi="Arial" w:cs="Arial"/>
                              </w:rPr>
                            </w:pPr>
                            <w:r w:rsidRPr="00A2496E">
                              <w:rPr>
                                <w:rFonts w:ascii="Arial" w:hAnsi="Arial" w:cs="Arial"/>
                              </w:rPr>
                              <w:t>– Attorney, Greater Boston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4.35pt;margin-top:39.15pt;width:469.5pt;height:11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" strokecolor="#ffbc37" strokeweight="1.5pt">
                <v:textbox>
                  <w:txbxContent>
                    <w:p w14:paraId="61BD4E71" w14:textId="77777777" w:rsidR="00411ECA" w:rsidRPr="00A2496E" w:rsidRDefault="00411ECA" w:rsidP="00C84E4E">
                      <w:pPr>
                        <w:jc w:val="both"/>
                        <w:rPr>
                          <w:rFonts w:ascii="Arial" w:hAnsi="Arial" w:cs="Arial"/>
                          <w:i/>
                        </w:rPr>
                      </w:pPr>
                      <w:r w:rsidRPr="00A2496E">
                        <w:rPr>
                          <w:rFonts w:ascii="Arial" w:hAnsi="Arial" w:cs="Arial"/>
                          <w:i/>
                        </w:rPr>
                        <w:t>“A transgender young person currently in a foster home in Massachusetts experienced issues with their social worker and attorney. The social worker and attorney were not using proper pronouns when speaking to the young person or referring to the young person in court, avoided eye contact with the young person, and overall seemed uncomfortable and unaccepting of this young person's gender identity and expression.”</w:t>
                      </w:r>
                    </w:p>
                    <w:p w14:paraId="36773EF6" w14:textId="77777777" w:rsidR="00411ECA" w:rsidRPr="00A2496E" w:rsidRDefault="00411ECA" w:rsidP="00B60838">
                      <w:pPr>
                        <w:rPr>
                          <w:rFonts w:ascii="Arial" w:hAnsi="Arial" w:cs="Arial"/>
                        </w:rPr>
                      </w:pPr>
                      <w:r w:rsidRPr="00A2496E">
                        <w:rPr>
                          <w:rFonts w:ascii="Arial" w:hAnsi="Arial" w:cs="Arial"/>
                        </w:rPr>
                        <w:t>– Attorney, Greater Boston</w:t>
                      </w:r>
                    </w:p>
                  </w:txbxContent>
                </v:textbox>
                <w10:wrap type="square"/>
              </v:shape>
            </w:pict>
          </mc:Fallback>
        </mc:AlternateContent>
      </w:r>
      <w:r w:rsidR="00B60838" w:rsidRPr="00F30878">
        <w:rPr>
          <w:rFonts w:ascii="Arial" w:hAnsi="Arial" w:cs="Arial"/>
          <w:b/>
          <w:color w:val="365F91" w:themeColor="accent1" w:themeShade="BF"/>
        </w:rPr>
        <w:t>Publish newly-gathered data on sexual orientation and gender identity and explore its implications for DCF service delivery</w:t>
      </w:r>
      <w:r w:rsidR="00B60838" w:rsidRPr="00B60838">
        <w:rPr>
          <w:rFonts w:ascii="Arial" w:hAnsi="Arial" w:cs="Arial"/>
        </w:rPr>
        <w:t xml:space="preserve">. </w:t>
      </w:r>
    </w:p>
    <w:p w14:paraId="3AC9F46E" w14:textId="77777777" w:rsidR="00B60838" w:rsidRPr="00B60838" w:rsidRDefault="00B60838" w:rsidP="00B60838">
      <w:pPr>
        <w:spacing w:after="0"/>
        <w:jc w:val="both"/>
        <w:rPr>
          <w:rFonts w:ascii="Arial" w:hAnsi="Arial" w:cs="Arial"/>
        </w:rPr>
      </w:pPr>
    </w:p>
    <w:p w14:paraId="70B2EC9C" w14:textId="77777777" w:rsidR="00B60838" w:rsidRPr="00F30878" w:rsidRDefault="00B60838" w:rsidP="00F30878">
      <w:pPr>
        <w:spacing w:after="0"/>
        <w:jc w:val="center"/>
        <w:rPr>
          <w:rFonts w:ascii="Arial" w:hAnsi="Arial" w:cs="Arial"/>
          <w:b/>
          <w:u w:val="single"/>
        </w:rPr>
      </w:pPr>
      <w:r w:rsidRPr="00F30878">
        <w:rPr>
          <w:rFonts w:ascii="Arial" w:hAnsi="Arial" w:cs="Arial"/>
          <w:b/>
          <w:u w:val="single"/>
        </w:rPr>
        <w:t>BACKGROUND AND RESEARCH</w:t>
      </w:r>
    </w:p>
    <w:p w14:paraId="1B2C15E9" w14:textId="77777777" w:rsidR="00B60838" w:rsidRPr="00B60838" w:rsidRDefault="00B60838" w:rsidP="00B60838">
      <w:pPr>
        <w:spacing w:after="0"/>
        <w:jc w:val="both"/>
        <w:rPr>
          <w:rFonts w:ascii="Arial" w:hAnsi="Arial" w:cs="Arial"/>
        </w:rPr>
      </w:pPr>
    </w:p>
    <w:p w14:paraId="05513B3A" w14:textId="77777777" w:rsidR="00B60838" w:rsidRPr="00B60838" w:rsidRDefault="00B60838" w:rsidP="00B60838">
      <w:pPr>
        <w:spacing w:after="0"/>
        <w:jc w:val="both"/>
        <w:rPr>
          <w:rFonts w:ascii="Arial" w:hAnsi="Arial" w:cs="Arial"/>
        </w:rPr>
      </w:pPr>
      <w:r w:rsidRPr="00B60838">
        <w:rPr>
          <w:rFonts w:ascii="Arial" w:hAnsi="Arial" w:cs="Arial"/>
        </w:rPr>
        <w:t xml:space="preserve">The Department of Children and Families (DCF) is the state agency tasked with ensuring the safety of children in their homes of origin, managing the foster care system for children who cannot remain in those families, and overseeing the placement of these children into permanent homes (e.g. through adoption) when possible. </w:t>
      </w:r>
    </w:p>
    <w:p w14:paraId="1859E0A9" w14:textId="77777777" w:rsidR="00B60838" w:rsidRPr="00B60838" w:rsidRDefault="00B60838" w:rsidP="00B60838">
      <w:pPr>
        <w:spacing w:after="0"/>
        <w:jc w:val="both"/>
        <w:rPr>
          <w:rFonts w:ascii="Arial" w:hAnsi="Arial" w:cs="Arial"/>
        </w:rPr>
      </w:pPr>
    </w:p>
    <w:p w14:paraId="4B0C7CE6" w14:textId="1570035E" w:rsidR="00B60838" w:rsidRPr="00B60838" w:rsidRDefault="00B60838" w:rsidP="00B60838">
      <w:pPr>
        <w:spacing w:after="0"/>
        <w:jc w:val="both"/>
        <w:rPr>
          <w:rFonts w:ascii="Arial" w:hAnsi="Arial" w:cs="Arial"/>
        </w:rPr>
      </w:pPr>
      <w:r w:rsidRPr="00B60838">
        <w:rPr>
          <w:rFonts w:ascii="Arial" w:hAnsi="Arial" w:cs="Arial"/>
        </w:rPr>
        <w:t xml:space="preserve">Due to a combination of factors, including the family rejection faced by LGBTQ youth (as described in this report’s section on homelessness at page </w:t>
      </w:r>
      <w:r w:rsidR="005A49CA">
        <w:rPr>
          <w:rFonts w:ascii="Arial" w:hAnsi="Arial" w:cs="Arial"/>
        </w:rPr>
        <w:t>16</w:t>
      </w:r>
      <w:r w:rsidRPr="00B60838">
        <w:rPr>
          <w:rFonts w:ascii="Arial" w:hAnsi="Arial" w:cs="Arial"/>
        </w:rPr>
        <w:t>), there is reason to believe that LGBTQ youth may be more likely than others to be involved in DCF care, and there is research to confirm that they have specific needs. A study conducted on the foster care system in Los Angeles found that 19 percent of youth in the foster system were LGBTQ – a percentage significantly higher than estimates of LGBTQ youth in the general population.</w:t>
      </w:r>
      <w:r w:rsidRPr="00B60838">
        <w:rPr>
          <w:rFonts w:ascii="Arial" w:hAnsi="Arial" w:cs="Arial"/>
          <w:vertAlign w:val="superscript"/>
        </w:rPr>
        <w:endnoteReference w:id="181"/>
      </w:r>
      <w:r w:rsidRPr="00B60838">
        <w:rPr>
          <w:rFonts w:ascii="Arial" w:hAnsi="Arial" w:cs="Arial"/>
        </w:rPr>
        <w:t xml:space="preserve"> While 50 percent of LGBTQ youth generally report negative reactions upon coming out to their families, and 26 percent report being kicked out of their home by a family member,</w:t>
      </w:r>
      <w:r w:rsidRPr="00B60838">
        <w:rPr>
          <w:rFonts w:ascii="Arial" w:hAnsi="Arial" w:cs="Arial"/>
          <w:vertAlign w:val="superscript"/>
        </w:rPr>
        <w:endnoteReference w:id="182"/>
      </w:r>
      <w:r w:rsidRPr="00B60838">
        <w:rPr>
          <w:rFonts w:ascii="Arial" w:hAnsi="Arial" w:cs="Arial"/>
        </w:rPr>
        <w:t xml:space="preserve"> foster homes may </w:t>
      </w:r>
      <w:r w:rsidRPr="00B60838">
        <w:rPr>
          <w:rFonts w:ascii="Arial" w:hAnsi="Arial" w:cs="Arial"/>
        </w:rPr>
        <w:lastRenderedPageBreak/>
        <w:t>unfortunately not be safer. A survey of LGB youth in New York City foster homes demonstrated that more than half (56%) of LGB adolescents in the city’s foster homes had stayed in the streets for at least one night because they felt unsafe in their foster home.</w:t>
      </w:r>
      <w:r w:rsidRPr="00B60838">
        <w:rPr>
          <w:rFonts w:ascii="Arial" w:hAnsi="Arial" w:cs="Arial"/>
          <w:vertAlign w:val="superscript"/>
        </w:rPr>
        <w:endnoteReference w:id="183"/>
      </w:r>
      <w:r w:rsidRPr="00B60838">
        <w:rPr>
          <w:rFonts w:ascii="Arial" w:hAnsi="Arial" w:cs="Arial"/>
        </w:rPr>
        <w:t xml:space="preserve"> </w:t>
      </w:r>
      <w:r w:rsidR="007736EB">
        <w:rPr>
          <w:rFonts w:ascii="Arial" w:hAnsi="Arial" w:cs="Arial"/>
        </w:rPr>
        <w:t>Additionally,</w:t>
      </w:r>
      <w:r w:rsidRPr="00B60838">
        <w:rPr>
          <w:rFonts w:ascii="Arial" w:hAnsi="Arial" w:cs="Arial"/>
        </w:rPr>
        <w:t xml:space="preserve"> LGBTQ youth are more at-risk once released from foster care: one study found that after emancipation, between 12% and 36% of LGBTQ youth who age out of foster care experience at least one episode of homelessness.</w:t>
      </w:r>
      <w:r w:rsidRPr="00B60838">
        <w:rPr>
          <w:rFonts w:ascii="Arial" w:hAnsi="Arial" w:cs="Arial"/>
          <w:vertAlign w:val="superscript"/>
        </w:rPr>
        <w:endnoteReference w:id="184"/>
      </w:r>
      <w:r w:rsidRPr="00B60838">
        <w:rPr>
          <w:rFonts w:ascii="Arial" w:hAnsi="Arial" w:cs="Arial"/>
        </w:rPr>
        <w:t xml:space="preserve"> </w:t>
      </w:r>
    </w:p>
    <w:p w14:paraId="392064AA" w14:textId="77777777" w:rsidR="00B60838" w:rsidRPr="00B60838" w:rsidRDefault="00B60838" w:rsidP="00B60838">
      <w:pPr>
        <w:spacing w:after="0"/>
        <w:jc w:val="both"/>
        <w:rPr>
          <w:rFonts w:ascii="Arial" w:hAnsi="Arial" w:cs="Arial"/>
        </w:rPr>
      </w:pPr>
    </w:p>
    <w:p w14:paraId="2AC290D2" w14:textId="77777777" w:rsidR="00B60838" w:rsidRPr="00B60838" w:rsidRDefault="00B60838" w:rsidP="00B60838">
      <w:pPr>
        <w:spacing w:after="0"/>
        <w:jc w:val="both"/>
        <w:rPr>
          <w:rFonts w:ascii="Arial" w:hAnsi="Arial" w:cs="Arial"/>
        </w:rPr>
      </w:pPr>
      <w:r w:rsidRPr="00B60838">
        <w:rPr>
          <w:rFonts w:ascii="Arial" w:hAnsi="Arial" w:cs="Arial"/>
        </w:rPr>
        <w:t>Since 2005, DCF has had an internal LGBTQ liaison program, with representation from nearly every area office across the state. These liaisons are DCF workers who voluntarily serve as a resource for their colleagues and area supervisors in order to address the needs of LGBTQ youth. Through the liaisons, DCF has created a LGBTQ guide for social workers, foster parents, and other adults working with LGBTQ young people in DCF care, and has created an infrastructure for data collection on sexual orientation and gender identity. The chair of the state liaison program, DCF employee Effie Molina, was honored by the Commission with an Advancing Equity Award in March 2018 for her work on behalf of LGBTQ youth who are impacted by the DCF system.</w:t>
      </w:r>
    </w:p>
    <w:p w14:paraId="053A9193" w14:textId="77777777" w:rsidR="00B60838" w:rsidRPr="00B60838" w:rsidRDefault="00B60838" w:rsidP="00B60838">
      <w:pPr>
        <w:spacing w:after="0"/>
        <w:jc w:val="both"/>
        <w:rPr>
          <w:rFonts w:ascii="Arial" w:hAnsi="Arial" w:cs="Arial"/>
        </w:rPr>
      </w:pPr>
    </w:p>
    <w:p w14:paraId="32EF5A3E" w14:textId="77777777" w:rsidR="00B60838" w:rsidRPr="00B60838" w:rsidRDefault="00B60838" w:rsidP="00B60838">
      <w:pPr>
        <w:spacing w:after="0"/>
        <w:jc w:val="both"/>
        <w:rPr>
          <w:rFonts w:ascii="Arial" w:hAnsi="Arial" w:cs="Arial"/>
        </w:rPr>
      </w:pPr>
      <w:r w:rsidRPr="00B60838">
        <w:rPr>
          <w:rFonts w:ascii="Arial" w:hAnsi="Arial" w:cs="Arial"/>
        </w:rPr>
        <w:t>The Commission believes that the plans put forth by DCF liaisons represent important progress toward a Commonwealth in which all LGBTQ youth have access to supportive adults and affirming homes. The Commission urges DCF to fully implement this work, in order to best serve LGBTQ young people and to meet the goals set in the DCF</w:t>
      </w:r>
      <w:r w:rsidR="007736EB">
        <w:rPr>
          <w:rFonts w:ascii="Arial" w:hAnsi="Arial" w:cs="Arial"/>
        </w:rPr>
        <w:t xml:space="preserve"> Diversity and Strategic Plans.</w:t>
      </w:r>
    </w:p>
    <w:p w14:paraId="2365CBF3" w14:textId="77777777" w:rsidR="008159A7" w:rsidRDefault="008159A7" w:rsidP="00F30878">
      <w:pPr>
        <w:spacing w:after="0"/>
        <w:jc w:val="center"/>
        <w:rPr>
          <w:rFonts w:ascii="Arial" w:hAnsi="Arial" w:cs="Arial"/>
          <w:b/>
          <w:u w:val="single"/>
        </w:rPr>
      </w:pPr>
    </w:p>
    <w:p w14:paraId="134DF170" w14:textId="77777777" w:rsidR="00B60838" w:rsidRPr="00F30878" w:rsidRDefault="00B60838" w:rsidP="00F30878">
      <w:pPr>
        <w:spacing w:after="0"/>
        <w:jc w:val="center"/>
        <w:rPr>
          <w:rFonts w:ascii="Arial" w:hAnsi="Arial" w:cs="Arial"/>
          <w:b/>
          <w:u w:val="single"/>
        </w:rPr>
      </w:pPr>
      <w:r w:rsidRPr="00F30878">
        <w:rPr>
          <w:rFonts w:ascii="Arial" w:hAnsi="Arial" w:cs="Arial"/>
          <w:b/>
          <w:u w:val="single"/>
        </w:rPr>
        <w:t>EXPANDED RECOMMENDATIONS</w:t>
      </w:r>
    </w:p>
    <w:p w14:paraId="30340618" w14:textId="77777777" w:rsidR="00B60838" w:rsidRPr="00F30878" w:rsidRDefault="00B60838" w:rsidP="00B60838">
      <w:pPr>
        <w:spacing w:after="0"/>
        <w:jc w:val="both"/>
        <w:rPr>
          <w:rFonts w:ascii="Arial" w:hAnsi="Arial" w:cs="Arial"/>
          <w:b/>
          <w:color w:val="365F91" w:themeColor="accent1" w:themeShade="BF"/>
        </w:rPr>
      </w:pPr>
      <w:r w:rsidRPr="00B60838">
        <w:rPr>
          <w:rFonts w:ascii="Arial" w:hAnsi="Arial" w:cs="Arial"/>
        </w:rPr>
        <w:t xml:space="preserve"> </w:t>
      </w:r>
    </w:p>
    <w:p w14:paraId="56DA873B" w14:textId="77777777" w:rsidR="00B60838" w:rsidRPr="00F30878" w:rsidRDefault="00B60838" w:rsidP="00961B5D">
      <w:pPr>
        <w:numPr>
          <w:ilvl w:val="0"/>
          <w:numId w:val="26"/>
        </w:numPr>
        <w:spacing w:after="0"/>
        <w:jc w:val="both"/>
        <w:rPr>
          <w:rFonts w:ascii="Arial" w:hAnsi="Arial" w:cs="Arial"/>
          <w:b/>
          <w:color w:val="365F91" w:themeColor="accent1" w:themeShade="BF"/>
        </w:rPr>
      </w:pPr>
      <w:r w:rsidRPr="00F30878">
        <w:rPr>
          <w:rFonts w:ascii="Arial" w:hAnsi="Arial" w:cs="Arial"/>
          <w:b/>
          <w:color w:val="365F91" w:themeColor="accent1" w:themeShade="BF"/>
        </w:rPr>
        <w:t>Adopt a comprehensive LGBTQ policy.</w:t>
      </w:r>
    </w:p>
    <w:p w14:paraId="1882CB56" w14:textId="77777777" w:rsidR="00B60838" w:rsidRPr="00B60838" w:rsidRDefault="00B60838" w:rsidP="00B60838">
      <w:pPr>
        <w:spacing w:after="0"/>
        <w:jc w:val="both"/>
        <w:rPr>
          <w:rFonts w:ascii="Arial" w:hAnsi="Arial" w:cs="Arial"/>
        </w:rPr>
      </w:pPr>
    </w:p>
    <w:p w14:paraId="6CBF611B" w14:textId="77777777" w:rsidR="00B60838" w:rsidRPr="00B60838" w:rsidRDefault="00B60838" w:rsidP="00B60838">
      <w:pPr>
        <w:spacing w:after="0"/>
        <w:jc w:val="both"/>
        <w:rPr>
          <w:rFonts w:ascii="Arial" w:hAnsi="Arial" w:cs="Arial"/>
        </w:rPr>
      </w:pPr>
      <w:r w:rsidRPr="00B60838">
        <w:rPr>
          <w:rFonts w:ascii="Arial" w:hAnsi="Arial" w:cs="Arial"/>
        </w:rPr>
        <w:t>The Commission continues to recommend the development of a stand-alone, comprehensive policy regarding nondiscrimination in the provision of services to LGBTQ youth, as it believes that a stand-alone policy is the most transparent, accessible,</w:t>
      </w:r>
      <w:r w:rsidR="00A348E3">
        <w:rPr>
          <w:rFonts w:ascii="Arial" w:hAnsi="Arial" w:cs="Arial"/>
        </w:rPr>
        <w:t xml:space="preserve"> and feasible option available. The Commission also believes this option to be the most thorough, as every aspect of the needs faced by LGBTQ youth – some of which are unique to this population and may not fit easily with existing policies – are covered within drafts that have been presented to DCF. Furthermore, these drafts have been vetted by many individuals from within and outside of the agency to ensure their inclusiveness. </w:t>
      </w:r>
      <w:r w:rsidRPr="00B60838">
        <w:rPr>
          <w:rFonts w:ascii="Arial" w:hAnsi="Arial" w:cs="Arial"/>
        </w:rPr>
        <w:t xml:space="preserve">DCF has indicated its preference to update existing policies to include relevant provisions on the needs of LGBTQ youth rather than to </w:t>
      </w:r>
      <w:r w:rsidR="00A348E3">
        <w:rPr>
          <w:rFonts w:ascii="Arial" w:hAnsi="Arial" w:cs="Arial"/>
        </w:rPr>
        <w:t>implement a</w:t>
      </w:r>
      <w:r w:rsidRPr="00B60838">
        <w:rPr>
          <w:rFonts w:ascii="Arial" w:hAnsi="Arial" w:cs="Arial"/>
        </w:rPr>
        <w:t xml:space="preserve"> comprehensive policy</w:t>
      </w:r>
      <w:r w:rsidR="00A348E3">
        <w:rPr>
          <w:rFonts w:ascii="Arial" w:hAnsi="Arial" w:cs="Arial"/>
        </w:rPr>
        <w:t xml:space="preserve"> as preferred by the Commission</w:t>
      </w:r>
      <w:r w:rsidRPr="00B60838">
        <w:rPr>
          <w:rFonts w:ascii="Arial" w:hAnsi="Arial" w:cs="Arial"/>
        </w:rPr>
        <w:t>. Should the agency pursue this option, the Commission requests to be kept appraised of its planning and progress to ensure that this effort is successful.</w:t>
      </w:r>
      <w:r w:rsidR="00A348E3">
        <w:rPr>
          <w:rFonts w:ascii="Arial" w:hAnsi="Arial" w:cs="Arial"/>
        </w:rPr>
        <w:t xml:space="preserve"> The Commission believes that such an approach would require detailed and transparent planning to ensure that it covered every aspect of the issue and was implemented in a reasonable period of time. The Commission thanks DCF for its continued consideration of this important issue, and willingness to engage in productive dialogue. </w:t>
      </w:r>
    </w:p>
    <w:p w14:paraId="04FD31DD" w14:textId="77777777" w:rsidR="00B60838" w:rsidRDefault="00B60838" w:rsidP="00B60838">
      <w:pPr>
        <w:spacing w:after="0"/>
        <w:jc w:val="both"/>
        <w:rPr>
          <w:rFonts w:ascii="Arial" w:hAnsi="Arial" w:cs="Arial"/>
        </w:rPr>
      </w:pPr>
    </w:p>
    <w:p w14:paraId="006E91E1" w14:textId="77777777" w:rsidR="007736EB" w:rsidRDefault="007736EB">
      <w:pPr>
        <w:rPr>
          <w:rFonts w:ascii="Arial" w:hAnsi="Arial" w:cs="Arial"/>
        </w:rPr>
      </w:pPr>
      <w:r>
        <w:rPr>
          <w:rFonts w:ascii="Arial" w:hAnsi="Arial" w:cs="Arial"/>
        </w:rPr>
        <w:br w:type="page"/>
      </w:r>
    </w:p>
    <w:p w14:paraId="2CDF06C2" w14:textId="6FD3ED7D" w:rsidR="007736EB" w:rsidRPr="00B60838" w:rsidRDefault="009619C1" w:rsidP="00B60838">
      <w:pPr>
        <w:spacing w:after="0"/>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835392" behindDoc="0" locked="0" layoutInCell="1" allowOverlap="1" wp14:anchorId="2F2EFA1A" wp14:editId="434CAE9F">
                <wp:simplePos x="0" y="0"/>
                <wp:positionH relativeFrom="column">
                  <wp:posOffset>-10795</wp:posOffset>
                </wp:positionH>
                <wp:positionV relativeFrom="paragraph">
                  <wp:posOffset>73660</wp:posOffset>
                </wp:positionV>
                <wp:extent cx="5970905" cy="2306955"/>
                <wp:effectExtent l="0" t="0" r="10795" b="1714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2306955"/>
                        </a:xfrm>
                        <a:prstGeom prst="rect">
                          <a:avLst/>
                        </a:prstGeom>
                        <a:solidFill>
                          <a:srgbClr val="FFFFFF"/>
                        </a:solidFill>
                        <a:ln w="19050">
                          <a:solidFill>
                            <a:srgbClr val="FFBC37"/>
                          </a:solidFill>
                          <a:miter lim="800000"/>
                          <a:headEnd/>
                          <a:tailEnd/>
                        </a:ln>
                      </wps:spPr>
                      <wps:txbx>
                        <w:txbxContent>
                          <w:p w14:paraId="68FF2B17" w14:textId="77777777" w:rsidR="00411ECA" w:rsidRPr="00E233AB" w:rsidRDefault="00411ECA" w:rsidP="007736EB">
                            <w:pPr>
                              <w:jc w:val="both"/>
                              <w:rPr>
                                <w:rFonts w:ascii="Arial" w:hAnsi="Arial" w:cs="Arial"/>
                                <w:i/>
                              </w:rPr>
                            </w:pPr>
                            <w:r w:rsidRPr="00E233AB">
                              <w:rPr>
                                <w:rFonts w:ascii="Arial" w:hAnsi="Arial" w:cs="Arial"/>
                                <w:i/>
                              </w:rPr>
                              <w:t>“Our child identifies as a boy who likes to wear dresses. His interests include dolls and fingernail polish. He says, 'I'm a boy and I like to do girl things.' His experiences haven't been so great with providers in the DCF system. People have not allowed him to wear dresses or have told him 'that's not right, boys don't do that.' When he moved into our home we bought him new dresses. On the first day of school he got all dressed up with sandals. Then, while waiting for the bus, he said at the last minute, 'I can't do this.' He doesn't have self-confidence because he's been bullied and teased - and often by adults, not the kids. We've had two in-home therapists who have talked about building self-esteem, and we've asked how they will take race and gender identity into account, because that's part of it. They just gloss over that and don't see them as important parts of his self-identity.”</w:t>
                            </w:r>
                          </w:p>
                          <w:p w14:paraId="20250CD7" w14:textId="77777777" w:rsidR="00411ECA" w:rsidRPr="00E233AB" w:rsidRDefault="00411ECA" w:rsidP="007736EB">
                            <w:pPr>
                              <w:rPr>
                                <w:rFonts w:ascii="Arial" w:hAnsi="Arial" w:cs="Arial"/>
                              </w:rPr>
                            </w:pPr>
                            <w:r w:rsidRPr="00E233AB">
                              <w:rPr>
                                <w:rFonts w:ascii="Arial" w:hAnsi="Arial" w:cs="Arial"/>
                              </w:rPr>
                              <w:t>– Pre-Adoptive Parent</w:t>
                            </w:r>
                          </w:p>
                          <w:p w14:paraId="486A54C5" w14:textId="77777777" w:rsidR="00411ECA" w:rsidRDefault="00411ECA" w:rsidP="007736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85pt;margin-top:5.8pt;width:470.15pt;height:181.6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" strokecolor="#ffbc37" strokeweight="1.5pt">
                <v:textbox>
                  <w:txbxContent>
                    <w:p w14:paraId="68FF2B17" w14:textId="77777777" w:rsidR="00411ECA" w:rsidRPr="00E233AB" w:rsidRDefault="00411ECA" w:rsidP="007736EB">
                      <w:pPr>
                        <w:jc w:val="both"/>
                        <w:rPr>
                          <w:rFonts w:ascii="Arial" w:hAnsi="Arial" w:cs="Arial"/>
                          <w:i/>
                        </w:rPr>
                      </w:pPr>
                      <w:r w:rsidRPr="00E233AB">
                        <w:rPr>
                          <w:rFonts w:ascii="Arial" w:hAnsi="Arial" w:cs="Arial"/>
                          <w:i/>
                        </w:rPr>
                        <w:t>“Our child identifies as a boy who likes to wear dresses. His interests include dolls and fingernail polish. He says, 'I'm a boy and I like to do girl things.' His experiences haven't been so great with providers in the DCF system. People have not allowed him to wear dresses or have told him 'that's not right, boys don't do that.' When he moved into our home we bought him new dresses. On the first day of school he got all dressed up with sandals. Then, while waiting for the bus, he said at the last minute, 'I can't do this.' He doesn't have self-confidence because he's been bullied and teased - and often by adults, not the kids. We've had two in-home therapists who have talked about building self-esteem, and we've asked how they will take race and gender identity into account, because that's part of it. They just gloss over that and don't see them as important parts of his self-identity.”</w:t>
                      </w:r>
                    </w:p>
                    <w:p w14:paraId="20250CD7" w14:textId="77777777" w:rsidR="00411ECA" w:rsidRPr="00E233AB" w:rsidRDefault="00411ECA" w:rsidP="007736EB">
                      <w:pPr>
                        <w:rPr>
                          <w:rFonts w:ascii="Arial" w:hAnsi="Arial" w:cs="Arial"/>
                        </w:rPr>
                      </w:pPr>
                      <w:r w:rsidRPr="00E233AB">
                        <w:rPr>
                          <w:rFonts w:ascii="Arial" w:hAnsi="Arial" w:cs="Arial"/>
                        </w:rPr>
                        <w:t>– Pre-Adoptive Parent</w:t>
                      </w:r>
                    </w:p>
                    <w:p w14:paraId="486A54C5" w14:textId="77777777" w:rsidR="00411ECA" w:rsidRDefault="00411ECA" w:rsidP="007736EB"/>
                  </w:txbxContent>
                </v:textbox>
                <w10:wrap type="square"/>
              </v:shape>
            </w:pict>
          </mc:Fallback>
        </mc:AlternateContent>
      </w:r>
    </w:p>
    <w:p w14:paraId="031305CA" w14:textId="77777777" w:rsidR="0038780B" w:rsidRPr="00F30878" w:rsidRDefault="0038780B" w:rsidP="00961B5D">
      <w:pPr>
        <w:pStyle w:val="ListParagraph"/>
        <w:numPr>
          <w:ilvl w:val="0"/>
          <w:numId w:val="26"/>
        </w:numPr>
        <w:spacing w:after="0"/>
        <w:jc w:val="both"/>
        <w:rPr>
          <w:rFonts w:ascii="Arial" w:hAnsi="Arial" w:cs="Arial"/>
          <w:b/>
          <w:color w:val="365F91" w:themeColor="accent1" w:themeShade="BF"/>
        </w:rPr>
      </w:pPr>
      <w:r w:rsidRPr="00F30878">
        <w:rPr>
          <w:rFonts w:ascii="Arial" w:hAnsi="Arial" w:cs="Arial"/>
          <w:b/>
          <w:color w:val="365F91" w:themeColor="accent1" w:themeShade="BF"/>
        </w:rPr>
        <w:t>Make the agency’s LGBTQ Guide publicly available and easily findable on the agency's website, and create and implement a plan to ensure regular distribution to staff, parents,</w:t>
      </w:r>
      <w:r w:rsidR="00A348E3" w:rsidRPr="00F30878">
        <w:rPr>
          <w:rFonts w:ascii="Arial" w:hAnsi="Arial" w:cs="Arial"/>
          <w:b/>
          <w:color w:val="365F91" w:themeColor="accent1" w:themeShade="BF"/>
        </w:rPr>
        <w:t xml:space="preserve"> guardians,</w:t>
      </w:r>
      <w:r w:rsidRPr="00F30878">
        <w:rPr>
          <w:rFonts w:ascii="Arial" w:hAnsi="Arial" w:cs="Arial"/>
          <w:b/>
          <w:color w:val="365F91" w:themeColor="accent1" w:themeShade="BF"/>
        </w:rPr>
        <w:t xml:space="preserve"> and</w:t>
      </w:r>
      <w:r w:rsidR="007736EB">
        <w:rPr>
          <w:rFonts w:ascii="Arial" w:hAnsi="Arial" w:cs="Arial"/>
          <w:b/>
          <w:color w:val="365F91" w:themeColor="accent1" w:themeShade="BF"/>
        </w:rPr>
        <w:t xml:space="preserve"> (as appropriate)</w:t>
      </w:r>
      <w:r w:rsidRPr="00F30878">
        <w:rPr>
          <w:rFonts w:ascii="Arial" w:hAnsi="Arial" w:cs="Arial"/>
          <w:b/>
          <w:color w:val="365F91" w:themeColor="accent1" w:themeShade="BF"/>
        </w:rPr>
        <w:t xml:space="preserve"> youth. </w:t>
      </w:r>
    </w:p>
    <w:p w14:paraId="0BD1D60A" w14:textId="77777777" w:rsidR="00B60838" w:rsidRPr="00B60838" w:rsidRDefault="00B60838" w:rsidP="00B60838">
      <w:pPr>
        <w:spacing w:after="0"/>
        <w:jc w:val="both"/>
        <w:rPr>
          <w:rFonts w:ascii="Arial" w:hAnsi="Arial" w:cs="Arial"/>
        </w:rPr>
      </w:pPr>
    </w:p>
    <w:p w14:paraId="0C0CE996" w14:textId="77777777" w:rsidR="00B60838" w:rsidRPr="00B60838" w:rsidRDefault="00B60838" w:rsidP="00B60838">
      <w:pPr>
        <w:spacing w:after="0"/>
        <w:jc w:val="both"/>
        <w:rPr>
          <w:rFonts w:ascii="Arial" w:hAnsi="Arial" w:cs="Arial"/>
        </w:rPr>
      </w:pPr>
      <w:r w:rsidRPr="00B60838">
        <w:rPr>
          <w:rFonts w:ascii="Arial" w:hAnsi="Arial" w:cs="Arial"/>
        </w:rPr>
        <w:t>In 2015, DCF released “LGBTQ: A guide for working with Youth and Families.”</w:t>
      </w:r>
      <w:r w:rsidRPr="00B60838">
        <w:rPr>
          <w:rFonts w:ascii="Arial" w:hAnsi="Arial" w:cs="Arial"/>
          <w:vertAlign w:val="superscript"/>
        </w:rPr>
        <w:endnoteReference w:id="185"/>
      </w:r>
      <w:r w:rsidRPr="00B60838">
        <w:rPr>
          <w:rFonts w:ascii="Arial" w:hAnsi="Arial" w:cs="Arial"/>
        </w:rPr>
        <w:t xml:space="preserve"> This document provides a wealth of information including scripts for discussing gender identity, statistics, laws, and resources</w:t>
      </w:r>
      <w:r w:rsidR="00D92921">
        <w:rPr>
          <w:rFonts w:ascii="Arial" w:hAnsi="Arial" w:cs="Arial"/>
        </w:rPr>
        <w:t>, and has already begun to be used as a potential model in other states</w:t>
      </w:r>
      <w:r w:rsidRPr="00B60838">
        <w:rPr>
          <w:rFonts w:ascii="Arial" w:hAnsi="Arial" w:cs="Arial"/>
        </w:rPr>
        <w:t>. Recently, DCF has authorized a third-party to publish the resource on its website, and the Commission encourages DCF to publish the resource on their own website, and to work with the Executive Office of Technology Services and Security (EOTSS) if necessary to ensure that it is easily findable on the new state website. The Commission also encourages DCF to ensure that the guide is systematically shared with new employees as well as re-shared in reminders to existing employees.</w:t>
      </w:r>
      <w:r w:rsidR="00A348E3">
        <w:rPr>
          <w:rFonts w:ascii="Arial" w:hAnsi="Arial" w:cs="Arial"/>
        </w:rPr>
        <w:t xml:space="preserve"> Finally, the Commission believes that the guide may be useful to parents, guardians, and youth themselves, and encourages DCF to work with its LGBTQ liaisons and with the Commission to explore how to implement a plan for dissemination to these populations. </w:t>
      </w:r>
    </w:p>
    <w:p w14:paraId="6669C4D5" w14:textId="77777777" w:rsidR="00B60838" w:rsidRPr="00B60838" w:rsidRDefault="00B60838" w:rsidP="00B60838">
      <w:pPr>
        <w:spacing w:after="0"/>
        <w:jc w:val="both"/>
        <w:rPr>
          <w:rFonts w:ascii="Arial" w:hAnsi="Arial" w:cs="Arial"/>
        </w:rPr>
      </w:pPr>
    </w:p>
    <w:p w14:paraId="02B1122A" w14:textId="77777777" w:rsidR="00B60838" w:rsidRPr="00F30878" w:rsidRDefault="00B60838" w:rsidP="00961B5D">
      <w:pPr>
        <w:numPr>
          <w:ilvl w:val="0"/>
          <w:numId w:val="26"/>
        </w:numPr>
        <w:spacing w:after="0"/>
        <w:jc w:val="both"/>
        <w:rPr>
          <w:rFonts w:ascii="Arial" w:hAnsi="Arial" w:cs="Arial"/>
          <w:b/>
          <w:color w:val="365F91" w:themeColor="accent1" w:themeShade="BF"/>
        </w:rPr>
      </w:pPr>
      <w:r w:rsidRPr="00F30878">
        <w:rPr>
          <w:rFonts w:ascii="Arial" w:hAnsi="Arial" w:cs="Arial"/>
          <w:b/>
          <w:color w:val="365F91" w:themeColor="accent1" w:themeShade="BF"/>
        </w:rPr>
        <w:t xml:space="preserve">Identify LGBTQ-friendly foster placements, hotline homes, and residential facilities in every region across the Commonwealth, and store this information in a manner easily accessible to DCF workers, while maintaining appropriate levels of privacy. </w:t>
      </w:r>
    </w:p>
    <w:p w14:paraId="5E1283F0" w14:textId="77777777" w:rsidR="00B60838" w:rsidRPr="00B60838" w:rsidRDefault="00B60838" w:rsidP="00B60838">
      <w:pPr>
        <w:spacing w:after="0"/>
        <w:jc w:val="both"/>
        <w:rPr>
          <w:rFonts w:ascii="Arial" w:hAnsi="Arial" w:cs="Arial"/>
        </w:rPr>
      </w:pPr>
    </w:p>
    <w:p w14:paraId="075C6E40" w14:textId="77777777" w:rsidR="00B60838" w:rsidRPr="00B60838" w:rsidRDefault="00B60838" w:rsidP="00B60838">
      <w:pPr>
        <w:spacing w:after="0"/>
        <w:jc w:val="both"/>
        <w:rPr>
          <w:rFonts w:ascii="Arial" w:hAnsi="Arial" w:cs="Arial"/>
        </w:rPr>
      </w:pPr>
      <w:r w:rsidRPr="00B60838">
        <w:rPr>
          <w:rFonts w:ascii="Arial" w:hAnsi="Arial" w:cs="Arial"/>
        </w:rPr>
        <w:t xml:space="preserve">DCF has begun an informal collection of data on LGBTQ-friendly foster parents and facilities, </w:t>
      </w:r>
      <w:r w:rsidR="00604271">
        <w:rPr>
          <w:rFonts w:ascii="Arial" w:hAnsi="Arial" w:cs="Arial"/>
        </w:rPr>
        <w:t>conducted</w:t>
      </w:r>
      <w:r w:rsidRPr="00B60838">
        <w:rPr>
          <w:rFonts w:ascii="Arial" w:hAnsi="Arial" w:cs="Arial"/>
        </w:rPr>
        <w:t xml:space="preserve"> mainly by the LGBTQ liaison in each area </w:t>
      </w:r>
      <w:r w:rsidR="00604271">
        <w:rPr>
          <w:rFonts w:ascii="Arial" w:hAnsi="Arial" w:cs="Arial"/>
        </w:rPr>
        <w:t>office. The Commission has received anecdotal evidence</w:t>
      </w:r>
      <w:r w:rsidRPr="00B60838">
        <w:rPr>
          <w:rFonts w:ascii="Arial" w:hAnsi="Arial" w:cs="Arial"/>
        </w:rPr>
        <w:t xml:space="preserve"> from community members who have offered their homes as LGBTQ-friendly but have not been contacted with a placement. The Commission continues to recommend a more methodological and thorough way of identifying LGBTQ friendly homes and hopes to continue working with DCF in this data collection.</w:t>
      </w:r>
    </w:p>
    <w:p w14:paraId="7FFE527B" w14:textId="77777777" w:rsidR="00B60838" w:rsidRPr="00B60838" w:rsidRDefault="00B60838" w:rsidP="00B60838">
      <w:pPr>
        <w:spacing w:after="0"/>
        <w:jc w:val="both"/>
        <w:rPr>
          <w:rFonts w:ascii="Arial" w:hAnsi="Arial" w:cs="Arial"/>
        </w:rPr>
      </w:pPr>
    </w:p>
    <w:p w14:paraId="5AAF3297" w14:textId="77777777" w:rsidR="007736EB" w:rsidRDefault="007736EB">
      <w:pPr>
        <w:rPr>
          <w:rFonts w:ascii="Arial" w:hAnsi="Arial" w:cs="Arial"/>
          <w:b/>
          <w:color w:val="365F91" w:themeColor="accent1" w:themeShade="BF"/>
        </w:rPr>
      </w:pPr>
      <w:r>
        <w:rPr>
          <w:rFonts w:ascii="Arial" w:hAnsi="Arial" w:cs="Arial"/>
          <w:b/>
          <w:color w:val="365F91" w:themeColor="accent1" w:themeShade="BF"/>
        </w:rPr>
        <w:br w:type="page"/>
      </w:r>
    </w:p>
    <w:p w14:paraId="0E34B914" w14:textId="17FCF2E7" w:rsidR="00B60838" w:rsidRPr="00F30878" w:rsidRDefault="00B60838" w:rsidP="00961B5D">
      <w:pPr>
        <w:numPr>
          <w:ilvl w:val="0"/>
          <w:numId w:val="26"/>
        </w:numPr>
        <w:spacing w:after="0"/>
        <w:jc w:val="both"/>
        <w:rPr>
          <w:rFonts w:ascii="Arial" w:hAnsi="Arial" w:cs="Arial"/>
          <w:b/>
          <w:color w:val="365F91" w:themeColor="accent1" w:themeShade="BF"/>
        </w:rPr>
      </w:pPr>
      <w:r w:rsidRPr="00F30878">
        <w:rPr>
          <w:rFonts w:ascii="Arial" w:hAnsi="Arial" w:cs="Arial"/>
          <w:b/>
          <w:color w:val="365F91" w:themeColor="accent1" w:themeShade="BF"/>
        </w:rPr>
        <w:lastRenderedPageBreak/>
        <w:t xml:space="preserve">Expand training programs to all workers and supervisors on issues that affect LGBTQ youth and young adults, while continuing </w:t>
      </w:r>
      <w:r w:rsidR="00000604" w:rsidRPr="00F30878">
        <w:rPr>
          <w:rFonts w:ascii="Arial" w:hAnsi="Arial" w:cs="Arial"/>
          <w:b/>
          <w:color w:val="365F91" w:themeColor="accent1" w:themeShade="BF"/>
        </w:rPr>
        <w:t>participati</w:t>
      </w:r>
      <w:r w:rsidR="00000604">
        <w:rPr>
          <w:rFonts w:ascii="Arial" w:hAnsi="Arial" w:cs="Arial"/>
          <w:b/>
          <w:color w:val="365F91" w:themeColor="accent1" w:themeShade="BF"/>
        </w:rPr>
        <w:t>on</w:t>
      </w:r>
      <w:r w:rsidR="00000604" w:rsidRPr="00F30878">
        <w:rPr>
          <w:rFonts w:ascii="Arial" w:hAnsi="Arial" w:cs="Arial"/>
          <w:b/>
          <w:color w:val="365F91" w:themeColor="accent1" w:themeShade="BF"/>
        </w:rPr>
        <w:t xml:space="preserve"> </w:t>
      </w:r>
      <w:r w:rsidRPr="00F30878">
        <w:rPr>
          <w:rFonts w:ascii="Arial" w:hAnsi="Arial" w:cs="Arial"/>
          <w:b/>
          <w:color w:val="365F91" w:themeColor="accent1" w:themeShade="BF"/>
        </w:rPr>
        <w:t>in the EOHHS interagency training development and explore potential uses of that training.</w:t>
      </w:r>
    </w:p>
    <w:p w14:paraId="17ACEF29" w14:textId="77777777" w:rsidR="007736EB" w:rsidRDefault="007736EB" w:rsidP="00B60838">
      <w:pPr>
        <w:spacing w:after="0"/>
        <w:jc w:val="both"/>
        <w:rPr>
          <w:rFonts w:ascii="Arial" w:hAnsi="Arial" w:cs="Arial"/>
        </w:rPr>
      </w:pPr>
    </w:p>
    <w:p w14:paraId="605FC8E4" w14:textId="77777777" w:rsidR="00B60838" w:rsidRPr="00B60838" w:rsidRDefault="00B60838" w:rsidP="00B60838">
      <w:pPr>
        <w:spacing w:after="0"/>
        <w:jc w:val="both"/>
        <w:rPr>
          <w:rFonts w:ascii="Arial" w:hAnsi="Arial" w:cs="Arial"/>
        </w:rPr>
      </w:pPr>
      <w:r w:rsidRPr="00B60838">
        <w:rPr>
          <w:rFonts w:ascii="Arial" w:hAnsi="Arial" w:cs="Arial"/>
        </w:rPr>
        <w:t xml:space="preserve">DCF regulation (110 CMR 7.104) requires that licensed foster and adoptive homes be able to nurture children, “including supporting and respecting a child’s sexual orientation or gender identity.” DCF has begun to partner with local providers to offer training, but so far has not provided a larger framework to make such training efforts sustainable over time or to enable more permanent culture change. </w:t>
      </w:r>
      <w:r w:rsidR="00D92921">
        <w:rPr>
          <w:rFonts w:ascii="Arial" w:hAnsi="Arial" w:cs="Arial"/>
        </w:rPr>
        <w:t xml:space="preserve">The Commission has heard that LGBTQ training, especially with respect to transgender and gender-nonconforming youth, would be highly beneficial for DCF’s staff to receive on a universal level. </w:t>
      </w:r>
      <w:r w:rsidRPr="00B60838">
        <w:rPr>
          <w:rFonts w:ascii="Arial" w:hAnsi="Arial" w:cs="Arial"/>
        </w:rPr>
        <w:t xml:space="preserve">DCF is eligible, as a Title IV-E agency, to assess resources from the federal government to provide training to caseworkers on LGBTQ competency. The Commission encourages DCF to learn more about opportunities to access these federal funds. Additionally, </w:t>
      </w:r>
      <w:r w:rsidR="00604271">
        <w:rPr>
          <w:rFonts w:ascii="Arial" w:hAnsi="Arial" w:cs="Arial"/>
        </w:rPr>
        <w:t xml:space="preserve">LGBTQ content could be offered at monthly staff meetings. </w:t>
      </w:r>
      <w:r w:rsidR="00D92921">
        <w:rPr>
          <w:rFonts w:ascii="Arial" w:hAnsi="Arial" w:cs="Arial"/>
        </w:rPr>
        <w:t xml:space="preserve">The Commission has heard from LGBTQ liaisons that some in-service trainings have been offered in a few offices, and these could prove to be an example for what was successful and what needed improvement to utilize this option (or an alternative) more broadly. </w:t>
      </w:r>
      <w:r w:rsidRPr="00B60838">
        <w:rPr>
          <w:rFonts w:ascii="Arial" w:hAnsi="Arial" w:cs="Arial"/>
        </w:rPr>
        <w:t>Finally, the Commission encourages DCF to continue working with the EOHHS interagency committee on LGBTQ issues to develop an online training that could be used to provide a universal training</w:t>
      </w:r>
      <w:r w:rsidR="00D92921">
        <w:rPr>
          <w:rFonts w:ascii="Arial" w:hAnsi="Arial" w:cs="Arial"/>
        </w:rPr>
        <w:t xml:space="preserve"> as a starting point, from which additional training – including specific training on the LGBTQ guide, liaison program, etc. – could be added as in-person sessions</w:t>
      </w:r>
      <w:r w:rsidRPr="00B60838">
        <w:rPr>
          <w:rFonts w:ascii="Arial" w:hAnsi="Arial" w:cs="Arial"/>
        </w:rPr>
        <w:t xml:space="preserve">. </w:t>
      </w:r>
    </w:p>
    <w:p w14:paraId="55AABA3A" w14:textId="77777777" w:rsidR="00B60838" w:rsidRPr="00B60838" w:rsidRDefault="00B60838" w:rsidP="00B60838">
      <w:pPr>
        <w:spacing w:after="0"/>
        <w:jc w:val="both"/>
        <w:rPr>
          <w:rFonts w:ascii="Arial" w:hAnsi="Arial" w:cs="Arial"/>
        </w:rPr>
      </w:pPr>
    </w:p>
    <w:p w14:paraId="11B73663" w14:textId="49039DE4" w:rsidR="0038780B" w:rsidRPr="00F30878" w:rsidRDefault="0038780B" w:rsidP="00072735">
      <w:pPr>
        <w:pStyle w:val="ListParagraph"/>
        <w:numPr>
          <w:ilvl w:val="0"/>
          <w:numId w:val="26"/>
        </w:numPr>
        <w:spacing w:after="0"/>
        <w:jc w:val="both"/>
        <w:rPr>
          <w:rFonts w:ascii="Arial" w:hAnsi="Arial" w:cs="Arial"/>
          <w:b/>
          <w:color w:val="365F91" w:themeColor="accent1" w:themeShade="BF"/>
        </w:rPr>
      </w:pPr>
      <w:r w:rsidRPr="00F30878">
        <w:rPr>
          <w:rFonts w:ascii="Arial" w:hAnsi="Arial" w:cs="Arial"/>
          <w:b/>
          <w:color w:val="365F91" w:themeColor="accent1" w:themeShade="BF"/>
        </w:rPr>
        <w:t xml:space="preserve">Ensure </w:t>
      </w:r>
      <w:r w:rsidR="00072735" w:rsidRPr="00072735">
        <w:rPr>
          <w:rFonts w:ascii="Arial" w:hAnsi="Arial" w:cs="Arial"/>
          <w:b/>
          <w:color w:val="365F91" w:themeColor="accent1" w:themeShade="BF"/>
        </w:rPr>
        <w:t>revised foster family training is consistently provided by trained presenters, and update training materials for participants.</w:t>
      </w:r>
    </w:p>
    <w:p w14:paraId="3CAE3C59" w14:textId="77777777" w:rsidR="00B60838" w:rsidRPr="00B60838" w:rsidRDefault="00B60838" w:rsidP="00B60838">
      <w:pPr>
        <w:spacing w:after="0"/>
        <w:jc w:val="both"/>
        <w:rPr>
          <w:rFonts w:ascii="Arial" w:hAnsi="Arial" w:cs="Arial"/>
        </w:rPr>
      </w:pPr>
    </w:p>
    <w:p w14:paraId="034DE7A5" w14:textId="2EC895F1" w:rsidR="00B60838" w:rsidRDefault="009619C1" w:rsidP="00B60838">
      <w:pPr>
        <w:spacing w:after="0"/>
        <w:jc w:val="both"/>
        <w:rPr>
          <w:rFonts w:ascii="Arial" w:hAnsi="Arial" w:cs="Arial"/>
        </w:rPr>
      </w:pPr>
      <w:r>
        <w:rPr>
          <w:rFonts w:ascii="Arial" w:hAnsi="Arial" w:cs="Arial"/>
          <w:noProof/>
        </w:rPr>
        <mc:AlternateContent>
          <mc:Choice Requires="wps">
            <w:drawing>
              <wp:anchor distT="0" distB="0" distL="114300" distR="114300" simplePos="0" relativeHeight="251833344" behindDoc="0" locked="0" layoutInCell="1" allowOverlap="1" wp14:anchorId="383D8CA4" wp14:editId="4E4E5967">
                <wp:simplePos x="0" y="0"/>
                <wp:positionH relativeFrom="column">
                  <wp:posOffset>-11430</wp:posOffset>
                </wp:positionH>
                <wp:positionV relativeFrom="paragraph">
                  <wp:posOffset>1760855</wp:posOffset>
                </wp:positionV>
                <wp:extent cx="6038850" cy="1775460"/>
                <wp:effectExtent l="0" t="0" r="19050"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775460"/>
                        </a:xfrm>
                        <a:prstGeom prst="rect">
                          <a:avLst/>
                        </a:prstGeom>
                        <a:solidFill>
                          <a:srgbClr val="FFFFFF"/>
                        </a:solidFill>
                        <a:ln w="19050">
                          <a:solidFill>
                            <a:srgbClr val="FFBC37"/>
                          </a:solidFill>
                          <a:miter lim="800000"/>
                          <a:headEnd/>
                          <a:tailEnd/>
                        </a:ln>
                      </wps:spPr>
                      <wps:txbx>
                        <w:txbxContent>
                          <w:p w14:paraId="49B38E9E" w14:textId="77777777" w:rsidR="00411ECA" w:rsidRPr="00A2496E" w:rsidRDefault="00411ECA" w:rsidP="007736EB">
                            <w:pPr>
                              <w:jc w:val="both"/>
                              <w:rPr>
                                <w:rFonts w:ascii="Arial" w:hAnsi="Arial" w:cs="Arial"/>
                                <w:i/>
                              </w:rPr>
                            </w:pPr>
                            <w:r w:rsidRPr="00A2496E">
                              <w:rPr>
                                <w:rFonts w:ascii="Arial" w:hAnsi="Arial" w:cs="Arial"/>
                                <w:i/>
                              </w:rPr>
                              <w:t xml:space="preserve">“[During the LGBTQ </w:t>
                            </w:r>
                            <w:r>
                              <w:rPr>
                                <w:rFonts w:ascii="Arial" w:hAnsi="Arial" w:cs="Arial"/>
                                <w:i/>
                              </w:rPr>
                              <w:t>portion</w:t>
                            </w:r>
                            <w:r w:rsidRPr="00A2496E">
                              <w:rPr>
                                <w:rFonts w:ascii="Arial" w:hAnsi="Arial" w:cs="Arial"/>
                                <w:i/>
                              </w:rPr>
                              <w:t xml:space="preserve"> of our MAPP training], there was a couple in front of us, and the husband said</w:t>
                            </w:r>
                            <w:r>
                              <w:rPr>
                                <w:rFonts w:ascii="Arial" w:hAnsi="Arial" w:cs="Arial"/>
                                <w:i/>
                              </w:rPr>
                              <w:t>,</w:t>
                            </w:r>
                            <w:r w:rsidRPr="00A2496E">
                              <w:rPr>
                                <w:rFonts w:ascii="Arial" w:hAnsi="Arial" w:cs="Arial"/>
                                <w:i/>
                              </w:rPr>
                              <w:t xml:space="preserve"> “Why are we talking about these things?” And the wife said</w:t>
                            </w:r>
                            <w:r>
                              <w:rPr>
                                <w:rFonts w:ascii="Arial" w:hAnsi="Arial" w:cs="Arial"/>
                                <w:i/>
                              </w:rPr>
                              <w:t>,</w:t>
                            </w:r>
                            <w:r w:rsidRPr="00A2496E">
                              <w:rPr>
                                <w:rFonts w:ascii="Arial" w:hAnsi="Arial" w:cs="Arial"/>
                                <w:i/>
                              </w:rPr>
                              <w:t xml:space="preserve"> “Don’t worry. We won’t get a child like that.”...</w:t>
                            </w:r>
                            <w:r>
                              <w:rPr>
                                <w:rFonts w:ascii="Arial" w:hAnsi="Arial" w:cs="Arial"/>
                                <w:i/>
                              </w:rPr>
                              <w:t xml:space="preserve"> [But] m</w:t>
                            </w:r>
                            <w:r w:rsidRPr="00A2496E">
                              <w:rPr>
                                <w:rFonts w:ascii="Arial" w:hAnsi="Arial" w:cs="Arial"/>
                                <w:i/>
                              </w:rPr>
                              <w:t>y biggest concern going through MAPP class was unintended comments made by some of the social workers. When we had the sexual assault component and talked about different experiences children might have had, in the case of one social worker in particular, every single example he gave involved two gay men. I don’t think he was intending to do that, but you need to be cognizant of bias when you’re speaking.”</w:t>
                            </w:r>
                          </w:p>
                          <w:p w14:paraId="08732D33" w14:textId="77777777" w:rsidR="00411ECA" w:rsidRPr="00A2496E" w:rsidRDefault="00411ECA" w:rsidP="007736EB">
                            <w:pPr>
                              <w:rPr>
                                <w:rFonts w:ascii="Arial" w:hAnsi="Arial" w:cs="Arial"/>
                              </w:rPr>
                            </w:pPr>
                            <w:r w:rsidRPr="00A2496E">
                              <w:rPr>
                                <w:rFonts w:ascii="Arial" w:hAnsi="Arial" w:cs="Arial"/>
                              </w:rPr>
                              <w:t>– Foster Parent, Western Massachusetts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9pt;margin-top:138.65pt;width:475.5pt;height:139.8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" strokecolor="#ffbc37" strokeweight="1.5pt">
                <v:textbox>
                  <w:txbxContent>
                    <w:p w14:paraId="49B38E9E" w14:textId="77777777" w:rsidR="00411ECA" w:rsidRPr="00A2496E" w:rsidRDefault="00411ECA" w:rsidP="007736EB">
                      <w:pPr>
                        <w:jc w:val="both"/>
                        <w:rPr>
                          <w:rFonts w:ascii="Arial" w:hAnsi="Arial" w:cs="Arial"/>
                          <w:i/>
                        </w:rPr>
                      </w:pPr>
                      <w:r w:rsidRPr="00A2496E">
                        <w:rPr>
                          <w:rFonts w:ascii="Arial" w:hAnsi="Arial" w:cs="Arial"/>
                          <w:i/>
                        </w:rPr>
                        <w:t xml:space="preserve">“[During the LGBTQ </w:t>
                      </w:r>
                      <w:r>
                        <w:rPr>
                          <w:rFonts w:ascii="Arial" w:hAnsi="Arial" w:cs="Arial"/>
                          <w:i/>
                        </w:rPr>
                        <w:t>portion</w:t>
                      </w:r>
                      <w:r w:rsidRPr="00A2496E">
                        <w:rPr>
                          <w:rFonts w:ascii="Arial" w:hAnsi="Arial" w:cs="Arial"/>
                          <w:i/>
                        </w:rPr>
                        <w:t xml:space="preserve"> of our MAPP training], there was a couple in front of us, and the husband said</w:t>
                      </w:r>
                      <w:r>
                        <w:rPr>
                          <w:rFonts w:ascii="Arial" w:hAnsi="Arial" w:cs="Arial"/>
                          <w:i/>
                        </w:rPr>
                        <w:t>,</w:t>
                      </w:r>
                      <w:r w:rsidRPr="00A2496E">
                        <w:rPr>
                          <w:rFonts w:ascii="Arial" w:hAnsi="Arial" w:cs="Arial"/>
                          <w:i/>
                        </w:rPr>
                        <w:t xml:space="preserve"> “Why are we talking about these things?” And the wife said</w:t>
                      </w:r>
                      <w:r>
                        <w:rPr>
                          <w:rFonts w:ascii="Arial" w:hAnsi="Arial" w:cs="Arial"/>
                          <w:i/>
                        </w:rPr>
                        <w:t>,</w:t>
                      </w:r>
                      <w:r w:rsidRPr="00A2496E">
                        <w:rPr>
                          <w:rFonts w:ascii="Arial" w:hAnsi="Arial" w:cs="Arial"/>
                          <w:i/>
                        </w:rPr>
                        <w:t xml:space="preserve"> “Don’t worry. We won’t get a child like that.”...</w:t>
                      </w:r>
                      <w:r>
                        <w:rPr>
                          <w:rFonts w:ascii="Arial" w:hAnsi="Arial" w:cs="Arial"/>
                          <w:i/>
                        </w:rPr>
                        <w:t xml:space="preserve"> [But] m</w:t>
                      </w:r>
                      <w:r w:rsidRPr="00A2496E">
                        <w:rPr>
                          <w:rFonts w:ascii="Arial" w:hAnsi="Arial" w:cs="Arial"/>
                          <w:i/>
                        </w:rPr>
                        <w:t>y biggest concern going through MAPP class was unintended comments made by some of the social workers. When we had the sexual assault component and talked about different experiences children might have had, in the case of one social worker in particular, every single example he gave involved two gay men. I don’t think he was intending to do that, but you need to be cognizant of bias when you’re speaking.”</w:t>
                      </w:r>
                    </w:p>
                    <w:p w14:paraId="08732D33" w14:textId="77777777" w:rsidR="00411ECA" w:rsidRPr="00A2496E" w:rsidRDefault="00411ECA" w:rsidP="007736EB">
                      <w:pPr>
                        <w:rPr>
                          <w:rFonts w:ascii="Arial" w:hAnsi="Arial" w:cs="Arial"/>
                        </w:rPr>
                      </w:pPr>
                      <w:r w:rsidRPr="00A2496E">
                        <w:rPr>
                          <w:rFonts w:ascii="Arial" w:hAnsi="Arial" w:cs="Arial"/>
                        </w:rPr>
                        <w:t>– Foster Parent, Western Massachusetts</w:t>
                      </w:r>
                    </w:p>
                  </w:txbxContent>
                </v:textbox>
                <w10:wrap type="square"/>
              </v:shape>
            </w:pict>
          </mc:Fallback>
        </mc:AlternateContent>
      </w:r>
      <w:r w:rsidR="00B60838" w:rsidRPr="00B60838">
        <w:rPr>
          <w:rFonts w:ascii="Arial" w:hAnsi="Arial" w:cs="Arial"/>
        </w:rPr>
        <w:t xml:space="preserve">Last year, DCF revised their MAPP training for foster families, updating the training to bring it in line with their most recent LGBTQ inclusive best practices. This updated training </w:t>
      </w:r>
      <w:r w:rsidR="00D92921">
        <w:rPr>
          <w:rFonts w:ascii="Arial" w:hAnsi="Arial" w:cs="Arial"/>
        </w:rPr>
        <w:t xml:space="preserve">corrects many of the outdated material in the old training, which was not based on best practices and which many trainers and trainees found inappropriate. The Commission thanks DCF for updating the trainer’s version of the materials, and encourages it to work on ensuring that the trainers themselves are trained on how to present the material. Furthermore, the Commission understands that the materials received by trainees have not been updated to reflect the changes made to the curriculum. Such changes are necessary to ensure that the improved training has its intended effect. </w:t>
      </w:r>
    </w:p>
    <w:p w14:paraId="5EBC5917" w14:textId="77777777" w:rsidR="00B60838" w:rsidRPr="00F30878" w:rsidRDefault="00B60838" w:rsidP="00961B5D">
      <w:pPr>
        <w:numPr>
          <w:ilvl w:val="0"/>
          <w:numId w:val="26"/>
        </w:numPr>
        <w:spacing w:after="0"/>
        <w:contextualSpacing/>
        <w:jc w:val="both"/>
        <w:rPr>
          <w:rFonts w:ascii="Arial" w:hAnsi="Arial" w:cs="Arial"/>
          <w:b/>
          <w:color w:val="365F91" w:themeColor="accent1" w:themeShade="BF"/>
        </w:rPr>
      </w:pPr>
      <w:r w:rsidRPr="00F30878">
        <w:rPr>
          <w:rFonts w:ascii="Arial" w:hAnsi="Arial" w:cs="Arial"/>
          <w:b/>
          <w:color w:val="365F91" w:themeColor="accent1" w:themeShade="BF"/>
        </w:rPr>
        <w:lastRenderedPageBreak/>
        <w:t xml:space="preserve">Publish newly-gathered data on sexual orientation and gender identity and explore its implications for DCF service delivery. </w:t>
      </w:r>
    </w:p>
    <w:p w14:paraId="7AB2B161" w14:textId="77777777" w:rsidR="00B60838" w:rsidRPr="00B60838" w:rsidRDefault="00B60838" w:rsidP="00B60838">
      <w:pPr>
        <w:spacing w:after="0"/>
        <w:jc w:val="both"/>
        <w:rPr>
          <w:rFonts w:ascii="Arial" w:hAnsi="Arial" w:cs="Arial"/>
        </w:rPr>
      </w:pPr>
    </w:p>
    <w:p w14:paraId="344BC7E8" w14:textId="5DFF36BF" w:rsidR="00E233AB" w:rsidRDefault="00F115F6" w:rsidP="00E233AB">
      <w:pPr>
        <w:spacing w:after="0"/>
        <w:jc w:val="both"/>
        <w:rPr>
          <w:rFonts w:ascii="Arial" w:hAnsi="Arial" w:cs="Arial"/>
        </w:rPr>
      </w:pPr>
      <w:r>
        <w:rPr>
          <w:rFonts w:ascii="Arial" w:hAnsi="Arial" w:cs="Arial"/>
        </w:rPr>
        <w:t>From</w:t>
      </w:r>
      <w:r w:rsidR="00B60838" w:rsidRPr="00B60838">
        <w:rPr>
          <w:rFonts w:ascii="Arial" w:hAnsi="Arial" w:cs="Arial"/>
        </w:rPr>
        <w:t xml:space="preserve"> late 2017 to early 2018, DCF implemented questions </w:t>
      </w:r>
      <w:r>
        <w:rPr>
          <w:rFonts w:ascii="Arial" w:hAnsi="Arial" w:cs="Arial"/>
        </w:rPr>
        <w:t xml:space="preserve">into its system </w:t>
      </w:r>
      <w:r w:rsidR="00B60838" w:rsidRPr="00B60838">
        <w:rPr>
          <w:rFonts w:ascii="Arial" w:hAnsi="Arial" w:cs="Arial"/>
        </w:rPr>
        <w:t xml:space="preserve">on sexual orientation and gender identity, and </w:t>
      </w:r>
      <w:r>
        <w:rPr>
          <w:rFonts w:ascii="Arial" w:hAnsi="Arial" w:cs="Arial"/>
        </w:rPr>
        <w:t>provided some instruction</w:t>
      </w:r>
      <w:r w:rsidR="00B60838" w:rsidRPr="00B60838">
        <w:rPr>
          <w:rFonts w:ascii="Arial" w:hAnsi="Arial" w:cs="Arial"/>
        </w:rPr>
        <w:t xml:space="preserve"> on how to ask these questions. This year will be the first in which DCF will have this data in order to begin reviewing. The Commission recommends th</w:t>
      </w:r>
      <w:r w:rsidR="004071C8">
        <w:rPr>
          <w:rFonts w:ascii="Arial" w:hAnsi="Arial" w:cs="Arial"/>
        </w:rPr>
        <w:t>at</w:t>
      </w:r>
      <w:r w:rsidR="00B60838" w:rsidRPr="00B60838">
        <w:rPr>
          <w:rFonts w:ascii="Arial" w:hAnsi="Arial" w:cs="Arial"/>
        </w:rPr>
        <w:t xml:space="preserve"> DCF monitor this data and share it publicly, when possible, in order to help the Commonwealth learn more about LGBTQ youth and families involved with DCF. This data will help determine what supports this population of LGBTQ youth might need. </w:t>
      </w:r>
      <w:r w:rsidR="00D92921">
        <w:rPr>
          <w:rFonts w:ascii="Arial" w:hAnsi="Arial" w:cs="Arial"/>
        </w:rPr>
        <w:t xml:space="preserve">The first round of data will also likely demonstrate what challenges remain in the collection of data, which likely will need to be addressed by further education of those tasked with collecting data, ideally through targeted training. The work done by DYS in this respect may well prove to be a useful model for DCF to continue to refine its system for data collection mechanisms, training those who collect data, and analyzing the data on a regular basis. </w:t>
      </w:r>
      <w:r w:rsidR="00B60838" w:rsidRPr="00B60838">
        <w:rPr>
          <w:rFonts w:ascii="Arial" w:hAnsi="Arial" w:cs="Arial"/>
        </w:rPr>
        <w:t xml:space="preserve">The EOHHS LGBTQ interagency committee will also be a strong resource to share DCF's progress and the lessons learned with other agencies that are collecting this data themselves or are considering collecting it. </w:t>
      </w:r>
    </w:p>
    <w:p w14:paraId="5A40D7E3" w14:textId="77777777" w:rsidR="00E233AB" w:rsidRPr="00E233AB" w:rsidRDefault="00E233AB" w:rsidP="00E233AB">
      <w:pPr>
        <w:spacing w:after="0"/>
        <w:jc w:val="both"/>
        <w:rPr>
          <w:rFonts w:ascii="Arial" w:hAnsi="Arial" w:cs="Arial"/>
        </w:rPr>
      </w:pPr>
    </w:p>
    <w:p w14:paraId="04A6F9AF" w14:textId="77777777" w:rsidR="00F94896" w:rsidRDefault="00F94896">
      <w:pPr>
        <w:rPr>
          <w:rFonts w:ascii="Arial" w:eastAsiaTheme="majorEastAsia" w:hAnsi="Arial" w:cstheme="majorBidi"/>
          <w:b/>
          <w:bCs/>
          <w:color w:val="000000" w:themeColor="text1"/>
          <w:sz w:val="26"/>
          <w:szCs w:val="26"/>
        </w:rPr>
      </w:pPr>
      <w:r>
        <w:br w:type="page"/>
      </w:r>
    </w:p>
    <w:p w14:paraId="14C5565D" w14:textId="77777777" w:rsidR="008E79F1" w:rsidRPr="008E79F1" w:rsidRDefault="00F30878" w:rsidP="00EB2689">
      <w:pPr>
        <w:pStyle w:val="Heading2"/>
      </w:pPr>
      <w:bookmarkStart w:id="34" w:name="_Toc512947912"/>
      <w:r>
        <w:rPr>
          <w:noProof/>
        </w:rPr>
        <w:lastRenderedPageBreak/>
        <w:drawing>
          <wp:anchor distT="0" distB="0" distL="114300" distR="114300" simplePos="0" relativeHeight="251764736" behindDoc="1" locked="0" layoutInCell="0" allowOverlap="1" wp14:anchorId="2C493736" wp14:editId="0FD7DEF9">
            <wp:simplePos x="0" y="0"/>
            <wp:positionH relativeFrom="column">
              <wp:posOffset>-5080</wp:posOffset>
            </wp:positionH>
            <wp:positionV relativeFrom="paragraph">
              <wp:posOffset>193040</wp:posOffset>
            </wp:positionV>
            <wp:extent cx="5980430" cy="18415"/>
            <wp:effectExtent l="0" t="0" r="1270" b="63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anchor>
        </w:drawing>
      </w:r>
      <w:r w:rsidR="008E79F1" w:rsidRPr="004A0403">
        <w:t>Massachusetts Commission for the Blind</w:t>
      </w:r>
      <w:bookmarkEnd w:id="34"/>
    </w:p>
    <w:p w14:paraId="718EF291" w14:textId="77777777" w:rsidR="008E79F1" w:rsidRPr="008E79F1" w:rsidRDefault="008E79F1" w:rsidP="008E79F1">
      <w:pPr>
        <w:spacing w:after="0"/>
        <w:jc w:val="both"/>
        <w:rPr>
          <w:rFonts w:ascii="Arial" w:hAnsi="Arial" w:cs="Arial"/>
        </w:rPr>
      </w:pPr>
    </w:p>
    <w:p w14:paraId="13FC9B24" w14:textId="77777777" w:rsidR="00F30878" w:rsidRDefault="00F30878" w:rsidP="00F30878">
      <w:pPr>
        <w:spacing w:after="0"/>
        <w:jc w:val="center"/>
        <w:rPr>
          <w:rFonts w:ascii="Arial" w:hAnsi="Arial" w:cs="Arial"/>
          <w:b/>
          <w:u w:val="single"/>
        </w:rPr>
      </w:pPr>
    </w:p>
    <w:p w14:paraId="5CD86E4C" w14:textId="77777777" w:rsidR="008E79F1" w:rsidRPr="00F30878" w:rsidRDefault="009D5AC3" w:rsidP="00F30878">
      <w:pPr>
        <w:spacing w:after="0"/>
        <w:jc w:val="center"/>
        <w:rPr>
          <w:rFonts w:ascii="Arial" w:hAnsi="Arial" w:cs="Arial"/>
          <w:b/>
          <w:u w:val="single"/>
        </w:rPr>
      </w:pPr>
      <w:r w:rsidRPr="00F30878">
        <w:rPr>
          <w:rFonts w:ascii="Arial" w:hAnsi="Arial" w:cs="Arial"/>
          <w:b/>
          <w:u w:val="single"/>
        </w:rPr>
        <w:t>FY2019</w:t>
      </w:r>
      <w:r w:rsidR="008E79F1" w:rsidRPr="00F30878">
        <w:rPr>
          <w:rFonts w:ascii="Arial" w:hAnsi="Arial" w:cs="Arial"/>
          <w:b/>
          <w:u w:val="single"/>
        </w:rPr>
        <w:t xml:space="preserve"> RECOMMENDATIONS</w:t>
      </w:r>
    </w:p>
    <w:p w14:paraId="760C389E" w14:textId="77777777" w:rsidR="008E79F1" w:rsidRPr="00181DB3" w:rsidRDefault="008E79F1" w:rsidP="00821074">
      <w:pPr>
        <w:spacing w:after="0"/>
        <w:jc w:val="both"/>
        <w:rPr>
          <w:rFonts w:ascii="Arial" w:hAnsi="Arial" w:cs="Arial"/>
        </w:rPr>
      </w:pPr>
    </w:p>
    <w:p w14:paraId="4DE4EB86" w14:textId="77777777" w:rsidR="004C6ED3" w:rsidRPr="00F30878" w:rsidRDefault="004C6ED3" w:rsidP="00961B5D">
      <w:pPr>
        <w:numPr>
          <w:ilvl w:val="0"/>
          <w:numId w:val="13"/>
        </w:numPr>
        <w:spacing w:after="0"/>
        <w:jc w:val="both"/>
        <w:rPr>
          <w:rFonts w:ascii="Arial" w:eastAsia="Times New Roman" w:hAnsi="Arial" w:cs="Arial"/>
          <w:b/>
          <w:color w:val="365F91" w:themeColor="accent1" w:themeShade="BF"/>
          <w:shd w:val="clear" w:color="auto" w:fill="FFFFFF"/>
        </w:rPr>
      </w:pPr>
      <w:r w:rsidRPr="00F30878">
        <w:rPr>
          <w:rFonts w:ascii="Arial" w:eastAsia="Times New Roman" w:hAnsi="Arial" w:cs="Arial"/>
          <w:b/>
          <w:color w:val="365F91" w:themeColor="accent1" w:themeShade="BF"/>
          <w:shd w:val="clear" w:color="auto" w:fill="FFFFFF"/>
        </w:rPr>
        <w:t xml:space="preserve">Continue offering LGBTQ competency trainings and explore how to reach the maximum number of staff, including possibly through the EOHHS interagency training initiative. </w:t>
      </w:r>
    </w:p>
    <w:p w14:paraId="622C63B2" w14:textId="77777777" w:rsidR="004C6ED3" w:rsidRPr="00F30878" w:rsidRDefault="004C6ED3" w:rsidP="00961B5D">
      <w:pPr>
        <w:numPr>
          <w:ilvl w:val="0"/>
          <w:numId w:val="13"/>
        </w:numPr>
        <w:spacing w:after="0"/>
        <w:jc w:val="both"/>
        <w:rPr>
          <w:rFonts w:ascii="Arial" w:eastAsia="Times New Roman" w:hAnsi="Arial" w:cs="Arial"/>
          <w:b/>
          <w:color w:val="365F91" w:themeColor="accent1" w:themeShade="BF"/>
          <w:shd w:val="clear" w:color="auto" w:fill="FFFFFF"/>
        </w:rPr>
      </w:pPr>
      <w:r w:rsidRPr="00F30878">
        <w:rPr>
          <w:rFonts w:ascii="Arial" w:eastAsia="Times New Roman" w:hAnsi="Arial" w:cs="Arial"/>
          <w:b/>
          <w:color w:val="365F91" w:themeColor="accent1" w:themeShade="BF"/>
          <w:shd w:val="clear" w:color="auto" w:fill="FFFFFF"/>
        </w:rPr>
        <w:t xml:space="preserve">Continue advising staff on how to collect information like preferred pronouns in client notes and exploring options for increasing data collection relating to sexual orientation and gender identity. </w:t>
      </w:r>
    </w:p>
    <w:p w14:paraId="5BF992B5" w14:textId="77777777" w:rsidR="004C6ED3" w:rsidRPr="00F30878" w:rsidRDefault="004C6ED3" w:rsidP="00961B5D">
      <w:pPr>
        <w:numPr>
          <w:ilvl w:val="0"/>
          <w:numId w:val="13"/>
        </w:numPr>
        <w:spacing w:after="0"/>
        <w:jc w:val="both"/>
        <w:rPr>
          <w:rFonts w:ascii="Arial" w:eastAsia="Times New Roman" w:hAnsi="Arial" w:cs="Arial"/>
          <w:b/>
          <w:color w:val="365F91" w:themeColor="accent1" w:themeShade="BF"/>
          <w:shd w:val="clear" w:color="auto" w:fill="FFFFFF"/>
        </w:rPr>
      </w:pPr>
      <w:r w:rsidRPr="00F30878">
        <w:rPr>
          <w:rFonts w:ascii="Arial" w:eastAsia="Times New Roman" w:hAnsi="Arial" w:cs="Arial"/>
          <w:b/>
          <w:color w:val="365F91" w:themeColor="accent1" w:themeShade="BF"/>
          <w:shd w:val="clear" w:color="auto" w:fill="FFFFFF"/>
        </w:rPr>
        <w:t xml:space="preserve">Discuss with the Commission how to make the LGBTQ </w:t>
      </w:r>
      <w:r w:rsidR="00F115F6">
        <w:rPr>
          <w:rFonts w:ascii="Arial" w:eastAsia="Times New Roman" w:hAnsi="Arial" w:cs="Arial"/>
          <w:b/>
          <w:color w:val="365F91" w:themeColor="accent1" w:themeShade="BF"/>
          <w:shd w:val="clear" w:color="auto" w:fill="FFFFFF"/>
        </w:rPr>
        <w:t>r</w:t>
      </w:r>
      <w:r w:rsidRPr="00F30878">
        <w:rPr>
          <w:rFonts w:ascii="Arial" w:eastAsia="Times New Roman" w:hAnsi="Arial" w:cs="Arial"/>
          <w:b/>
          <w:color w:val="365F91" w:themeColor="accent1" w:themeShade="BF"/>
          <w:shd w:val="clear" w:color="auto" w:fill="FFFFFF"/>
        </w:rPr>
        <w:t xml:space="preserve">esource </w:t>
      </w:r>
      <w:r w:rsidR="00F115F6">
        <w:rPr>
          <w:rFonts w:ascii="Arial" w:eastAsia="Times New Roman" w:hAnsi="Arial" w:cs="Arial"/>
          <w:b/>
          <w:color w:val="365F91" w:themeColor="accent1" w:themeShade="BF"/>
          <w:shd w:val="clear" w:color="auto" w:fill="FFFFFF"/>
        </w:rPr>
        <w:t>m</w:t>
      </w:r>
      <w:r w:rsidRPr="00F30878">
        <w:rPr>
          <w:rFonts w:ascii="Arial" w:eastAsia="Times New Roman" w:hAnsi="Arial" w:cs="Arial"/>
          <w:b/>
          <w:color w:val="365F91" w:themeColor="accent1" w:themeShade="BF"/>
          <w:shd w:val="clear" w:color="auto" w:fill="FFFFFF"/>
        </w:rPr>
        <w:t xml:space="preserve">ap accessible to and inclusive of MCB's population, and explore using it as a resource for MCB's clients. </w:t>
      </w:r>
    </w:p>
    <w:p w14:paraId="107E0AF0" w14:textId="77777777" w:rsidR="004C6ED3" w:rsidRPr="004C6ED3" w:rsidRDefault="004C6ED3" w:rsidP="004C6ED3">
      <w:pPr>
        <w:spacing w:after="0"/>
        <w:jc w:val="both"/>
        <w:rPr>
          <w:rFonts w:ascii="Arial" w:eastAsia="Times New Roman" w:hAnsi="Arial" w:cs="Arial"/>
          <w:color w:val="000000"/>
          <w:shd w:val="clear" w:color="auto" w:fill="FFFFFF"/>
        </w:rPr>
      </w:pPr>
    </w:p>
    <w:p w14:paraId="4E766337" w14:textId="77777777" w:rsidR="004C6ED3" w:rsidRPr="00F30878" w:rsidRDefault="004C6ED3" w:rsidP="00F30878">
      <w:pPr>
        <w:spacing w:after="0"/>
        <w:jc w:val="center"/>
        <w:rPr>
          <w:rFonts w:ascii="Arial" w:eastAsia="Times New Roman" w:hAnsi="Arial" w:cs="Arial"/>
          <w:b/>
          <w:color w:val="000000"/>
          <w:u w:val="single"/>
          <w:shd w:val="clear" w:color="auto" w:fill="FFFFFF"/>
        </w:rPr>
      </w:pPr>
      <w:r w:rsidRPr="00F30878">
        <w:rPr>
          <w:rFonts w:ascii="Arial" w:eastAsia="Times New Roman" w:hAnsi="Arial" w:cs="Arial"/>
          <w:b/>
          <w:color w:val="000000"/>
          <w:u w:val="single"/>
          <w:shd w:val="clear" w:color="auto" w:fill="FFFFFF"/>
        </w:rPr>
        <w:t>BACKGROUND &amp; RESEARCH</w:t>
      </w:r>
    </w:p>
    <w:p w14:paraId="2EC92081" w14:textId="77777777" w:rsidR="004C6ED3" w:rsidRPr="004C6ED3" w:rsidRDefault="004C6ED3" w:rsidP="004C6ED3">
      <w:pPr>
        <w:spacing w:after="0"/>
        <w:jc w:val="both"/>
        <w:rPr>
          <w:rFonts w:ascii="Arial" w:eastAsia="Times New Roman" w:hAnsi="Arial" w:cs="Arial"/>
          <w:color w:val="000000"/>
          <w:shd w:val="clear" w:color="auto" w:fill="FFFFFF"/>
        </w:rPr>
      </w:pPr>
    </w:p>
    <w:p w14:paraId="74F0C170" w14:textId="2450D721" w:rsidR="004C6ED3" w:rsidRPr="004C6ED3" w:rsidRDefault="004C6ED3" w:rsidP="004C6ED3">
      <w:pPr>
        <w:spacing w:after="0"/>
        <w:jc w:val="both"/>
        <w:rPr>
          <w:rFonts w:ascii="Arial" w:eastAsia="Times New Roman" w:hAnsi="Arial" w:cs="Arial"/>
          <w:color w:val="000000"/>
          <w:shd w:val="clear" w:color="auto" w:fill="FFFFFF"/>
        </w:rPr>
      </w:pPr>
      <w:r w:rsidRPr="004C6ED3">
        <w:rPr>
          <w:rFonts w:ascii="Arial" w:eastAsia="Times New Roman" w:hAnsi="Arial" w:cs="Arial"/>
          <w:color w:val="000000"/>
          <w:shd w:val="clear" w:color="auto" w:fill="FFFFFF"/>
        </w:rPr>
        <w:t>The Massachusetts Commission for the Blind (MCB) is the principal agency in the Commonwealth that works on behalf of people of all ages who are blind. Unfortunately, limited research exists that examines the experiences of LGBTQ populations who are blind. Nevertheless, sexual and gender minority identities exist within blind communities. For example, Blind LGBT Pride International, an affiliate of the American Council of the Blind, has been operating since 1996,</w:t>
      </w:r>
      <w:r w:rsidR="003F544F">
        <w:rPr>
          <w:rStyle w:val="EndnoteReference"/>
          <w:rFonts w:ascii="Arial" w:eastAsia="Times New Roman" w:hAnsi="Arial" w:cs="Arial"/>
          <w:color w:val="000000"/>
          <w:shd w:val="clear" w:color="auto" w:fill="FFFFFF"/>
        </w:rPr>
        <w:endnoteReference w:id="186"/>
      </w:r>
      <w:r w:rsidRPr="004C6ED3">
        <w:rPr>
          <w:rFonts w:ascii="Arial" w:eastAsia="Times New Roman" w:hAnsi="Arial" w:cs="Arial"/>
          <w:color w:val="000000"/>
          <w:shd w:val="clear" w:color="auto" w:fill="FFFFFF"/>
        </w:rPr>
        <w:t xml:space="preserve"> and convenes regular conferences.</w:t>
      </w:r>
      <w:r w:rsidR="003F544F">
        <w:rPr>
          <w:rStyle w:val="EndnoteReference"/>
          <w:rFonts w:ascii="Arial" w:eastAsia="Times New Roman" w:hAnsi="Arial" w:cs="Arial"/>
          <w:color w:val="000000"/>
          <w:shd w:val="clear" w:color="auto" w:fill="FFFFFF"/>
        </w:rPr>
        <w:endnoteReference w:id="187"/>
      </w:r>
    </w:p>
    <w:p w14:paraId="5339D7F4" w14:textId="77777777" w:rsidR="004C6ED3" w:rsidRPr="004C6ED3" w:rsidRDefault="004C6ED3" w:rsidP="004C6ED3">
      <w:pPr>
        <w:spacing w:after="0"/>
        <w:jc w:val="both"/>
        <w:rPr>
          <w:rFonts w:ascii="Arial" w:eastAsia="Times New Roman" w:hAnsi="Arial" w:cs="Arial"/>
          <w:color w:val="000000"/>
          <w:shd w:val="clear" w:color="auto" w:fill="FFFFFF"/>
        </w:rPr>
      </w:pPr>
    </w:p>
    <w:p w14:paraId="6D1E85A1" w14:textId="77777777" w:rsidR="004C6ED3" w:rsidRPr="004C6ED3" w:rsidRDefault="004C6ED3" w:rsidP="004C6ED3">
      <w:pPr>
        <w:spacing w:after="0"/>
        <w:jc w:val="both"/>
        <w:rPr>
          <w:rFonts w:ascii="Arial" w:eastAsia="Times New Roman" w:hAnsi="Arial" w:cs="Arial"/>
          <w:color w:val="000000"/>
          <w:shd w:val="clear" w:color="auto" w:fill="FFFFFF"/>
        </w:rPr>
      </w:pPr>
      <w:r w:rsidRPr="004C6ED3">
        <w:rPr>
          <w:rFonts w:ascii="Arial" w:eastAsia="Times New Roman" w:hAnsi="Arial" w:cs="Arial"/>
          <w:color w:val="000000"/>
          <w:shd w:val="clear" w:color="auto" w:fill="FFFFFF"/>
        </w:rPr>
        <w:t xml:space="preserve">Since last year’s recommendations, MCB has worked closely with the Commission to establish a liaison, thus meeting their recommendation for FY2018. The Commissioner of MCB, Paul Saner, personally met with representation from the Commission at a meeting in that same fiscal year. </w:t>
      </w:r>
    </w:p>
    <w:p w14:paraId="46F95119" w14:textId="77777777" w:rsidR="004C6ED3" w:rsidRPr="004C6ED3" w:rsidRDefault="004C6ED3" w:rsidP="004C6ED3">
      <w:pPr>
        <w:spacing w:after="0"/>
        <w:jc w:val="both"/>
        <w:rPr>
          <w:rFonts w:ascii="Arial" w:eastAsia="Times New Roman" w:hAnsi="Arial" w:cs="Arial"/>
          <w:color w:val="000000"/>
          <w:shd w:val="clear" w:color="auto" w:fill="FFFFFF"/>
        </w:rPr>
      </w:pPr>
    </w:p>
    <w:p w14:paraId="65A8FD3A" w14:textId="4C59C4BC" w:rsidR="004C6ED3" w:rsidRPr="004C6ED3" w:rsidRDefault="004C6ED3" w:rsidP="004C6ED3">
      <w:pPr>
        <w:spacing w:after="0"/>
        <w:jc w:val="both"/>
        <w:rPr>
          <w:rFonts w:ascii="Arial" w:eastAsia="Times New Roman" w:hAnsi="Arial" w:cs="Arial"/>
          <w:color w:val="000000"/>
          <w:shd w:val="clear" w:color="auto" w:fill="FFFFFF"/>
        </w:rPr>
      </w:pPr>
      <w:r w:rsidRPr="004C6ED3">
        <w:rPr>
          <w:rFonts w:ascii="Arial" w:eastAsia="Times New Roman" w:hAnsi="Arial" w:cs="Arial"/>
          <w:color w:val="000000"/>
          <w:shd w:val="clear" w:color="auto" w:fill="FFFFFF"/>
        </w:rPr>
        <w:t>MCB has begun identifying opportunities to fully serve LGBTQ youth, including through LGBTQ-inclusive diversity planning. Further, they have conducted optional staff trainings in 2017 and again in February 2018. The MCB liaison has begun discussions regarding adding preferred pronouns and further inclusive options to intake questions. Future opportunities to expand their outreach and resources for LGBT</w:t>
      </w:r>
      <w:r w:rsidR="004071C8">
        <w:rPr>
          <w:rFonts w:ascii="Arial" w:eastAsia="Times New Roman" w:hAnsi="Arial" w:cs="Arial"/>
          <w:color w:val="000000"/>
          <w:shd w:val="clear" w:color="auto" w:fill="FFFFFF"/>
        </w:rPr>
        <w:t>Q</w:t>
      </w:r>
      <w:r w:rsidRPr="004C6ED3">
        <w:rPr>
          <w:rFonts w:ascii="Arial" w:eastAsia="Times New Roman" w:hAnsi="Arial" w:cs="Arial"/>
          <w:color w:val="000000"/>
          <w:shd w:val="clear" w:color="auto" w:fill="FFFFFF"/>
        </w:rPr>
        <w:t xml:space="preserve"> youth could include incorporating LGBTQ information and speaker into their regular guest presentations. </w:t>
      </w:r>
    </w:p>
    <w:p w14:paraId="1F078F69" w14:textId="77777777" w:rsidR="008E79F1" w:rsidRPr="008E79F1" w:rsidRDefault="008E79F1" w:rsidP="008E79F1">
      <w:pPr>
        <w:spacing w:after="0"/>
        <w:jc w:val="both"/>
        <w:rPr>
          <w:rFonts w:ascii="Arial" w:hAnsi="Arial" w:cs="Arial"/>
        </w:rPr>
      </w:pPr>
    </w:p>
    <w:p w14:paraId="001573DC" w14:textId="77777777" w:rsidR="008E79F1" w:rsidRPr="00F30878" w:rsidRDefault="008E79F1" w:rsidP="00F30878">
      <w:pPr>
        <w:spacing w:after="0"/>
        <w:jc w:val="center"/>
        <w:rPr>
          <w:rFonts w:ascii="Arial" w:hAnsi="Arial" w:cs="Arial"/>
          <w:b/>
          <w:u w:val="single"/>
        </w:rPr>
      </w:pPr>
      <w:r w:rsidRPr="00F30878">
        <w:rPr>
          <w:rFonts w:ascii="Arial" w:hAnsi="Arial" w:cs="Arial"/>
          <w:b/>
          <w:u w:val="single"/>
        </w:rPr>
        <w:t>EXPANDED RECOMMENDATIONS</w:t>
      </w:r>
    </w:p>
    <w:p w14:paraId="520A61B0" w14:textId="77777777" w:rsidR="00821074" w:rsidRDefault="00821074" w:rsidP="00F37FB7">
      <w:pPr>
        <w:spacing w:after="0"/>
        <w:jc w:val="both"/>
        <w:rPr>
          <w:rFonts w:ascii="Arial" w:hAnsi="Arial" w:cs="Arial"/>
        </w:rPr>
      </w:pPr>
    </w:p>
    <w:p w14:paraId="73528191" w14:textId="77777777" w:rsidR="00821074" w:rsidRPr="00F30878" w:rsidRDefault="00821074" w:rsidP="00961B5D">
      <w:pPr>
        <w:pStyle w:val="ListParagraph"/>
        <w:numPr>
          <w:ilvl w:val="0"/>
          <w:numId w:val="17"/>
        </w:numPr>
        <w:spacing w:after="0"/>
        <w:jc w:val="both"/>
        <w:rPr>
          <w:rFonts w:ascii="Arial" w:eastAsia="Times New Roman" w:hAnsi="Arial" w:cs="Arial"/>
          <w:b/>
          <w:color w:val="365F91" w:themeColor="accent1" w:themeShade="BF"/>
        </w:rPr>
      </w:pPr>
      <w:r w:rsidRPr="00F30878">
        <w:rPr>
          <w:rFonts w:ascii="Arial" w:eastAsia="Times New Roman" w:hAnsi="Arial" w:cs="Arial"/>
          <w:b/>
          <w:color w:val="365F91" w:themeColor="accent1" w:themeShade="BF"/>
          <w:shd w:val="clear" w:color="auto" w:fill="FFFFFF"/>
        </w:rPr>
        <w:t xml:space="preserve">Continue offering LGBTQ competency trainings and explore how to reach the maximum number of staff, including possibly through the EOHHS interagency training initiative. </w:t>
      </w:r>
    </w:p>
    <w:p w14:paraId="3F417CFB" w14:textId="77777777" w:rsidR="00821074" w:rsidRDefault="00821074" w:rsidP="002017BD">
      <w:pPr>
        <w:spacing w:after="0"/>
        <w:jc w:val="both"/>
        <w:rPr>
          <w:rFonts w:ascii="Arial" w:eastAsia="Times New Roman" w:hAnsi="Arial" w:cs="Arial"/>
        </w:rPr>
      </w:pPr>
    </w:p>
    <w:p w14:paraId="4E6472D6" w14:textId="77777777" w:rsidR="00821074" w:rsidRDefault="002932B6" w:rsidP="002017BD">
      <w:pPr>
        <w:spacing w:after="0"/>
        <w:jc w:val="both"/>
        <w:rPr>
          <w:rFonts w:ascii="Arial" w:eastAsia="Times New Roman" w:hAnsi="Arial" w:cs="Arial"/>
        </w:rPr>
      </w:pPr>
      <w:r>
        <w:rPr>
          <w:rFonts w:ascii="Arial" w:eastAsia="Times New Roman" w:hAnsi="Arial" w:cs="Arial"/>
        </w:rPr>
        <w:t xml:space="preserve">As noted above, MCB has begun offering optional trainings on LGBTQ issues for its staff. The Commission recommends expanding these trainings so that, if they are not made mandatory, </w:t>
      </w:r>
      <w:r>
        <w:rPr>
          <w:rFonts w:ascii="Arial" w:eastAsia="Times New Roman" w:hAnsi="Arial" w:cs="Arial"/>
        </w:rPr>
        <w:lastRenderedPageBreak/>
        <w:t xml:space="preserve">they are encouraged and made available for as many people as possible. The EOHHS interagency training initiative may be one way for MCB to ensure that it trains its entire staff in basic LGBTQ competency; it may also be a way to ensure that contractors similarly receive training. Even if the basic, online training is required for all staff, the Commission still recommends that MCB continues with its in-person trainings on specific topics regarding LGBTQ issues, and thanks the agency for beginning this practice. </w:t>
      </w:r>
    </w:p>
    <w:p w14:paraId="7E966AC8" w14:textId="77777777" w:rsidR="00821074" w:rsidRPr="00821074" w:rsidRDefault="00821074" w:rsidP="002017BD">
      <w:pPr>
        <w:spacing w:after="0"/>
        <w:jc w:val="both"/>
        <w:rPr>
          <w:rFonts w:ascii="Arial" w:eastAsia="Times New Roman" w:hAnsi="Arial" w:cs="Arial"/>
        </w:rPr>
      </w:pPr>
    </w:p>
    <w:p w14:paraId="6B8B8233" w14:textId="77777777" w:rsidR="00821074" w:rsidRPr="00F30878" w:rsidRDefault="00821074" w:rsidP="00961B5D">
      <w:pPr>
        <w:pStyle w:val="ListParagraph"/>
        <w:numPr>
          <w:ilvl w:val="0"/>
          <w:numId w:val="17"/>
        </w:numPr>
        <w:spacing w:after="0"/>
        <w:jc w:val="both"/>
        <w:rPr>
          <w:rFonts w:ascii="Arial" w:eastAsia="Times New Roman" w:hAnsi="Arial" w:cs="Arial"/>
          <w:b/>
          <w:color w:val="365F91" w:themeColor="accent1" w:themeShade="BF"/>
        </w:rPr>
      </w:pPr>
      <w:r w:rsidRPr="00F30878">
        <w:rPr>
          <w:rFonts w:ascii="Arial" w:eastAsia="Times New Roman" w:hAnsi="Arial" w:cs="Arial"/>
          <w:b/>
          <w:color w:val="365F91" w:themeColor="accent1" w:themeShade="BF"/>
          <w:shd w:val="clear" w:color="auto" w:fill="FFFFFF"/>
        </w:rPr>
        <w:t xml:space="preserve">Continue advising staff on how to collect information like preferred pronouns in client notes and exploring options for increasing data collection relating to sexual orientation and gender identity. </w:t>
      </w:r>
    </w:p>
    <w:p w14:paraId="620ECEFE" w14:textId="77777777" w:rsidR="002932B6" w:rsidRDefault="002932B6" w:rsidP="002017BD">
      <w:pPr>
        <w:spacing w:after="0"/>
        <w:jc w:val="both"/>
        <w:rPr>
          <w:rFonts w:ascii="Arial" w:eastAsia="Times New Roman" w:hAnsi="Arial" w:cs="Arial"/>
        </w:rPr>
      </w:pPr>
    </w:p>
    <w:p w14:paraId="6D27D8D6" w14:textId="77777777" w:rsidR="002932B6" w:rsidRDefault="002017BD" w:rsidP="002017BD">
      <w:pPr>
        <w:spacing w:after="0"/>
        <w:jc w:val="both"/>
        <w:rPr>
          <w:rFonts w:ascii="Arial" w:eastAsia="Times New Roman" w:hAnsi="Arial" w:cs="Arial"/>
        </w:rPr>
      </w:pPr>
      <w:r>
        <w:rPr>
          <w:rFonts w:ascii="Arial" w:eastAsia="Times New Roman" w:hAnsi="Arial" w:cs="Arial"/>
        </w:rPr>
        <w:t>The Commission commends MCB for</w:t>
      </w:r>
      <w:r w:rsidR="0017483B">
        <w:rPr>
          <w:rFonts w:ascii="Arial" w:eastAsia="Times New Roman" w:hAnsi="Arial" w:cs="Arial"/>
        </w:rPr>
        <w:t xml:space="preserve"> discussing with staff in training(s) to note</w:t>
      </w:r>
      <w:r>
        <w:rPr>
          <w:rFonts w:ascii="Arial" w:eastAsia="Times New Roman" w:hAnsi="Arial" w:cs="Arial"/>
        </w:rPr>
        <w:t xml:space="preserve"> preferred pronouns in client notes, and encourages MCB to regularly advise </w:t>
      </w:r>
      <w:r w:rsidR="0017483B">
        <w:rPr>
          <w:rFonts w:ascii="Arial" w:eastAsia="Times New Roman" w:hAnsi="Arial" w:cs="Arial"/>
        </w:rPr>
        <w:t xml:space="preserve">staff </w:t>
      </w:r>
      <w:r>
        <w:rPr>
          <w:rFonts w:ascii="Arial" w:eastAsia="Times New Roman" w:hAnsi="Arial" w:cs="Arial"/>
        </w:rPr>
        <w:t>on the importance of this practice. Coupling this practice with training on LGBTQ competency</w:t>
      </w:r>
      <w:r w:rsidR="00872175">
        <w:rPr>
          <w:rFonts w:ascii="Arial" w:eastAsia="Times New Roman" w:hAnsi="Arial" w:cs="Arial"/>
        </w:rPr>
        <w:t>, as discussed above,</w:t>
      </w:r>
      <w:r>
        <w:rPr>
          <w:rFonts w:ascii="Arial" w:eastAsia="Times New Roman" w:hAnsi="Arial" w:cs="Arial"/>
        </w:rPr>
        <w:t xml:space="preserve"> might strengthen results. The Commission understands that MCB explored options for increasing data collection of sexual orientation and gender identity, and decided that at this time, formal collection of this data was not feasible. The Commission encourages MCB to continue exploring how to collect this data so that more can be learned about LGBTQ people served by MCB. The interagency EOHHS committee on LGBTQ issues may be a forum in which MCB can explore best practices and consider potential next steps.</w:t>
      </w:r>
    </w:p>
    <w:p w14:paraId="2CB67F88" w14:textId="77777777" w:rsidR="002932B6" w:rsidRPr="002932B6" w:rsidRDefault="002932B6" w:rsidP="002017BD">
      <w:pPr>
        <w:spacing w:after="0"/>
        <w:jc w:val="both"/>
        <w:rPr>
          <w:rFonts w:ascii="Arial" w:eastAsia="Times New Roman" w:hAnsi="Arial" w:cs="Arial"/>
        </w:rPr>
      </w:pPr>
    </w:p>
    <w:p w14:paraId="70474C8F" w14:textId="77777777" w:rsidR="00A53803" w:rsidRPr="00DF3F46" w:rsidRDefault="00A53803" w:rsidP="00DF3F46">
      <w:pPr>
        <w:pStyle w:val="ListParagraph"/>
        <w:numPr>
          <w:ilvl w:val="0"/>
          <w:numId w:val="17"/>
        </w:numPr>
        <w:spacing w:after="0"/>
        <w:jc w:val="both"/>
        <w:rPr>
          <w:rFonts w:ascii="Arial" w:eastAsia="Times New Roman" w:hAnsi="Arial" w:cs="Arial"/>
          <w:b/>
          <w:color w:val="365F91" w:themeColor="accent1" w:themeShade="BF"/>
          <w:shd w:val="clear" w:color="auto" w:fill="FFFFFF"/>
        </w:rPr>
      </w:pPr>
      <w:r w:rsidRPr="00DF3F46">
        <w:rPr>
          <w:rFonts w:ascii="Arial" w:eastAsia="Times New Roman" w:hAnsi="Arial" w:cs="Arial"/>
          <w:b/>
          <w:color w:val="365F91" w:themeColor="accent1" w:themeShade="BF"/>
          <w:shd w:val="clear" w:color="auto" w:fill="FFFFFF"/>
        </w:rPr>
        <w:t xml:space="preserve">Discuss with the Commission how to make the LGBTQ </w:t>
      </w:r>
      <w:r w:rsidR="00F115F6" w:rsidRPr="00DF3F46">
        <w:rPr>
          <w:rFonts w:ascii="Arial" w:eastAsia="Times New Roman" w:hAnsi="Arial" w:cs="Arial"/>
          <w:b/>
          <w:color w:val="365F91" w:themeColor="accent1" w:themeShade="BF"/>
          <w:shd w:val="clear" w:color="auto" w:fill="FFFFFF"/>
        </w:rPr>
        <w:t>r</w:t>
      </w:r>
      <w:r w:rsidRPr="00DF3F46">
        <w:rPr>
          <w:rFonts w:ascii="Arial" w:eastAsia="Times New Roman" w:hAnsi="Arial" w:cs="Arial"/>
          <w:b/>
          <w:color w:val="365F91" w:themeColor="accent1" w:themeShade="BF"/>
          <w:shd w:val="clear" w:color="auto" w:fill="FFFFFF"/>
        </w:rPr>
        <w:t xml:space="preserve">esource </w:t>
      </w:r>
      <w:r w:rsidR="00F115F6" w:rsidRPr="00DF3F46">
        <w:rPr>
          <w:rFonts w:ascii="Arial" w:eastAsia="Times New Roman" w:hAnsi="Arial" w:cs="Arial"/>
          <w:b/>
          <w:color w:val="365F91" w:themeColor="accent1" w:themeShade="BF"/>
          <w:shd w:val="clear" w:color="auto" w:fill="FFFFFF"/>
        </w:rPr>
        <w:t>m</w:t>
      </w:r>
      <w:r w:rsidRPr="00DF3F46">
        <w:rPr>
          <w:rFonts w:ascii="Arial" w:eastAsia="Times New Roman" w:hAnsi="Arial" w:cs="Arial"/>
          <w:b/>
          <w:color w:val="365F91" w:themeColor="accent1" w:themeShade="BF"/>
          <w:shd w:val="clear" w:color="auto" w:fill="FFFFFF"/>
        </w:rPr>
        <w:t xml:space="preserve">ap accessible to and inclusive of MCB's population, and explore using it as a resource for MCB's clients. </w:t>
      </w:r>
    </w:p>
    <w:p w14:paraId="7A510714" w14:textId="77777777" w:rsidR="00BE7136" w:rsidRDefault="00BE7136" w:rsidP="00BE7136">
      <w:pPr>
        <w:spacing w:after="0"/>
        <w:jc w:val="both"/>
        <w:rPr>
          <w:rFonts w:ascii="Arial" w:eastAsia="Times New Roman" w:hAnsi="Arial" w:cs="Arial"/>
        </w:rPr>
      </w:pPr>
    </w:p>
    <w:p w14:paraId="1189714C" w14:textId="77777777" w:rsidR="00BE7136" w:rsidRPr="00BE7136" w:rsidRDefault="00BE7136" w:rsidP="00BE7136">
      <w:pPr>
        <w:spacing w:after="0"/>
        <w:jc w:val="both"/>
        <w:rPr>
          <w:rFonts w:ascii="Arial" w:eastAsia="Times New Roman" w:hAnsi="Arial" w:cs="Arial"/>
        </w:rPr>
      </w:pPr>
      <w:r>
        <w:rPr>
          <w:rFonts w:ascii="Arial" w:eastAsia="Times New Roman" w:hAnsi="Arial" w:cs="Arial"/>
        </w:rPr>
        <w:t xml:space="preserve">As the Commission works to publish a virtual resource map for LGBTQ youth, it will appreciate any advice that MCB can provide on making the resource accessible and useful to LGBTQ youth who are visually impaired. The Commission also recommends that MCB considers how the resource might be used to strengthen referrals made by its </w:t>
      </w:r>
      <w:r w:rsidR="0017483B">
        <w:rPr>
          <w:rFonts w:ascii="Arial" w:eastAsia="Times New Roman" w:hAnsi="Arial" w:cs="Arial"/>
        </w:rPr>
        <w:t xml:space="preserve">staff </w:t>
      </w:r>
      <w:r>
        <w:rPr>
          <w:rFonts w:ascii="Arial" w:eastAsia="Times New Roman" w:hAnsi="Arial" w:cs="Arial"/>
        </w:rPr>
        <w:t>to LGBTQ youth.</w:t>
      </w:r>
    </w:p>
    <w:p w14:paraId="60CC1ACB" w14:textId="77777777" w:rsidR="00A07650" w:rsidRDefault="00A07650">
      <w:pPr>
        <w:rPr>
          <w:rFonts w:ascii="Arial" w:hAnsi="Arial" w:cs="Arial"/>
          <w:b/>
          <w:sz w:val="28"/>
          <w:szCs w:val="28"/>
        </w:rPr>
      </w:pPr>
      <w:r>
        <w:rPr>
          <w:rFonts w:ascii="Arial" w:hAnsi="Arial" w:cs="Arial"/>
          <w:b/>
          <w:sz w:val="28"/>
          <w:szCs w:val="28"/>
        </w:rPr>
        <w:br w:type="page"/>
      </w:r>
    </w:p>
    <w:p w14:paraId="112CC1B4" w14:textId="77777777" w:rsidR="00043BA4" w:rsidRPr="00043BA4" w:rsidRDefault="00043BA4" w:rsidP="00EB2689">
      <w:pPr>
        <w:pStyle w:val="Heading2"/>
      </w:pPr>
      <w:bookmarkStart w:id="35" w:name="_Toc512947913"/>
      <w:r w:rsidRPr="00D422B2">
        <w:lastRenderedPageBreak/>
        <w:t>Massachusetts Commission for the Deaf and Hard of Hearing</w:t>
      </w:r>
      <w:bookmarkEnd w:id="35"/>
    </w:p>
    <w:p w14:paraId="7D0FD5B4" w14:textId="77777777" w:rsidR="00043BA4" w:rsidRPr="00043BA4" w:rsidRDefault="00F30878" w:rsidP="00043BA4">
      <w:pPr>
        <w:spacing w:after="0"/>
        <w:jc w:val="both"/>
        <w:rPr>
          <w:rFonts w:ascii="Arial" w:hAnsi="Arial" w:cs="Arial"/>
        </w:rPr>
      </w:pPr>
      <w:r>
        <w:rPr>
          <w:noProof/>
        </w:rPr>
        <w:drawing>
          <wp:anchor distT="0" distB="0" distL="114300" distR="114300" simplePos="0" relativeHeight="251766784" behindDoc="1" locked="0" layoutInCell="0" allowOverlap="1" wp14:anchorId="6791AD74" wp14:editId="5AB8216B">
            <wp:simplePos x="0" y="0"/>
            <wp:positionH relativeFrom="column">
              <wp:posOffset>13970</wp:posOffset>
            </wp:positionH>
            <wp:positionV relativeFrom="paragraph">
              <wp:posOffset>12700</wp:posOffset>
            </wp:positionV>
            <wp:extent cx="5980430" cy="18415"/>
            <wp:effectExtent l="0" t="0" r="1270" b="63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anchor>
        </w:drawing>
      </w:r>
    </w:p>
    <w:p w14:paraId="638646E3" w14:textId="77777777" w:rsidR="00F30878" w:rsidRDefault="00F30878" w:rsidP="00F30878">
      <w:pPr>
        <w:spacing w:after="0"/>
        <w:jc w:val="center"/>
        <w:rPr>
          <w:rFonts w:ascii="Arial" w:hAnsi="Arial" w:cs="Arial"/>
          <w:b/>
          <w:u w:val="single"/>
        </w:rPr>
      </w:pPr>
    </w:p>
    <w:p w14:paraId="315A4CE8" w14:textId="77777777" w:rsidR="005B701F" w:rsidRPr="00F30878" w:rsidRDefault="005B701F" w:rsidP="00F30878">
      <w:pPr>
        <w:spacing w:after="0"/>
        <w:jc w:val="center"/>
        <w:rPr>
          <w:rFonts w:ascii="Arial" w:hAnsi="Arial" w:cs="Arial"/>
          <w:b/>
          <w:u w:val="single"/>
        </w:rPr>
      </w:pPr>
      <w:r w:rsidRPr="00F30878">
        <w:rPr>
          <w:rFonts w:ascii="Arial" w:hAnsi="Arial" w:cs="Arial"/>
          <w:b/>
          <w:u w:val="single"/>
        </w:rPr>
        <w:t>FY2019 RECOMMENDATIONS</w:t>
      </w:r>
    </w:p>
    <w:p w14:paraId="70451CF8" w14:textId="77777777" w:rsidR="005B701F" w:rsidRPr="005B701F" w:rsidRDefault="005B701F" w:rsidP="005B701F">
      <w:pPr>
        <w:spacing w:after="0"/>
        <w:jc w:val="both"/>
        <w:rPr>
          <w:rFonts w:ascii="Arial" w:hAnsi="Arial" w:cs="Arial"/>
        </w:rPr>
      </w:pPr>
    </w:p>
    <w:p w14:paraId="26755B3E" w14:textId="77777777" w:rsidR="005B701F" w:rsidRPr="00F30878" w:rsidRDefault="005B701F" w:rsidP="00961B5D">
      <w:pPr>
        <w:numPr>
          <w:ilvl w:val="0"/>
          <w:numId w:val="10"/>
        </w:numPr>
        <w:spacing w:after="0"/>
        <w:jc w:val="both"/>
        <w:rPr>
          <w:rFonts w:ascii="Arial" w:hAnsi="Arial" w:cs="Arial"/>
          <w:b/>
          <w:color w:val="365F91" w:themeColor="accent1" w:themeShade="BF"/>
        </w:rPr>
      </w:pPr>
      <w:r w:rsidRPr="00F30878">
        <w:rPr>
          <w:rFonts w:ascii="Arial" w:hAnsi="Arial" w:cs="Arial"/>
          <w:b/>
          <w:color w:val="365F91" w:themeColor="accent1" w:themeShade="BF"/>
        </w:rPr>
        <w:t xml:space="preserve">Include categories for sexual orientation and gender identity in databases and agency forms, where appropriate, and train staff on implementation. </w:t>
      </w:r>
    </w:p>
    <w:p w14:paraId="7F3A2AD1" w14:textId="77777777" w:rsidR="005B701F" w:rsidRPr="00F30878" w:rsidRDefault="005B701F" w:rsidP="00961B5D">
      <w:pPr>
        <w:numPr>
          <w:ilvl w:val="0"/>
          <w:numId w:val="10"/>
        </w:numPr>
        <w:spacing w:after="0"/>
        <w:jc w:val="both"/>
        <w:rPr>
          <w:rFonts w:ascii="Arial" w:hAnsi="Arial" w:cs="Arial"/>
          <w:b/>
          <w:color w:val="365F91" w:themeColor="accent1" w:themeShade="BF"/>
        </w:rPr>
      </w:pPr>
      <w:r w:rsidRPr="00F30878">
        <w:rPr>
          <w:rFonts w:ascii="Arial" w:hAnsi="Arial" w:cs="Arial"/>
          <w:b/>
          <w:color w:val="365F91" w:themeColor="accent1" w:themeShade="BF"/>
        </w:rPr>
        <w:t xml:space="preserve">Continue collaborating with the interagency EOHHS effort to launch a statewide </w:t>
      </w:r>
      <w:r w:rsidR="00D422B2" w:rsidRPr="00F30878">
        <w:rPr>
          <w:rFonts w:ascii="Arial" w:hAnsi="Arial" w:cs="Arial"/>
          <w:b/>
          <w:color w:val="365F91" w:themeColor="accent1" w:themeShade="BF"/>
        </w:rPr>
        <w:t xml:space="preserve">LGBTQ </w:t>
      </w:r>
      <w:r w:rsidRPr="00F30878">
        <w:rPr>
          <w:rFonts w:ascii="Arial" w:hAnsi="Arial" w:cs="Arial"/>
          <w:b/>
          <w:color w:val="365F91" w:themeColor="accent1" w:themeShade="BF"/>
        </w:rPr>
        <w:t xml:space="preserve">competency training and encourage staff to participate in this training in accordance with interagency strategy. </w:t>
      </w:r>
    </w:p>
    <w:p w14:paraId="75899732" w14:textId="77777777" w:rsidR="005B701F" w:rsidRPr="00F30878" w:rsidRDefault="005B701F" w:rsidP="00961B5D">
      <w:pPr>
        <w:pStyle w:val="ListParagraph"/>
        <w:numPr>
          <w:ilvl w:val="0"/>
          <w:numId w:val="10"/>
        </w:numPr>
        <w:spacing w:after="0"/>
        <w:jc w:val="both"/>
        <w:rPr>
          <w:rFonts w:ascii="Arial" w:eastAsia="Times New Roman" w:hAnsi="Arial" w:cs="Arial"/>
          <w:b/>
          <w:color w:val="365F91" w:themeColor="accent1" w:themeShade="BF"/>
        </w:rPr>
      </w:pPr>
      <w:r w:rsidRPr="00F30878">
        <w:rPr>
          <w:rFonts w:ascii="Arial" w:eastAsia="Times New Roman" w:hAnsi="Arial" w:cs="Arial"/>
          <w:b/>
          <w:color w:val="365F91" w:themeColor="accent1" w:themeShade="BF"/>
          <w:shd w:val="clear" w:color="auto" w:fill="FFFFFF"/>
        </w:rPr>
        <w:t xml:space="preserve">Discuss with the Commission how to make the LGBTQ Resource Map accessible and inclusive to MCDHH’s population, and to explore using it as a resource for MCDHH’s clients. </w:t>
      </w:r>
    </w:p>
    <w:p w14:paraId="3A7A625C" w14:textId="77777777" w:rsidR="005B701F" w:rsidRPr="005B701F" w:rsidRDefault="005B701F" w:rsidP="005B701F">
      <w:pPr>
        <w:spacing w:after="0"/>
        <w:jc w:val="both"/>
        <w:rPr>
          <w:rFonts w:ascii="Arial" w:hAnsi="Arial" w:cs="Arial"/>
        </w:rPr>
      </w:pPr>
    </w:p>
    <w:p w14:paraId="041C2D61" w14:textId="77777777" w:rsidR="005B701F" w:rsidRPr="00F30878" w:rsidRDefault="005B701F" w:rsidP="00F30878">
      <w:pPr>
        <w:spacing w:after="0"/>
        <w:jc w:val="center"/>
        <w:rPr>
          <w:rFonts w:ascii="Arial" w:hAnsi="Arial" w:cs="Arial"/>
          <w:b/>
          <w:u w:val="single"/>
        </w:rPr>
      </w:pPr>
      <w:r w:rsidRPr="00F30878">
        <w:rPr>
          <w:rFonts w:ascii="Arial" w:hAnsi="Arial" w:cs="Arial"/>
          <w:b/>
          <w:u w:val="single"/>
        </w:rPr>
        <w:t>BACKGROUND &amp; RESEARCH</w:t>
      </w:r>
    </w:p>
    <w:p w14:paraId="4805A06E" w14:textId="77777777" w:rsidR="005B701F" w:rsidRDefault="005B701F" w:rsidP="00043BA4">
      <w:pPr>
        <w:spacing w:after="0"/>
        <w:jc w:val="both"/>
        <w:rPr>
          <w:rFonts w:ascii="Arial" w:hAnsi="Arial" w:cs="Arial"/>
        </w:rPr>
      </w:pPr>
    </w:p>
    <w:p w14:paraId="1AE86CA9" w14:textId="146F9858" w:rsidR="00043BA4" w:rsidRDefault="00043BA4" w:rsidP="00043BA4">
      <w:pPr>
        <w:spacing w:after="0"/>
        <w:jc w:val="both"/>
        <w:rPr>
          <w:rFonts w:ascii="Arial" w:hAnsi="Arial" w:cs="Arial"/>
        </w:rPr>
      </w:pPr>
      <w:r w:rsidRPr="00043BA4">
        <w:rPr>
          <w:rFonts w:ascii="Arial" w:hAnsi="Arial" w:cs="Arial"/>
        </w:rPr>
        <w:t xml:space="preserve">The Massachusetts Commission for the Deaf and Hard of Hearing (MCDHH) is the principal agency in the Commonwealth that works on behalf of people of all ages who are Deaf and hard of hearing. Although there are limited data available on the intersections of LGBTQ identities with Deaf and hard of hearing communities, the available research suggests that LGBTQ Deaf and hard of hearing youth experience unique challenges. Both LGBTQ and Deaf and hard of hearing individuals experience risks </w:t>
      </w:r>
      <w:r w:rsidR="00BD05DE">
        <w:rPr>
          <w:rFonts w:ascii="Arial" w:hAnsi="Arial" w:cs="Arial"/>
        </w:rPr>
        <w:t>for sexual violence and HIV transmission</w:t>
      </w:r>
      <w:r w:rsidRPr="00043BA4">
        <w:rPr>
          <w:rFonts w:ascii="Arial" w:hAnsi="Arial" w:cs="Arial"/>
        </w:rPr>
        <w:t>, and accurate and culturally competent sexual health inf</w:t>
      </w:r>
      <w:r w:rsidR="00C155BB">
        <w:rPr>
          <w:rFonts w:ascii="Arial" w:hAnsi="Arial" w:cs="Arial"/>
        </w:rPr>
        <w:t>ormation is often unavailable.</w:t>
      </w:r>
      <w:r w:rsidR="00C155BB">
        <w:rPr>
          <w:rStyle w:val="EndnoteReference"/>
          <w:rFonts w:ascii="Arial" w:hAnsi="Arial" w:cs="Arial"/>
        </w:rPr>
        <w:endnoteReference w:id="188"/>
      </w:r>
      <w:r w:rsidRPr="00043BA4">
        <w:rPr>
          <w:rFonts w:ascii="Arial" w:hAnsi="Arial" w:cs="Arial"/>
        </w:rPr>
        <w:t xml:space="preserve"> Such research speaks to a likely gap in inclusive resources and education for Deaf and hard of hearing youth on sexuality and gender.</w:t>
      </w:r>
    </w:p>
    <w:p w14:paraId="619D5AEC" w14:textId="77777777" w:rsidR="00293C32" w:rsidRDefault="00293C32" w:rsidP="00043BA4">
      <w:pPr>
        <w:spacing w:after="0"/>
        <w:jc w:val="both"/>
        <w:rPr>
          <w:rFonts w:ascii="Arial" w:hAnsi="Arial" w:cs="Arial"/>
        </w:rPr>
      </w:pPr>
    </w:p>
    <w:p w14:paraId="6CB5ED2B" w14:textId="4B1C27A9" w:rsidR="00293C32" w:rsidRPr="00043BA4" w:rsidRDefault="00293C32" w:rsidP="00043BA4">
      <w:pPr>
        <w:spacing w:after="0"/>
        <w:jc w:val="both"/>
        <w:rPr>
          <w:rFonts w:ascii="Arial" w:hAnsi="Arial" w:cs="Arial"/>
        </w:rPr>
      </w:pPr>
      <w:r w:rsidRPr="00293C32">
        <w:rPr>
          <w:rFonts w:ascii="Arial" w:hAnsi="Arial" w:cs="Arial"/>
        </w:rPr>
        <w:t xml:space="preserve">In April 2017, MCDHH issued a new nondiscrimination policy providing guidance for MCDHH staff and clients based on sexual orientation and gender identity. MCDHH has also </w:t>
      </w:r>
      <w:r>
        <w:rPr>
          <w:rFonts w:ascii="Arial" w:hAnsi="Arial" w:cs="Arial"/>
        </w:rPr>
        <w:t xml:space="preserve">taken steps to improve inclusivity in data systems, </w:t>
      </w:r>
      <w:r w:rsidR="006A0C98">
        <w:rPr>
          <w:rFonts w:ascii="Arial" w:hAnsi="Arial" w:cs="Arial"/>
        </w:rPr>
        <w:t xml:space="preserve">offer </w:t>
      </w:r>
      <w:r>
        <w:rPr>
          <w:rFonts w:ascii="Arial" w:hAnsi="Arial" w:cs="Arial"/>
        </w:rPr>
        <w:t xml:space="preserve">staff and provider training, and </w:t>
      </w:r>
      <w:r w:rsidR="006A0C98">
        <w:rPr>
          <w:rFonts w:ascii="Arial" w:hAnsi="Arial" w:cs="Arial"/>
        </w:rPr>
        <w:t xml:space="preserve">explore </w:t>
      </w:r>
      <w:r>
        <w:rPr>
          <w:rFonts w:ascii="Arial" w:hAnsi="Arial" w:cs="Arial"/>
        </w:rPr>
        <w:t>LGBTQ-related policy ideas</w:t>
      </w:r>
      <w:r w:rsidRPr="00293C32">
        <w:rPr>
          <w:rFonts w:ascii="Arial" w:hAnsi="Arial" w:cs="Arial"/>
        </w:rPr>
        <w:t>. Given the dearth of data or policy on intersections of the LGBTQ and Deaf and hard of hearing communities, Massachusetts has the opportuni</w:t>
      </w:r>
      <w:r>
        <w:rPr>
          <w:rFonts w:ascii="Arial" w:hAnsi="Arial" w:cs="Arial"/>
        </w:rPr>
        <w:t>ty to be a leader in this arena, and the Commission is confident that MCDHH can do so in partnership with the Commission.</w:t>
      </w:r>
    </w:p>
    <w:p w14:paraId="1A5877DF" w14:textId="77777777" w:rsidR="00043BA4" w:rsidRPr="00043BA4" w:rsidRDefault="00043BA4" w:rsidP="00043BA4">
      <w:pPr>
        <w:spacing w:after="0"/>
        <w:jc w:val="both"/>
        <w:rPr>
          <w:rFonts w:ascii="Arial" w:hAnsi="Arial" w:cs="Arial"/>
        </w:rPr>
      </w:pPr>
    </w:p>
    <w:p w14:paraId="4EFB5331" w14:textId="77777777" w:rsidR="00043BA4" w:rsidRPr="00F30878" w:rsidRDefault="00043BA4" w:rsidP="00F30878">
      <w:pPr>
        <w:spacing w:after="0"/>
        <w:jc w:val="center"/>
        <w:rPr>
          <w:rFonts w:ascii="Arial" w:hAnsi="Arial" w:cs="Arial"/>
          <w:b/>
          <w:u w:val="single"/>
        </w:rPr>
      </w:pPr>
      <w:r w:rsidRPr="00F30878">
        <w:rPr>
          <w:rFonts w:ascii="Arial" w:hAnsi="Arial" w:cs="Arial"/>
          <w:b/>
          <w:u w:val="single"/>
        </w:rPr>
        <w:t>EXPANDED RECOMMENDATIONS</w:t>
      </w:r>
    </w:p>
    <w:p w14:paraId="1AB36CF3" w14:textId="77777777" w:rsidR="00043BA4" w:rsidRDefault="00043BA4" w:rsidP="00F37FB7">
      <w:pPr>
        <w:spacing w:after="0"/>
        <w:jc w:val="both"/>
        <w:rPr>
          <w:rFonts w:ascii="Arial" w:hAnsi="Arial" w:cs="Arial"/>
        </w:rPr>
      </w:pPr>
    </w:p>
    <w:p w14:paraId="70675A33" w14:textId="77777777" w:rsidR="00293C32" w:rsidRPr="00F30878" w:rsidRDefault="00293C32" w:rsidP="00961B5D">
      <w:pPr>
        <w:numPr>
          <w:ilvl w:val="0"/>
          <w:numId w:val="18"/>
        </w:numPr>
        <w:spacing w:after="0"/>
        <w:jc w:val="both"/>
        <w:rPr>
          <w:rFonts w:ascii="Arial" w:hAnsi="Arial" w:cs="Arial"/>
          <w:b/>
          <w:color w:val="365F91" w:themeColor="accent1" w:themeShade="BF"/>
        </w:rPr>
      </w:pPr>
      <w:r w:rsidRPr="00F30878">
        <w:rPr>
          <w:rFonts w:ascii="Arial" w:hAnsi="Arial" w:cs="Arial"/>
          <w:b/>
          <w:color w:val="365F91" w:themeColor="accent1" w:themeShade="BF"/>
        </w:rPr>
        <w:t xml:space="preserve">Include categories for sexual orientation and gender identity in databases and agency forms, where appropriate, and train staff on implementation. </w:t>
      </w:r>
    </w:p>
    <w:p w14:paraId="47FC5202" w14:textId="77777777" w:rsidR="00293C32" w:rsidRDefault="00293C32" w:rsidP="00293C32">
      <w:pPr>
        <w:spacing w:after="0"/>
        <w:jc w:val="both"/>
        <w:rPr>
          <w:rFonts w:ascii="Arial" w:hAnsi="Arial" w:cs="Arial"/>
        </w:rPr>
      </w:pPr>
    </w:p>
    <w:p w14:paraId="35E2FDC1" w14:textId="122A5085" w:rsidR="00293C32" w:rsidRDefault="008D220E" w:rsidP="00293C32">
      <w:pPr>
        <w:spacing w:after="0"/>
        <w:jc w:val="both"/>
        <w:rPr>
          <w:rFonts w:ascii="Arial" w:hAnsi="Arial" w:cs="Arial"/>
        </w:rPr>
      </w:pPr>
      <w:r>
        <w:rPr>
          <w:rFonts w:ascii="Arial" w:hAnsi="Arial" w:cs="Arial"/>
        </w:rPr>
        <w:t>MCDHH has explored adding a nonbinary gender marker option t</w:t>
      </w:r>
      <w:r w:rsidR="000A23DD">
        <w:rPr>
          <w:rFonts w:ascii="Arial" w:hAnsi="Arial" w:cs="Arial"/>
        </w:rPr>
        <w:t>o its database and intake forms</w:t>
      </w:r>
      <w:r>
        <w:rPr>
          <w:rFonts w:ascii="Arial" w:hAnsi="Arial" w:cs="Arial"/>
        </w:rPr>
        <w:t xml:space="preserve"> and aims to do so when funding is available to implement this and other changes it has planned. The Commission recognizes the limitations on funding, but encourages MCDHH to move forward when possible, and also to collect additional data on sexual orientation </w:t>
      </w:r>
      <w:r w:rsidR="00F738A1">
        <w:rPr>
          <w:rFonts w:ascii="Arial" w:hAnsi="Arial" w:cs="Arial"/>
        </w:rPr>
        <w:t>and gender identity</w:t>
      </w:r>
      <w:r>
        <w:rPr>
          <w:rFonts w:ascii="Arial" w:hAnsi="Arial" w:cs="Arial"/>
        </w:rPr>
        <w:t xml:space="preserve"> to better understand the needs of LGBTQ people who are deaf or hard of </w:t>
      </w:r>
      <w:r>
        <w:rPr>
          <w:rFonts w:ascii="Arial" w:hAnsi="Arial" w:cs="Arial"/>
        </w:rPr>
        <w:lastRenderedPageBreak/>
        <w:t xml:space="preserve">hearing. The EOHHS interagency committee on LGBTQ matters may be a useful forum in which to discuss practices employed by other agencies as well as potential challenges. </w:t>
      </w:r>
    </w:p>
    <w:p w14:paraId="602DA596" w14:textId="77777777" w:rsidR="00293C32" w:rsidRPr="005B701F" w:rsidRDefault="00293C32" w:rsidP="00293C32">
      <w:pPr>
        <w:spacing w:after="0"/>
        <w:jc w:val="both"/>
        <w:rPr>
          <w:rFonts w:ascii="Arial" w:hAnsi="Arial" w:cs="Arial"/>
        </w:rPr>
      </w:pPr>
    </w:p>
    <w:p w14:paraId="5236487A" w14:textId="77777777" w:rsidR="00293C32" w:rsidRPr="00F30878" w:rsidRDefault="00293C32" w:rsidP="00961B5D">
      <w:pPr>
        <w:numPr>
          <w:ilvl w:val="0"/>
          <w:numId w:val="18"/>
        </w:numPr>
        <w:spacing w:after="0"/>
        <w:jc w:val="both"/>
        <w:rPr>
          <w:rFonts w:ascii="Arial" w:hAnsi="Arial" w:cs="Arial"/>
          <w:b/>
          <w:color w:val="365F91" w:themeColor="accent1" w:themeShade="BF"/>
        </w:rPr>
      </w:pPr>
      <w:r w:rsidRPr="00F30878">
        <w:rPr>
          <w:rFonts w:ascii="Arial" w:hAnsi="Arial" w:cs="Arial"/>
          <w:b/>
          <w:color w:val="365F91" w:themeColor="accent1" w:themeShade="BF"/>
        </w:rPr>
        <w:t xml:space="preserve">Continue collaborating with the interagency EOHHS effort to launch a statewide </w:t>
      </w:r>
      <w:r w:rsidR="00F738A1" w:rsidRPr="00F30878">
        <w:rPr>
          <w:rFonts w:ascii="Arial" w:hAnsi="Arial" w:cs="Arial"/>
          <w:b/>
          <w:color w:val="365F91" w:themeColor="accent1" w:themeShade="BF"/>
        </w:rPr>
        <w:t xml:space="preserve">LGBTQ </w:t>
      </w:r>
      <w:r w:rsidRPr="00F30878">
        <w:rPr>
          <w:rFonts w:ascii="Arial" w:hAnsi="Arial" w:cs="Arial"/>
          <w:b/>
          <w:color w:val="365F91" w:themeColor="accent1" w:themeShade="BF"/>
        </w:rPr>
        <w:t xml:space="preserve">competency training and encourage staff to participate in this training in accordance with interagency strategy. </w:t>
      </w:r>
    </w:p>
    <w:p w14:paraId="07875A1F" w14:textId="77777777" w:rsidR="00293C32" w:rsidRDefault="00293C32" w:rsidP="00293C32">
      <w:pPr>
        <w:spacing w:after="0"/>
        <w:jc w:val="both"/>
        <w:rPr>
          <w:rFonts w:ascii="Arial" w:hAnsi="Arial" w:cs="Arial"/>
        </w:rPr>
      </w:pPr>
    </w:p>
    <w:p w14:paraId="6E991D04" w14:textId="77777777" w:rsidR="00293C32" w:rsidRDefault="000A23DD" w:rsidP="00293C32">
      <w:pPr>
        <w:spacing w:after="0"/>
        <w:jc w:val="both"/>
        <w:rPr>
          <w:rFonts w:ascii="Arial" w:hAnsi="Arial" w:cs="Arial"/>
        </w:rPr>
      </w:pPr>
      <w:r>
        <w:rPr>
          <w:rFonts w:ascii="Arial" w:hAnsi="Arial" w:cs="Arial"/>
        </w:rPr>
        <w:t xml:space="preserve">MCDHH held an LGBTQ competency </w:t>
      </w:r>
      <w:r w:rsidR="008D220E">
        <w:rPr>
          <w:rFonts w:ascii="Arial" w:hAnsi="Arial" w:cs="Arial"/>
        </w:rPr>
        <w:t xml:space="preserve">training in 2016 for staff and providers. The Commission recommends that, in addition to future in-person trainings on specific topics relevant to LGBTQ coworkers and clients, MCDHH also continue to participate in the EOHHS interagency effort to produce a universal, online training. This training might be useful in ensuring that all MCDHH staff and any contracted providers have a basic understanding of the needs of LGBTQ clients. </w:t>
      </w:r>
    </w:p>
    <w:p w14:paraId="02FB26C8" w14:textId="77777777" w:rsidR="00293C32" w:rsidRPr="00F30878" w:rsidRDefault="00293C32" w:rsidP="00293C32">
      <w:pPr>
        <w:spacing w:after="0"/>
        <w:jc w:val="both"/>
        <w:rPr>
          <w:rFonts w:ascii="Arial" w:hAnsi="Arial" w:cs="Arial"/>
          <w:b/>
          <w:color w:val="365F91" w:themeColor="accent1" w:themeShade="BF"/>
        </w:rPr>
      </w:pPr>
    </w:p>
    <w:p w14:paraId="780B71BD" w14:textId="77777777" w:rsidR="00293C32" w:rsidRPr="00F30878" w:rsidRDefault="00293C32" w:rsidP="00961B5D">
      <w:pPr>
        <w:pStyle w:val="ListParagraph"/>
        <w:numPr>
          <w:ilvl w:val="0"/>
          <w:numId w:val="18"/>
        </w:numPr>
        <w:spacing w:after="0"/>
        <w:jc w:val="both"/>
        <w:rPr>
          <w:rFonts w:ascii="Arial" w:eastAsia="Times New Roman" w:hAnsi="Arial" w:cs="Arial"/>
          <w:b/>
          <w:color w:val="365F91" w:themeColor="accent1" w:themeShade="BF"/>
        </w:rPr>
      </w:pPr>
      <w:r w:rsidRPr="00F30878">
        <w:rPr>
          <w:rFonts w:ascii="Arial" w:eastAsia="Times New Roman" w:hAnsi="Arial" w:cs="Arial"/>
          <w:b/>
          <w:color w:val="365F91" w:themeColor="accent1" w:themeShade="BF"/>
          <w:shd w:val="clear" w:color="auto" w:fill="FFFFFF"/>
        </w:rPr>
        <w:t xml:space="preserve">Discuss with the Commission how to make the LGBTQ Resource Map accessible and inclusive to MCDHH’s population, and to explore using it as a resource for MCDHH’s clients. </w:t>
      </w:r>
    </w:p>
    <w:p w14:paraId="6A174A82" w14:textId="77777777" w:rsidR="00293C32" w:rsidRDefault="00293C32" w:rsidP="00F37FB7">
      <w:pPr>
        <w:spacing w:after="0"/>
        <w:jc w:val="both"/>
        <w:rPr>
          <w:rFonts w:ascii="Arial" w:hAnsi="Arial" w:cs="Arial"/>
        </w:rPr>
      </w:pPr>
    </w:p>
    <w:p w14:paraId="1A924EE5" w14:textId="77777777" w:rsidR="008D220E" w:rsidRDefault="008D220E" w:rsidP="00F37FB7">
      <w:pPr>
        <w:spacing w:after="0"/>
        <w:jc w:val="both"/>
        <w:rPr>
          <w:rFonts w:ascii="Arial" w:hAnsi="Arial" w:cs="Arial"/>
        </w:rPr>
      </w:pPr>
      <w:r w:rsidRPr="008D220E">
        <w:rPr>
          <w:rFonts w:ascii="Arial" w:hAnsi="Arial" w:cs="Arial"/>
        </w:rPr>
        <w:t xml:space="preserve">As the Commission works to publish a virtual resource map for LGBTQ youth, it will appreciate any advice that </w:t>
      </w:r>
      <w:r>
        <w:rPr>
          <w:rFonts w:ascii="Arial" w:hAnsi="Arial" w:cs="Arial"/>
        </w:rPr>
        <w:t>MCDHH</w:t>
      </w:r>
      <w:r w:rsidRPr="008D220E">
        <w:rPr>
          <w:rFonts w:ascii="Arial" w:hAnsi="Arial" w:cs="Arial"/>
        </w:rPr>
        <w:t xml:space="preserve"> can provide on making the resource accessible and useful to LGBTQ youth who are </w:t>
      </w:r>
      <w:r w:rsidR="00F738A1">
        <w:rPr>
          <w:rFonts w:ascii="Arial" w:hAnsi="Arial" w:cs="Arial"/>
        </w:rPr>
        <w:t>D</w:t>
      </w:r>
      <w:r>
        <w:rPr>
          <w:rFonts w:ascii="Arial" w:hAnsi="Arial" w:cs="Arial"/>
        </w:rPr>
        <w:t>eaf or hard of hearing</w:t>
      </w:r>
      <w:r w:rsidRPr="008D220E">
        <w:rPr>
          <w:rFonts w:ascii="Arial" w:hAnsi="Arial" w:cs="Arial"/>
        </w:rPr>
        <w:t xml:space="preserve">. The Commission also recommends that </w:t>
      </w:r>
      <w:r>
        <w:rPr>
          <w:rFonts w:ascii="Arial" w:hAnsi="Arial" w:cs="Arial"/>
        </w:rPr>
        <w:t>MCDHH</w:t>
      </w:r>
      <w:r w:rsidRPr="008D220E">
        <w:rPr>
          <w:rFonts w:ascii="Arial" w:hAnsi="Arial" w:cs="Arial"/>
        </w:rPr>
        <w:t xml:space="preserve"> considers how the resource might be used to strengthen referrals made by its providers to LGBTQ youth.</w:t>
      </w:r>
    </w:p>
    <w:p w14:paraId="79E96FB8" w14:textId="77777777" w:rsidR="0040378E" w:rsidRDefault="0040378E" w:rsidP="0040378E">
      <w:pPr>
        <w:spacing w:after="0"/>
        <w:jc w:val="both"/>
        <w:rPr>
          <w:rFonts w:ascii="Arial" w:hAnsi="Arial" w:cs="Arial"/>
        </w:rPr>
      </w:pPr>
    </w:p>
    <w:p w14:paraId="0B6FDF75" w14:textId="77777777" w:rsidR="00A07650" w:rsidRDefault="00A07650">
      <w:pPr>
        <w:rPr>
          <w:rFonts w:ascii="Arial" w:hAnsi="Arial" w:cs="Arial"/>
          <w:b/>
          <w:sz w:val="28"/>
          <w:szCs w:val="28"/>
        </w:rPr>
      </w:pPr>
      <w:r>
        <w:rPr>
          <w:rFonts w:ascii="Arial" w:hAnsi="Arial" w:cs="Arial"/>
          <w:b/>
          <w:sz w:val="28"/>
          <w:szCs w:val="28"/>
        </w:rPr>
        <w:br w:type="page"/>
      </w:r>
    </w:p>
    <w:p w14:paraId="5DDC377C" w14:textId="77777777" w:rsidR="0040378E" w:rsidRPr="0040378E" w:rsidRDefault="0040378E" w:rsidP="00EB2689">
      <w:pPr>
        <w:pStyle w:val="Heading2"/>
      </w:pPr>
      <w:bookmarkStart w:id="36" w:name="_Toc512947914"/>
      <w:r w:rsidRPr="005E45A9">
        <w:lastRenderedPageBreak/>
        <w:t>Massachusetts Rehabilitation Commission</w:t>
      </w:r>
      <w:bookmarkEnd w:id="36"/>
    </w:p>
    <w:p w14:paraId="644981C9" w14:textId="77777777" w:rsidR="0040378E" w:rsidRPr="0040378E" w:rsidRDefault="00F30878" w:rsidP="0040378E">
      <w:pPr>
        <w:spacing w:after="0"/>
        <w:jc w:val="both"/>
        <w:rPr>
          <w:rFonts w:ascii="Arial" w:hAnsi="Arial" w:cs="Arial"/>
        </w:rPr>
      </w:pPr>
      <w:r>
        <w:rPr>
          <w:noProof/>
        </w:rPr>
        <w:drawing>
          <wp:anchor distT="0" distB="0" distL="114300" distR="114300" simplePos="0" relativeHeight="251768832" behindDoc="1" locked="0" layoutInCell="0" allowOverlap="1" wp14:anchorId="64E6DD63" wp14:editId="07C7FECD">
            <wp:simplePos x="0" y="0"/>
            <wp:positionH relativeFrom="column">
              <wp:posOffset>-5080</wp:posOffset>
            </wp:positionH>
            <wp:positionV relativeFrom="paragraph">
              <wp:posOffset>3175</wp:posOffset>
            </wp:positionV>
            <wp:extent cx="5980430" cy="18415"/>
            <wp:effectExtent l="0" t="0" r="1270" b="635"/>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anchor>
        </w:drawing>
      </w:r>
    </w:p>
    <w:p w14:paraId="7304F1E1" w14:textId="77777777" w:rsidR="00F30878" w:rsidRDefault="00F30878" w:rsidP="00F30878">
      <w:pPr>
        <w:spacing w:after="0"/>
        <w:jc w:val="center"/>
        <w:rPr>
          <w:rFonts w:ascii="Arial" w:hAnsi="Arial" w:cs="Arial"/>
          <w:b/>
          <w:u w:val="single"/>
        </w:rPr>
      </w:pPr>
    </w:p>
    <w:p w14:paraId="1FC03A3A" w14:textId="77777777" w:rsidR="009E4F82" w:rsidRPr="00F30878" w:rsidRDefault="000D430D" w:rsidP="00F30878">
      <w:pPr>
        <w:spacing w:after="0"/>
        <w:jc w:val="center"/>
        <w:rPr>
          <w:rFonts w:ascii="Arial" w:hAnsi="Arial" w:cs="Arial"/>
          <w:b/>
          <w:u w:val="single"/>
        </w:rPr>
      </w:pPr>
      <w:r w:rsidRPr="00F30878">
        <w:rPr>
          <w:rFonts w:ascii="Arial" w:hAnsi="Arial" w:cs="Arial"/>
          <w:b/>
          <w:u w:val="single"/>
        </w:rPr>
        <w:t>FY2019</w:t>
      </w:r>
      <w:r w:rsidR="009E4F82" w:rsidRPr="00F30878">
        <w:rPr>
          <w:rFonts w:ascii="Arial" w:hAnsi="Arial" w:cs="Arial"/>
          <w:b/>
          <w:u w:val="single"/>
        </w:rPr>
        <w:t xml:space="preserve"> RECOMMENDATIONS</w:t>
      </w:r>
    </w:p>
    <w:p w14:paraId="2C8695B8" w14:textId="77777777" w:rsidR="009E4F82" w:rsidRPr="009E4F82" w:rsidRDefault="009E4F82" w:rsidP="009E4F82">
      <w:pPr>
        <w:spacing w:after="0"/>
        <w:jc w:val="both"/>
        <w:rPr>
          <w:rFonts w:ascii="Arial" w:hAnsi="Arial" w:cs="Arial"/>
          <w:b/>
        </w:rPr>
      </w:pPr>
    </w:p>
    <w:p w14:paraId="422A74BB" w14:textId="77777777" w:rsidR="009E4F82" w:rsidRPr="00F30878" w:rsidRDefault="009E4F82" w:rsidP="00961B5D">
      <w:pPr>
        <w:numPr>
          <w:ilvl w:val="0"/>
          <w:numId w:val="3"/>
        </w:numPr>
        <w:spacing w:after="0"/>
        <w:jc w:val="both"/>
        <w:rPr>
          <w:rFonts w:ascii="Arial" w:hAnsi="Arial" w:cs="Arial"/>
          <w:b/>
          <w:color w:val="365F91" w:themeColor="accent1" w:themeShade="BF"/>
        </w:rPr>
      </w:pPr>
      <w:r w:rsidRPr="00F30878">
        <w:rPr>
          <w:rFonts w:ascii="Arial" w:hAnsi="Arial" w:cs="Arial"/>
          <w:b/>
          <w:color w:val="365F91" w:themeColor="accent1" w:themeShade="BF"/>
        </w:rPr>
        <w:t xml:space="preserve">Adopt LGBTQ-inclusive intake forms and appropriately train staff on implementation procedures. </w:t>
      </w:r>
    </w:p>
    <w:p w14:paraId="71CD0F4F" w14:textId="77777777" w:rsidR="009E4F82" w:rsidRPr="00F30878" w:rsidRDefault="009E4F82" w:rsidP="00961B5D">
      <w:pPr>
        <w:numPr>
          <w:ilvl w:val="0"/>
          <w:numId w:val="3"/>
        </w:numPr>
        <w:spacing w:after="0"/>
        <w:jc w:val="both"/>
        <w:rPr>
          <w:rFonts w:ascii="Arial" w:hAnsi="Arial" w:cs="Arial"/>
          <w:b/>
          <w:color w:val="365F91" w:themeColor="accent1" w:themeShade="BF"/>
        </w:rPr>
      </w:pPr>
      <w:r w:rsidRPr="00F30878">
        <w:rPr>
          <w:rFonts w:ascii="Arial" w:hAnsi="Arial" w:cs="Arial"/>
          <w:b/>
          <w:color w:val="365F91" w:themeColor="accent1" w:themeShade="BF"/>
        </w:rPr>
        <w:t xml:space="preserve">Provide LGBTQ cultural competency training for all youth-serving staff and providers and continue working with the EOHHS interagency committee to complete a universal training and explore implementation. </w:t>
      </w:r>
    </w:p>
    <w:p w14:paraId="62D140AF" w14:textId="77777777" w:rsidR="009E4F82" w:rsidRDefault="009E4F82" w:rsidP="0040378E">
      <w:pPr>
        <w:spacing w:after="0"/>
        <w:jc w:val="both"/>
        <w:rPr>
          <w:rFonts w:ascii="Arial" w:hAnsi="Arial" w:cs="Arial"/>
        </w:rPr>
      </w:pPr>
    </w:p>
    <w:p w14:paraId="10AB6480" w14:textId="77777777" w:rsidR="000D430D" w:rsidRPr="00F30878" w:rsidRDefault="000D430D" w:rsidP="00F30878">
      <w:pPr>
        <w:spacing w:after="0"/>
        <w:jc w:val="center"/>
        <w:rPr>
          <w:rFonts w:ascii="Arial" w:hAnsi="Arial" w:cs="Arial"/>
          <w:b/>
          <w:u w:val="single"/>
        </w:rPr>
      </w:pPr>
      <w:r w:rsidRPr="00F30878">
        <w:rPr>
          <w:rFonts w:ascii="Arial" w:hAnsi="Arial" w:cs="Arial"/>
          <w:b/>
          <w:u w:val="single"/>
        </w:rPr>
        <w:t>BACKGROUND &amp; RESEARCH</w:t>
      </w:r>
    </w:p>
    <w:p w14:paraId="1A3B3DB2" w14:textId="77777777" w:rsidR="000D430D" w:rsidRDefault="000D430D" w:rsidP="0040378E">
      <w:pPr>
        <w:spacing w:after="0"/>
        <w:jc w:val="both"/>
        <w:rPr>
          <w:rFonts w:ascii="Arial" w:hAnsi="Arial" w:cs="Arial"/>
        </w:rPr>
      </w:pPr>
    </w:p>
    <w:p w14:paraId="6DBA9C2B" w14:textId="77777777" w:rsidR="006141F0" w:rsidRDefault="0040378E" w:rsidP="0040378E">
      <w:pPr>
        <w:spacing w:after="0"/>
        <w:jc w:val="both"/>
        <w:rPr>
          <w:rFonts w:ascii="Arial" w:hAnsi="Arial" w:cs="Arial"/>
        </w:rPr>
      </w:pPr>
      <w:r w:rsidRPr="0040378E">
        <w:rPr>
          <w:rFonts w:ascii="Arial" w:hAnsi="Arial" w:cs="Arial"/>
        </w:rPr>
        <w:t>The Massachusetts Rehabilitation Commission (MRC) promotes equality, empowerment, and independence of individuals with disabilities.</w:t>
      </w:r>
      <w:r w:rsidR="00F137A6">
        <w:rPr>
          <w:rFonts w:ascii="Arial" w:hAnsi="Arial" w:cs="Arial"/>
        </w:rPr>
        <w:t xml:space="preserve"> The role filled by MRC is an important one for LGBTQ youth in</w:t>
      </w:r>
      <w:r w:rsidR="00F137A6" w:rsidRPr="008B0634">
        <w:rPr>
          <w:rFonts w:ascii="Arial" w:hAnsi="Arial" w:cs="Arial"/>
        </w:rPr>
        <w:t xml:space="preserve"> Massachusetts, </w:t>
      </w:r>
      <w:r w:rsidR="00F137A6">
        <w:rPr>
          <w:rFonts w:ascii="Arial" w:hAnsi="Arial" w:cs="Arial"/>
        </w:rPr>
        <w:t>given that data</w:t>
      </w:r>
      <w:r w:rsidR="00F137A6" w:rsidRPr="008B0634">
        <w:rPr>
          <w:rFonts w:ascii="Arial" w:hAnsi="Arial" w:cs="Arial"/>
        </w:rPr>
        <w:t xml:space="preserve"> suggest LGBTQ students </w:t>
      </w:r>
      <w:r w:rsidR="00F137A6">
        <w:rPr>
          <w:rFonts w:ascii="Arial" w:hAnsi="Arial" w:cs="Arial"/>
        </w:rPr>
        <w:t>are more than twice as likely to have a</w:t>
      </w:r>
      <w:r w:rsidR="00F137A6" w:rsidRPr="008B0634">
        <w:rPr>
          <w:rFonts w:ascii="Arial" w:hAnsi="Arial" w:cs="Arial"/>
        </w:rPr>
        <w:t xml:space="preserve"> physical disability or long-term health </w:t>
      </w:r>
      <w:r w:rsidR="00F137A6">
        <w:rPr>
          <w:rFonts w:ascii="Arial" w:hAnsi="Arial" w:cs="Arial"/>
        </w:rPr>
        <w:t>problem than are</w:t>
      </w:r>
      <w:r w:rsidR="00F137A6" w:rsidRPr="008B0634">
        <w:rPr>
          <w:rFonts w:ascii="Arial" w:hAnsi="Arial" w:cs="Arial"/>
        </w:rPr>
        <w:t xml:space="preserve"> their peers, and that they are also more likely to report having a</w:t>
      </w:r>
      <w:r w:rsidR="00F137A6">
        <w:rPr>
          <w:rFonts w:ascii="Arial" w:hAnsi="Arial" w:cs="Arial"/>
        </w:rPr>
        <w:t xml:space="preserve"> long-term learning disability.</w:t>
      </w:r>
      <w:r w:rsidR="00F137A6" w:rsidRPr="0071692C">
        <w:rPr>
          <w:rFonts w:ascii="Arial" w:hAnsi="Arial" w:cs="Arial"/>
          <w:vertAlign w:val="superscript"/>
        </w:rPr>
        <w:endnoteReference w:id="189"/>
      </w:r>
      <w:r w:rsidR="00F137A6">
        <w:rPr>
          <w:rFonts w:ascii="Arial" w:hAnsi="Arial" w:cs="Arial"/>
        </w:rPr>
        <w:t xml:space="preserve"> A major study of adults in</w:t>
      </w:r>
      <w:r w:rsidR="001152C9">
        <w:rPr>
          <w:rFonts w:ascii="Arial" w:hAnsi="Arial" w:cs="Arial"/>
        </w:rPr>
        <w:t xml:space="preserve"> the state of</w:t>
      </w:r>
      <w:r w:rsidR="00F137A6">
        <w:rPr>
          <w:rFonts w:ascii="Arial" w:hAnsi="Arial" w:cs="Arial"/>
        </w:rPr>
        <w:t xml:space="preserve"> Washington found </w:t>
      </w:r>
      <w:r w:rsidR="001152C9">
        <w:rPr>
          <w:rFonts w:ascii="Arial" w:hAnsi="Arial" w:cs="Arial"/>
        </w:rPr>
        <w:t>26%</w:t>
      </w:r>
      <w:r w:rsidR="008B0634" w:rsidRPr="008B0634">
        <w:rPr>
          <w:rFonts w:ascii="Arial" w:hAnsi="Arial" w:cs="Arial"/>
        </w:rPr>
        <w:t xml:space="preserve"> of gay men and</w:t>
      </w:r>
      <w:r w:rsidR="001152C9">
        <w:rPr>
          <w:rFonts w:ascii="Arial" w:hAnsi="Arial" w:cs="Arial"/>
        </w:rPr>
        <w:t xml:space="preserve"> 40%</w:t>
      </w:r>
      <w:r w:rsidR="009454B1">
        <w:rPr>
          <w:rFonts w:ascii="Arial" w:hAnsi="Arial" w:cs="Arial"/>
        </w:rPr>
        <w:t xml:space="preserve"> of bisexual men have a disability</w:t>
      </w:r>
      <w:r w:rsidR="00F137A6">
        <w:rPr>
          <w:rFonts w:ascii="Arial" w:hAnsi="Arial" w:cs="Arial"/>
        </w:rPr>
        <w:t xml:space="preserve"> compared to </w:t>
      </w:r>
      <w:r w:rsidR="00F137A6" w:rsidRPr="00F137A6">
        <w:rPr>
          <w:rFonts w:ascii="Arial" w:hAnsi="Arial" w:cs="Arial"/>
        </w:rPr>
        <w:t>22</w:t>
      </w:r>
      <w:r w:rsidR="001152C9">
        <w:rPr>
          <w:rFonts w:ascii="Arial" w:hAnsi="Arial" w:cs="Arial"/>
        </w:rPr>
        <w:t>%</w:t>
      </w:r>
      <w:r w:rsidR="00F137A6" w:rsidRPr="00F137A6">
        <w:rPr>
          <w:rFonts w:ascii="Arial" w:hAnsi="Arial" w:cs="Arial"/>
        </w:rPr>
        <w:t xml:space="preserve"> of heterosexual men</w:t>
      </w:r>
      <w:r w:rsidR="00F137A6">
        <w:rPr>
          <w:rFonts w:ascii="Arial" w:hAnsi="Arial" w:cs="Arial"/>
        </w:rPr>
        <w:t>, and that</w:t>
      </w:r>
      <w:r w:rsidR="00476B4B">
        <w:rPr>
          <w:rFonts w:ascii="Arial" w:hAnsi="Arial" w:cs="Arial"/>
        </w:rPr>
        <w:t xml:space="preserve"> 36</w:t>
      </w:r>
      <w:r w:rsidR="001152C9">
        <w:rPr>
          <w:rFonts w:ascii="Arial" w:hAnsi="Arial" w:cs="Arial"/>
        </w:rPr>
        <w:t>%</w:t>
      </w:r>
      <w:r w:rsidR="00476B4B">
        <w:rPr>
          <w:rFonts w:ascii="Arial" w:hAnsi="Arial" w:cs="Arial"/>
        </w:rPr>
        <w:t xml:space="preserve"> of both lesbian and bisexual women have a disability</w:t>
      </w:r>
      <w:r w:rsidR="00F137A6">
        <w:rPr>
          <w:rFonts w:ascii="Arial" w:hAnsi="Arial" w:cs="Arial"/>
        </w:rPr>
        <w:t xml:space="preserve"> compared to</w:t>
      </w:r>
      <w:r w:rsidR="001152C9">
        <w:rPr>
          <w:rFonts w:ascii="Arial" w:hAnsi="Arial" w:cs="Arial"/>
        </w:rPr>
        <w:t xml:space="preserve"> 25% </w:t>
      </w:r>
      <w:r w:rsidR="00F137A6" w:rsidRPr="00F137A6">
        <w:rPr>
          <w:rFonts w:ascii="Arial" w:hAnsi="Arial" w:cs="Arial"/>
        </w:rPr>
        <w:t>of heterosexual women</w:t>
      </w:r>
      <w:r w:rsidR="008B0634" w:rsidRPr="008B0634">
        <w:rPr>
          <w:rFonts w:ascii="Arial" w:hAnsi="Arial" w:cs="Arial"/>
        </w:rPr>
        <w:t>.</w:t>
      </w:r>
      <w:r w:rsidR="0071692C" w:rsidRPr="0071692C">
        <w:rPr>
          <w:rFonts w:ascii="Arial" w:hAnsi="Arial" w:cs="Arial"/>
          <w:vertAlign w:val="superscript"/>
        </w:rPr>
        <w:endnoteReference w:id="190"/>
      </w:r>
      <w:r w:rsidR="008B0634" w:rsidRPr="008B0634">
        <w:rPr>
          <w:rFonts w:ascii="Arial" w:hAnsi="Arial" w:cs="Arial"/>
        </w:rPr>
        <w:t xml:space="preserve"> </w:t>
      </w:r>
      <w:r w:rsidR="00F137A6">
        <w:rPr>
          <w:rFonts w:ascii="Arial" w:hAnsi="Arial" w:cs="Arial"/>
        </w:rPr>
        <w:t>These and other studies suggest that LGBTQ youth and adults may indeed experience higher rates of disability, and also face greater exclusion from state and social services due to discrimination and stigma, thus making their ability to access the services that MRC provides all the more important.</w:t>
      </w:r>
    </w:p>
    <w:p w14:paraId="2B061AE7" w14:textId="77777777" w:rsidR="006141F0" w:rsidRDefault="006141F0" w:rsidP="0040378E">
      <w:pPr>
        <w:spacing w:after="0"/>
        <w:jc w:val="both"/>
        <w:rPr>
          <w:rFonts w:ascii="Arial" w:hAnsi="Arial" w:cs="Arial"/>
        </w:rPr>
      </w:pPr>
    </w:p>
    <w:p w14:paraId="2442DE5F" w14:textId="6E29C414" w:rsidR="0040378E" w:rsidRDefault="0040378E" w:rsidP="0040378E">
      <w:pPr>
        <w:spacing w:after="0"/>
        <w:jc w:val="both"/>
        <w:rPr>
          <w:rFonts w:ascii="Arial" w:hAnsi="Arial" w:cs="Arial"/>
        </w:rPr>
      </w:pPr>
      <w:r w:rsidRPr="0040378E">
        <w:rPr>
          <w:rFonts w:ascii="Arial" w:hAnsi="Arial" w:cs="Arial"/>
        </w:rPr>
        <w:t>Since the Commission first issued recommendations to MRC, the agency has offered training opportunities in LGBTQ cultural competency, conducted an internal staff climate survey related to LGBTQ issues, and created an internal LGBTQ working group.</w:t>
      </w:r>
      <w:r w:rsidR="00381E4A">
        <w:rPr>
          <w:rFonts w:ascii="Arial" w:hAnsi="Arial" w:cs="Arial"/>
        </w:rPr>
        <w:t xml:space="preserve"> MRC has also modified </w:t>
      </w:r>
      <w:r w:rsidR="00EB6504">
        <w:rPr>
          <w:rFonts w:ascii="Arial" w:hAnsi="Arial" w:cs="Arial"/>
        </w:rPr>
        <w:t>its</w:t>
      </w:r>
      <w:r w:rsidR="00381E4A">
        <w:rPr>
          <w:rFonts w:ascii="Arial" w:hAnsi="Arial" w:cs="Arial"/>
        </w:rPr>
        <w:t xml:space="preserve"> sexual harassment policy to include gender-neutral language, partially as a test of how they can best update other policies to be more LGBTQ-inclusive.</w:t>
      </w:r>
      <w:r w:rsidRPr="0040378E">
        <w:rPr>
          <w:rFonts w:ascii="Arial" w:hAnsi="Arial" w:cs="Arial"/>
        </w:rPr>
        <w:t xml:space="preserve"> </w:t>
      </w:r>
      <w:r w:rsidR="009454B1">
        <w:rPr>
          <w:rFonts w:ascii="Arial" w:hAnsi="Arial" w:cs="Arial"/>
        </w:rPr>
        <w:t xml:space="preserve">MRC </w:t>
      </w:r>
      <w:r w:rsidR="00EB6504">
        <w:rPr>
          <w:rFonts w:ascii="Arial" w:hAnsi="Arial" w:cs="Arial"/>
        </w:rPr>
        <w:t xml:space="preserve">representatives </w:t>
      </w:r>
      <w:r w:rsidR="009454B1">
        <w:rPr>
          <w:rFonts w:ascii="Arial" w:hAnsi="Arial" w:cs="Arial"/>
        </w:rPr>
        <w:t>ha</w:t>
      </w:r>
      <w:r w:rsidR="00EB6504">
        <w:rPr>
          <w:rFonts w:ascii="Arial" w:hAnsi="Arial" w:cs="Arial"/>
        </w:rPr>
        <w:t>ve</w:t>
      </w:r>
      <w:r w:rsidR="009454B1">
        <w:rPr>
          <w:rFonts w:ascii="Arial" w:hAnsi="Arial" w:cs="Arial"/>
        </w:rPr>
        <w:t xml:space="preserve"> met regularly with Commission</w:t>
      </w:r>
      <w:r w:rsidR="00EB6504">
        <w:rPr>
          <w:rFonts w:ascii="Arial" w:hAnsi="Arial" w:cs="Arial"/>
        </w:rPr>
        <w:t xml:space="preserve"> personnel</w:t>
      </w:r>
      <w:r w:rsidR="009454B1">
        <w:rPr>
          <w:rFonts w:ascii="Arial" w:hAnsi="Arial" w:cs="Arial"/>
        </w:rPr>
        <w:t xml:space="preserve">, and </w:t>
      </w:r>
      <w:r w:rsidR="00EB6504">
        <w:rPr>
          <w:rFonts w:ascii="Arial" w:hAnsi="Arial" w:cs="Arial"/>
        </w:rPr>
        <w:t>an MRC</w:t>
      </w:r>
      <w:r w:rsidR="00676BE9">
        <w:rPr>
          <w:rFonts w:ascii="Arial" w:hAnsi="Arial" w:cs="Arial"/>
        </w:rPr>
        <w:t xml:space="preserve"> liaison to the Commission, David Sykes, </w:t>
      </w:r>
      <w:r w:rsidR="009454B1">
        <w:rPr>
          <w:rFonts w:ascii="Arial" w:hAnsi="Arial" w:cs="Arial"/>
        </w:rPr>
        <w:t xml:space="preserve">was honored with an Advancing Equity Award from the Commission in March 2018. </w:t>
      </w:r>
      <w:r w:rsidR="00082670">
        <w:rPr>
          <w:rFonts w:ascii="Arial" w:hAnsi="Arial" w:cs="Arial"/>
        </w:rPr>
        <w:t xml:space="preserve">MRC Commissioner Toni Wolf also met with Commission members personally in FY2018, and had a productive conversation on </w:t>
      </w:r>
      <w:r w:rsidR="00EE5D2B">
        <w:rPr>
          <w:rFonts w:ascii="Arial" w:hAnsi="Arial" w:cs="Arial"/>
        </w:rPr>
        <w:t>MRC’s progress regarding</w:t>
      </w:r>
      <w:r w:rsidR="00082670">
        <w:rPr>
          <w:rFonts w:ascii="Arial" w:hAnsi="Arial" w:cs="Arial"/>
        </w:rPr>
        <w:t xml:space="preserve"> the Commission’s recommendations.</w:t>
      </w:r>
    </w:p>
    <w:p w14:paraId="34599CCF" w14:textId="77777777" w:rsidR="0017483B" w:rsidRDefault="0017483B" w:rsidP="0040378E">
      <w:pPr>
        <w:spacing w:after="0"/>
        <w:jc w:val="both"/>
        <w:rPr>
          <w:rFonts w:ascii="Arial" w:hAnsi="Arial" w:cs="Arial"/>
        </w:rPr>
      </w:pPr>
    </w:p>
    <w:p w14:paraId="6CE170D0" w14:textId="77777777" w:rsidR="0017483B" w:rsidRDefault="0017483B" w:rsidP="0040378E">
      <w:pPr>
        <w:spacing w:after="0"/>
        <w:jc w:val="both"/>
        <w:rPr>
          <w:rFonts w:ascii="Arial" w:hAnsi="Arial" w:cs="Arial"/>
        </w:rPr>
      </w:pPr>
      <w:r>
        <w:rPr>
          <w:rFonts w:ascii="Arial" w:hAnsi="Arial" w:cs="Arial"/>
        </w:rPr>
        <w:t>MRC has provided multiple trainings for LGBTQ youth</w:t>
      </w:r>
      <w:r w:rsidR="00676BE9">
        <w:rPr>
          <w:rFonts w:ascii="Arial" w:hAnsi="Arial" w:cs="Arial"/>
        </w:rPr>
        <w:t>, including</w:t>
      </w:r>
      <w:r>
        <w:rPr>
          <w:rFonts w:ascii="Arial" w:hAnsi="Arial" w:cs="Arial"/>
        </w:rPr>
        <w:t xml:space="preserve"> three “Trans 101” gender identity and expression trainings during 2016 in Taunton, Holyoke, and Marlboro. The trainings were led by MaeBright and the Massachusetts Transgender Political Coalition. These trainings included vocational counselors, job placement, and employment specialists. This series of “Trans 101” trainings also included an abridged half</w:t>
      </w:r>
      <w:r w:rsidR="00EB6504">
        <w:rPr>
          <w:rFonts w:ascii="Arial" w:hAnsi="Arial" w:cs="Arial"/>
        </w:rPr>
        <w:t>-</w:t>
      </w:r>
      <w:r>
        <w:rPr>
          <w:rFonts w:ascii="Arial" w:hAnsi="Arial" w:cs="Arial"/>
        </w:rPr>
        <w:t>day training for clerks</w:t>
      </w:r>
      <w:r w:rsidR="00676BE9">
        <w:rPr>
          <w:rFonts w:ascii="Arial" w:hAnsi="Arial" w:cs="Arial"/>
        </w:rPr>
        <w:t xml:space="preserve"> and </w:t>
      </w:r>
      <w:r>
        <w:rPr>
          <w:rFonts w:ascii="Arial" w:hAnsi="Arial" w:cs="Arial"/>
        </w:rPr>
        <w:t>receptionists. Further, in 2016</w:t>
      </w:r>
      <w:r w:rsidR="00676BE9">
        <w:rPr>
          <w:rFonts w:ascii="Arial" w:hAnsi="Arial" w:cs="Arial"/>
        </w:rPr>
        <w:t>,</w:t>
      </w:r>
      <w:r>
        <w:rPr>
          <w:rFonts w:ascii="Arial" w:hAnsi="Arial" w:cs="Arial"/>
        </w:rPr>
        <w:t xml:space="preserve"> MRC vocational </w:t>
      </w:r>
      <w:r w:rsidR="00676BE9">
        <w:rPr>
          <w:rFonts w:ascii="Arial" w:hAnsi="Arial" w:cs="Arial"/>
        </w:rPr>
        <w:t xml:space="preserve">transition </w:t>
      </w:r>
      <w:r>
        <w:rPr>
          <w:rFonts w:ascii="Arial" w:hAnsi="Arial" w:cs="Arial"/>
        </w:rPr>
        <w:t>counselors in the south district attended a two-</w:t>
      </w:r>
      <w:r w:rsidR="00676BE9">
        <w:rPr>
          <w:rFonts w:ascii="Arial" w:hAnsi="Arial" w:cs="Arial"/>
        </w:rPr>
        <w:t xml:space="preserve">hour training </w:t>
      </w:r>
      <w:r>
        <w:rPr>
          <w:rFonts w:ascii="Arial" w:hAnsi="Arial" w:cs="Arial"/>
        </w:rPr>
        <w:t xml:space="preserve">specific to LGBTQ youth. </w:t>
      </w:r>
    </w:p>
    <w:p w14:paraId="1FB1BD92" w14:textId="77777777" w:rsidR="0017483B" w:rsidRPr="0040378E" w:rsidRDefault="0017483B" w:rsidP="0040378E">
      <w:pPr>
        <w:spacing w:after="0"/>
        <w:jc w:val="both"/>
        <w:rPr>
          <w:rFonts w:ascii="Arial" w:hAnsi="Arial" w:cs="Arial"/>
        </w:rPr>
      </w:pPr>
    </w:p>
    <w:p w14:paraId="00C253FF" w14:textId="77777777" w:rsidR="0040378E" w:rsidRPr="00F30878" w:rsidRDefault="0040378E" w:rsidP="00F30878">
      <w:pPr>
        <w:spacing w:after="0"/>
        <w:jc w:val="center"/>
        <w:rPr>
          <w:rFonts w:ascii="Arial" w:hAnsi="Arial" w:cs="Arial"/>
          <w:b/>
          <w:u w:val="single"/>
        </w:rPr>
      </w:pPr>
      <w:r w:rsidRPr="00F30878">
        <w:rPr>
          <w:rFonts w:ascii="Arial" w:hAnsi="Arial" w:cs="Arial"/>
          <w:b/>
          <w:u w:val="single"/>
        </w:rPr>
        <w:t>EXPANDED RECOMMENDATIONS</w:t>
      </w:r>
    </w:p>
    <w:p w14:paraId="3A1D1BD4" w14:textId="77777777" w:rsidR="00C155BB" w:rsidRDefault="00C155BB" w:rsidP="00F37FB7">
      <w:pPr>
        <w:spacing w:after="0"/>
        <w:jc w:val="both"/>
        <w:rPr>
          <w:rFonts w:ascii="Arial" w:hAnsi="Arial" w:cs="Arial"/>
        </w:rPr>
      </w:pPr>
    </w:p>
    <w:p w14:paraId="09C164B8" w14:textId="77777777" w:rsidR="000D430D" w:rsidRPr="00F30878" w:rsidRDefault="000D430D" w:rsidP="00961B5D">
      <w:pPr>
        <w:numPr>
          <w:ilvl w:val="0"/>
          <w:numId w:val="19"/>
        </w:numPr>
        <w:spacing w:after="0"/>
        <w:jc w:val="both"/>
        <w:rPr>
          <w:rFonts w:ascii="Arial" w:hAnsi="Arial" w:cs="Arial"/>
          <w:b/>
          <w:color w:val="365F91" w:themeColor="accent1" w:themeShade="BF"/>
        </w:rPr>
      </w:pPr>
      <w:r w:rsidRPr="00F30878">
        <w:rPr>
          <w:rFonts w:ascii="Arial" w:hAnsi="Arial" w:cs="Arial"/>
          <w:b/>
          <w:color w:val="365F91" w:themeColor="accent1" w:themeShade="BF"/>
        </w:rPr>
        <w:t xml:space="preserve">Adopt LGBTQ-inclusive intake forms and appropriately train staff on implementation procedures. </w:t>
      </w:r>
    </w:p>
    <w:p w14:paraId="5B419779" w14:textId="77777777" w:rsidR="000D430D" w:rsidRDefault="000D430D" w:rsidP="000D430D">
      <w:pPr>
        <w:spacing w:after="0"/>
        <w:jc w:val="both"/>
        <w:rPr>
          <w:rFonts w:ascii="Arial" w:hAnsi="Arial" w:cs="Arial"/>
        </w:rPr>
      </w:pPr>
    </w:p>
    <w:p w14:paraId="7E5CD25F" w14:textId="77777777" w:rsidR="000D430D" w:rsidRDefault="00381E4A" w:rsidP="000D430D">
      <w:pPr>
        <w:spacing w:after="0"/>
        <w:jc w:val="both"/>
        <w:rPr>
          <w:rFonts w:ascii="Arial" w:hAnsi="Arial" w:cs="Arial"/>
        </w:rPr>
      </w:pPr>
      <w:r>
        <w:rPr>
          <w:rFonts w:ascii="Arial" w:hAnsi="Arial" w:cs="Arial"/>
        </w:rPr>
        <w:t xml:space="preserve">MRC staff </w:t>
      </w:r>
      <w:r w:rsidRPr="00381E4A">
        <w:rPr>
          <w:rFonts w:ascii="Arial" w:hAnsi="Arial" w:cs="Arial"/>
        </w:rPr>
        <w:t>are currently discussing how to implement changes in their intake forms and provide inclusive training for implementation procedures with their Commissioner and federal partners.</w:t>
      </w:r>
      <w:r>
        <w:rPr>
          <w:rFonts w:ascii="Arial" w:hAnsi="Arial" w:cs="Arial"/>
        </w:rPr>
        <w:t xml:space="preserve"> The Commission commends this progress and recommends that MRC continue working to make more inclusive forms a reality. The Commission expects this to provide MRC with valuable data on the needs of LGBTQ clients, as well as to improve inclusivity of the intake process for clients and quality of service delivered by providers, especially if they have been trained in LGBTQ competency. The EOHHS interagency committee working on LGBTQ matters may be a useful forum in which to discuss challenges and opportunities for improved data collection. </w:t>
      </w:r>
    </w:p>
    <w:p w14:paraId="49FF8969" w14:textId="77777777" w:rsidR="00381E4A" w:rsidRPr="009E4F82" w:rsidRDefault="00381E4A" w:rsidP="000D430D">
      <w:pPr>
        <w:spacing w:after="0"/>
        <w:jc w:val="both"/>
        <w:rPr>
          <w:rFonts w:ascii="Arial" w:hAnsi="Arial" w:cs="Arial"/>
        </w:rPr>
      </w:pPr>
    </w:p>
    <w:p w14:paraId="6B476792" w14:textId="77777777" w:rsidR="000D430D" w:rsidRPr="00F30878" w:rsidRDefault="000D430D" w:rsidP="00961B5D">
      <w:pPr>
        <w:numPr>
          <w:ilvl w:val="0"/>
          <w:numId w:val="19"/>
        </w:numPr>
        <w:spacing w:after="0"/>
        <w:jc w:val="both"/>
        <w:rPr>
          <w:rFonts w:ascii="Arial" w:hAnsi="Arial" w:cs="Arial"/>
          <w:b/>
          <w:color w:val="365F91" w:themeColor="accent1" w:themeShade="BF"/>
        </w:rPr>
      </w:pPr>
      <w:r w:rsidRPr="00F30878">
        <w:rPr>
          <w:rFonts w:ascii="Arial" w:hAnsi="Arial" w:cs="Arial"/>
          <w:b/>
          <w:color w:val="365F91" w:themeColor="accent1" w:themeShade="BF"/>
        </w:rPr>
        <w:t xml:space="preserve">Provide LGBTQ cultural competency training for all youth-serving staff and providers and continue working with the EOHHS interagency committee to complete a universal training and explore implementation. </w:t>
      </w:r>
    </w:p>
    <w:p w14:paraId="2D5D317E" w14:textId="77777777" w:rsidR="00771606" w:rsidRDefault="00771606" w:rsidP="00F37FB7">
      <w:pPr>
        <w:spacing w:after="0"/>
        <w:jc w:val="both"/>
        <w:rPr>
          <w:rFonts w:ascii="Arial" w:hAnsi="Arial" w:cs="Arial"/>
        </w:rPr>
      </w:pPr>
    </w:p>
    <w:p w14:paraId="6B408683" w14:textId="56A227F5" w:rsidR="000D430D" w:rsidRDefault="00923871" w:rsidP="00F37FB7">
      <w:pPr>
        <w:spacing w:after="0"/>
        <w:jc w:val="both"/>
        <w:rPr>
          <w:rFonts w:ascii="Arial" w:hAnsi="Arial" w:cs="Arial"/>
        </w:rPr>
      </w:pPr>
      <w:r>
        <w:rPr>
          <w:rFonts w:ascii="Arial" w:hAnsi="Arial" w:cs="Arial"/>
        </w:rPr>
        <w:t>The Commission recommends that MRC provide</w:t>
      </w:r>
      <w:r w:rsidR="001E6836">
        <w:rPr>
          <w:rFonts w:ascii="Arial" w:hAnsi="Arial" w:cs="Arial"/>
        </w:rPr>
        <w:t xml:space="preserve"> LGBTQ competency training for </w:t>
      </w:r>
      <w:r>
        <w:rPr>
          <w:rFonts w:ascii="Arial" w:hAnsi="Arial" w:cs="Arial"/>
        </w:rPr>
        <w:t>all staff and providers who work with youth</w:t>
      </w:r>
      <w:r w:rsidR="00EE5D2B">
        <w:rPr>
          <w:rFonts w:ascii="Arial" w:hAnsi="Arial" w:cs="Arial"/>
        </w:rPr>
        <w:t>, if not all staff</w:t>
      </w:r>
      <w:r>
        <w:rPr>
          <w:rFonts w:ascii="Arial" w:hAnsi="Arial" w:cs="Arial"/>
        </w:rPr>
        <w:t>. One way of accomplishing this might be to use the training being developed by the EOHHS interagency committee as a baseline trai</w:t>
      </w:r>
      <w:r w:rsidR="00EE5D2B">
        <w:rPr>
          <w:rFonts w:ascii="Arial" w:hAnsi="Arial" w:cs="Arial"/>
        </w:rPr>
        <w:t>ning for all staff and providers, while adding</w:t>
      </w:r>
      <w:r>
        <w:rPr>
          <w:rFonts w:ascii="Arial" w:hAnsi="Arial" w:cs="Arial"/>
        </w:rPr>
        <w:t xml:space="preserve"> targeted, in-person trainings to build specific skills among </w:t>
      </w:r>
      <w:r w:rsidR="00EE5D2B">
        <w:rPr>
          <w:rFonts w:ascii="Arial" w:hAnsi="Arial" w:cs="Arial"/>
        </w:rPr>
        <w:t>specific</w:t>
      </w:r>
      <w:r>
        <w:rPr>
          <w:rFonts w:ascii="Arial" w:hAnsi="Arial" w:cs="Arial"/>
        </w:rPr>
        <w:t xml:space="preserve"> groups of staff and providers. </w:t>
      </w:r>
    </w:p>
    <w:p w14:paraId="25754455" w14:textId="77777777" w:rsidR="00A07650" w:rsidRDefault="00A07650">
      <w:pPr>
        <w:rPr>
          <w:rFonts w:ascii="Arial" w:hAnsi="Arial" w:cs="Arial"/>
          <w:b/>
          <w:sz w:val="28"/>
          <w:szCs w:val="28"/>
        </w:rPr>
      </w:pPr>
      <w:r>
        <w:rPr>
          <w:rFonts w:ascii="Arial" w:hAnsi="Arial" w:cs="Arial"/>
          <w:b/>
          <w:sz w:val="28"/>
          <w:szCs w:val="28"/>
        </w:rPr>
        <w:br w:type="page"/>
      </w:r>
    </w:p>
    <w:p w14:paraId="1ECB245B" w14:textId="77777777" w:rsidR="00771606" w:rsidRPr="00771606" w:rsidRDefault="00771606" w:rsidP="00EB2689">
      <w:pPr>
        <w:pStyle w:val="Heading2"/>
      </w:pPr>
      <w:bookmarkStart w:id="37" w:name="_Toc512947915"/>
      <w:r w:rsidRPr="00657525">
        <w:lastRenderedPageBreak/>
        <w:t>Department of Mental Health</w:t>
      </w:r>
      <w:bookmarkEnd w:id="37"/>
    </w:p>
    <w:p w14:paraId="723E88BA" w14:textId="77777777" w:rsidR="00771606" w:rsidRPr="00771606" w:rsidRDefault="00A6026D" w:rsidP="00771606">
      <w:pPr>
        <w:spacing w:after="0"/>
        <w:jc w:val="both"/>
        <w:rPr>
          <w:rFonts w:ascii="Arial" w:hAnsi="Arial" w:cs="Arial"/>
        </w:rPr>
      </w:pPr>
      <w:r>
        <w:rPr>
          <w:noProof/>
        </w:rPr>
        <w:drawing>
          <wp:anchor distT="0" distB="0" distL="114300" distR="114300" simplePos="0" relativeHeight="251770880" behindDoc="1" locked="0" layoutInCell="0" allowOverlap="1" wp14:anchorId="1E86BE2A" wp14:editId="323A13DF">
            <wp:simplePos x="0" y="0"/>
            <wp:positionH relativeFrom="column">
              <wp:posOffset>4445</wp:posOffset>
            </wp:positionH>
            <wp:positionV relativeFrom="paragraph">
              <wp:posOffset>3175</wp:posOffset>
            </wp:positionV>
            <wp:extent cx="5980430" cy="18415"/>
            <wp:effectExtent l="0" t="0" r="1270" b="63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anchor>
        </w:drawing>
      </w:r>
    </w:p>
    <w:p w14:paraId="64104752" w14:textId="77777777" w:rsidR="00923871" w:rsidRPr="00A6026D" w:rsidRDefault="00AA0B2F" w:rsidP="00A6026D">
      <w:pPr>
        <w:spacing w:after="0"/>
        <w:jc w:val="center"/>
        <w:rPr>
          <w:rFonts w:ascii="Arial" w:hAnsi="Arial" w:cs="Arial"/>
          <w:b/>
          <w:u w:val="single"/>
        </w:rPr>
      </w:pPr>
      <w:r w:rsidRPr="00A6026D">
        <w:rPr>
          <w:rFonts w:ascii="Arial" w:hAnsi="Arial" w:cs="Arial"/>
          <w:b/>
          <w:u w:val="single"/>
        </w:rPr>
        <w:t>FY19</w:t>
      </w:r>
      <w:r w:rsidR="00923871" w:rsidRPr="00A6026D">
        <w:rPr>
          <w:rFonts w:ascii="Arial" w:hAnsi="Arial" w:cs="Arial"/>
          <w:b/>
          <w:u w:val="single"/>
        </w:rPr>
        <w:t xml:space="preserve"> RECOMMENDATIONS</w:t>
      </w:r>
    </w:p>
    <w:p w14:paraId="5F8D0973" w14:textId="77777777" w:rsidR="00923871" w:rsidRPr="00923871" w:rsidRDefault="00923871" w:rsidP="00923871">
      <w:pPr>
        <w:spacing w:after="0"/>
        <w:jc w:val="both"/>
        <w:rPr>
          <w:rFonts w:ascii="Arial" w:hAnsi="Arial" w:cs="Arial"/>
        </w:rPr>
      </w:pPr>
    </w:p>
    <w:p w14:paraId="40B079DD" w14:textId="77777777" w:rsidR="00923871" w:rsidRPr="00A6026D" w:rsidRDefault="00923871" w:rsidP="00961B5D">
      <w:pPr>
        <w:numPr>
          <w:ilvl w:val="0"/>
          <w:numId w:val="11"/>
        </w:numPr>
        <w:spacing w:after="0"/>
        <w:jc w:val="both"/>
        <w:rPr>
          <w:rFonts w:ascii="Arial" w:hAnsi="Arial" w:cs="Arial"/>
          <w:b/>
          <w:color w:val="365F91" w:themeColor="accent1" w:themeShade="BF"/>
        </w:rPr>
      </w:pPr>
      <w:r w:rsidRPr="00A6026D">
        <w:rPr>
          <w:rFonts w:ascii="Arial" w:hAnsi="Arial" w:cs="Arial"/>
          <w:b/>
          <w:color w:val="365F91" w:themeColor="accent1" w:themeShade="BF"/>
        </w:rPr>
        <w:t xml:space="preserve">Finalize and disseminate the new "Prohibition of Unlawful Discrimination Including </w:t>
      </w:r>
      <w:r w:rsidR="00D01874" w:rsidRPr="00A6026D">
        <w:rPr>
          <w:rFonts w:ascii="Arial" w:hAnsi="Arial" w:cs="Arial"/>
          <w:b/>
          <w:color w:val="365F91" w:themeColor="accent1" w:themeShade="BF"/>
        </w:rPr>
        <w:t>against</w:t>
      </w:r>
      <w:r w:rsidRPr="00A6026D">
        <w:rPr>
          <w:rFonts w:ascii="Arial" w:hAnsi="Arial" w:cs="Arial"/>
          <w:b/>
          <w:color w:val="365F91" w:themeColor="accent1" w:themeShade="BF"/>
        </w:rPr>
        <w:t xml:space="preserve"> LGBTQI Persons" policy and related guidance. </w:t>
      </w:r>
    </w:p>
    <w:p w14:paraId="4D3FDB24" w14:textId="77777777" w:rsidR="00923871" w:rsidRPr="00A6026D" w:rsidRDefault="00923871" w:rsidP="00961B5D">
      <w:pPr>
        <w:numPr>
          <w:ilvl w:val="0"/>
          <w:numId w:val="11"/>
        </w:numPr>
        <w:spacing w:after="0"/>
        <w:jc w:val="both"/>
        <w:rPr>
          <w:rFonts w:ascii="Arial" w:hAnsi="Arial" w:cs="Arial"/>
          <w:b/>
          <w:color w:val="365F91" w:themeColor="accent1" w:themeShade="BF"/>
        </w:rPr>
      </w:pPr>
      <w:r w:rsidRPr="00A6026D">
        <w:rPr>
          <w:rFonts w:ascii="Arial" w:hAnsi="Arial" w:cs="Arial"/>
          <w:b/>
          <w:color w:val="365F91" w:themeColor="accent1" w:themeShade="BF"/>
        </w:rPr>
        <w:t xml:space="preserve">Continue facilitating trainings centered on </w:t>
      </w:r>
      <w:r w:rsidR="00676BE9" w:rsidRPr="00A6026D">
        <w:rPr>
          <w:rFonts w:ascii="Arial" w:hAnsi="Arial" w:cs="Arial"/>
          <w:b/>
          <w:color w:val="365F91" w:themeColor="accent1" w:themeShade="BF"/>
        </w:rPr>
        <w:t xml:space="preserve">LGBTQ </w:t>
      </w:r>
      <w:r w:rsidRPr="00A6026D">
        <w:rPr>
          <w:rFonts w:ascii="Arial" w:hAnsi="Arial" w:cs="Arial"/>
          <w:b/>
          <w:color w:val="365F91" w:themeColor="accent1" w:themeShade="BF"/>
        </w:rPr>
        <w:t>competency</w:t>
      </w:r>
      <w:r w:rsidR="00676BE9" w:rsidRPr="00A6026D">
        <w:rPr>
          <w:rFonts w:ascii="Arial" w:hAnsi="Arial" w:cs="Arial"/>
          <w:b/>
          <w:color w:val="365F91" w:themeColor="accent1" w:themeShade="BF"/>
        </w:rPr>
        <w:t>, including with respect to youth</w:t>
      </w:r>
      <w:r w:rsidRPr="00A6026D">
        <w:rPr>
          <w:rFonts w:ascii="Arial" w:hAnsi="Arial" w:cs="Arial"/>
          <w:b/>
          <w:color w:val="365F91" w:themeColor="accent1" w:themeShade="BF"/>
        </w:rPr>
        <w:t xml:space="preserve">, and work with the EOHHS interagency committee to develop an online training for potential use. </w:t>
      </w:r>
    </w:p>
    <w:p w14:paraId="25C6D556" w14:textId="77777777" w:rsidR="00923871" w:rsidRPr="00A6026D" w:rsidRDefault="00923871" w:rsidP="00961B5D">
      <w:pPr>
        <w:numPr>
          <w:ilvl w:val="0"/>
          <w:numId w:val="11"/>
        </w:numPr>
        <w:spacing w:after="0"/>
        <w:jc w:val="both"/>
        <w:rPr>
          <w:rFonts w:ascii="Arial" w:hAnsi="Arial" w:cs="Arial"/>
          <w:b/>
          <w:color w:val="365F91" w:themeColor="accent1" w:themeShade="BF"/>
        </w:rPr>
      </w:pPr>
      <w:r w:rsidRPr="00A6026D">
        <w:rPr>
          <w:rFonts w:ascii="Arial" w:hAnsi="Arial" w:cs="Arial"/>
          <w:b/>
          <w:color w:val="365F91" w:themeColor="accent1" w:themeShade="BF"/>
        </w:rPr>
        <w:t>Continue exploring ways to make data collection more LGBTQ-inclusive.</w:t>
      </w:r>
    </w:p>
    <w:p w14:paraId="57F3153D" w14:textId="1B807B31" w:rsidR="00A21774" w:rsidRDefault="009619C1" w:rsidP="00A21774">
      <w:pPr>
        <w:spacing w:after="0"/>
        <w:jc w:val="both"/>
        <w:rPr>
          <w:rFonts w:ascii="Arial" w:hAnsi="Arial" w:cs="Arial"/>
        </w:rPr>
      </w:pPr>
      <w:r>
        <w:rPr>
          <w:rFonts w:ascii="Arial" w:hAnsi="Arial" w:cs="Arial"/>
          <w:noProof/>
        </w:rPr>
        <mc:AlternateContent>
          <mc:Choice Requires="wps">
            <w:drawing>
              <wp:anchor distT="0" distB="0" distL="114300" distR="114300" simplePos="0" relativeHeight="251698176" behindDoc="0" locked="0" layoutInCell="1" allowOverlap="1" wp14:anchorId="791917D7" wp14:editId="300DC662">
                <wp:simplePos x="0" y="0"/>
                <wp:positionH relativeFrom="column">
                  <wp:posOffset>0</wp:posOffset>
                </wp:positionH>
                <wp:positionV relativeFrom="paragraph">
                  <wp:posOffset>168275</wp:posOffset>
                </wp:positionV>
                <wp:extent cx="5937250" cy="1398905"/>
                <wp:effectExtent l="0" t="0" r="25400" b="1079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7250" cy="1398905"/>
                        </a:xfrm>
                        <a:prstGeom prst="rect">
                          <a:avLst/>
                        </a:prstGeom>
                        <a:solidFill>
                          <a:schemeClr val="lt1"/>
                        </a:solidFill>
                        <a:ln w="19050">
                          <a:solidFill>
                            <a:srgbClr val="FFBC37"/>
                          </a:solidFill>
                        </a:ln>
                      </wps:spPr>
                      <wps:txbx>
                        <w:txbxContent>
                          <w:p w14:paraId="36E5A57B" w14:textId="77777777" w:rsidR="00411ECA" w:rsidRPr="00A21774" w:rsidRDefault="00411ECA" w:rsidP="00C84E4E">
                            <w:pPr>
                              <w:pStyle w:val="CommentText"/>
                              <w:spacing w:line="276" w:lineRule="auto"/>
                              <w:jc w:val="both"/>
                              <w:rPr>
                                <w:rFonts w:ascii="Arial" w:hAnsi="Arial" w:cs="Arial"/>
                                <w:i/>
                                <w:sz w:val="22"/>
                                <w:szCs w:val="22"/>
                                <w:shd w:val="clear" w:color="auto" w:fill="FFFFFF"/>
                              </w:rPr>
                            </w:pPr>
                            <w:r w:rsidRPr="00A21774">
                              <w:rPr>
                                <w:rFonts w:ascii="Arial" w:hAnsi="Arial" w:cs="Arial"/>
                                <w:i/>
                                <w:sz w:val="22"/>
                                <w:szCs w:val="22"/>
                                <w:shd w:val="clear" w:color="auto" w:fill="FFFFFF"/>
                              </w:rPr>
                              <w:t xml:space="preserve">“I am able to see LGBTQ young people for ongoing psychotherapy, but there are often significant delays and barriers to LGBTQ youth being able to </w:t>
                            </w:r>
                            <w:r>
                              <w:rPr>
                                <w:rFonts w:ascii="Arial" w:hAnsi="Arial" w:cs="Arial"/>
                                <w:i/>
                                <w:sz w:val="22"/>
                                <w:szCs w:val="22"/>
                                <w:shd w:val="clear" w:color="auto" w:fill="FFFFFF"/>
                              </w:rPr>
                              <w:t>access mental health services. [I] h</w:t>
                            </w:r>
                            <w:r w:rsidRPr="00A21774">
                              <w:rPr>
                                <w:rFonts w:ascii="Arial" w:hAnsi="Arial" w:cs="Arial"/>
                                <w:i/>
                                <w:sz w:val="22"/>
                                <w:szCs w:val="22"/>
                                <w:shd w:val="clear" w:color="auto" w:fill="FFFFFF"/>
                              </w:rPr>
                              <w:t xml:space="preserve">ave also heard from clients originally from more rural areas of Massachusetts that there is a lack of LGBTQ-inclusive social programming and mental health services, thus youth may wait until they come to a larger urban area like Boston to access services.” </w:t>
                            </w:r>
                          </w:p>
                          <w:p w14:paraId="230A30FC" w14:textId="77777777" w:rsidR="00411ECA" w:rsidRPr="00A21774" w:rsidRDefault="00411ECA" w:rsidP="00A21774">
                            <w:pPr>
                              <w:pStyle w:val="CommentText"/>
                              <w:spacing w:line="276" w:lineRule="auto"/>
                              <w:rPr>
                                <w:rFonts w:ascii="Arial" w:hAnsi="Arial" w:cs="Arial"/>
                                <w:sz w:val="22"/>
                                <w:szCs w:val="22"/>
                              </w:rPr>
                            </w:pPr>
                            <w:r w:rsidRPr="00A21774">
                              <w:rPr>
                                <w:rFonts w:ascii="Arial" w:hAnsi="Arial" w:cs="Arial"/>
                                <w:sz w:val="22"/>
                                <w:szCs w:val="22"/>
                                <w:shd w:val="clear" w:color="auto" w:fill="FFFFFF"/>
                              </w:rPr>
                              <w:t>– Provider, Greater Boston Area</w:t>
                            </w:r>
                          </w:p>
                          <w:p w14:paraId="5905EA18" w14:textId="77777777" w:rsidR="00411ECA" w:rsidRDefault="00411E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45" type="#_x0000_t202" style="position:absolute;left:0;text-align:left;margin-left:0;margin-top:13.25pt;width:467.5pt;height:110.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" fillcolor="white [3201]" strokecolor="#ffbc37" strokeweight="1.5pt">
                <v:path arrowok="t"/>
                <v:textbox>
                  <w:txbxContent>
                    <w:p w14:paraId="36E5A57B" w14:textId="77777777" w:rsidR="00411ECA" w:rsidRPr="00A21774" w:rsidRDefault="00411ECA" w:rsidP="00C84E4E">
                      <w:pPr>
                        <w:pStyle w:val="CommentText"/>
                        <w:spacing w:line="276" w:lineRule="auto"/>
                        <w:jc w:val="both"/>
                        <w:rPr>
                          <w:rFonts w:ascii="Arial" w:hAnsi="Arial" w:cs="Arial"/>
                          <w:i/>
                          <w:sz w:val="22"/>
                          <w:szCs w:val="22"/>
                          <w:shd w:val="clear" w:color="auto" w:fill="FFFFFF"/>
                        </w:rPr>
                      </w:pPr>
                      <w:r w:rsidRPr="00A21774">
                        <w:rPr>
                          <w:rFonts w:ascii="Arial" w:hAnsi="Arial" w:cs="Arial"/>
                          <w:i/>
                          <w:sz w:val="22"/>
                          <w:szCs w:val="22"/>
                          <w:shd w:val="clear" w:color="auto" w:fill="FFFFFF"/>
                        </w:rPr>
                        <w:t xml:space="preserve">“I am able to see LGBTQ young people for ongoing psychotherapy, but there are often significant delays and barriers to LGBTQ youth being able to </w:t>
                      </w:r>
                      <w:r>
                        <w:rPr>
                          <w:rFonts w:ascii="Arial" w:hAnsi="Arial" w:cs="Arial"/>
                          <w:i/>
                          <w:sz w:val="22"/>
                          <w:szCs w:val="22"/>
                          <w:shd w:val="clear" w:color="auto" w:fill="FFFFFF"/>
                        </w:rPr>
                        <w:t>access mental health services. [I] h</w:t>
                      </w:r>
                      <w:r w:rsidRPr="00A21774">
                        <w:rPr>
                          <w:rFonts w:ascii="Arial" w:hAnsi="Arial" w:cs="Arial"/>
                          <w:i/>
                          <w:sz w:val="22"/>
                          <w:szCs w:val="22"/>
                          <w:shd w:val="clear" w:color="auto" w:fill="FFFFFF"/>
                        </w:rPr>
                        <w:t xml:space="preserve">ave also heard from clients originally from more rural areas of Massachusetts that there is a lack of LGBTQ-inclusive social programming and mental health services, thus youth may wait until they come to a larger urban area like Boston to access services.” </w:t>
                      </w:r>
                    </w:p>
                    <w:p w14:paraId="230A30FC" w14:textId="77777777" w:rsidR="00411ECA" w:rsidRPr="00A21774" w:rsidRDefault="00411ECA" w:rsidP="00A21774">
                      <w:pPr>
                        <w:pStyle w:val="CommentText"/>
                        <w:spacing w:line="276" w:lineRule="auto"/>
                        <w:rPr>
                          <w:rFonts w:ascii="Arial" w:hAnsi="Arial" w:cs="Arial"/>
                          <w:sz w:val="22"/>
                          <w:szCs w:val="22"/>
                        </w:rPr>
                      </w:pPr>
                      <w:r w:rsidRPr="00A21774">
                        <w:rPr>
                          <w:rFonts w:ascii="Arial" w:hAnsi="Arial" w:cs="Arial"/>
                          <w:sz w:val="22"/>
                          <w:szCs w:val="22"/>
                          <w:shd w:val="clear" w:color="auto" w:fill="FFFFFF"/>
                        </w:rPr>
                        <w:t>– Provider, Greater Boston Area</w:t>
                      </w:r>
                    </w:p>
                    <w:p w14:paraId="5905EA18" w14:textId="77777777" w:rsidR="00411ECA" w:rsidRDefault="00411ECA"/>
                  </w:txbxContent>
                </v:textbox>
              </v:shape>
            </w:pict>
          </mc:Fallback>
        </mc:AlternateContent>
      </w:r>
    </w:p>
    <w:p w14:paraId="2382AC90" w14:textId="77777777" w:rsidR="00A21774" w:rsidRDefault="00A21774" w:rsidP="00A21774">
      <w:pPr>
        <w:spacing w:after="0"/>
        <w:jc w:val="both"/>
        <w:rPr>
          <w:rFonts w:ascii="Arial" w:hAnsi="Arial" w:cs="Arial"/>
        </w:rPr>
      </w:pPr>
    </w:p>
    <w:p w14:paraId="6722DD43" w14:textId="77777777" w:rsidR="00A21774" w:rsidRDefault="00A21774" w:rsidP="00A21774">
      <w:pPr>
        <w:spacing w:after="0"/>
        <w:jc w:val="both"/>
        <w:rPr>
          <w:rFonts w:ascii="Arial" w:hAnsi="Arial" w:cs="Arial"/>
        </w:rPr>
      </w:pPr>
    </w:p>
    <w:p w14:paraId="3F8F4216" w14:textId="77777777" w:rsidR="00A21774" w:rsidRDefault="00A21774" w:rsidP="00A21774">
      <w:pPr>
        <w:spacing w:after="0"/>
        <w:jc w:val="both"/>
        <w:rPr>
          <w:rFonts w:ascii="Arial" w:hAnsi="Arial" w:cs="Arial"/>
        </w:rPr>
      </w:pPr>
    </w:p>
    <w:p w14:paraId="75E70B4C" w14:textId="77777777" w:rsidR="00A21774" w:rsidRDefault="00A21774" w:rsidP="00A21774">
      <w:pPr>
        <w:spacing w:after="0"/>
        <w:jc w:val="both"/>
        <w:rPr>
          <w:rFonts w:ascii="Arial" w:hAnsi="Arial" w:cs="Arial"/>
        </w:rPr>
      </w:pPr>
    </w:p>
    <w:p w14:paraId="3BA9637D" w14:textId="77777777" w:rsidR="00A21774" w:rsidRDefault="00A21774" w:rsidP="00A21774">
      <w:pPr>
        <w:spacing w:after="0"/>
        <w:jc w:val="both"/>
        <w:rPr>
          <w:rFonts w:ascii="Arial" w:hAnsi="Arial" w:cs="Arial"/>
        </w:rPr>
      </w:pPr>
    </w:p>
    <w:p w14:paraId="6C5A7611" w14:textId="77777777" w:rsidR="00A21774" w:rsidRDefault="00A21774" w:rsidP="00A21774">
      <w:pPr>
        <w:spacing w:after="0"/>
        <w:jc w:val="both"/>
        <w:rPr>
          <w:rFonts w:ascii="Arial" w:hAnsi="Arial" w:cs="Arial"/>
        </w:rPr>
      </w:pPr>
    </w:p>
    <w:p w14:paraId="65706B33" w14:textId="77777777" w:rsidR="00A21774" w:rsidRDefault="00A21774" w:rsidP="00A21774">
      <w:pPr>
        <w:spacing w:after="0"/>
        <w:jc w:val="both"/>
        <w:rPr>
          <w:rFonts w:ascii="Arial" w:hAnsi="Arial" w:cs="Arial"/>
        </w:rPr>
      </w:pPr>
    </w:p>
    <w:p w14:paraId="24CD7BA4" w14:textId="77777777" w:rsidR="00923871" w:rsidRPr="00923871" w:rsidRDefault="00923871" w:rsidP="00923871">
      <w:pPr>
        <w:spacing w:after="0"/>
        <w:jc w:val="both"/>
        <w:rPr>
          <w:rFonts w:ascii="Arial" w:hAnsi="Arial" w:cs="Arial"/>
        </w:rPr>
      </w:pPr>
    </w:p>
    <w:p w14:paraId="7A0CFC92" w14:textId="77777777" w:rsidR="00CC79B6" w:rsidRDefault="00CC79B6" w:rsidP="00771606">
      <w:pPr>
        <w:spacing w:after="0"/>
        <w:jc w:val="both"/>
        <w:rPr>
          <w:rFonts w:ascii="Arial" w:hAnsi="Arial" w:cs="Arial"/>
        </w:rPr>
      </w:pPr>
    </w:p>
    <w:p w14:paraId="5F425D81" w14:textId="77777777" w:rsidR="00CC79B6" w:rsidRPr="00A6026D" w:rsidRDefault="00CC79B6" w:rsidP="00A6026D">
      <w:pPr>
        <w:spacing w:after="0"/>
        <w:jc w:val="center"/>
        <w:rPr>
          <w:rFonts w:ascii="Arial" w:hAnsi="Arial" w:cs="Arial"/>
          <w:b/>
          <w:u w:val="single"/>
        </w:rPr>
      </w:pPr>
      <w:r w:rsidRPr="00A6026D">
        <w:rPr>
          <w:rFonts w:ascii="Arial" w:hAnsi="Arial" w:cs="Arial"/>
          <w:b/>
          <w:u w:val="single"/>
        </w:rPr>
        <w:t>BACKGROUND &amp; RESEARCH</w:t>
      </w:r>
    </w:p>
    <w:p w14:paraId="100A106F" w14:textId="77777777" w:rsidR="00CC79B6" w:rsidRDefault="00CC79B6" w:rsidP="00771606">
      <w:pPr>
        <w:spacing w:after="0"/>
        <w:jc w:val="both"/>
        <w:rPr>
          <w:rFonts w:ascii="Arial" w:hAnsi="Arial" w:cs="Arial"/>
        </w:rPr>
      </w:pPr>
    </w:p>
    <w:p w14:paraId="6D251B62" w14:textId="77777777" w:rsidR="00771606" w:rsidRPr="00771606" w:rsidRDefault="00771606" w:rsidP="00771606">
      <w:pPr>
        <w:spacing w:after="0"/>
        <w:jc w:val="both"/>
        <w:rPr>
          <w:rFonts w:ascii="Arial" w:hAnsi="Arial" w:cs="Arial"/>
        </w:rPr>
      </w:pPr>
      <w:r w:rsidRPr="00771606">
        <w:rPr>
          <w:rFonts w:ascii="Arial" w:hAnsi="Arial" w:cs="Arial"/>
        </w:rPr>
        <w:t>The Department of Mental Health (DMH) provides access to services and support to meet the mental health needs of individuals of all ages, enabling them to live, work, and participate in their communities. DMH oversees several programs and initiatives that directly affect LGBTQ youth, including residential placements and the Transitional Age Youth Initiative.</w:t>
      </w:r>
    </w:p>
    <w:p w14:paraId="43986D1F" w14:textId="77777777" w:rsidR="00771606" w:rsidRPr="00771606" w:rsidRDefault="00771606" w:rsidP="00771606">
      <w:pPr>
        <w:spacing w:after="0"/>
        <w:jc w:val="both"/>
        <w:rPr>
          <w:rFonts w:ascii="Arial" w:hAnsi="Arial" w:cs="Arial"/>
        </w:rPr>
      </w:pPr>
    </w:p>
    <w:p w14:paraId="499F151A" w14:textId="2F1BF170" w:rsidR="00771606" w:rsidRPr="00771606" w:rsidRDefault="00771606" w:rsidP="00771606">
      <w:pPr>
        <w:spacing w:after="0"/>
        <w:jc w:val="both"/>
        <w:rPr>
          <w:rFonts w:ascii="Arial" w:hAnsi="Arial" w:cs="Arial"/>
        </w:rPr>
      </w:pPr>
      <w:r w:rsidRPr="00771606">
        <w:rPr>
          <w:rFonts w:ascii="Arial" w:hAnsi="Arial" w:cs="Arial"/>
        </w:rPr>
        <w:t xml:space="preserve">Beginning in 2014 when Commissioner Fowler identified LGBTQ individuals as a population needing priority attention, DMH has consistently demonstrated leadership in its commitment to LGBTQ youth. Now under Commissioner Mikula, </w:t>
      </w:r>
      <w:r w:rsidR="00EC1185">
        <w:rPr>
          <w:rFonts w:ascii="Arial" w:hAnsi="Arial" w:cs="Arial"/>
        </w:rPr>
        <w:t>DMH</w:t>
      </w:r>
      <w:r w:rsidRPr="00771606">
        <w:rPr>
          <w:rFonts w:ascii="Arial" w:hAnsi="Arial" w:cs="Arial"/>
        </w:rPr>
        <w:t xml:space="preserve"> has taken a number of steps to ensure greater support and services to LGBTQ clien</w:t>
      </w:r>
      <w:r w:rsidR="00EC1185">
        <w:rPr>
          <w:rFonts w:ascii="Arial" w:hAnsi="Arial" w:cs="Arial"/>
        </w:rPr>
        <w:t xml:space="preserve">ts across the age spectrum. DMH </w:t>
      </w:r>
      <w:r w:rsidRPr="00771606">
        <w:rPr>
          <w:rFonts w:ascii="Arial" w:hAnsi="Arial" w:cs="Arial"/>
        </w:rPr>
        <w:t xml:space="preserve">is currently engaged in a multi-year project to evaluate, strengthen, and advance the cultural competency and services it offers to its LGBTQ clients. In collaboration with experts in the field, DMH has already conducted several needs assessments and identified areas where its services and support are strongest and </w:t>
      </w:r>
      <w:r w:rsidR="00EC1185">
        <w:rPr>
          <w:rFonts w:ascii="Arial" w:hAnsi="Arial" w:cs="Arial"/>
        </w:rPr>
        <w:t xml:space="preserve">other areas </w:t>
      </w:r>
      <w:r w:rsidRPr="00771606">
        <w:rPr>
          <w:rFonts w:ascii="Arial" w:hAnsi="Arial" w:cs="Arial"/>
        </w:rPr>
        <w:t>where DMH needs further training and assistance.</w:t>
      </w:r>
      <w:r w:rsidR="008C1843">
        <w:rPr>
          <w:rFonts w:ascii="Arial" w:hAnsi="Arial" w:cs="Arial"/>
        </w:rPr>
        <w:t xml:space="preserve"> </w:t>
      </w:r>
      <w:r w:rsidR="00AA0B2F">
        <w:rPr>
          <w:rFonts w:ascii="Arial" w:hAnsi="Arial" w:cs="Arial"/>
        </w:rPr>
        <w:t>DMH has made progress on publishing a nondiscrimination policy and guidance</w:t>
      </w:r>
      <w:r w:rsidR="00EE5D2B">
        <w:rPr>
          <w:rFonts w:ascii="Arial" w:hAnsi="Arial" w:cs="Arial"/>
        </w:rPr>
        <w:t xml:space="preserve"> and</w:t>
      </w:r>
      <w:r w:rsidR="00AA0B2F">
        <w:rPr>
          <w:rFonts w:ascii="Arial" w:hAnsi="Arial" w:cs="Arial"/>
        </w:rPr>
        <w:t xml:space="preserve"> in training their providers on LGBTQ competency, both of which</w:t>
      </w:r>
      <w:r w:rsidR="00763100">
        <w:rPr>
          <w:rFonts w:ascii="Arial" w:hAnsi="Arial" w:cs="Arial"/>
        </w:rPr>
        <w:t xml:space="preserve"> were recommendations last year</w:t>
      </w:r>
      <w:r w:rsidR="008C1843">
        <w:rPr>
          <w:rFonts w:ascii="Arial" w:hAnsi="Arial" w:cs="Arial"/>
        </w:rPr>
        <w:t xml:space="preserve">. </w:t>
      </w:r>
      <w:r w:rsidR="00581A39">
        <w:rPr>
          <w:rFonts w:ascii="Arial" w:hAnsi="Arial" w:cs="Arial"/>
        </w:rPr>
        <w:t>T</w:t>
      </w:r>
      <w:r w:rsidR="008C1843">
        <w:rPr>
          <w:rFonts w:ascii="Arial" w:hAnsi="Arial" w:cs="Arial"/>
        </w:rPr>
        <w:t xml:space="preserve">hey are </w:t>
      </w:r>
      <w:r w:rsidR="00581A39">
        <w:rPr>
          <w:rFonts w:ascii="Arial" w:hAnsi="Arial" w:cs="Arial"/>
        </w:rPr>
        <w:t xml:space="preserve">also </w:t>
      </w:r>
      <w:r w:rsidR="008C1843">
        <w:rPr>
          <w:rFonts w:ascii="Arial" w:hAnsi="Arial" w:cs="Arial"/>
        </w:rPr>
        <w:t>researching ways to improve LGBTQ inclusion in data collection</w:t>
      </w:r>
      <w:r w:rsidR="00AA0B2F">
        <w:rPr>
          <w:rFonts w:ascii="Arial" w:hAnsi="Arial" w:cs="Arial"/>
        </w:rPr>
        <w:t>, which is reflected in a new recommendation for FY2019</w:t>
      </w:r>
      <w:r w:rsidR="008C1843">
        <w:rPr>
          <w:rFonts w:ascii="Arial" w:hAnsi="Arial" w:cs="Arial"/>
        </w:rPr>
        <w:t xml:space="preserve">. </w:t>
      </w:r>
    </w:p>
    <w:p w14:paraId="76F9744A" w14:textId="77777777" w:rsidR="00771606" w:rsidRPr="00771606" w:rsidRDefault="00771606" w:rsidP="00771606">
      <w:pPr>
        <w:spacing w:after="0"/>
        <w:jc w:val="both"/>
        <w:rPr>
          <w:rFonts w:ascii="Arial" w:hAnsi="Arial" w:cs="Arial"/>
        </w:rPr>
      </w:pPr>
    </w:p>
    <w:p w14:paraId="5AEF1FA9" w14:textId="77777777" w:rsidR="00771606" w:rsidRPr="00771606" w:rsidRDefault="00771606" w:rsidP="00771606">
      <w:pPr>
        <w:spacing w:after="0"/>
        <w:jc w:val="both"/>
        <w:rPr>
          <w:rFonts w:ascii="Arial" w:hAnsi="Arial" w:cs="Arial"/>
        </w:rPr>
      </w:pPr>
      <w:r w:rsidRPr="00771606">
        <w:rPr>
          <w:rFonts w:ascii="Arial" w:hAnsi="Arial" w:cs="Arial"/>
        </w:rPr>
        <w:t xml:space="preserve">State and national data suggest that although LGBTQ youth are typically well-adjusted and mentally healthy, factors such as violence, victimization, and family rejection increase their risk of </w:t>
      </w:r>
      <w:r w:rsidR="00106E80">
        <w:rPr>
          <w:rFonts w:ascii="Arial" w:hAnsi="Arial" w:cs="Arial"/>
        </w:rPr>
        <w:t>needing mental health support</w:t>
      </w:r>
      <w:r w:rsidRPr="00771606">
        <w:rPr>
          <w:rFonts w:ascii="Arial" w:hAnsi="Arial" w:cs="Arial"/>
        </w:rPr>
        <w:t>. The Massachusetts Youth Risk Behavior Survey (</w:t>
      </w:r>
      <w:r w:rsidR="00056937">
        <w:rPr>
          <w:rFonts w:ascii="Arial" w:hAnsi="Arial" w:cs="Arial"/>
        </w:rPr>
        <w:t>M</w:t>
      </w:r>
      <w:r w:rsidRPr="00771606">
        <w:rPr>
          <w:rFonts w:ascii="Arial" w:hAnsi="Arial" w:cs="Arial"/>
        </w:rPr>
        <w:t xml:space="preserve">YRBS) indicates that LGBTQ youth are at significantly higher risk than their heterosexual counterparts </w:t>
      </w:r>
      <w:r w:rsidRPr="00771606">
        <w:rPr>
          <w:rFonts w:ascii="Arial" w:hAnsi="Arial" w:cs="Arial"/>
        </w:rPr>
        <w:lastRenderedPageBreak/>
        <w:t>for suicidal</w:t>
      </w:r>
      <w:r w:rsidR="00106E80">
        <w:rPr>
          <w:rFonts w:ascii="Arial" w:hAnsi="Arial" w:cs="Arial"/>
        </w:rPr>
        <w:t xml:space="preserve"> ideation and substance abuse; f</w:t>
      </w:r>
      <w:r w:rsidRPr="00771606">
        <w:rPr>
          <w:rFonts w:ascii="Arial" w:hAnsi="Arial" w:cs="Arial"/>
        </w:rPr>
        <w:t>or instance, LGBTQ youth are nearly five times as likely to have attempted suicide in</w:t>
      </w:r>
      <w:r>
        <w:rPr>
          <w:rFonts w:ascii="Arial" w:hAnsi="Arial" w:cs="Arial"/>
        </w:rPr>
        <w:t xml:space="preserve"> the past year as their peers.</w:t>
      </w:r>
      <w:r>
        <w:rPr>
          <w:rStyle w:val="EndnoteReference"/>
          <w:rFonts w:ascii="Arial" w:hAnsi="Arial" w:cs="Arial"/>
        </w:rPr>
        <w:endnoteReference w:id="191"/>
      </w:r>
      <w:r w:rsidR="004F4A8E">
        <w:rPr>
          <w:rFonts w:ascii="Arial" w:hAnsi="Arial" w:cs="Arial"/>
        </w:rPr>
        <w:t xml:space="preserve"> Recent surveys have shown that specifically for self-identified transgender people attempted suicide rates are particularly high, with one-third reporting attempting suicide at least once in their life</w:t>
      </w:r>
      <w:r w:rsidR="00106E80">
        <w:rPr>
          <w:rFonts w:ascii="Arial" w:hAnsi="Arial" w:cs="Arial"/>
        </w:rPr>
        <w:t>time.</w:t>
      </w:r>
      <w:r w:rsidR="00FA2A5B">
        <w:rPr>
          <w:rStyle w:val="EndnoteReference"/>
          <w:rFonts w:ascii="Arial" w:hAnsi="Arial" w:cs="Arial"/>
        </w:rPr>
        <w:endnoteReference w:id="192"/>
      </w:r>
      <w:r w:rsidR="004F4A8E">
        <w:rPr>
          <w:rFonts w:ascii="Arial" w:hAnsi="Arial" w:cs="Arial"/>
        </w:rPr>
        <w:t xml:space="preserve"> These statistics are even higher for youths and young adults</w:t>
      </w:r>
      <w:r w:rsidR="00763100">
        <w:rPr>
          <w:rFonts w:ascii="Arial" w:hAnsi="Arial" w:cs="Arial"/>
        </w:rPr>
        <w:t>,</w:t>
      </w:r>
      <w:r w:rsidR="00106E80">
        <w:rPr>
          <w:rStyle w:val="EndnoteReference"/>
          <w:rFonts w:ascii="Arial" w:hAnsi="Arial" w:cs="Arial"/>
        </w:rPr>
        <w:endnoteReference w:id="193"/>
      </w:r>
      <w:r w:rsidR="004F4A8E">
        <w:rPr>
          <w:rFonts w:ascii="Arial" w:hAnsi="Arial" w:cs="Arial"/>
        </w:rPr>
        <w:t xml:space="preserve"> and these a</w:t>
      </w:r>
      <w:r w:rsidR="00763100">
        <w:rPr>
          <w:rFonts w:ascii="Arial" w:hAnsi="Arial" w:cs="Arial"/>
        </w:rPr>
        <w:t>t-</w:t>
      </w:r>
      <w:r w:rsidR="004F4A8E">
        <w:rPr>
          <w:rFonts w:ascii="Arial" w:hAnsi="Arial" w:cs="Arial"/>
        </w:rPr>
        <w:t xml:space="preserve">risk populations need the support of inclusive policies. </w:t>
      </w:r>
    </w:p>
    <w:p w14:paraId="229E7C13" w14:textId="77777777" w:rsidR="00771606" w:rsidRPr="00771606" w:rsidRDefault="00771606" w:rsidP="00771606">
      <w:pPr>
        <w:spacing w:after="0"/>
        <w:jc w:val="both"/>
        <w:rPr>
          <w:rFonts w:ascii="Arial" w:hAnsi="Arial" w:cs="Arial"/>
        </w:rPr>
      </w:pPr>
    </w:p>
    <w:p w14:paraId="350AAB09" w14:textId="5C6950B0" w:rsidR="00771606" w:rsidRPr="00771606" w:rsidRDefault="009619C1" w:rsidP="00771606">
      <w:pPr>
        <w:spacing w:after="0"/>
        <w:jc w:val="both"/>
        <w:rPr>
          <w:rFonts w:ascii="Arial" w:hAnsi="Arial" w:cs="Arial"/>
        </w:rPr>
      </w:pPr>
      <w:r>
        <w:rPr>
          <w:rFonts w:ascii="Arial" w:hAnsi="Arial" w:cs="Arial"/>
          <w:noProof/>
        </w:rPr>
        <mc:AlternateContent>
          <mc:Choice Requires="wps">
            <w:drawing>
              <wp:anchor distT="0" distB="0" distL="114300" distR="114300" simplePos="0" relativeHeight="251812864" behindDoc="0" locked="0" layoutInCell="1" allowOverlap="1" wp14:anchorId="52B49E65" wp14:editId="5A85FDB1">
                <wp:simplePos x="0" y="0"/>
                <wp:positionH relativeFrom="column">
                  <wp:posOffset>21590</wp:posOffset>
                </wp:positionH>
                <wp:positionV relativeFrom="paragraph">
                  <wp:posOffset>2527300</wp:posOffset>
                </wp:positionV>
                <wp:extent cx="5926455" cy="1233805"/>
                <wp:effectExtent l="0" t="0" r="17145" b="2349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233805"/>
                        </a:xfrm>
                        <a:prstGeom prst="rect">
                          <a:avLst/>
                        </a:prstGeom>
                        <a:solidFill>
                          <a:srgbClr val="FFFFFF"/>
                        </a:solidFill>
                        <a:ln w="19050">
                          <a:solidFill>
                            <a:srgbClr val="FFBC37"/>
                          </a:solidFill>
                          <a:miter lim="800000"/>
                          <a:headEnd/>
                          <a:tailEnd/>
                        </a:ln>
                      </wps:spPr>
                      <wps:txbx>
                        <w:txbxContent>
                          <w:p w14:paraId="3BC7541A" w14:textId="77777777" w:rsidR="00411ECA" w:rsidRPr="001D7843" w:rsidRDefault="00411ECA" w:rsidP="00C84E4E">
                            <w:pPr>
                              <w:jc w:val="both"/>
                              <w:rPr>
                                <w:rFonts w:ascii="Arial" w:hAnsi="Arial" w:cs="Arial"/>
                                <w:i/>
                              </w:rPr>
                            </w:pPr>
                            <w:r w:rsidRPr="001D7843">
                              <w:rPr>
                                <w:rFonts w:ascii="Arial" w:hAnsi="Arial" w:cs="Arial"/>
                                <w:i/>
                              </w:rPr>
                              <w:t>“The queer youth that I work with are so smart and complex. They are often loud and lively and engaged, and at other times they are dealing with deep struggles. We have many youth that have mental health issues (PTSD, depression, anxiety). We also have a decent amount of youth who don't have many struggles and who are living affirmed and supported lives.”</w:t>
                            </w:r>
                          </w:p>
                          <w:p w14:paraId="68F24707" w14:textId="77777777" w:rsidR="00411ECA" w:rsidRPr="001D7843" w:rsidRDefault="00411ECA" w:rsidP="00A2496E">
                            <w:pPr>
                              <w:rPr>
                                <w:rFonts w:ascii="Arial" w:hAnsi="Arial" w:cs="Arial"/>
                              </w:rPr>
                            </w:pPr>
                            <w:r w:rsidRPr="001D7843">
                              <w:rPr>
                                <w:rFonts w:ascii="Arial" w:hAnsi="Arial" w:cs="Arial"/>
                              </w:rPr>
                              <w:t>– Service Provider, Metro West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1.7pt;margin-top:199pt;width:466.65pt;height:97.1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" strokecolor="#ffbc37" strokeweight="1.5pt">
                <v:textbox>
                  <w:txbxContent>
                    <w:p w14:paraId="3BC7541A" w14:textId="77777777" w:rsidR="00411ECA" w:rsidRPr="001D7843" w:rsidRDefault="00411ECA" w:rsidP="00C84E4E">
                      <w:pPr>
                        <w:jc w:val="both"/>
                        <w:rPr>
                          <w:rFonts w:ascii="Arial" w:hAnsi="Arial" w:cs="Arial"/>
                          <w:i/>
                        </w:rPr>
                      </w:pPr>
                      <w:r w:rsidRPr="001D7843">
                        <w:rPr>
                          <w:rFonts w:ascii="Arial" w:hAnsi="Arial" w:cs="Arial"/>
                          <w:i/>
                        </w:rPr>
                        <w:t>“The queer youth that I work with are so smart and complex. They are often loud and lively and engaged, and at other times they are dealing with deep struggles. We have many youth that have mental health issues (PTSD, depression, anxiety). We also have a decent amount of youth who don't have many struggles and who are living affirmed and supported lives.”</w:t>
                      </w:r>
                    </w:p>
                    <w:p w14:paraId="68F24707" w14:textId="77777777" w:rsidR="00411ECA" w:rsidRPr="001D7843" w:rsidRDefault="00411ECA" w:rsidP="00A2496E">
                      <w:pPr>
                        <w:rPr>
                          <w:rFonts w:ascii="Arial" w:hAnsi="Arial" w:cs="Arial"/>
                        </w:rPr>
                      </w:pPr>
                      <w:r w:rsidRPr="001D7843">
                        <w:rPr>
                          <w:rFonts w:ascii="Arial" w:hAnsi="Arial" w:cs="Arial"/>
                        </w:rPr>
                        <w:t>– Service Provider, Metro West</w:t>
                      </w:r>
                    </w:p>
                  </w:txbxContent>
                </v:textbox>
                <w10:wrap type="square"/>
              </v:shape>
            </w:pict>
          </mc:Fallback>
        </mc:AlternateContent>
      </w:r>
      <w:r w:rsidR="00771606" w:rsidRPr="00771606">
        <w:rPr>
          <w:rFonts w:ascii="Arial" w:hAnsi="Arial" w:cs="Arial"/>
        </w:rPr>
        <w:t xml:space="preserve">Studies show that LGBTQ youth are at increased risk of mental health problems such as depression and anxiety, and that experiences of violence and victimization based on sexual orientation and gender identity can contribute to post-traumatic stress disorder. One study indicated that almost 25 percent of youth with same-sex romantic or sexual partners had experienced some form of physical or psychological victimization </w:t>
      </w:r>
      <w:r w:rsidR="00771606">
        <w:rPr>
          <w:rFonts w:ascii="Arial" w:hAnsi="Arial" w:cs="Arial"/>
        </w:rPr>
        <w:t>within the previous 18 months.</w:t>
      </w:r>
      <w:r w:rsidR="00771606">
        <w:rPr>
          <w:rStyle w:val="EndnoteReference"/>
          <w:rFonts w:ascii="Arial" w:hAnsi="Arial" w:cs="Arial"/>
        </w:rPr>
        <w:endnoteReference w:id="194"/>
      </w:r>
      <w:r w:rsidR="00771606" w:rsidRPr="00771606">
        <w:rPr>
          <w:rFonts w:ascii="Arial" w:hAnsi="Arial" w:cs="Arial"/>
        </w:rPr>
        <w:t xml:space="preserve"> Increased victimization among sexual minority youth has been observed to result in increased de</w:t>
      </w:r>
      <w:r w:rsidR="00771606">
        <w:rPr>
          <w:rFonts w:ascii="Arial" w:hAnsi="Arial" w:cs="Arial"/>
        </w:rPr>
        <w:t xml:space="preserve">pression, suicide ideation, and </w:t>
      </w:r>
      <w:r w:rsidR="00771606" w:rsidRPr="00771606">
        <w:rPr>
          <w:rFonts w:ascii="Arial" w:hAnsi="Arial" w:cs="Arial"/>
        </w:rPr>
        <w:t>transmission of STIs in adulthood. With such alarming and disproportionate risks, it is critical that mental health providers and policymakers understand what contributes to mental health problems among LGBTQ youth. Providers need to know how best to provide supportive environments and inclusive systems of care that promote positive coping mechanisms.</w:t>
      </w:r>
      <w:r w:rsidR="00AA0B2F">
        <w:rPr>
          <w:rFonts w:ascii="Arial" w:hAnsi="Arial" w:cs="Arial"/>
        </w:rPr>
        <w:t xml:space="preserve"> </w:t>
      </w:r>
      <w:r w:rsidR="00771606" w:rsidRPr="00771606">
        <w:rPr>
          <w:rFonts w:ascii="Arial" w:hAnsi="Arial" w:cs="Arial"/>
        </w:rPr>
        <w:t xml:space="preserve">It is </w:t>
      </w:r>
      <w:r w:rsidR="00EE5D2B">
        <w:rPr>
          <w:rFonts w:ascii="Arial" w:hAnsi="Arial" w:cs="Arial"/>
        </w:rPr>
        <w:t>vital</w:t>
      </w:r>
      <w:r w:rsidR="00771606" w:rsidRPr="00771606">
        <w:rPr>
          <w:rFonts w:ascii="Arial" w:hAnsi="Arial" w:cs="Arial"/>
        </w:rPr>
        <w:t xml:space="preserve"> that all mental health services</w:t>
      </w:r>
      <w:r w:rsidR="00EE5D2B">
        <w:rPr>
          <w:rFonts w:ascii="Arial" w:hAnsi="Arial" w:cs="Arial"/>
        </w:rPr>
        <w:t>,</w:t>
      </w:r>
      <w:r w:rsidR="00771606" w:rsidRPr="00771606">
        <w:rPr>
          <w:rFonts w:ascii="Arial" w:hAnsi="Arial" w:cs="Arial"/>
        </w:rPr>
        <w:t xml:space="preserve"> </w:t>
      </w:r>
      <w:r w:rsidR="00EE5D2B">
        <w:rPr>
          <w:rFonts w:ascii="Arial" w:hAnsi="Arial" w:cs="Arial"/>
        </w:rPr>
        <w:t>including</w:t>
      </w:r>
      <w:r w:rsidR="00771606" w:rsidRPr="00771606">
        <w:rPr>
          <w:rFonts w:ascii="Arial" w:hAnsi="Arial" w:cs="Arial"/>
        </w:rPr>
        <w:t xml:space="preserve"> those in drop-in programs, emergency housing programs, and long term transitional housing programs</w:t>
      </w:r>
      <w:r w:rsidR="00EE5D2B">
        <w:rPr>
          <w:rFonts w:ascii="Arial" w:hAnsi="Arial" w:cs="Arial"/>
        </w:rPr>
        <w:t>,</w:t>
      </w:r>
      <w:r w:rsidR="00771606" w:rsidRPr="00771606">
        <w:rPr>
          <w:rFonts w:ascii="Arial" w:hAnsi="Arial" w:cs="Arial"/>
        </w:rPr>
        <w:t xml:space="preserve"> </w:t>
      </w:r>
      <w:r w:rsidR="006A0C98">
        <w:rPr>
          <w:rFonts w:ascii="Arial" w:hAnsi="Arial" w:cs="Arial"/>
        </w:rPr>
        <w:t>are</w:t>
      </w:r>
      <w:r w:rsidR="00771606" w:rsidRPr="00771606">
        <w:rPr>
          <w:rFonts w:ascii="Arial" w:hAnsi="Arial" w:cs="Arial"/>
        </w:rPr>
        <w:t xml:space="preserve"> trauma-informed.</w:t>
      </w:r>
    </w:p>
    <w:p w14:paraId="755052B4" w14:textId="77777777" w:rsidR="00771606" w:rsidRPr="00771606" w:rsidRDefault="00771606" w:rsidP="00771606">
      <w:pPr>
        <w:spacing w:after="0"/>
        <w:jc w:val="both"/>
        <w:rPr>
          <w:rFonts w:ascii="Arial" w:hAnsi="Arial" w:cs="Arial"/>
        </w:rPr>
      </w:pPr>
    </w:p>
    <w:p w14:paraId="2581CCD0" w14:textId="77777777" w:rsidR="00771606" w:rsidRPr="00A6026D" w:rsidRDefault="00771606" w:rsidP="00A6026D">
      <w:pPr>
        <w:spacing w:after="0"/>
        <w:jc w:val="center"/>
        <w:rPr>
          <w:rFonts w:ascii="Arial" w:hAnsi="Arial" w:cs="Arial"/>
          <w:b/>
          <w:u w:val="single"/>
        </w:rPr>
      </w:pPr>
      <w:r w:rsidRPr="00A6026D">
        <w:rPr>
          <w:rFonts w:ascii="Arial" w:hAnsi="Arial" w:cs="Arial"/>
          <w:b/>
          <w:u w:val="single"/>
        </w:rPr>
        <w:t>EXPANDED RECOMMENDATIONS</w:t>
      </w:r>
    </w:p>
    <w:p w14:paraId="7F9B0021" w14:textId="77777777" w:rsidR="007810C7" w:rsidRDefault="007810C7" w:rsidP="00F37FB7">
      <w:pPr>
        <w:spacing w:after="0"/>
        <w:jc w:val="both"/>
        <w:rPr>
          <w:rFonts w:ascii="Arial" w:hAnsi="Arial" w:cs="Arial"/>
        </w:rPr>
      </w:pPr>
    </w:p>
    <w:p w14:paraId="7860F782" w14:textId="77777777" w:rsidR="00AA0B2F" w:rsidRPr="00A6026D" w:rsidRDefault="00AA0B2F" w:rsidP="00961B5D">
      <w:pPr>
        <w:numPr>
          <w:ilvl w:val="0"/>
          <w:numId w:val="20"/>
        </w:numPr>
        <w:spacing w:after="0"/>
        <w:jc w:val="both"/>
        <w:rPr>
          <w:rFonts w:ascii="Arial" w:hAnsi="Arial" w:cs="Arial"/>
          <w:b/>
          <w:color w:val="365F91" w:themeColor="accent1" w:themeShade="BF"/>
        </w:rPr>
      </w:pPr>
      <w:r w:rsidRPr="00A6026D">
        <w:rPr>
          <w:rFonts w:ascii="Arial" w:hAnsi="Arial" w:cs="Arial"/>
          <w:b/>
          <w:color w:val="365F91" w:themeColor="accent1" w:themeShade="BF"/>
        </w:rPr>
        <w:t xml:space="preserve">Finalize and disseminate the new "Prohibition of Unlawful Discrimination Including </w:t>
      </w:r>
      <w:r w:rsidR="00D01874" w:rsidRPr="00A6026D">
        <w:rPr>
          <w:rFonts w:ascii="Arial" w:hAnsi="Arial" w:cs="Arial"/>
          <w:b/>
          <w:color w:val="365F91" w:themeColor="accent1" w:themeShade="BF"/>
        </w:rPr>
        <w:t>against</w:t>
      </w:r>
      <w:r w:rsidRPr="00A6026D">
        <w:rPr>
          <w:rFonts w:ascii="Arial" w:hAnsi="Arial" w:cs="Arial"/>
          <w:b/>
          <w:color w:val="365F91" w:themeColor="accent1" w:themeShade="BF"/>
        </w:rPr>
        <w:t xml:space="preserve"> LGBTQI Persons" policy and related guidance. </w:t>
      </w:r>
    </w:p>
    <w:p w14:paraId="3B042A71" w14:textId="77777777" w:rsidR="00AA0B2F" w:rsidRDefault="00AA0B2F" w:rsidP="00AA0B2F">
      <w:pPr>
        <w:spacing w:after="0"/>
        <w:jc w:val="both"/>
        <w:rPr>
          <w:rFonts w:ascii="Arial" w:hAnsi="Arial" w:cs="Arial"/>
        </w:rPr>
      </w:pPr>
    </w:p>
    <w:p w14:paraId="29DD0067" w14:textId="77777777" w:rsidR="00AA0B2F" w:rsidRDefault="00AA0B2F" w:rsidP="00AA0B2F">
      <w:pPr>
        <w:spacing w:after="0"/>
        <w:jc w:val="both"/>
        <w:rPr>
          <w:rFonts w:ascii="Arial" w:hAnsi="Arial" w:cs="Arial"/>
        </w:rPr>
      </w:pPr>
      <w:r>
        <w:rPr>
          <w:rFonts w:ascii="Arial" w:hAnsi="Arial" w:cs="Arial"/>
        </w:rPr>
        <w:t xml:space="preserve">Since the FY2018 recommendations were issued, DMH has made significant progress in publishing a nondiscrimination policy for LGBTQ persons, as well as related guidance, having completed their internal review of both. The Commission looks forward to seeing additional progress in FY2019, including the publishing and dissemination of the policy. The Commission expects that the ongoing trainings DMH is providing on LGBTQ competency will make this policy particularly well-disseminated and effective. </w:t>
      </w:r>
    </w:p>
    <w:p w14:paraId="1E65309C" w14:textId="77777777" w:rsidR="00AA0B2F" w:rsidRPr="00923871" w:rsidRDefault="00AA0B2F" w:rsidP="00AA0B2F">
      <w:pPr>
        <w:spacing w:after="0"/>
        <w:jc w:val="both"/>
        <w:rPr>
          <w:rFonts w:ascii="Arial" w:hAnsi="Arial" w:cs="Arial"/>
        </w:rPr>
      </w:pPr>
    </w:p>
    <w:p w14:paraId="2B068533" w14:textId="77777777" w:rsidR="007427D8" w:rsidRPr="00A6026D" w:rsidRDefault="007427D8" w:rsidP="007427D8">
      <w:pPr>
        <w:numPr>
          <w:ilvl w:val="0"/>
          <w:numId w:val="11"/>
        </w:numPr>
        <w:spacing w:after="0"/>
        <w:jc w:val="both"/>
        <w:rPr>
          <w:rFonts w:ascii="Arial" w:hAnsi="Arial" w:cs="Arial"/>
          <w:b/>
          <w:color w:val="365F91" w:themeColor="accent1" w:themeShade="BF"/>
        </w:rPr>
      </w:pPr>
      <w:r w:rsidRPr="00A6026D">
        <w:rPr>
          <w:rFonts w:ascii="Arial" w:hAnsi="Arial" w:cs="Arial"/>
          <w:b/>
          <w:color w:val="365F91" w:themeColor="accent1" w:themeShade="BF"/>
        </w:rPr>
        <w:t xml:space="preserve">Continue facilitating trainings centered on LGBTQ competency, including with respect to youth, and work with the EOHHS interagency committee to develop an online training for potential use. </w:t>
      </w:r>
    </w:p>
    <w:p w14:paraId="3430B5AB" w14:textId="77777777" w:rsidR="00AA0B2F" w:rsidRDefault="00AA0B2F" w:rsidP="00AA0B2F">
      <w:pPr>
        <w:spacing w:after="0"/>
        <w:jc w:val="both"/>
        <w:rPr>
          <w:rFonts w:ascii="Arial" w:hAnsi="Arial" w:cs="Arial"/>
        </w:rPr>
      </w:pPr>
    </w:p>
    <w:p w14:paraId="4BB6272E" w14:textId="4DEA3790" w:rsidR="00AA0B2F" w:rsidRDefault="00EE3900" w:rsidP="00AA0B2F">
      <w:pPr>
        <w:spacing w:after="0"/>
        <w:jc w:val="both"/>
        <w:rPr>
          <w:rFonts w:ascii="Arial" w:hAnsi="Arial" w:cs="Arial"/>
        </w:rPr>
      </w:pPr>
      <w:r>
        <w:rPr>
          <w:rFonts w:ascii="Arial" w:hAnsi="Arial" w:cs="Arial"/>
        </w:rPr>
        <w:lastRenderedPageBreak/>
        <w:t xml:space="preserve">DMH has accomplished a great deal in training its large number of </w:t>
      </w:r>
      <w:r w:rsidR="00676BE9">
        <w:rPr>
          <w:rFonts w:ascii="Arial" w:hAnsi="Arial" w:cs="Arial"/>
        </w:rPr>
        <w:t>employees</w:t>
      </w:r>
      <w:r>
        <w:rPr>
          <w:rFonts w:ascii="Arial" w:hAnsi="Arial" w:cs="Arial"/>
        </w:rPr>
        <w:t xml:space="preserve"> on LGBTQ competency. As of March 2018, DMH has conducted trainings-of-trainers, thus developing their first cadre of employees who will now lead trainings of their colleagues, with the aid of consultants who were hired to design the training program. The Commission encourages DMH to gather and analyze evaluations of these trainings and their long-term retention by staff. </w:t>
      </w:r>
      <w:r w:rsidR="00A715AF">
        <w:rPr>
          <w:rFonts w:ascii="Arial" w:hAnsi="Arial" w:cs="Arial"/>
        </w:rPr>
        <w:t xml:space="preserve">The Commission also recommends that DMH explore how to make training </w:t>
      </w:r>
      <w:r w:rsidR="0025521A">
        <w:rPr>
          <w:rFonts w:ascii="Arial" w:hAnsi="Arial" w:cs="Arial"/>
        </w:rPr>
        <w:t>available or even mandatory</w:t>
      </w:r>
      <w:r w:rsidR="00A715AF">
        <w:rPr>
          <w:rFonts w:ascii="Arial" w:hAnsi="Arial" w:cs="Arial"/>
        </w:rPr>
        <w:t xml:space="preserve"> for all vendors. One way of achieving this might be the EOHHS interagency</w:t>
      </w:r>
      <w:r w:rsidR="0025521A">
        <w:rPr>
          <w:rFonts w:ascii="Arial" w:hAnsi="Arial" w:cs="Arial"/>
        </w:rPr>
        <w:t xml:space="preserve"> LGBTQ competency</w:t>
      </w:r>
      <w:r w:rsidR="00A6026D">
        <w:rPr>
          <w:rFonts w:ascii="Arial" w:hAnsi="Arial" w:cs="Arial"/>
        </w:rPr>
        <w:t xml:space="preserve"> training that DMH </w:t>
      </w:r>
      <w:r w:rsidR="00844427">
        <w:rPr>
          <w:rFonts w:ascii="Arial" w:hAnsi="Arial" w:cs="Arial"/>
        </w:rPr>
        <w:t>staff has</w:t>
      </w:r>
      <w:r w:rsidR="00A715AF">
        <w:rPr>
          <w:rFonts w:ascii="Arial" w:hAnsi="Arial" w:cs="Arial"/>
        </w:rPr>
        <w:t xml:space="preserve"> been involved in pr</w:t>
      </w:r>
      <w:r w:rsidR="0025521A">
        <w:rPr>
          <w:rFonts w:ascii="Arial" w:hAnsi="Arial" w:cs="Arial"/>
        </w:rPr>
        <w:t>oducing. T</w:t>
      </w:r>
      <w:r w:rsidR="00A715AF">
        <w:rPr>
          <w:rFonts w:ascii="Arial" w:hAnsi="Arial" w:cs="Arial"/>
        </w:rPr>
        <w:t xml:space="preserve">herefore, the Commission recommends that DMH continue to be involved in the development of that training and explore its potential uses, including for contractors. </w:t>
      </w:r>
      <w:r>
        <w:rPr>
          <w:rFonts w:ascii="Arial" w:hAnsi="Arial" w:cs="Arial"/>
        </w:rPr>
        <w:t xml:space="preserve"> </w:t>
      </w:r>
    </w:p>
    <w:p w14:paraId="2609E32F" w14:textId="77777777" w:rsidR="00AA0B2F" w:rsidRPr="00923871" w:rsidRDefault="00AA0B2F" w:rsidP="00AA0B2F">
      <w:pPr>
        <w:spacing w:after="0"/>
        <w:jc w:val="both"/>
        <w:rPr>
          <w:rFonts w:ascii="Arial" w:hAnsi="Arial" w:cs="Arial"/>
        </w:rPr>
      </w:pPr>
    </w:p>
    <w:p w14:paraId="645D42E3" w14:textId="77777777" w:rsidR="00AA0B2F" w:rsidRPr="00A6026D" w:rsidRDefault="00AA0B2F" w:rsidP="00961B5D">
      <w:pPr>
        <w:numPr>
          <w:ilvl w:val="0"/>
          <w:numId w:val="20"/>
        </w:numPr>
        <w:spacing w:after="0"/>
        <w:jc w:val="both"/>
        <w:rPr>
          <w:rFonts w:ascii="Arial" w:hAnsi="Arial" w:cs="Arial"/>
          <w:b/>
          <w:color w:val="365F91" w:themeColor="accent1" w:themeShade="BF"/>
        </w:rPr>
      </w:pPr>
      <w:r w:rsidRPr="00A6026D">
        <w:rPr>
          <w:rFonts w:ascii="Arial" w:hAnsi="Arial" w:cs="Arial"/>
          <w:b/>
          <w:color w:val="365F91" w:themeColor="accent1" w:themeShade="BF"/>
        </w:rPr>
        <w:t>Continue exploring ways to make data collection more LGBTQ-inclusive.</w:t>
      </w:r>
    </w:p>
    <w:p w14:paraId="68DBDCDF" w14:textId="77777777" w:rsidR="00771606" w:rsidRDefault="00771606" w:rsidP="00F37FB7">
      <w:pPr>
        <w:spacing w:after="0"/>
        <w:jc w:val="both"/>
        <w:rPr>
          <w:rFonts w:ascii="Arial" w:hAnsi="Arial" w:cs="Arial"/>
        </w:rPr>
      </w:pPr>
    </w:p>
    <w:p w14:paraId="55B5521E" w14:textId="77777777" w:rsidR="00771606" w:rsidRDefault="00CA06F3" w:rsidP="00F37FB7">
      <w:pPr>
        <w:spacing w:after="0"/>
        <w:jc w:val="both"/>
        <w:rPr>
          <w:rFonts w:ascii="Arial" w:hAnsi="Arial" w:cs="Arial"/>
        </w:rPr>
      </w:pPr>
      <w:r>
        <w:rPr>
          <w:rFonts w:ascii="Arial" w:hAnsi="Arial" w:cs="Arial"/>
        </w:rPr>
        <w:t>The Commission commends DMH for researching how they might collect comprehensive sexual orient</w:t>
      </w:r>
      <w:r w:rsidR="00192F49">
        <w:rPr>
          <w:rFonts w:ascii="Arial" w:hAnsi="Arial" w:cs="Arial"/>
        </w:rPr>
        <w:t xml:space="preserve">ation and gender identity data </w:t>
      </w:r>
      <w:r>
        <w:rPr>
          <w:rFonts w:ascii="Arial" w:hAnsi="Arial" w:cs="Arial"/>
        </w:rPr>
        <w:t>and otherwise make their data and intake more LGBTQ-inclusive. The Commission recommends that DMH continue to explore options, including by discussing this topic with the EOHHS interagency committee on LGBTQ issues, which may prove a useful forum for sharing and gathering feedback on their research. The Commission looks forward to hearing their progress during FY2019.</w:t>
      </w:r>
    </w:p>
    <w:p w14:paraId="281C3373" w14:textId="77777777" w:rsidR="00A07650" w:rsidRDefault="00A07650">
      <w:pPr>
        <w:rPr>
          <w:rFonts w:ascii="Arial" w:hAnsi="Arial" w:cs="Arial"/>
          <w:b/>
          <w:sz w:val="28"/>
          <w:szCs w:val="28"/>
        </w:rPr>
      </w:pPr>
      <w:r>
        <w:rPr>
          <w:rFonts w:ascii="Arial" w:hAnsi="Arial" w:cs="Arial"/>
          <w:b/>
          <w:sz w:val="28"/>
          <w:szCs w:val="28"/>
        </w:rPr>
        <w:br w:type="page"/>
      </w:r>
    </w:p>
    <w:p w14:paraId="5CEE817E" w14:textId="77777777" w:rsidR="00495C0F" w:rsidRPr="00495C0F" w:rsidRDefault="00495C0F" w:rsidP="00EB2689">
      <w:pPr>
        <w:pStyle w:val="Heading2"/>
      </w:pPr>
      <w:bookmarkStart w:id="38" w:name="_Toc512947916"/>
      <w:r w:rsidRPr="00495C0F">
        <w:lastRenderedPageBreak/>
        <w:t>Department of Public Health</w:t>
      </w:r>
      <w:bookmarkEnd w:id="38"/>
    </w:p>
    <w:p w14:paraId="44EA99E3" w14:textId="77777777" w:rsidR="00495C0F" w:rsidRPr="00495C0F" w:rsidRDefault="00A6026D" w:rsidP="00495C0F">
      <w:pPr>
        <w:spacing w:after="0"/>
        <w:jc w:val="both"/>
        <w:rPr>
          <w:rFonts w:ascii="Arial" w:hAnsi="Arial" w:cs="Arial"/>
        </w:rPr>
      </w:pPr>
      <w:r>
        <w:rPr>
          <w:noProof/>
        </w:rPr>
        <w:drawing>
          <wp:anchor distT="0" distB="0" distL="114300" distR="114300" simplePos="0" relativeHeight="251772928" behindDoc="1" locked="0" layoutInCell="0" allowOverlap="1" wp14:anchorId="762D7C4E" wp14:editId="4A06A097">
            <wp:simplePos x="0" y="0"/>
            <wp:positionH relativeFrom="column">
              <wp:posOffset>4445</wp:posOffset>
            </wp:positionH>
            <wp:positionV relativeFrom="paragraph">
              <wp:posOffset>22225</wp:posOffset>
            </wp:positionV>
            <wp:extent cx="5980430" cy="18415"/>
            <wp:effectExtent l="0" t="0" r="1270" b="63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anchor>
        </w:drawing>
      </w:r>
    </w:p>
    <w:p w14:paraId="771E6E81" w14:textId="77777777" w:rsidR="00A6026D" w:rsidRDefault="00A6026D" w:rsidP="00A6026D">
      <w:pPr>
        <w:spacing w:after="0"/>
        <w:jc w:val="center"/>
        <w:rPr>
          <w:rFonts w:ascii="Arial" w:hAnsi="Arial" w:cs="Arial"/>
          <w:b/>
          <w:u w:val="single"/>
        </w:rPr>
      </w:pPr>
    </w:p>
    <w:p w14:paraId="65825148" w14:textId="77777777" w:rsidR="00B54CA5" w:rsidRPr="00A6026D" w:rsidRDefault="00B54CA5" w:rsidP="00A6026D">
      <w:pPr>
        <w:spacing w:after="0"/>
        <w:jc w:val="center"/>
        <w:rPr>
          <w:rFonts w:ascii="Arial" w:hAnsi="Arial" w:cs="Arial"/>
          <w:b/>
          <w:u w:val="single"/>
        </w:rPr>
      </w:pPr>
      <w:r w:rsidRPr="00A6026D">
        <w:rPr>
          <w:rFonts w:ascii="Arial" w:hAnsi="Arial" w:cs="Arial"/>
          <w:b/>
          <w:u w:val="single"/>
        </w:rPr>
        <w:t>FY19 RECOMMENDATIONS</w:t>
      </w:r>
    </w:p>
    <w:p w14:paraId="53753243" w14:textId="77777777" w:rsidR="00B54CA5" w:rsidRPr="00495C0F" w:rsidRDefault="00B54CA5" w:rsidP="00B54CA5">
      <w:pPr>
        <w:spacing w:after="0"/>
        <w:jc w:val="both"/>
        <w:rPr>
          <w:rFonts w:ascii="Arial" w:hAnsi="Arial" w:cs="Arial"/>
        </w:rPr>
      </w:pPr>
    </w:p>
    <w:p w14:paraId="52161EE3" w14:textId="77777777" w:rsidR="00B54CA5" w:rsidRPr="00A6026D" w:rsidRDefault="00B54CA5" w:rsidP="00961B5D">
      <w:pPr>
        <w:pStyle w:val="ListParagraph"/>
        <w:numPr>
          <w:ilvl w:val="0"/>
          <w:numId w:val="4"/>
        </w:numPr>
        <w:spacing w:after="0"/>
        <w:jc w:val="both"/>
        <w:rPr>
          <w:rFonts w:ascii="Arial" w:hAnsi="Arial" w:cs="Arial"/>
          <w:b/>
          <w:color w:val="365F91" w:themeColor="accent1" w:themeShade="BF"/>
        </w:rPr>
      </w:pPr>
      <w:r w:rsidRPr="00A6026D">
        <w:rPr>
          <w:rFonts w:ascii="Arial" w:hAnsi="Arial" w:cs="Arial"/>
          <w:b/>
          <w:color w:val="365F91" w:themeColor="accent1" w:themeShade="BF"/>
        </w:rPr>
        <w:t>Finalize and implement a</w:t>
      </w:r>
      <w:r w:rsidR="00887A95">
        <w:rPr>
          <w:rFonts w:ascii="Arial" w:hAnsi="Arial" w:cs="Arial"/>
          <w:b/>
          <w:color w:val="365F91" w:themeColor="accent1" w:themeShade="BF"/>
        </w:rPr>
        <w:t>n</w:t>
      </w:r>
      <w:r w:rsidRPr="00A6026D">
        <w:rPr>
          <w:rFonts w:ascii="Arial" w:hAnsi="Arial" w:cs="Arial"/>
          <w:b/>
          <w:color w:val="365F91" w:themeColor="accent1" w:themeShade="BF"/>
        </w:rPr>
        <w:t xml:space="preserve"> LGBTQ nondiscrimination policy for employees and vendors, with particular attention to transgender youth and adults. </w:t>
      </w:r>
    </w:p>
    <w:p w14:paraId="35ABCF8B" w14:textId="77777777" w:rsidR="00B54CA5" w:rsidRPr="00A6026D" w:rsidRDefault="00BC30CF" w:rsidP="00961B5D">
      <w:pPr>
        <w:pStyle w:val="ListParagraph"/>
        <w:numPr>
          <w:ilvl w:val="0"/>
          <w:numId w:val="4"/>
        </w:numPr>
        <w:spacing w:after="0"/>
        <w:jc w:val="both"/>
        <w:rPr>
          <w:rFonts w:ascii="Arial" w:hAnsi="Arial" w:cs="Arial"/>
          <w:b/>
          <w:color w:val="365F91" w:themeColor="accent1" w:themeShade="BF"/>
        </w:rPr>
      </w:pPr>
      <w:r w:rsidRPr="00A6026D">
        <w:rPr>
          <w:rFonts w:ascii="Arial" w:hAnsi="Arial" w:cs="Arial"/>
          <w:b/>
          <w:color w:val="365F91" w:themeColor="accent1" w:themeShade="BF"/>
        </w:rPr>
        <w:t>Collaborate with the Commission to explore how to share information about</w:t>
      </w:r>
      <w:r w:rsidR="00B54CA5" w:rsidRPr="00A6026D">
        <w:rPr>
          <w:rFonts w:ascii="Arial" w:hAnsi="Arial" w:cs="Arial"/>
          <w:b/>
          <w:color w:val="365F91" w:themeColor="accent1" w:themeShade="BF"/>
        </w:rPr>
        <w:t xml:space="preserve"> marketing of HIV</w:t>
      </w:r>
      <w:r w:rsidRPr="00A6026D">
        <w:rPr>
          <w:rFonts w:ascii="Arial" w:hAnsi="Arial" w:cs="Arial"/>
          <w:b/>
          <w:color w:val="365F91" w:themeColor="accent1" w:themeShade="BF"/>
        </w:rPr>
        <w:t>-related</w:t>
      </w:r>
      <w:r w:rsidR="00B54CA5" w:rsidRPr="00A6026D">
        <w:rPr>
          <w:rFonts w:ascii="Arial" w:hAnsi="Arial" w:cs="Arial"/>
          <w:b/>
          <w:color w:val="365F91" w:themeColor="accent1" w:themeShade="BF"/>
        </w:rPr>
        <w:t xml:space="preserve"> services. </w:t>
      </w:r>
    </w:p>
    <w:p w14:paraId="1B45E29D" w14:textId="77777777" w:rsidR="00B54CA5" w:rsidRPr="00A6026D" w:rsidRDefault="00B54CA5" w:rsidP="00961B5D">
      <w:pPr>
        <w:pStyle w:val="ListParagraph"/>
        <w:numPr>
          <w:ilvl w:val="0"/>
          <w:numId w:val="4"/>
        </w:numPr>
        <w:spacing w:after="0"/>
        <w:jc w:val="both"/>
        <w:rPr>
          <w:rFonts w:ascii="Arial" w:hAnsi="Arial" w:cs="Arial"/>
          <w:b/>
          <w:color w:val="365F91" w:themeColor="accent1" w:themeShade="BF"/>
        </w:rPr>
      </w:pPr>
      <w:r w:rsidRPr="00A6026D">
        <w:rPr>
          <w:rFonts w:ascii="Arial" w:hAnsi="Arial" w:cs="Arial"/>
          <w:b/>
          <w:color w:val="365F91" w:themeColor="accent1" w:themeShade="BF"/>
        </w:rPr>
        <w:t xml:space="preserve">Expand training opportunities for key staff and contracting organizations. </w:t>
      </w:r>
    </w:p>
    <w:p w14:paraId="63134FB7" w14:textId="77777777" w:rsidR="00B54CA5" w:rsidRPr="00A6026D" w:rsidRDefault="00BC30CF" w:rsidP="00961B5D">
      <w:pPr>
        <w:pStyle w:val="ListParagraph"/>
        <w:numPr>
          <w:ilvl w:val="0"/>
          <w:numId w:val="4"/>
        </w:numPr>
        <w:spacing w:after="0"/>
        <w:jc w:val="both"/>
        <w:rPr>
          <w:rFonts w:ascii="Arial" w:hAnsi="Arial" w:cs="Arial"/>
          <w:b/>
          <w:color w:val="365F91" w:themeColor="accent1" w:themeShade="BF"/>
        </w:rPr>
      </w:pPr>
      <w:r w:rsidRPr="00A6026D">
        <w:rPr>
          <w:rFonts w:ascii="Arial" w:hAnsi="Arial" w:cs="Arial"/>
          <w:b/>
          <w:color w:val="365F91" w:themeColor="accent1" w:themeShade="BF"/>
        </w:rPr>
        <w:t>Expand the current implementation</w:t>
      </w:r>
      <w:r w:rsidR="00B54CA5" w:rsidRPr="00A6026D">
        <w:rPr>
          <w:rFonts w:ascii="Arial" w:hAnsi="Arial" w:cs="Arial"/>
          <w:b/>
          <w:color w:val="365F91" w:themeColor="accent1" w:themeShade="BF"/>
        </w:rPr>
        <w:t xml:space="preserve"> plan for sexual orientation and gender identity and expression (SOGIE) data standards and increase dissemination of SOGIE data. </w:t>
      </w:r>
    </w:p>
    <w:p w14:paraId="76E5FF89" w14:textId="77777777" w:rsidR="00B54CA5" w:rsidRPr="00A6026D" w:rsidRDefault="00B54CA5" w:rsidP="00961B5D">
      <w:pPr>
        <w:pStyle w:val="ListParagraph"/>
        <w:numPr>
          <w:ilvl w:val="0"/>
          <w:numId w:val="4"/>
        </w:numPr>
        <w:spacing w:after="0"/>
        <w:jc w:val="both"/>
        <w:rPr>
          <w:rFonts w:ascii="Arial" w:hAnsi="Arial" w:cs="Arial"/>
          <w:b/>
          <w:color w:val="365F91" w:themeColor="accent1" w:themeShade="BF"/>
        </w:rPr>
      </w:pPr>
      <w:r w:rsidRPr="00A6026D">
        <w:rPr>
          <w:rFonts w:ascii="Arial" w:hAnsi="Arial" w:cs="Arial"/>
          <w:b/>
          <w:color w:val="365F91" w:themeColor="accent1" w:themeShade="BF"/>
        </w:rPr>
        <w:t xml:space="preserve">Work with BORIM to consider SOGIE data collection for physicians and in electronic medical health records, indicate LGBTQ cultural competency on physician profiles, and establish standards for LGBTQ cultural competency training within required trainings on sexual and domestic violence. </w:t>
      </w:r>
    </w:p>
    <w:p w14:paraId="708925B9" w14:textId="1F546AAD" w:rsidR="00B54CA5" w:rsidRDefault="009619C1" w:rsidP="00495C0F">
      <w:pPr>
        <w:spacing w:after="0"/>
        <w:jc w:val="both"/>
        <w:rPr>
          <w:rFonts w:ascii="Arial" w:hAnsi="Arial" w:cs="Arial"/>
        </w:rPr>
      </w:pPr>
      <w:r>
        <w:rPr>
          <w:rFonts w:ascii="Arial" w:hAnsi="Arial" w:cs="Arial"/>
          <w:noProof/>
        </w:rPr>
        <mc:AlternateContent>
          <mc:Choice Requires="wps">
            <w:drawing>
              <wp:anchor distT="0" distB="0" distL="114300" distR="114300" simplePos="0" relativeHeight="251699200" behindDoc="0" locked="0" layoutInCell="1" allowOverlap="1" wp14:anchorId="7B4B9C31" wp14:editId="5BFD4BDE">
                <wp:simplePos x="0" y="0"/>
                <wp:positionH relativeFrom="column">
                  <wp:posOffset>10795</wp:posOffset>
                </wp:positionH>
                <wp:positionV relativeFrom="paragraph">
                  <wp:posOffset>125730</wp:posOffset>
                </wp:positionV>
                <wp:extent cx="5937885" cy="782320"/>
                <wp:effectExtent l="0" t="0" r="24765" b="1778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7885" cy="782320"/>
                        </a:xfrm>
                        <a:prstGeom prst="rect">
                          <a:avLst/>
                        </a:prstGeom>
                        <a:solidFill>
                          <a:schemeClr val="lt1"/>
                        </a:solidFill>
                        <a:ln w="19050">
                          <a:solidFill>
                            <a:srgbClr val="FFBC37"/>
                          </a:solidFill>
                        </a:ln>
                      </wps:spPr>
                      <wps:txbx>
                        <w:txbxContent>
                          <w:p w14:paraId="41EFF4B9" w14:textId="77777777" w:rsidR="00411ECA" w:rsidRPr="00826896" w:rsidRDefault="00411ECA" w:rsidP="00C84E4E">
                            <w:pPr>
                              <w:jc w:val="both"/>
                              <w:rPr>
                                <w:rFonts w:ascii="Arial" w:hAnsi="Arial" w:cs="Arial"/>
                                <w:i/>
                              </w:rPr>
                            </w:pPr>
                            <w:r w:rsidRPr="00826896">
                              <w:rPr>
                                <w:rFonts w:ascii="Arial" w:hAnsi="Arial" w:cs="Arial"/>
                                <w:i/>
                              </w:rPr>
                              <w:t>“It’s important as more kids are coming out as LGBT at a young age and there isn’t enough awareness about gay sex being unsafe</w:t>
                            </w:r>
                            <w:r>
                              <w:rPr>
                                <w:rFonts w:ascii="Arial" w:hAnsi="Arial" w:cs="Arial"/>
                                <w:i/>
                              </w:rPr>
                              <w:t>,</w:t>
                            </w:r>
                            <w:r w:rsidRPr="00826896">
                              <w:rPr>
                                <w:rFonts w:ascii="Arial" w:hAnsi="Arial" w:cs="Arial"/>
                                <w:i/>
                              </w:rPr>
                              <w:t xml:space="preserve"> too.” </w:t>
                            </w:r>
                          </w:p>
                          <w:p w14:paraId="2D8C3E2A" w14:textId="77777777" w:rsidR="00411ECA" w:rsidRPr="00826896" w:rsidRDefault="00411ECA">
                            <w:pPr>
                              <w:rPr>
                                <w:rFonts w:ascii="Arial" w:hAnsi="Arial" w:cs="Arial"/>
                              </w:rPr>
                            </w:pPr>
                            <w:r>
                              <w:rPr>
                                <w:rFonts w:ascii="Arial" w:hAnsi="Arial" w:cs="Arial"/>
                              </w:rPr>
                              <w:t xml:space="preserve"> </w:t>
                            </w:r>
                            <w:r w:rsidRPr="00826896">
                              <w:rPr>
                                <w:rFonts w:ascii="Arial" w:hAnsi="Arial" w:cs="Arial"/>
                              </w:rPr>
                              <w:t>– High School Student, GSA Leadership Council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0" o:spid="_x0000_s1047" type="#_x0000_t202" style="position:absolute;left:0;text-align:left;margin-left:.85pt;margin-top:9.9pt;width:467.55pt;height:61.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" fillcolor="white [3201]" strokecolor="#ffbc37" strokeweight="1.5pt">
                <v:path arrowok="t"/>
                <v:textbox>
                  <w:txbxContent>
                    <w:p w14:paraId="41EFF4B9" w14:textId="77777777" w:rsidR="00411ECA" w:rsidRPr="00826896" w:rsidRDefault="00411ECA" w:rsidP="00C84E4E">
                      <w:pPr>
                        <w:jc w:val="both"/>
                        <w:rPr>
                          <w:rFonts w:ascii="Arial" w:hAnsi="Arial" w:cs="Arial"/>
                          <w:i/>
                        </w:rPr>
                      </w:pPr>
                      <w:r w:rsidRPr="00826896">
                        <w:rPr>
                          <w:rFonts w:ascii="Arial" w:hAnsi="Arial" w:cs="Arial"/>
                          <w:i/>
                        </w:rPr>
                        <w:t>“It’s important as more kids are coming out as LGBT at a young age and there isn’t enough awareness about gay sex being unsafe</w:t>
                      </w:r>
                      <w:r>
                        <w:rPr>
                          <w:rFonts w:ascii="Arial" w:hAnsi="Arial" w:cs="Arial"/>
                          <w:i/>
                        </w:rPr>
                        <w:t>,</w:t>
                      </w:r>
                      <w:r w:rsidRPr="00826896">
                        <w:rPr>
                          <w:rFonts w:ascii="Arial" w:hAnsi="Arial" w:cs="Arial"/>
                          <w:i/>
                        </w:rPr>
                        <w:t xml:space="preserve"> too.” </w:t>
                      </w:r>
                    </w:p>
                    <w:p w14:paraId="2D8C3E2A" w14:textId="77777777" w:rsidR="00411ECA" w:rsidRPr="00826896" w:rsidRDefault="00411ECA">
                      <w:pPr>
                        <w:rPr>
                          <w:rFonts w:ascii="Arial" w:hAnsi="Arial" w:cs="Arial"/>
                        </w:rPr>
                      </w:pPr>
                      <w:r>
                        <w:rPr>
                          <w:rFonts w:ascii="Arial" w:hAnsi="Arial" w:cs="Arial"/>
                        </w:rPr>
                        <w:t xml:space="preserve"> </w:t>
                      </w:r>
                      <w:r w:rsidRPr="00826896">
                        <w:rPr>
                          <w:rFonts w:ascii="Arial" w:hAnsi="Arial" w:cs="Arial"/>
                        </w:rPr>
                        <w:t>– High School Student, GSA Leadership Council</w:t>
                      </w:r>
                    </w:p>
                  </w:txbxContent>
                </v:textbox>
              </v:shape>
            </w:pict>
          </mc:Fallback>
        </mc:AlternateContent>
      </w:r>
    </w:p>
    <w:p w14:paraId="58792D41" w14:textId="77777777" w:rsidR="00826896" w:rsidRDefault="00826896" w:rsidP="00495C0F">
      <w:pPr>
        <w:spacing w:after="0"/>
        <w:jc w:val="both"/>
        <w:rPr>
          <w:rFonts w:ascii="Arial" w:hAnsi="Arial" w:cs="Arial"/>
        </w:rPr>
      </w:pPr>
    </w:p>
    <w:p w14:paraId="3BCA0AFA" w14:textId="77777777" w:rsidR="00826896" w:rsidRDefault="00826896" w:rsidP="00495C0F">
      <w:pPr>
        <w:spacing w:after="0"/>
        <w:jc w:val="both"/>
        <w:rPr>
          <w:rFonts w:ascii="Arial" w:hAnsi="Arial" w:cs="Arial"/>
        </w:rPr>
      </w:pPr>
    </w:p>
    <w:p w14:paraId="5113F608" w14:textId="77777777" w:rsidR="00826896" w:rsidRDefault="00826896" w:rsidP="00495C0F">
      <w:pPr>
        <w:spacing w:after="0"/>
        <w:jc w:val="both"/>
        <w:rPr>
          <w:rFonts w:ascii="Arial" w:hAnsi="Arial" w:cs="Arial"/>
        </w:rPr>
      </w:pPr>
    </w:p>
    <w:p w14:paraId="05D26940" w14:textId="77777777" w:rsidR="00826896" w:rsidRDefault="00826896" w:rsidP="00495C0F">
      <w:pPr>
        <w:spacing w:after="0"/>
        <w:jc w:val="both"/>
        <w:rPr>
          <w:rFonts w:ascii="Arial" w:hAnsi="Arial" w:cs="Arial"/>
        </w:rPr>
      </w:pPr>
    </w:p>
    <w:p w14:paraId="741C75A4" w14:textId="77777777" w:rsidR="00826896" w:rsidRDefault="00826896" w:rsidP="00495C0F">
      <w:pPr>
        <w:spacing w:after="0"/>
        <w:jc w:val="both"/>
        <w:rPr>
          <w:rFonts w:ascii="Arial" w:hAnsi="Arial" w:cs="Arial"/>
          <w:b/>
        </w:rPr>
      </w:pPr>
    </w:p>
    <w:p w14:paraId="02DA1A08" w14:textId="77777777" w:rsidR="00BC30CF" w:rsidRPr="00A6026D" w:rsidRDefault="00BC30CF" w:rsidP="00A6026D">
      <w:pPr>
        <w:spacing w:after="0"/>
        <w:jc w:val="center"/>
        <w:rPr>
          <w:rFonts w:ascii="Arial" w:hAnsi="Arial" w:cs="Arial"/>
          <w:b/>
          <w:u w:val="single"/>
        </w:rPr>
      </w:pPr>
      <w:r w:rsidRPr="00A6026D">
        <w:rPr>
          <w:rFonts w:ascii="Arial" w:hAnsi="Arial" w:cs="Arial"/>
          <w:b/>
          <w:u w:val="single"/>
        </w:rPr>
        <w:t>BACKGROUND AND RESEARCH</w:t>
      </w:r>
    </w:p>
    <w:p w14:paraId="0425455B" w14:textId="77777777" w:rsidR="00B54CA5" w:rsidRDefault="00B54CA5" w:rsidP="00495C0F">
      <w:pPr>
        <w:spacing w:after="0"/>
        <w:jc w:val="both"/>
        <w:rPr>
          <w:rFonts w:ascii="Arial" w:hAnsi="Arial" w:cs="Arial"/>
        </w:rPr>
      </w:pPr>
    </w:p>
    <w:p w14:paraId="24E25A20" w14:textId="77777777" w:rsidR="00495C0F" w:rsidRPr="00495C0F" w:rsidRDefault="00495C0F" w:rsidP="00495C0F">
      <w:pPr>
        <w:spacing w:after="0"/>
        <w:jc w:val="both"/>
        <w:rPr>
          <w:rFonts w:ascii="Arial" w:hAnsi="Arial" w:cs="Arial"/>
        </w:rPr>
      </w:pPr>
      <w:r w:rsidRPr="00495C0F">
        <w:rPr>
          <w:rFonts w:ascii="Arial" w:hAnsi="Arial" w:cs="Arial"/>
        </w:rPr>
        <w:t xml:space="preserve">The Commission remains grateful to the Department of Public Health (DPH) for its longstanding support of the Commission and of LGBTQ youth communities. DPH clearly recognizes the long-term health and economic benefits of public health interventions with youth. </w:t>
      </w:r>
      <w:r w:rsidR="00F93281">
        <w:rPr>
          <w:rFonts w:ascii="Arial" w:hAnsi="Arial" w:cs="Arial"/>
        </w:rPr>
        <w:t>The Commission</w:t>
      </w:r>
      <w:r w:rsidRPr="00495C0F">
        <w:rPr>
          <w:rFonts w:ascii="Arial" w:hAnsi="Arial" w:cs="Arial"/>
        </w:rPr>
        <w:t xml:space="preserve"> thank</w:t>
      </w:r>
      <w:r w:rsidR="00F93281">
        <w:rPr>
          <w:rFonts w:ascii="Arial" w:hAnsi="Arial" w:cs="Arial"/>
        </w:rPr>
        <w:t>s</w:t>
      </w:r>
      <w:r w:rsidRPr="00495C0F">
        <w:rPr>
          <w:rFonts w:ascii="Arial" w:hAnsi="Arial" w:cs="Arial"/>
        </w:rPr>
        <w:t xml:space="preserve"> DPH for providing vital administrative and operational support to the Commission</w:t>
      </w:r>
      <w:r w:rsidR="00992056">
        <w:rPr>
          <w:rFonts w:ascii="Arial" w:hAnsi="Arial" w:cs="Arial"/>
        </w:rPr>
        <w:t>, including housing its staff</w:t>
      </w:r>
      <w:r w:rsidRPr="00495C0F">
        <w:rPr>
          <w:rFonts w:ascii="Arial" w:hAnsi="Arial" w:cs="Arial"/>
        </w:rPr>
        <w:t xml:space="preserve">. </w:t>
      </w:r>
    </w:p>
    <w:p w14:paraId="1AA85296" w14:textId="77777777" w:rsidR="00495C0F" w:rsidRDefault="00495C0F" w:rsidP="00495C0F">
      <w:pPr>
        <w:spacing w:after="0"/>
        <w:jc w:val="both"/>
        <w:rPr>
          <w:rFonts w:ascii="Arial" w:hAnsi="Arial" w:cs="Arial"/>
        </w:rPr>
      </w:pPr>
    </w:p>
    <w:p w14:paraId="46750E55" w14:textId="306796AE" w:rsidR="00DD1F89" w:rsidRDefault="00DD1F89" w:rsidP="00495C0F">
      <w:pPr>
        <w:spacing w:after="0"/>
        <w:jc w:val="both"/>
        <w:rPr>
          <w:rFonts w:ascii="Arial" w:hAnsi="Arial" w:cs="Arial"/>
        </w:rPr>
      </w:pPr>
      <w:r>
        <w:rPr>
          <w:rFonts w:ascii="Arial" w:hAnsi="Arial" w:cs="Arial"/>
        </w:rPr>
        <w:t xml:space="preserve">A great deal of research over the past few decades – as detailed in the “State of LGBTQ Youth in the Commonwealth” report above at page </w:t>
      </w:r>
      <w:r w:rsidR="005A49CA">
        <w:rPr>
          <w:rFonts w:ascii="Arial" w:hAnsi="Arial" w:cs="Arial"/>
        </w:rPr>
        <w:t>13</w:t>
      </w:r>
      <w:r>
        <w:rPr>
          <w:rFonts w:ascii="Arial" w:hAnsi="Arial" w:cs="Arial"/>
        </w:rPr>
        <w:t xml:space="preserve">, particularly the health section at </w:t>
      </w:r>
      <w:r w:rsidRPr="005A49CA">
        <w:rPr>
          <w:rFonts w:ascii="Arial" w:hAnsi="Arial" w:cs="Arial"/>
        </w:rPr>
        <w:t xml:space="preserve">page </w:t>
      </w:r>
      <w:r w:rsidR="005A49CA" w:rsidRPr="005A49CA">
        <w:rPr>
          <w:rFonts w:ascii="Arial" w:hAnsi="Arial" w:cs="Arial"/>
        </w:rPr>
        <w:t>25</w:t>
      </w:r>
      <w:r w:rsidRPr="005A49CA">
        <w:rPr>
          <w:rFonts w:ascii="Arial" w:hAnsi="Arial" w:cs="Arial"/>
        </w:rPr>
        <w:t xml:space="preserve"> –</w:t>
      </w:r>
      <w:r>
        <w:rPr>
          <w:rFonts w:ascii="Arial" w:hAnsi="Arial" w:cs="Arial"/>
        </w:rPr>
        <w:t xml:space="preserve"> demonstrates significant health disparities that fall under DPH’s purview. </w:t>
      </w:r>
      <w:r w:rsidRPr="00DD1F89">
        <w:rPr>
          <w:rFonts w:ascii="Arial" w:hAnsi="Arial" w:cs="Arial"/>
        </w:rPr>
        <w:t>For example, a major CDC report based on data that included Massachusetts</w:t>
      </w:r>
      <w:r w:rsidR="000637C3">
        <w:rPr>
          <w:rFonts w:ascii="Arial" w:hAnsi="Arial" w:cs="Arial"/>
        </w:rPr>
        <w:t xml:space="preserve"> found that</w:t>
      </w:r>
      <w:r w:rsidRPr="00DD1F89">
        <w:rPr>
          <w:rFonts w:ascii="Arial" w:hAnsi="Arial" w:cs="Arial"/>
        </w:rPr>
        <w:t xml:space="preserve"> sexual minority students reported a higher prevalence of health risk behaviors (relative to their heterosexual peers) ranging from 49 percent to 90 percent in seven out of ten categories</w:t>
      </w:r>
      <w:r w:rsidR="000637C3">
        <w:rPr>
          <w:rFonts w:ascii="Arial" w:hAnsi="Arial" w:cs="Arial"/>
        </w:rPr>
        <w:t>, including</w:t>
      </w:r>
      <w:r w:rsidRPr="00DD1F89">
        <w:rPr>
          <w:rFonts w:ascii="Arial" w:hAnsi="Arial" w:cs="Arial"/>
        </w:rPr>
        <w:t xml:space="preserve"> violence victimization (e.g., did not go to school because of safety concerns)</w:t>
      </w:r>
      <w:r w:rsidR="00887A95">
        <w:rPr>
          <w:rFonts w:ascii="Arial" w:hAnsi="Arial" w:cs="Arial"/>
        </w:rPr>
        <w:t>,</w:t>
      </w:r>
      <w:r w:rsidRPr="00DD1F89">
        <w:rPr>
          <w:rFonts w:ascii="Arial" w:hAnsi="Arial" w:cs="Arial"/>
        </w:rPr>
        <w:t xml:space="preserve"> </w:t>
      </w:r>
      <w:r w:rsidR="00887A95">
        <w:rPr>
          <w:rFonts w:ascii="Arial" w:hAnsi="Arial" w:cs="Arial"/>
        </w:rPr>
        <w:t>suicidality (e.g., made a suicide plan),</w:t>
      </w:r>
      <w:r w:rsidRPr="00DD1F89">
        <w:rPr>
          <w:rFonts w:ascii="Arial" w:hAnsi="Arial" w:cs="Arial"/>
        </w:rPr>
        <w:t xml:space="preserve"> tobacco use</w:t>
      </w:r>
      <w:r w:rsidR="00887A95">
        <w:rPr>
          <w:rFonts w:ascii="Arial" w:hAnsi="Arial" w:cs="Arial"/>
        </w:rPr>
        <w:t xml:space="preserve"> (e.g., ever smoked cigarettes),</w:t>
      </w:r>
      <w:r w:rsidRPr="00DD1F89">
        <w:rPr>
          <w:rFonts w:ascii="Arial" w:hAnsi="Arial" w:cs="Arial"/>
        </w:rPr>
        <w:t xml:space="preserve"> alcohol use (e.g., binge drinking)</w:t>
      </w:r>
      <w:r w:rsidR="00887A95">
        <w:rPr>
          <w:rFonts w:ascii="Arial" w:hAnsi="Arial" w:cs="Arial"/>
        </w:rPr>
        <w:t>,</w:t>
      </w:r>
      <w:r w:rsidRPr="00DD1F89">
        <w:rPr>
          <w:rFonts w:ascii="Arial" w:hAnsi="Arial" w:cs="Arial"/>
        </w:rPr>
        <w:t xml:space="preserve"> other drug use</w:t>
      </w:r>
      <w:r w:rsidR="00887A95">
        <w:rPr>
          <w:rFonts w:ascii="Arial" w:hAnsi="Arial" w:cs="Arial"/>
        </w:rPr>
        <w:t>,</w:t>
      </w:r>
      <w:r w:rsidRPr="00DD1F89">
        <w:rPr>
          <w:rFonts w:ascii="Arial" w:hAnsi="Arial" w:cs="Arial"/>
        </w:rPr>
        <w:t xml:space="preserve"> sexual behaviors</w:t>
      </w:r>
      <w:r w:rsidR="00887A95">
        <w:rPr>
          <w:rFonts w:ascii="Arial" w:hAnsi="Arial" w:cs="Arial"/>
        </w:rPr>
        <w:t>,</w:t>
      </w:r>
      <w:r w:rsidRPr="00DD1F89">
        <w:rPr>
          <w:rFonts w:ascii="Arial" w:hAnsi="Arial" w:cs="Arial"/>
        </w:rPr>
        <w:t xml:space="preserve"> and weight management</w:t>
      </w:r>
      <w:r w:rsidR="00887A95">
        <w:rPr>
          <w:rFonts w:ascii="Arial" w:hAnsi="Arial" w:cs="Arial"/>
        </w:rPr>
        <w:t xml:space="preserve"> (e.g., use of diet pills or</w:t>
      </w:r>
      <w:r w:rsidRPr="00DD1F89">
        <w:rPr>
          <w:rFonts w:ascii="Arial" w:hAnsi="Arial" w:cs="Arial"/>
        </w:rPr>
        <w:t xml:space="preserve"> laxatives to lose weight).</w:t>
      </w:r>
      <w:r w:rsidR="000637C3">
        <w:rPr>
          <w:rStyle w:val="EndnoteReference"/>
          <w:rFonts w:ascii="Arial" w:hAnsi="Arial" w:cs="Arial"/>
        </w:rPr>
        <w:endnoteReference w:id="195"/>
      </w:r>
      <w:r w:rsidR="006938A4">
        <w:rPr>
          <w:rFonts w:ascii="Arial" w:hAnsi="Arial" w:cs="Arial"/>
        </w:rPr>
        <w:t xml:space="preserve"> Research also shows that LGBTQ people have elevated rates of trauma,</w:t>
      </w:r>
      <w:r w:rsidR="006938A4">
        <w:rPr>
          <w:rStyle w:val="EndnoteReference"/>
          <w:rFonts w:ascii="Arial" w:hAnsi="Arial" w:cs="Arial"/>
        </w:rPr>
        <w:endnoteReference w:id="196"/>
      </w:r>
      <w:r w:rsidR="006938A4">
        <w:rPr>
          <w:rFonts w:ascii="Arial" w:hAnsi="Arial" w:cs="Arial"/>
        </w:rPr>
        <w:t xml:space="preserve"> highlighting the need for trauma-informed policy and care </w:t>
      </w:r>
      <w:r w:rsidR="005E7C6F">
        <w:rPr>
          <w:rFonts w:ascii="Arial" w:hAnsi="Arial" w:cs="Arial"/>
        </w:rPr>
        <w:t>in</w:t>
      </w:r>
      <w:r w:rsidR="006938A4">
        <w:rPr>
          <w:rFonts w:ascii="Arial" w:hAnsi="Arial" w:cs="Arial"/>
        </w:rPr>
        <w:t xml:space="preserve"> the Commonwealth</w:t>
      </w:r>
      <w:r w:rsidR="005E7C6F">
        <w:rPr>
          <w:rFonts w:ascii="Arial" w:hAnsi="Arial" w:cs="Arial"/>
        </w:rPr>
        <w:t>.</w:t>
      </w:r>
    </w:p>
    <w:p w14:paraId="13B3C02A" w14:textId="77777777" w:rsidR="00DD1F89" w:rsidRPr="00495C0F" w:rsidRDefault="00DD1F89" w:rsidP="00495C0F">
      <w:pPr>
        <w:spacing w:after="0"/>
        <w:jc w:val="both"/>
        <w:rPr>
          <w:rFonts w:ascii="Arial" w:hAnsi="Arial" w:cs="Arial"/>
        </w:rPr>
      </w:pPr>
    </w:p>
    <w:p w14:paraId="71DFCEFE" w14:textId="77777777" w:rsidR="00495C0F" w:rsidRPr="00495C0F" w:rsidRDefault="00495C0F" w:rsidP="00495C0F">
      <w:pPr>
        <w:spacing w:after="0"/>
        <w:jc w:val="both"/>
        <w:rPr>
          <w:rFonts w:ascii="Arial" w:hAnsi="Arial" w:cs="Arial"/>
        </w:rPr>
      </w:pPr>
      <w:r w:rsidRPr="00495C0F">
        <w:rPr>
          <w:rFonts w:ascii="Arial" w:hAnsi="Arial" w:cs="Arial"/>
        </w:rPr>
        <w:t xml:space="preserve">DPH has long been committed to developing consistent policies and practices for working with LGBTQ populations. Notably, DPH administers the Safe Spaces for LGBTQ Youth Program, </w:t>
      </w:r>
      <w:r w:rsidRPr="00495C0F">
        <w:rPr>
          <w:rFonts w:ascii="Arial" w:hAnsi="Arial" w:cs="Arial"/>
        </w:rPr>
        <w:lastRenderedPageBreak/>
        <w:t>which provides critical opportunities for LGBTQ youth to find support, build resiliency, and develop leadership skills. Additionally, DPH has made LGBTQ young people a priority population in its strategic plan for smoking prevention and has provided ongoing resources through programs focused on suicide prevention and HIV.</w:t>
      </w:r>
      <w:r w:rsidR="00992056">
        <w:rPr>
          <w:rFonts w:ascii="Arial" w:hAnsi="Arial" w:cs="Arial"/>
        </w:rPr>
        <w:t xml:space="preserve"> The </w:t>
      </w:r>
      <w:r w:rsidRPr="00495C0F">
        <w:rPr>
          <w:rFonts w:ascii="Arial" w:hAnsi="Arial" w:cs="Arial"/>
        </w:rPr>
        <w:t xml:space="preserve">Office of Youth and Young Adult Services (OYYAS) within the Bureau of Substance Abuse Services </w:t>
      </w:r>
      <w:r w:rsidR="00992056">
        <w:rPr>
          <w:rFonts w:ascii="Arial" w:hAnsi="Arial" w:cs="Arial"/>
        </w:rPr>
        <w:t xml:space="preserve">has </w:t>
      </w:r>
      <w:r w:rsidRPr="00495C0F">
        <w:rPr>
          <w:rFonts w:ascii="Arial" w:hAnsi="Arial" w:cs="Arial"/>
        </w:rPr>
        <w:t>implement</w:t>
      </w:r>
      <w:r w:rsidR="00992056">
        <w:rPr>
          <w:rFonts w:ascii="Arial" w:hAnsi="Arial" w:cs="Arial"/>
        </w:rPr>
        <w:t>ed</w:t>
      </w:r>
      <w:r w:rsidRPr="00495C0F">
        <w:rPr>
          <w:rFonts w:ascii="Arial" w:hAnsi="Arial" w:cs="Arial"/>
        </w:rPr>
        <w:t xml:space="preserve"> a plan to increase the capacity of OYYAS and its provider system to serve LGBTQ youth and young adults</w:t>
      </w:r>
      <w:r w:rsidR="00992056">
        <w:rPr>
          <w:rFonts w:ascii="Arial" w:hAnsi="Arial" w:cs="Arial"/>
        </w:rPr>
        <w:t>, and this could well serve as a model for other units at DPH</w:t>
      </w:r>
      <w:r w:rsidRPr="00495C0F">
        <w:rPr>
          <w:rFonts w:ascii="Arial" w:hAnsi="Arial" w:cs="Arial"/>
        </w:rPr>
        <w:t xml:space="preserve">. This </w:t>
      </w:r>
      <w:r w:rsidR="00992056">
        <w:rPr>
          <w:rFonts w:ascii="Arial" w:hAnsi="Arial" w:cs="Arial"/>
        </w:rPr>
        <w:t xml:space="preserve">effort </w:t>
      </w:r>
      <w:r w:rsidRPr="00495C0F">
        <w:rPr>
          <w:rFonts w:ascii="Arial" w:hAnsi="Arial" w:cs="Arial"/>
        </w:rPr>
        <w:t>included review</w:t>
      </w:r>
      <w:r w:rsidR="00992056">
        <w:rPr>
          <w:rFonts w:ascii="Arial" w:hAnsi="Arial" w:cs="Arial"/>
        </w:rPr>
        <w:t>ing</w:t>
      </w:r>
      <w:r w:rsidRPr="00495C0F">
        <w:rPr>
          <w:rFonts w:ascii="Arial" w:hAnsi="Arial" w:cs="Arial"/>
        </w:rPr>
        <w:t xml:space="preserve"> of documents for inclusive language and LGBTQ specific data</w:t>
      </w:r>
      <w:r w:rsidR="00992056">
        <w:rPr>
          <w:rFonts w:ascii="Arial" w:hAnsi="Arial" w:cs="Arial"/>
        </w:rPr>
        <w:t>,</w:t>
      </w:r>
      <w:r w:rsidRPr="00495C0F">
        <w:rPr>
          <w:rFonts w:ascii="Arial" w:hAnsi="Arial" w:cs="Arial"/>
        </w:rPr>
        <w:t xml:space="preserve"> exploring strategies for collecting data related to sexual orientation and gender identity</w:t>
      </w:r>
      <w:r w:rsidR="00992056">
        <w:rPr>
          <w:rFonts w:ascii="Arial" w:hAnsi="Arial" w:cs="Arial"/>
        </w:rPr>
        <w:t>,</w:t>
      </w:r>
      <w:r w:rsidRPr="00495C0F">
        <w:rPr>
          <w:rFonts w:ascii="Arial" w:hAnsi="Arial" w:cs="Arial"/>
        </w:rPr>
        <w:t xml:space="preserve"> and training staff at all levels to ensure a more welcoming environment for LGBTQ youth and young adults. </w:t>
      </w:r>
    </w:p>
    <w:p w14:paraId="3214C7E8" w14:textId="77777777" w:rsidR="00495C0F" w:rsidRDefault="00495C0F" w:rsidP="00495C0F">
      <w:pPr>
        <w:spacing w:after="0"/>
        <w:jc w:val="both"/>
        <w:rPr>
          <w:rFonts w:ascii="Arial" w:hAnsi="Arial" w:cs="Arial"/>
        </w:rPr>
      </w:pPr>
    </w:p>
    <w:p w14:paraId="6245DCD5" w14:textId="77777777" w:rsidR="00992056" w:rsidRPr="00495C0F" w:rsidRDefault="00992056" w:rsidP="00495C0F">
      <w:pPr>
        <w:spacing w:after="0"/>
        <w:jc w:val="both"/>
        <w:rPr>
          <w:rFonts w:ascii="Arial" w:hAnsi="Arial" w:cs="Arial"/>
        </w:rPr>
      </w:pPr>
      <w:r>
        <w:rPr>
          <w:rFonts w:ascii="Arial" w:hAnsi="Arial" w:cs="Arial"/>
        </w:rPr>
        <w:t xml:space="preserve">The Commission also commends DPH for its work on racial justice, including the Bureau of Community Health and Prevention’s Racial Equity Initiative. The Commission had previously recommended that DPH continue to support and expand this work, given the intersectional disparities faced by LGBTQ youth of color, and is pleased to hear that such work continues. </w:t>
      </w:r>
    </w:p>
    <w:p w14:paraId="2D35B125" w14:textId="43D93FAB" w:rsidR="00495C0F" w:rsidRDefault="009619C1" w:rsidP="00495C0F">
      <w:pPr>
        <w:spacing w:after="0"/>
        <w:jc w:val="both"/>
        <w:rPr>
          <w:rFonts w:ascii="Arial" w:hAnsi="Arial" w:cs="Arial"/>
        </w:rPr>
      </w:pPr>
      <w:r>
        <w:rPr>
          <w:rFonts w:ascii="Arial" w:hAnsi="Arial" w:cs="Arial"/>
          <w:noProof/>
        </w:rPr>
        <mc:AlternateContent>
          <mc:Choice Requires="wps">
            <w:drawing>
              <wp:anchor distT="0" distB="0" distL="114300" distR="114300" simplePos="0" relativeHeight="251702272" behindDoc="0" locked="0" layoutInCell="1" allowOverlap="1" wp14:anchorId="1EB3EDC0" wp14:editId="6527D312">
                <wp:simplePos x="0" y="0"/>
                <wp:positionH relativeFrom="column">
                  <wp:posOffset>0</wp:posOffset>
                </wp:positionH>
                <wp:positionV relativeFrom="paragraph">
                  <wp:posOffset>162560</wp:posOffset>
                </wp:positionV>
                <wp:extent cx="5970270" cy="880745"/>
                <wp:effectExtent l="0" t="0" r="11430" b="1460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0270" cy="880745"/>
                        </a:xfrm>
                        <a:prstGeom prst="rect">
                          <a:avLst/>
                        </a:prstGeom>
                        <a:solidFill>
                          <a:schemeClr val="lt1"/>
                        </a:solidFill>
                        <a:ln w="19050">
                          <a:solidFill>
                            <a:srgbClr val="FFBC37"/>
                          </a:solidFill>
                        </a:ln>
                      </wps:spPr>
                      <wps:txbx>
                        <w:txbxContent>
                          <w:p w14:paraId="57A4ECE8" w14:textId="77777777" w:rsidR="00411ECA" w:rsidRPr="00AA19D0" w:rsidRDefault="00411ECA" w:rsidP="00826896">
                            <w:pPr>
                              <w:spacing w:after="0"/>
                              <w:jc w:val="both"/>
                              <w:rPr>
                                <w:rFonts w:ascii="Arial" w:hAnsi="Arial" w:cs="Arial"/>
                                <w:i/>
                              </w:rPr>
                            </w:pPr>
                            <w:r w:rsidRPr="00AA19D0">
                              <w:rPr>
                                <w:rFonts w:ascii="Arial" w:hAnsi="Arial" w:cs="Arial"/>
                                <w:i/>
                              </w:rPr>
                              <w:t>“It's scary to think about holding your partner’s hand in public and fearing your safety. I would like the domestic violence against LGBTQIA+ youth as they come out acknowledged.”</w:t>
                            </w:r>
                          </w:p>
                          <w:p w14:paraId="6D217218" w14:textId="77777777" w:rsidR="00411ECA" w:rsidRPr="00495C0F" w:rsidRDefault="00411ECA" w:rsidP="00826896">
                            <w:pPr>
                              <w:spacing w:after="0"/>
                              <w:jc w:val="both"/>
                              <w:rPr>
                                <w:rFonts w:ascii="Arial" w:hAnsi="Arial" w:cs="Arial"/>
                              </w:rPr>
                            </w:pPr>
                          </w:p>
                          <w:p w14:paraId="3722FF8D" w14:textId="77777777" w:rsidR="00411ECA" w:rsidRPr="00495C0F" w:rsidRDefault="00411ECA" w:rsidP="00826896">
                            <w:pPr>
                              <w:spacing w:after="0"/>
                              <w:jc w:val="both"/>
                              <w:rPr>
                                <w:rFonts w:ascii="Arial" w:hAnsi="Arial" w:cs="Arial"/>
                              </w:rPr>
                            </w:pPr>
                            <w:r w:rsidRPr="00495C0F">
                              <w:rPr>
                                <w:rFonts w:ascii="Arial" w:hAnsi="Arial" w:cs="Arial"/>
                              </w:rPr>
                              <w:t>– College Student, Central Massachusetts</w:t>
                            </w:r>
                          </w:p>
                          <w:p w14:paraId="54B28F60" w14:textId="77777777" w:rsidR="00411ECA" w:rsidRDefault="00411E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 o:spid="_x0000_s1048" type="#_x0000_t202" style="position:absolute;left:0;text-align:left;margin-left:0;margin-top:12.8pt;width:470.1pt;height:69.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" fillcolor="white [3201]" strokecolor="#ffbc37" strokeweight="1.5pt">
                <v:path arrowok="t"/>
                <v:textbox>
                  <w:txbxContent>
                    <w:p w14:paraId="57A4ECE8" w14:textId="77777777" w:rsidR="00411ECA" w:rsidRPr="00AA19D0" w:rsidRDefault="00411ECA" w:rsidP="00826896">
                      <w:pPr>
                        <w:spacing w:after="0"/>
                        <w:jc w:val="both"/>
                        <w:rPr>
                          <w:rFonts w:ascii="Arial" w:hAnsi="Arial" w:cs="Arial"/>
                          <w:i/>
                        </w:rPr>
                      </w:pPr>
                      <w:r w:rsidRPr="00AA19D0">
                        <w:rPr>
                          <w:rFonts w:ascii="Arial" w:hAnsi="Arial" w:cs="Arial"/>
                          <w:i/>
                        </w:rPr>
                        <w:t>“It's scary to think about holding your partner’s hand in public and fearing your safety. I would like the domestic violence against LGBTQIA+ youth as they come out acknowledged.”</w:t>
                      </w:r>
                    </w:p>
                    <w:p w14:paraId="6D217218" w14:textId="77777777" w:rsidR="00411ECA" w:rsidRPr="00495C0F" w:rsidRDefault="00411ECA" w:rsidP="00826896">
                      <w:pPr>
                        <w:spacing w:after="0"/>
                        <w:jc w:val="both"/>
                        <w:rPr>
                          <w:rFonts w:ascii="Arial" w:hAnsi="Arial" w:cs="Arial"/>
                        </w:rPr>
                      </w:pPr>
                    </w:p>
                    <w:p w14:paraId="3722FF8D" w14:textId="77777777" w:rsidR="00411ECA" w:rsidRPr="00495C0F" w:rsidRDefault="00411ECA" w:rsidP="00826896">
                      <w:pPr>
                        <w:spacing w:after="0"/>
                        <w:jc w:val="both"/>
                        <w:rPr>
                          <w:rFonts w:ascii="Arial" w:hAnsi="Arial" w:cs="Arial"/>
                        </w:rPr>
                      </w:pPr>
                      <w:r w:rsidRPr="00495C0F">
                        <w:rPr>
                          <w:rFonts w:ascii="Arial" w:hAnsi="Arial" w:cs="Arial"/>
                        </w:rPr>
                        <w:t>– College Student, Central Massachusetts</w:t>
                      </w:r>
                    </w:p>
                    <w:p w14:paraId="54B28F60" w14:textId="77777777" w:rsidR="00411ECA" w:rsidRDefault="00411ECA"/>
                  </w:txbxContent>
                </v:textbox>
              </v:shape>
            </w:pict>
          </mc:Fallback>
        </mc:AlternateContent>
      </w:r>
    </w:p>
    <w:p w14:paraId="7FD9A324" w14:textId="77777777" w:rsidR="00826896" w:rsidRPr="00826896" w:rsidRDefault="00826896" w:rsidP="00495C0F">
      <w:pPr>
        <w:spacing w:after="0"/>
        <w:jc w:val="both"/>
        <w:rPr>
          <w:rFonts w:ascii="Arial" w:hAnsi="Arial" w:cs="Arial"/>
        </w:rPr>
      </w:pPr>
    </w:p>
    <w:p w14:paraId="5B549FF3" w14:textId="77777777" w:rsidR="00826896" w:rsidRDefault="00826896" w:rsidP="00495C0F">
      <w:pPr>
        <w:spacing w:after="0"/>
        <w:jc w:val="both"/>
        <w:rPr>
          <w:rFonts w:ascii="Arial" w:hAnsi="Arial" w:cs="Arial"/>
          <w:i/>
        </w:rPr>
      </w:pPr>
    </w:p>
    <w:p w14:paraId="5889217D" w14:textId="77777777" w:rsidR="00826896" w:rsidRDefault="00826896" w:rsidP="00495C0F">
      <w:pPr>
        <w:spacing w:after="0"/>
        <w:jc w:val="both"/>
        <w:rPr>
          <w:rFonts w:ascii="Arial" w:hAnsi="Arial" w:cs="Arial"/>
          <w:i/>
        </w:rPr>
      </w:pPr>
    </w:p>
    <w:p w14:paraId="1FD6AE0D" w14:textId="77777777" w:rsidR="00495C0F" w:rsidRDefault="00495C0F" w:rsidP="00495C0F">
      <w:pPr>
        <w:spacing w:after="0"/>
        <w:jc w:val="both"/>
        <w:rPr>
          <w:rFonts w:ascii="Arial" w:hAnsi="Arial" w:cs="Arial"/>
          <w:i/>
        </w:rPr>
      </w:pPr>
    </w:p>
    <w:p w14:paraId="09DFE2F2" w14:textId="77777777" w:rsidR="00826896" w:rsidRDefault="00826896" w:rsidP="00495C0F">
      <w:pPr>
        <w:spacing w:after="0"/>
        <w:jc w:val="both"/>
        <w:rPr>
          <w:rFonts w:ascii="Arial" w:hAnsi="Arial" w:cs="Arial"/>
          <w:i/>
        </w:rPr>
      </w:pPr>
    </w:p>
    <w:p w14:paraId="6D12168F" w14:textId="77777777" w:rsidR="00887A95" w:rsidRDefault="00887A95" w:rsidP="00A6026D">
      <w:pPr>
        <w:spacing w:after="0"/>
        <w:jc w:val="center"/>
        <w:rPr>
          <w:rFonts w:ascii="Arial" w:hAnsi="Arial" w:cs="Arial"/>
          <w:b/>
          <w:u w:val="single"/>
        </w:rPr>
      </w:pPr>
    </w:p>
    <w:p w14:paraId="69F85213" w14:textId="77777777" w:rsidR="00495C0F" w:rsidRPr="00A6026D" w:rsidRDefault="00495C0F" w:rsidP="00A6026D">
      <w:pPr>
        <w:spacing w:after="0"/>
        <w:jc w:val="center"/>
        <w:rPr>
          <w:rFonts w:ascii="Arial" w:hAnsi="Arial" w:cs="Arial"/>
          <w:b/>
          <w:u w:val="single"/>
        </w:rPr>
      </w:pPr>
      <w:r w:rsidRPr="00A6026D">
        <w:rPr>
          <w:rFonts w:ascii="Arial" w:hAnsi="Arial" w:cs="Arial"/>
          <w:b/>
          <w:u w:val="single"/>
        </w:rPr>
        <w:t>EXPANDED RECOMMENDATIONS</w:t>
      </w:r>
    </w:p>
    <w:p w14:paraId="767192EB" w14:textId="77777777" w:rsidR="00771606" w:rsidRPr="00A6026D" w:rsidRDefault="00771606" w:rsidP="00F37FB7">
      <w:pPr>
        <w:spacing w:after="0"/>
        <w:jc w:val="both"/>
        <w:rPr>
          <w:rFonts w:ascii="Arial" w:hAnsi="Arial" w:cs="Arial"/>
          <w:b/>
          <w:color w:val="365F91" w:themeColor="accent1" w:themeShade="BF"/>
        </w:rPr>
      </w:pPr>
    </w:p>
    <w:p w14:paraId="7E1E3069" w14:textId="77777777" w:rsidR="000637C3" w:rsidRPr="00A6026D" w:rsidRDefault="000637C3" w:rsidP="00961B5D">
      <w:pPr>
        <w:pStyle w:val="ListParagraph"/>
        <w:numPr>
          <w:ilvl w:val="0"/>
          <w:numId w:val="29"/>
        </w:numPr>
        <w:spacing w:after="0"/>
        <w:jc w:val="both"/>
        <w:rPr>
          <w:rFonts w:ascii="Arial" w:hAnsi="Arial" w:cs="Arial"/>
          <w:b/>
          <w:color w:val="365F91" w:themeColor="accent1" w:themeShade="BF"/>
        </w:rPr>
      </w:pPr>
      <w:r w:rsidRPr="00A6026D">
        <w:rPr>
          <w:rFonts w:ascii="Arial" w:hAnsi="Arial" w:cs="Arial"/>
          <w:b/>
          <w:color w:val="365F91" w:themeColor="accent1" w:themeShade="BF"/>
        </w:rPr>
        <w:t>Finalize and implement a</w:t>
      </w:r>
      <w:r w:rsidR="00887A95">
        <w:rPr>
          <w:rFonts w:ascii="Arial" w:hAnsi="Arial" w:cs="Arial"/>
          <w:b/>
          <w:color w:val="365F91" w:themeColor="accent1" w:themeShade="BF"/>
        </w:rPr>
        <w:t>n</w:t>
      </w:r>
      <w:r w:rsidRPr="00A6026D">
        <w:rPr>
          <w:rFonts w:ascii="Arial" w:hAnsi="Arial" w:cs="Arial"/>
          <w:b/>
          <w:color w:val="365F91" w:themeColor="accent1" w:themeShade="BF"/>
        </w:rPr>
        <w:t xml:space="preserve"> LGBTQ nondiscrimination policy for employees and vendors, with particular attention to transgender youth and adults. </w:t>
      </w:r>
    </w:p>
    <w:p w14:paraId="673433D6" w14:textId="77777777" w:rsidR="000637C3" w:rsidRDefault="000637C3" w:rsidP="000637C3">
      <w:pPr>
        <w:spacing w:after="0"/>
        <w:jc w:val="both"/>
        <w:rPr>
          <w:rFonts w:ascii="Arial" w:hAnsi="Arial" w:cs="Arial"/>
        </w:rPr>
      </w:pPr>
    </w:p>
    <w:p w14:paraId="58B59725" w14:textId="77777777" w:rsidR="000637C3" w:rsidRDefault="006226C5" w:rsidP="000637C3">
      <w:pPr>
        <w:spacing w:after="0"/>
        <w:jc w:val="both"/>
        <w:rPr>
          <w:rFonts w:ascii="Arial" w:hAnsi="Arial" w:cs="Arial"/>
        </w:rPr>
      </w:pPr>
      <w:r>
        <w:rPr>
          <w:rFonts w:ascii="Arial" w:hAnsi="Arial" w:cs="Arial"/>
        </w:rPr>
        <w:t xml:space="preserve">DPH </w:t>
      </w:r>
      <w:r w:rsidRPr="006226C5">
        <w:rPr>
          <w:rFonts w:ascii="Arial" w:hAnsi="Arial" w:cs="Arial"/>
        </w:rPr>
        <w:t xml:space="preserve">has long prioritized services to marginalized populations in its programs. However, not all DPH employees or funded providers fully understand what constitutes discrimination against LGBTQ clients, nor do all employees or providers understand best practices for serving and supporting LGBTQ people. The Commission and DPH have worked together in the past on draft policies and guidance, and </w:t>
      </w:r>
      <w:r w:rsidR="00F93281">
        <w:rPr>
          <w:rFonts w:ascii="Arial" w:hAnsi="Arial" w:cs="Arial"/>
        </w:rPr>
        <w:t>the Commission</w:t>
      </w:r>
      <w:r w:rsidRPr="006226C5">
        <w:rPr>
          <w:rFonts w:ascii="Arial" w:hAnsi="Arial" w:cs="Arial"/>
        </w:rPr>
        <w:t xml:space="preserve"> urge</w:t>
      </w:r>
      <w:r w:rsidR="00F93281">
        <w:rPr>
          <w:rFonts w:ascii="Arial" w:hAnsi="Arial" w:cs="Arial"/>
        </w:rPr>
        <w:t>s</w:t>
      </w:r>
      <w:r w:rsidRPr="006226C5">
        <w:rPr>
          <w:rFonts w:ascii="Arial" w:hAnsi="Arial" w:cs="Arial"/>
        </w:rPr>
        <w:t xml:space="preserve"> DPH to finalize and fully implement a document that provides clarity to employees and contracted providers on best practices for complying with Executive Order 526 and state nondiscrimination law. The Commission recommends that compliance with such a policy be integrated into procurement processes.</w:t>
      </w:r>
    </w:p>
    <w:p w14:paraId="497450B1" w14:textId="77777777" w:rsidR="000637C3" w:rsidRPr="000637C3" w:rsidRDefault="000637C3" w:rsidP="000637C3">
      <w:pPr>
        <w:spacing w:after="0"/>
        <w:jc w:val="both"/>
        <w:rPr>
          <w:rFonts w:ascii="Arial" w:hAnsi="Arial" w:cs="Arial"/>
        </w:rPr>
      </w:pPr>
    </w:p>
    <w:p w14:paraId="0E485F82" w14:textId="77777777" w:rsidR="000637C3" w:rsidRPr="00A6026D" w:rsidRDefault="000637C3" w:rsidP="00961B5D">
      <w:pPr>
        <w:pStyle w:val="ListParagraph"/>
        <w:numPr>
          <w:ilvl w:val="0"/>
          <w:numId w:val="29"/>
        </w:numPr>
        <w:spacing w:after="0"/>
        <w:jc w:val="both"/>
        <w:rPr>
          <w:rFonts w:ascii="Arial" w:hAnsi="Arial" w:cs="Arial"/>
          <w:b/>
          <w:color w:val="365F91" w:themeColor="accent1" w:themeShade="BF"/>
        </w:rPr>
      </w:pPr>
      <w:r w:rsidRPr="00A6026D">
        <w:rPr>
          <w:rFonts w:ascii="Arial" w:hAnsi="Arial" w:cs="Arial"/>
          <w:b/>
          <w:color w:val="365F91" w:themeColor="accent1" w:themeShade="BF"/>
        </w:rPr>
        <w:t xml:space="preserve">Collaborate with the Commission to explore how to share information about marketing of HIV-related services. </w:t>
      </w:r>
    </w:p>
    <w:p w14:paraId="0984C377" w14:textId="77777777" w:rsidR="000637C3" w:rsidRDefault="000637C3" w:rsidP="000637C3">
      <w:pPr>
        <w:spacing w:after="0"/>
        <w:jc w:val="both"/>
        <w:rPr>
          <w:rFonts w:ascii="Arial" w:hAnsi="Arial" w:cs="Arial"/>
        </w:rPr>
      </w:pPr>
    </w:p>
    <w:p w14:paraId="454B596A" w14:textId="77777777" w:rsidR="000637C3" w:rsidRDefault="006226C5" w:rsidP="000637C3">
      <w:pPr>
        <w:spacing w:after="0"/>
        <w:jc w:val="both"/>
        <w:rPr>
          <w:rFonts w:ascii="Arial" w:hAnsi="Arial" w:cs="Arial"/>
        </w:rPr>
      </w:pPr>
      <w:r w:rsidRPr="006226C5">
        <w:rPr>
          <w:rFonts w:ascii="Arial" w:hAnsi="Arial" w:cs="Arial"/>
        </w:rPr>
        <w:t>In the</w:t>
      </w:r>
      <w:r>
        <w:rPr>
          <w:rFonts w:ascii="Arial" w:hAnsi="Arial" w:cs="Arial"/>
        </w:rPr>
        <w:t xml:space="preserve"> past, the Commission has received questions from the community</w:t>
      </w:r>
      <w:r w:rsidRPr="006226C5">
        <w:rPr>
          <w:rFonts w:ascii="Arial" w:hAnsi="Arial" w:cs="Arial"/>
        </w:rPr>
        <w:t xml:space="preserve"> about the permissibility of app-based advertising for HIV services among DPH-funded programs. The Commission appreciates the clarification given</w:t>
      </w:r>
      <w:r>
        <w:rPr>
          <w:rFonts w:ascii="Arial" w:hAnsi="Arial" w:cs="Arial"/>
        </w:rPr>
        <w:t xml:space="preserve"> to it</w:t>
      </w:r>
      <w:r w:rsidRPr="006226C5">
        <w:rPr>
          <w:rFonts w:ascii="Arial" w:hAnsi="Arial" w:cs="Arial"/>
        </w:rPr>
        <w:t xml:space="preserve"> by DPH</w:t>
      </w:r>
      <w:r>
        <w:rPr>
          <w:rFonts w:ascii="Arial" w:hAnsi="Arial" w:cs="Arial"/>
        </w:rPr>
        <w:t xml:space="preserve"> that such advertising is not prohibited and is subject to an approval process for which multiple campaigns have already been </w:t>
      </w:r>
      <w:r w:rsidR="00641759">
        <w:rPr>
          <w:rFonts w:ascii="Arial" w:hAnsi="Arial" w:cs="Arial"/>
        </w:rPr>
        <w:t>accepted</w:t>
      </w:r>
      <w:r w:rsidRPr="006226C5">
        <w:rPr>
          <w:rFonts w:ascii="Arial" w:hAnsi="Arial" w:cs="Arial"/>
        </w:rPr>
        <w:t xml:space="preserve">. </w:t>
      </w:r>
      <w:r>
        <w:rPr>
          <w:rFonts w:ascii="Arial" w:hAnsi="Arial" w:cs="Arial"/>
        </w:rPr>
        <w:t xml:space="preserve">The Commission looks forward to helping communicate this information to the public, and also </w:t>
      </w:r>
      <w:r>
        <w:rPr>
          <w:rFonts w:ascii="Arial" w:hAnsi="Arial" w:cs="Arial"/>
        </w:rPr>
        <w:lastRenderedPageBreak/>
        <w:t>recommends that DPH and the Commission work together to explore best practices and ideas for conducting outreach about HIV-related services to LGBTQ youth</w:t>
      </w:r>
      <w:r w:rsidR="00676BE9">
        <w:rPr>
          <w:rFonts w:ascii="Arial" w:hAnsi="Arial" w:cs="Arial"/>
        </w:rPr>
        <w:t>, especially LGBTQ youth of color</w:t>
      </w:r>
      <w:r>
        <w:rPr>
          <w:rFonts w:ascii="Arial" w:hAnsi="Arial" w:cs="Arial"/>
        </w:rPr>
        <w:t>. This includes sharing information about PrEP, about which 80% of queer men were found to know little or nothing as of 2014,</w:t>
      </w:r>
      <w:r>
        <w:rPr>
          <w:rStyle w:val="EndnoteReference"/>
          <w:rFonts w:ascii="Arial" w:hAnsi="Arial" w:cs="Arial"/>
        </w:rPr>
        <w:endnoteReference w:id="197"/>
      </w:r>
      <w:r>
        <w:rPr>
          <w:rFonts w:ascii="Arial" w:hAnsi="Arial" w:cs="Arial"/>
        </w:rPr>
        <w:t xml:space="preserve"> and which research shows can be effectively advertised through social media applications.</w:t>
      </w:r>
      <w:r>
        <w:rPr>
          <w:rStyle w:val="EndnoteReference"/>
          <w:rFonts w:ascii="Arial" w:hAnsi="Arial" w:cs="Arial"/>
        </w:rPr>
        <w:endnoteReference w:id="198"/>
      </w:r>
      <w:r>
        <w:rPr>
          <w:rFonts w:ascii="Arial" w:hAnsi="Arial" w:cs="Arial"/>
        </w:rPr>
        <w:t xml:space="preserve"> One avenue for pursuing this collaborative discussion could be through the Rappaport Fellow that DPH’s Office of HIV/AIDS has graciously agreed to co-sponsor with the Commission for the summer of 2018.</w:t>
      </w:r>
    </w:p>
    <w:p w14:paraId="76B1FF49" w14:textId="77777777" w:rsidR="000637C3" w:rsidRPr="000637C3" w:rsidRDefault="000637C3" w:rsidP="000637C3">
      <w:pPr>
        <w:spacing w:after="0"/>
        <w:jc w:val="both"/>
        <w:rPr>
          <w:rFonts w:ascii="Arial" w:hAnsi="Arial" w:cs="Arial"/>
        </w:rPr>
      </w:pPr>
    </w:p>
    <w:p w14:paraId="259B942C" w14:textId="77777777" w:rsidR="000637C3" w:rsidRPr="00A6026D" w:rsidRDefault="000637C3" w:rsidP="00961B5D">
      <w:pPr>
        <w:pStyle w:val="ListParagraph"/>
        <w:numPr>
          <w:ilvl w:val="0"/>
          <w:numId w:val="29"/>
        </w:numPr>
        <w:spacing w:after="0"/>
        <w:jc w:val="both"/>
        <w:rPr>
          <w:rFonts w:ascii="Arial" w:hAnsi="Arial" w:cs="Arial"/>
          <w:b/>
          <w:color w:val="365F91" w:themeColor="accent1" w:themeShade="BF"/>
        </w:rPr>
      </w:pPr>
      <w:r w:rsidRPr="00A6026D">
        <w:rPr>
          <w:rFonts w:ascii="Arial" w:hAnsi="Arial" w:cs="Arial"/>
          <w:b/>
          <w:color w:val="365F91" w:themeColor="accent1" w:themeShade="BF"/>
        </w:rPr>
        <w:t xml:space="preserve">Expand training opportunities for key staff and contracting organizations. </w:t>
      </w:r>
    </w:p>
    <w:p w14:paraId="5C90312D" w14:textId="77777777" w:rsidR="000637C3" w:rsidRDefault="000637C3" w:rsidP="000637C3">
      <w:pPr>
        <w:spacing w:after="0"/>
        <w:jc w:val="both"/>
        <w:rPr>
          <w:rFonts w:ascii="Arial" w:hAnsi="Arial" w:cs="Arial"/>
        </w:rPr>
      </w:pPr>
    </w:p>
    <w:p w14:paraId="22BB7958" w14:textId="77777777" w:rsidR="000637C3" w:rsidRDefault="0066695A" w:rsidP="000637C3">
      <w:pPr>
        <w:spacing w:after="0"/>
        <w:jc w:val="both"/>
        <w:rPr>
          <w:rFonts w:ascii="Arial" w:hAnsi="Arial" w:cs="Arial"/>
        </w:rPr>
      </w:pPr>
      <w:r w:rsidRPr="0066695A">
        <w:rPr>
          <w:rFonts w:ascii="Arial" w:hAnsi="Arial" w:cs="Arial"/>
        </w:rPr>
        <w:t>Although DPH</w:t>
      </w:r>
      <w:r>
        <w:rPr>
          <w:rFonts w:ascii="Arial" w:hAnsi="Arial" w:cs="Arial"/>
        </w:rPr>
        <w:t xml:space="preserve"> (and all state)</w:t>
      </w:r>
      <w:r w:rsidRPr="0066695A">
        <w:rPr>
          <w:rFonts w:ascii="Arial" w:hAnsi="Arial" w:cs="Arial"/>
        </w:rPr>
        <w:t xml:space="preserve"> </w:t>
      </w:r>
      <w:r>
        <w:rPr>
          <w:rFonts w:ascii="Arial" w:hAnsi="Arial" w:cs="Arial"/>
        </w:rPr>
        <w:t>employees</w:t>
      </w:r>
      <w:r w:rsidRPr="0066695A">
        <w:rPr>
          <w:rFonts w:ascii="Arial" w:hAnsi="Arial" w:cs="Arial"/>
        </w:rPr>
        <w:t xml:space="preserve"> are required to undertake mandatory diversity training, this training is not adequate to ensure that culturally competent services are provided in all DPH-funded programs. The Bureau of Substance Abuse Services (BSAS) Office of Youth and Young Adult Services (OYYAS) ha</w:t>
      </w:r>
      <w:r>
        <w:rPr>
          <w:rFonts w:ascii="Arial" w:hAnsi="Arial" w:cs="Arial"/>
        </w:rPr>
        <w:t>ve</w:t>
      </w:r>
      <w:r w:rsidRPr="0066695A">
        <w:rPr>
          <w:rFonts w:ascii="Arial" w:hAnsi="Arial" w:cs="Arial"/>
        </w:rPr>
        <w:t xml:space="preserve"> modeled an excellent approach of staff training in LGBTQ cultural competency. </w:t>
      </w:r>
      <w:r>
        <w:rPr>
          <w:rFonts w:ascii="Arial" w:hAnsi="Arial" w:cs="Arial"/>
        </w:rPr>
        <w:t>The Commission</w:t>
      </w:r>
      <w:r w:rsidRPr="0066695A">
        <w:rPr>
          <w:rFonts w:ascii="Arial" w:hAnsi="Arial" w:cs="Arial"/>
        </w:rPr>
        <w:t xml:space="preserve"> recommend</w:t>
      </w:r>
      <w:r>
        <w:rPr>
          <w:rFonts w:ascii="Arial" w:hAnsi="Arial" w:cs="Arial"/>
        </w:rPr>
        <w:t>s</w:t>
      </w:r>
      <w:r w:rsidR="00641759">
        <w:rPr>
          <w:rFonts w:ascii="Arial" w:hAnsi="Arial" w:cs="Arial"/>
        </w:rPr>
        <w:t xml:space="preserve"> that DPH </w:t>
      </w:r>
      <w:r w:rsidRPr="0066695A">
        <w:rPr>
          <w:rFonts w:ascii="Arial" w:hAnsi="Arial" w:cs="Arial"/>
        </w:rPr>
        <w:t>investigate implementing this model in other units, prioritizing those with programs serving youth and young adults.</w:t>
      </w:r>
      <w:r>
        <w:rPr>
          <w:rFonts w:ascii="Arial" w:hAnsi="Arial" w:cs="Arial"/>
        </w:rPr>
        <w:t xml:space="preserve"> </w:t>
      </w:r>
      <w:r w:rsidR="0072112D">
        <w:rPr>
          <w:rFonts w:ascii="Arial" w:hAnsi="Arial" w:cs="Arial"/>
        </w:rPr>
        <w:t>The discussion currently taking place with the EOHHS interagency committee on LGBTQ issues, on which DPH’s liaison has played an active role, may help to facilitate the implementation of this recommendation.</w:t>
      </w:r>
    </w:p>
    <w:p w14:paraId="0D2AF153" w14:textId="77777777" w:rsidR="000637C3" w:rsidRPr="000637C3" w:rsidRDefault="000637C3" w:rsidP="000637C3">
      <w:pPr>
        <w:spacing w:after="0"/>
        <w:jc w:val="both"/>
        <w:rPr>
          <w:rFonts w:ascii="Arial" w:hAnsi="Arial" w:cs="Arial"/>
        </w:rPr>
      </w:pPr>
    </w:p>
    <w:p w14:paraId="4378B426" w14:textId="77777777" w:rsidR="000637C3" w:rsidRPr="00A6026D" w:rsidRDefault="000637C3" w:rsidP="00961B5D">
      <w:pPr>
        <w:pStyle w:val="ListParagraph"/>
        <w:numPr>
          <w:ilvl w:val="0"/>
          <w:numId w:val="29"/>
        </w:numPr>
        <w:spacing w:after="0"/>
        <w:jc w:val="both"/>
        <w:rPr>
          <w:rFonts w:ascii="Arial" w:hAnsi="Arial" w:cs="Arial"/>
          <w:b/>
          <w:color w:val="365F91" w:themeColor="accent1" w:themeShade="BF"/>
        </w:rPr>
      </w:pPr>
      <w:r w:rsidRPr="00A6026D">
        <w:rPr>
          <w:rFonts w:ascii="Arial" w:hAnsi="Arial" w:cs="Arial"/>
          <w:b/>
          <w:color w:val="365F91" w:themeColor="accent1" w:themeShade="BF"/>
        </w:rPr>
        <w:t xml:space="preserve">Expand the current implementation plan for sexual orientation and gender identity and expression (SOGIE) data standards and increase dissemination of SOGIE data. </w:t>
      </w:r>
    </w:p>
    <w:p w14:paraId="08A3FC16" w14:textId="77777777" w:rsidR="000637C3" w:rsidRDefault="000637C3" w:rsidP="000637C3">
      <w:pPr>
        <w:spacing w:after="0"/>
        <w:jc w:val="both"/>
        <w:rPr>
          <w:rFonts w:ascii="Arial" w:hAnsi="Arial" w:cs="Arial"/>
        </w:rPr>
      </w:pPr>
    </w:p>
    <w:p w14:paraId="160A8926" w14:textId="77777777" w:rsidR="000637C3" w:rsidRDefault="0072112D" w:rsidP="000637C3">
      <w:pPr>
        <w:spacing w:after="0"/>
        <w:jc w:val="both"/>
        <w:rPr>
          <w:rFonts w:ascii="Arial" w:hAnsi="Arial" w:cs="Arial"/>
        </w:rPr>
      </w:pPr>
      <w:r w:rsidRPr="0072112D">
        <w:rPr>
          <w:rFonts w:ascii="Arial" w:hAnsi="Arial" w:cs="Arial"/>
        </w:rPr>
        <w:t>The Commission commends DPH for beginning a rollout of SOGIE-inclusive ques</w:t>
      </w:r>
      <w:r>
        <w:rPr>
          <w:rFonts w:ascii="Arial" w:hAnsi="Arial" w:cs="Arial"/>
        </w:rPr>
        <w:t xml:space="preserve">tions in three of its </w:t>
      </w:r>
      <w:r w:rsidR="00676BE9">
        <w:rPr>
          <w:rFonts w:ascii="Arial" w:hAnsi="Arial" w:cs="Arial"/>
        </w:rPr>
        <w:t>data collection mechanisms</w:t>
      </w:r>
      <w:r w:rsidRPr="0072112D">
        <w:rPr>
          <w:rFonts w:ascii="Arial" w:hAnsi="Arial" w:cs="Arial"/>
        </w:rPr>
        <w:t xml:space="preserve"> and encourages DPH to expand this planning to include all DPH entities and surveys as the initial rollout begins. Inclusive data is critical for identifying and addressing LGBTQ health disparities, and the Commission believes that Massachusetts can and should be a leader in inclusive collection of data. The Commission looks forward to supporting DPH as it continues this important work.</w:t>
      </w:r>
    </w:p>
    <w:p w14:paraId="2D3C3047" w14:textId="77777777" w:rsidR="000637C3" w:rsidRPr="000637C3" w:rsidRDefault="000637C3" w:rsidP="000637C3">
      <w:pPr>
        <w:spacing w:after="0"/>
        <w:jc w:val="both"/>
        <w:rPr>
          <w:rFonts w:ascii="Arial" w:hAnsi="Arial" w:cs="Arial"/>
        </w:rPr>
      </w:pPr>
    </w:p>
    <w:p w14:paraId="7914D37B" w14:textId="77777777" w:rsidR="000637C3" w:rsidRPr="00A6026D" w:rsidRDefault="000637C3" w:rsidP="00961B5D">
      <w:pPr>
        <w:pStyle w:val="ListParagraph"/>
        <w:numPr>
          <w:ilvl w:val="0"/>
          <w:numId w:val="29"/>
        </w:numPr>
        <w:spacing w:after="0"/>
        <w:jc w:val="both"/>
        <w:rPr>
          <w:rFonts w:ascii="Arial" w:hAnsi="Arial" w:cs="Arial"/>
          <w:b/>
          <w:color w:val="365F91" w:themeColor="accent1" w:themeShade="BF"/>
        </w:rPr>
      </w:pPr>
      <w:r w:rsidRPr="00A6026D">
        <w:rPr>
          <w:rFonts w:ascii="Arial" w:hAnsi="Arial" w:cs="Arial"/>
          <w:b/>
          <w:color w:val="365F91" w:themeColor="accent1" w:themeShade="BF"/>
        </w:rPr>
        <w:t xml:space="preserve">Work with BORIM to consider SOGIE data collection for physicians and in electronic medical health records, indicate LGBTQ cultural competency on physician profiles, and establish standards for LGBTQ cultural competency training within required trainings on sexual and domestic violence. </w:t>
      </w:r>
    </w:p>
    <w:p w14:paraId="2F01FEA9" w14:textId="77777777" w:rsidR="00771606" w:rsidRDefault="00771606" w:rsidP="00F37FB7">
      <w:pPr>
        <w:spacing w:after="0"/>
        <w:jc w:val="both"/>
        <w:rPr>
          <w:rFonts w:ascii="Arial" w:hAnsi="Arial" w:cs="Arial"/>
        </w:rPr>
      </w:pPr>
    </w:p>
    <w:p w14:paraId="7A935F4D" w14:textId="77777777" w:rsidR="00AA19D0" w:rsidRDefault="0072112D" w:rsidP="00F37FB7">
      <w:pPr>
        <w:spacing w:after="0"/>
        <w:jc w:val="both"/>
        <w:rPr>
          <w:rFonts w:ascii="Arial" w:hAnsi="Arial" w:cs="Arial"/>
        </w:rPr>
      </w:pPr>
      <w:r w:rsidRPr="0072112D">
        <w:rPr>
          <w:rFonts w:ascii="Arial" w:hAnsi="Arial" w:cs="Arial"/>
        </w:rPr>
        <w:t xml:space="preserve">The Commission is pleased to have opened a productive conversation with BORIM in the past year. </w:t>
      </w:r>
      <w:r w:rsidR="00F93281">
        <w:rPr>
          <w:rFonts w:ascii="Arial" w:hAnsi="Arial" w:cs="Arial"/>
        </w:rPr>
        <w:t>The Commission is</w:t>
      </w:r>
      <w:r w:rsidRPr="0072112D">
        <w:rPr>
          <w:rFonts w:ascii="Arial" w:hAnsi="Arial" w:cs="Arial"/>
        </w:rPr>
        <w:t xml:space="preserve"> eager to further collaborate with BORIM, other boards of registration, and appropriate staff at DPH on issues that impact LGBTQ young people’s access to culturally competent healthcare.</w:t>
      </w:r>
    </w:p>
    <w:p w14:paraId="02BBF8E0" w14:textId="58489A90" w:rsidR="00A07650" w:rsidRDefault="009619C1">
      <w:pPr>
        <w:rPr>
          <w:rFonts w:ascii="Arial" w:hAnsi="Arial" w:cs="Arial"/>
          <w:b/>
          <w:sz w:val="28"/>
          <w:szCs w:val="28"/>
        </w:rPr>
      </w:pPr>
      <w:r>
        <w:rPr>
          <w:rFonts w:ascii="Arial" w:hAnsi="Arial" w:cs="Arial"/>
          <w:noProof/>
        </w:rPr>
        <mc:AlternateContent>
          <mc:Choice Requires="wps">
            <w:drawing>
              <wp:anchor distT="0" distB="0" distL="114300" distR="114300" simplePos="0" relativeHeight="251814912" behindDoc="0" locked="0" layoutInCell="1" allowOverlap="1" wp14:anchorId="77B4B297" wp14:editId="40DC2372">
                <wp:simplePos x="0" y="0"/>
                <wp:positionH relativeFrom="column">
                  <wp:posOffset>-25400</wp:posOffset>
                </wp:positionH>
                <wp:positionV relativeFrom="paragraph">
                  <wp:posOffset>130175</wp:posOffset>
                </wp:positionV>
                <wp:extent cx="5949315" cy="902970"/>
                <wp:effectExtent l="0" t="0" r="13335" b="1143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315" cy="902970"/>
                        </a:xfrm>
                        <a:prstGeom prst="rect">
                          <a:avLst/>
                        </a:prstGeom>
                        <a:solidFill>
                          <a:schemeClr val="lt1"/>
                        </a:solidFill>
                        <a:ln w="19050">
                          <a:solidFill>
                            <a:srgbClr val="FFBC37"/>
                          </a:solidFill>
                        </a:ln>
                      </wps:spPr>
                      <wps:txbx>
                        <w:txbxContent>
                          <w:p w14:paraId="04CB64DF" w14:textId="77777777" w:rsidR="00411ECA" w:rsidRPr="00AA19D0" w:rsidRDefault="00411ECA" w:rsidP="00A2496E">
                            <w:pPr>
                              <w:spacing w:after="0"/>
                              <w:jc w:val="both"/>
                              <w:rPr>
                                <w:rFonts w:ascii="Arial" w:hAnsi="Arial" w:cs="Arial"/>
                                <w:i/>
                              </w:rPr>
                            </w:pPr>
                            <w:r w:rsidRPr="00AA19D0">
                              <w:rPr>
                                <w:rFonts w:ascii="Arial" w:hAnsi="Arial" w:cs="Arial"/>
                                <w:i/>
                              </w:rPr>
                              <w:t xml:space="preserve">“I would like to see more education for medical personnel so they don’t make assumptions on the teen’s identity and orientation in basic </w:t>
                            </w:r>
                            <w:r>
                              <w:rPr>
                                <w:rFonts w:ascii="Arial" w:hAnsi="Arial" w:cs="Arial"/>
                                <w:i/>
                              </w:rPr>
                              <w:t>physical exams and counseling.”</w:t>
                            </w:r>
                          </w:p>
                          <w:p w14:paraId="09E96A2D" w14:textId="77777777" w:rsidR="00411ECA" w:rsidRPr="00495C0F" w:rsidRDefault="00411ECA" w:rsidP="00A2496E">
                            <w:pPr>
                              <w:spacing w:after="0"/>
                              <w:jc w:val="both"/>
                              <w:rPr>
                                <w:rFonts w:ascii="Arial" w:hAnsi="Arial" w:cs="Arial"/>
                              </w:rPr>
                            </w:pPr>
                          </w:p>
                          <w:p w14:paraId="5A9AE570" w14:textId="77777777" w:rsidR="00411ECA" w:rsidRPr="00495C0F" w:rsidRDefault="00411ECA" w:rsidP="00A2496E">
                            <w:pPr>
                              <w:spacing w:after="0"/>
                              <w:jc w:val="both"/>
                              <w:rPr>
                                <w:rFonts w:ascii="Arial" w:hAnsi="Arial" w:cs="Arial"/>
                              </w:rPr>
                            </w:pPr>
                            <w:r w:rsidRPr="00495C0F">
                              <w:rPr>
                                <w:rFonts w:ascii="Arial" w:hAnsi="Arial" w:cs="Arial"/>
                              </w:rPr>
                              <w:t>– Parent, Greater Boston</w:t>
                            </w:r>
                          </w:p>
                          <w:p w14:paraId="0360D029" w14:textId="77777777" w:rsidR="00411ECA" w:rsidRDefault="00411ECA" w:rsidP="00A249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 o:spid="_x0000_s1049" type="#_x0000_t202" style="position:absolute;margin-left:-2pt;margin-top:10.25pt;width:468.45pt;height:71.1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" fillcolor="white [3201]" strokecolor="#ffbc37" strokeweight="1.5pt">
                <v:path arrowok="t"/>
                <v:textbox>
                  <w:txbxContent>
                    <w:p w14:paraId="04CB64DF" w14:textId="77777777" w:rsidR="00411ECA" w:rsidRPr="00AA19D0" w:rsidRDefault="00411ECA" w:rsidP="00A2496E">
                      <w:pPr>
                        <w:spacing w:after="0"/>
                        <w:jc w:val="both"/>
                        <w:rPr>
                          <w:rFonts w:ascii="Arial" w:hAnsi="Arial" w:cs="Arial"/>
                          <w:i/>
                        </w:rPr>
                      </w:pPr>
                      <w:r w:rsidRPr="00AA19D0">
                        <w:rPr>
                          <w:rFonts w:ascii="Arial" w:hAnsi="Arial" w:cs="Arial"/>
                          <w:i/>
                        </w:rPr>
                        <w:t xml:space="preserve">“I would like to see more education for medical personnel so they don’t make assumptions on the teen’s identity and orientation in basic </w:t>
                      </w:r>
                      <w:r>
                        <w:rPr>
                          <w:rFonts w:ascii="Arial" w:hAnsi="Arial" w:cs="Arial"/>
                          <w:i/>
                        </w:rPr>
                        <w:t>physical exams and counseling.”</w:t>
                      </w:r>
                    </w:p>
                    <w:p w14:paraId="09E96A2D" w14:textId="77777777" w:rsidR="00411ECA" w:rsidRPr="00495C0F" w:rsidRDefault="00411ECA" w:rsidP="00A2496E">
                      <w:pPr>
                        <w:spacing w:after="0"/>
                        <w:jc w:val="both"/>
                        <w:rPr>
                          <w:rFonts w:ascii="Arial" w:hAnsi="Arial" w:cs="Arial"/>
                        </w:rPr>
                      </w:pPr>
                    </w:p>
                    <w:p w14:paraId="5A9AE570" w14:textId="77777777" w:rsidR="00411ECA" w:rsidRPr="00495C0F" w:rsidRDefault="00411ECA" w:rsidP="00A2496E">
                      <w:pPr>
                        <w:spacing w:after="0"/>
                        <w:jc w:val="both"/>
                        <w:rPr>
                          <w:rFonts w:ascii="Arial" w:hAnsi="Arial" w:cs="Arial"/>
                        </w:rPr>
                      </w:pPr>
                      <w:r w:rsidRPr="00495C0F">
                        <w:rPr>
                          <w:rFonts w:ascii="Arial" w:hAnsi="Arial" w:cs="Arial"/>
                        </w:rPr>
                        <w:t>– Parent, Greater Boston</w:t>
                      </w:r>
                    </w:p>
                    <w:p w14:paraId="0360D029" w14:textId="77777777" w:rsidR="00411ECA" w:rsidRDefault="00411ECA" w:rsidP="00A2496E"/>
                  </w:txbxContent>
                </v:textbox>
              </v:shape>
            </w:pict>
          </mc:Fallback>
        </mc:AlternateContent>
      </w:r>
      <w:r w:rsidR="00A07650">
        <w:rPr>
          <w:rFonts w:ascii="Arial" w:hAnsi="Arial" w:cs="Arial"/>
          <w:b/>
          <w:sz w:val="28"/>
          <w:szCs w:val="28"/>
        </w:rPr>
        <w:br w:type="page"/>
      </w:r>
    </w:p>
    <w:p w14:paraId="00474C12" w14:textId="77777777" w:rsidR="00AA19D0" w:rsidRPr="00AA19D0" w:rsidRDefault="00AA19D0" w:rsidP="00EB2689">
      <w:pPr>
        <w:pStyle w:val="Heading2"/>
      </w:pPr>
      <w:bookmarkStart w:id="39" w:name="_Toc512947917"/>
      <w:r w:rsidRPr="00AA19D0">
        <w:lastRenderedPageBreak/>
        <w:t>Office for Refugees and Immigrants</w:t>
      </w:r>
      <w:bookmarkEnd w:id="39"/>
    </w:p>
    <w:p w14:paraId="4A3E05D7" w14:textId="77777777" w:rsidR="00AA19D0" w:rsidRPr="00AA19D0" w:rsidRDefault="00A6026D" w:rsidP="00AA19D0">
      <w:pPr>
        <w:spacing w:after="0"/>
        <w:jc w:val="both"/>
        <w:rPr>
          <w:rFonts w:ascii="Arial" w:hAnsi="Arial" w:cs="Arial"/>
        </w:rPr>
      </w:pPr>
      <w:r>
        <w:rPr>
          <w:noProof/>
        </w:rPr>
        <w:drawing>
          <wp:anchor distT="0" distB="0" distL="114300" distR="114300" simplePos="0" relativeHeight="251774976" behindDoc="1" locked="0" layoutInCell="0" allowOverlap="1" wp14:anchorId="6A3454DF" wp14:editId="74A8DF54">
            <wp:simplePos x="0" y="0"/>
            <wp:positionH relativeFrom="column">
              <wp:posOffset>-14605</wp:posOffset>
            </wp:positionH>
            <wp:positionV relativeFrom="paragraph">
              <wp:posOffset>31750</wp:posOffset>
            </wp:positionV>
            <wp:extent cx="5980430" cy="18415"/>
            <wp:effectExtent l="0" t="0" r="1270" b="635"/>
            <wp:wrapNone/>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anchor>
        </w:drawing>
      </w:r>
    </w:p>
    <w:p w14:paraId="4872D587" w14:textId="77777777" w:rsidR="00A6026D" w:rsidRDefault="00A6026D" w:rsidP="00A6026D">
      <w:pPr>
        <w:spacing w:after="0"/>
        <w:jc w:val="center"/>
        <w:rPr>
          <w:rFonts w:ascii="Arial" w:hAnsi="Arial" w:cs="Arial"/>
          <w:b/>
          <w:u w:val="single"/>
        </w:rPr>
      </w:pPr>
    </w:p>
    <w:p w14:paraId="7876701C" w14:textId="77777777" w:rsidR="00760926" w:rsidRPr="00A6026D" w:rsidRDefault="00760926" w:rsidP="00A6026D">
      <w:pPr>
        <w:spacing w:after="0"/>
        <w:jc w:val="center"/>
        <w:rPr>
          <w:rFonts w:ascii="Arial" w:hAnsi="Arial" w:cs="Arial"/>
          <w:b/>
          <w:u w:val="single"/>
        </w:rPr>
      </w:pPr>
      <w:r w:rsidRPr="00A6026D">
        <w:rPr>
          <w:rFonts w:ascii="Arial" w:hAnsi="Arial" w:cs="Arial"/>
          <w:b/>
          <w:u w:val="single"/>
        </w:rPr>
        <w:t>FY2019 RECOMMENDATIONS</w:t>
      </w:r>
    </w:p>
    <w:p w14:paraId="72B7DABB" w14:textId="77777777" w:rsidR="00760926" w:rsidRPr="00760926" w:rsidRDefault="00760926" w:rsidP="00760926">
      <w:pPr>
        <w:spacing w:after="0"/>
        <w:jc w:val="both"/>
        <w:rPr>
          <w:rFonts w:ascii="Arial" w:hAnsi="Arial" w:cs="Arial"/>
        </w:rPr>
      </w:pPr>
    </w:p>
    <w:p w14:paraId="124F1BD1" w14:textId="77777777" w:rsidR="00760926" w:rsidRPr="00A6026D" w:rsidRDefault="00760926" w:rsidP="00961B5D">
      <w:pPr>
        <w:numPr>
          <w:ilvl w:val="0"/>
          <w:numId w:val="12"/>
        </w:numPr>
        <w:spacing w:after="0"/>
        <w:jc w:val="both"/>
        <w:rPr>
          <w:rFonts w:ascii="Arial" w:hAnsi="Arial" w:cs="Arial"/>
          <w:b/>
          <w:color w:val="365F91" w:themeColor="accent1" w:themeShade="BF"/>
        </w:rPr>
      </w:pPr>
      <w:r w:rsidRPr="00A6026D">
        <w:rPr>
          <w:rFonts w:ascii="Arial" w:hAnsi="Arial" w:cs="Arial"/>
          <w:b/>
          <w:color w:val="365F91" w:themeColor="accent1" w:themeShade="BF"/>
        </w:rPr>
        <w:t xml:space="preserve">Implement </w:t>
      </w:r>
      <w:r w:rsidR="0069596A">
        <w:rPr>
          <w:rFonts w:ascii="Arial" w:hAnsi="Arial" w:cs="Arial"/>
          <w:b/>
          <w:color w:val="365F91" w:themeColor="accent1" w:themeShade="BF"/>
        </w:rPr>
        <w:t>ORI’s</w:t>
      </w:r>
      <w:r w:rsidRPr="00A6026D">
        <w:rPr>
          <w:rFonts w:ascii="Arial" w:hAnsi="Arial" w:cs="Arial"/>
          <w:b/>
          <w:color w:val="365F91" w:themeColor="accent1" w:themeShade="BF"/>
        </w:rPr>
        <w:t xml:space="preserve"> new LGBTQ nondiscrimination policy and best practices.</w:t>
      </w:r>
    </w:p>
    <w:p w14:paraId="7FEAD958" w14:textId="77777777" w:rsidR="00760926" w:rsidRPr="00A6026D" w:rsidRDefault="00760926" w:rsidP="00961B5D">
      <w:pPr>
        <w:numPr>
          <w:ilvl w:val="0"/>
          <w:numId w:val="12"/>
        </w:numPr>
        <w:spacing w:after="0"/>
        <w:jc w:val="both"/>
        <w:rPr>
          <w:rFonts w:ascii="Arial" w:hAnsi="Arial" w:cs="Arial"/>
          <w:b/>
          <w:color w:val="365F91" w:themeColor="accent1" w:themeShade="BF"/>
        </w:rPr>
      </w:pPr>
      <w:r w:rsidRPr="00A6026D">
        <w:rPr>
          <w:rFonts w:ascii="Arial" w:hAnsi="Arial" w:cs="Arial"/>
          <w:b/>
          <w:color w:val="365F91" w:themeColor="accent1" w:themeShade="BF"/>
        </w:rPr>
        <w:t xml:space="preserve">Work with the Commission to explore promoting its LGBTQ </w:t>
      </w:r>
      <w:r w:rsidR="00C72B66">
        <w:rPr>
          <w:rFonts w:ascii="Arial" w:hAnsi="Arial" w:cs="Arial"/>
          <w:b/>
          <w:color w:val="365F91" w:themeColor="accent1" w:themeShade="BF"/>
        </w:rPr>
        <w:t>r</w:t>
      </w:r>
      <w:r w:rsidRPr="00A6026D">
        <w:rPr>
          <w:rFonts w:ascii="Arial" w:hAnsi="Arial" w:cs="Arial"/>
          <w:b/>
          <w:color w:val="365F91" w:themeColor="accent1" w:themeShade="BF"/>
        </w:rPr>
        <w:t xml:space="preserve">esource </w:t>
      </w:r>
      <w:r w:rsidR="00C72B66">
        <w:rPr>
          <w:rFonts w:ascii="Arial" w:hAnsi="Arial" w:cs="Arial"/>
          <w:b/>
          <w:color w:val="365F91" w:themeColor="accent1" w:themeShade="BF"/>
        </w:rPr>
        <w:t>m</w:t>
      </w:r>
      <w:r w:rsidRPr="00A6026D">
        <w:rPr>
          <w:rFonts w:ascii="Arial" w:hAnsi="Arial" w:cs="Arial"/>
          <w:b/>
          <w:color w:val="365F91" w:themeColor="accent1" w:themeShade="BF"/>
        </w:rPr>
        <w:t xml:space="preserve">ap as a tool for LGBTQ immigrants and refugees to find affirming resources. </w:t>
      </w:r>
    </w:p>
    <w:p w14:paraId="6FA0FC8D" w14:textId="77777777" w:rsidR="00760926" w:rsidRPr="00A6026D" w:rsidRDefault="00760926" w:rsidP="00961B5D">
      <w:pPr>
        <w:numPr>
          <w:ilvl w:val="0"/>
          <w:numId w:val="12"/>
        </w:numPr>
        <w:spacing w:after="0"/>
        <w:jc w:val="both"/>
        <w:rPr>
          <w:rFonts w:ascii="Arial" w:hAnsi="Arial" w:cs="Arial"/>
          <w:b/>
          <w:color w:val="365F91" w:themeColor="accent1" w:themeShade="BF"/>
        </w:rPr>
      </w:pPr>
      <w:r w:rsidRPr="00A6026D">
        <w:rPr>
          <w:rFonts w:ascii="Arial" w:hAnsi="Arial" w:cs="Arial"/>
          <w:b/>
          <w:color w:val="365F91" w:themeColor="accent1" w:themeShade="BF"/>
        </w:rPr>
        <w:t>Continue collaborating with the inter</w:t>
      </w:r>
      <w:r w:rsidR="0069596A">
        <w:rPr>
          <w:rFonts w:ascii="Arial" w:hAnsi="Arial" w:cs="Arial"/>
          <w:b/>
          <w:color w:val="365F91" w:themeColor="accent1" w:themeShade="BF"/>
        </w:rPr>
        <w:t xml:space="preserve">agency EOHHS effort to launch an interagency LGBTQ </w:t>
      </w:r>
      <w:r w:rsidRPr="00A6026D">
        <w:rPr>
          <w:rFonts w:ascii="Arial" w:hAnsi="Arial" w:cs="Arial"/>
          <w:b/>
          <w:color w:val="365F91" w:themeColor="accent1" w:themeShade="BF"/>
        </w:rPr>
        <w:t>training and encourage staff and providers to participate in this training in accordance with interagency strategy.</w:t>
      </w:r>
    </w:p>
    <w:p w14:paraId="0E05A988" w14:textId="77777777" w:rsidR="00760926" w:rsidRPr="00A6026D" w:rsidRDefault="00760926" w:rsidP="00961B5D">
      <w:pPr>
        <w:numPr>
          <w:ilvl w:val="0"/>
          <w:numId w:val="12"/>
        </w:numPr>
        <w:spacing w:after="0"/>
        <w:jc w:val="both"/>
        <w:rPr>
          <w:rFonts w:ascii="Arial" w:hAnsi="Arial" w:cs="Arial"/>
          <w:b/>
          <w:color w:val="365F91" w:themeColor="accent1" w:themeShade="BF"/>
        </w:rPr>
      </w:pPr>
      <w:r w:rsidRPr="00A6026D">
        <w:rPr>
          <w:rFonts w:ascii="Arial" w:hAnsi="Arial" w:cs="Arial"/>
          <w:b/>
          <w:color w:val="365F91" w:themeColor="accent1" w:themeShade="BF"/>
        </w:rPr>
        <w:t>Work with the Commission to explore adding LGBTQ competency and nondiscrimination content to ORI's provider manual.</w:t>
      </w:r>
    </w:p>
    <w:p w14:paraId="0A458713" w14:textId="77777777" w:rsidR="00676BE9" w:rsidRPr="00BB4759" w:rsidRDefault="00676BE9" w:rsidP="00676BE9">
      <w:pPr>
        <w:spacing w:after="0"/>
        <w:ind w:left="360"/>
        <w:jc w:val="both"/>
        <w:rPr>
          <w:rFonts w:ascii="Arial" w:hAnsi="Arial" w:cs="Arial"/>
        </w:rPr>
      </w:pPr>
    </w:p>
    <w:p w14:paraId="285B8E04" w14:textId="4F9B55FF" w:rsidR="00760926" w:rsidRDefault="009619C1" w:rsidP="00AA19D0">
      <w:pPr>
        <w:spacing w:after="0"/>
        <w:jc w:val="both"/>
        <w:rPr>
          <w:rFonts w:ascii="Arial" w:hAnsi="Arial" w:cs="Arial"/>
        </w:rPr>
      </w:pPr>
      <w:r>
        <w:rPr>
          <w:rFonts w:ascii="Arial" w:hAnsi="Arial" w:cs="Arial"/>
          <w:noProof/>
        </w:rPr>
        <mc:AlternateContent>
          <mc:Choice Requires="wps">
            <w:drawing>
              <wp:anchor distT="0" distB="0" distL="114300" distR="114300" simplePos="0" relativeHeight="251669504" behindDoc="0" locked="0" layoutInCell="1" allowOverlap="1" wp14:anchorId="0D8C7E13" wp14:editId="31B6DF25">
                <wp:simplePos x="0" y="0"/>
                <wp:positionH relativeFrom="column">
                  <wp:align>center</wp:align>
                </wp:positionH>
                <wp:positionV relativeFrom="paragraph">
                  <wp:posOffset>0</wp:posOffset>
                </wp:positionV>
                <wp:extent cx="5863590" cy="942975"/>
                <wp:effectExtent l="0" t="0" r="22860" b="1460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942975"/>
                        </a:xfrm>
                        <a:prstGeom prst="rect">
                          <a:avLst/>
                        </a:prstGeom>
                        <a:solidFill>
                          <a:srgbClr val="FFFFFF"/>
                        </a:solidFill>
                        <a:ln w="19050">
                          <a:solidFill>
                            <a:srgbClr val="FFBC37"/>
                          </a:solidFill>
                          <a:miter lim="800000"/>
                          <a:headEnd/>
                          <a:tailEnd/>
                        </a:ln>
                      </wps:spPr>
                      <wps:txbx>
                        <w:txbxContent>
                          <w:p w14:paraId="0B5DAFCB" w14:textId="77777777" w:rsidR="00411ECA" w:rsidRPr="000C3DBA" w:rsidRDefault="00411ECA" w:rsidP="00C84E4E">
                            <w:pPr>
                              <w:jc w:val="both"/>
                              <w:rPr>
                                <w:rFonts w:ascii="Arial" w:hAnsi="Arial" w:cs="Arial"/>
                                <w:i/>
                              </w:rPr>
                            </w:pPr>
                            <w:r w:rsidRPr="000C3DBA">
                              <w:rPr>
                                <w:rFonts w:ascii="Arial" w:hAnsi="Arial" w:cs="Arial"/>
                                <w:i/>
                              </w:rPr>
                              <w:t>“Many LGBT students, particularly students of color in immigrant communities, still fear coming out in school. [We need] more education in the communities, not just in schools.”</w:t>
                            </w:r>
                          </w:p>
                          <w:p w14:paraId="242DBC1D" w14:textId="77777777" w:rsidR="00411ECA" w:rsidRPr="000C3DBA" w:rsidRDefault="00411ECA">
                            <w:pPr>
                              <w:rPr>
                                <w:rFonts w:ascii="Arial" w:hAnsi="Arial" w:cs="Arial"/>
                              </w:rPr>
                            </w:pPr>
                            <w:r>
                              <w:rPr>
                                <w:rFonts w:ascii="Arial" w:hAnsi="Arial" w:cs="Arial"/>
                              </w:rPr>
                              <w:t xml:space="preserve"> </w:t>
                            </w:r>
                            <w:r w:rsidRPr="00495C0F">
                              <w:rPr>
                                <w:rFonts w:ascii="Arial" w:hAnsi="Arial" w:cs="Arial"/>
                              </w:rPr>
                              <w:t xml:space="preserve">– </w:t>
                            </w:r>
                            <w:r w:rsidRPr="000C3DBA">
                              <w:rPr>
                                <w:rFonts w:ascii="Arial" w:hAnsi="Arial" w:cs="Arial"/>
                              </w:rPr>
                              <w:t>Educator, Greater Boston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0" type="#_x0000_t202" style="position:absolute;left:0;text-align:left;margin-left:0;margin-top:0;width:461.7pt;height:74.25pt;z-index:25166950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" strokecolor="#ffbc37" strokeweight="1.5pt">
                <v:textbox style="mso-fit-shape-to-text:t">
                  <w:txbxContent>
                    <w:p w14:paraId="0B5DAFCB" w14:textId="77777777" w:rsidR="00411ECA" w:rsidRPr="000C3DBA" w:rsidRDefault="00411ECA" w:rsidP="00C84E4E">
                      <w:pPr>
                        <w:jc w:val="both"/>
                        <w:rPr>
                          <w:rFonts w:ascii="Arial" w:hAnsi="Arial" w:cs="Arial"/>
                          <w:i/>
                        </w:rPr>
                      </w:pPr>
                      <w:r w:rsidRPr="000C3DBA">
                        <w:rPr>
                          <w:rFonts w:ascii="Arial" w:hAnsi="Arial" w:cs="Arial"/>
                          <w:i/>
                        </w:rPr>
                        <w:t>“Many LGBT students, particularly students of color in immigrant communities, still fear coming out in school. [We need] more education in the communities, not just in schools.”</w:t>
                      </w:r>
                    </w:p>
                    <w:p w14:paraId="242DBC1D" w14:textId="77777777" w:rsidR="00411ECA" w:rsidRPr="000C3DBA" w:rsidRDefault="00411ECA">
                      <w:pPr>
                        <w:rPr>
                          <w:rFonts w:ascii="Arial" w:hAnsi="Arial" w:cs="Arial"/>
                        </w:rPr>
                      </w:pPr>
                      <w:r>
                        <w:rPr>
                          <w:rFonts w:ascii="Arial" w:hAnsi="Arial" w:cs="Arial"/>
                        </w:rPr>
                        <w:t xml:space="preserve"> </w:t>
                      </w:r>
                      <w:r w:rsidRPr="00495C0F">
                        <w:rPr>
                          <w:rFonts w:ascii="Arial" w:hAnsi="Arial" w:cs="Arial"/>
                        </w:rPr>
                        <w:t xml:space="preserve">– </w:t>
                      </w:r>
                      <w:r w:rsidRPr="000C3DBA">
                        <w:rPr>
                          <w:rFonts w:ascii="Arial" w:hAnsi="Arial" w:cs="Arial"/>
                        </w:rPr>
                        <w:t>Educator, Greater Boston</w:t>
                      </w:r>
                    </w:p>
                  </w:txbxContent>
                </v:textbox>
                <w10:wrap type="square"/>
              </v:shape>
            </w:pict>
          </mc:Fallback>
        </mc:AlternateContent>
      </w:r>
    </w:p>
    <w:p w14:paraId="5B63E613" w14:textId="77777777" w:rsidR="00760926" w:rsidRPr="00A6026D" w:rsidRDefault="00760926" w:rsidP="00A6026D">
      <w:pPr>
        <w:spacing w:after="0"/>
        <w:jc w:val="center"/>
        <w:rPr>
          <w:rFonts w:ascii="Arial" w:hAnsi="Arial" w:cs="Arial"/>
          <w:b/>
          <w:u w:val="single"/>
        </w:rPr>
      </w:pPr>
      <w:r w:rsidRPr="00A6026D">
        <w:rPr>
          <w:rFonts w:ascii="Arial" w:hAnsi="Arial" w:cs="Arial"/>
          <w:b/>
          <w:u w:val="single"/>
        </w:rPr>
        <w:t>BACKGROUND &amp; RESEARCH</w:t>
      </w:r>
    </w:p>
    <w:p w14:paraId="227E50B4" w14:textId="77777777" w:rsidR="00760926" w:rsidRDefault="00760926" w:rsidP="00AA19D0">
      <w:pPr>
        <w:spacing w:after="0"/>
        <w:jc w:val="both"/>
        <w:rPr>
          <w:rFonts w:ascii="Arial" w:hAnsi="Arial" w:cs="Arial"/>
        </w:rPr>
      </w:pPr>
    </w:p>
    <w:p w14:paraId="62EACF26" w14:textId="77777777" w:rsidR="00AA19D0" w:rsidRPr="00AA19D0" w:rsidRDefault="00AA19D0" w:rsidP="00AA19D0">
      <w:pPr>
        <w:spacing w:after="0"/>
        <w:jc w:val="both"/>
        <w:rPr>
          <w:rFonts w:ascii="Arial" w:hAnsi="Arial" w:cs="Arial"/>
        </w:rPr>
      </w:pPr>
      <w:r w:rsidRPr="00AA19D0">
        <w:rPr>
          <w:rFonts w:ascii="Arial" w:hAnsi="Arial" w:cs="Arial"/>
        </w:rPr>
        <w:t>The Office for Refugees and Immigrants (ORI) was established in 1992 to promote the “full participation of refugees and immigrants as self-sufficient individuals and families in social, economic, and civic life of Massachusetts.” Largely through resources from the federal Office of Refugee Resettlement, ORI provides funding to refugee resettlement providers to support some of the most vulnerable refugees in the United States who are admitted on humanitarian grounds.</w:t>
      </w:r>
    </w:p>
    <w:p w14:paraId="6519C2C3" w14:textId="77777777" w:rsidR="00AA19D0" w:rsidRPr="00AA19D0" w:rsidRDefault="00AA19D0" w:rsidP="00AA19D0">
      <w:pPr>
        <w:spacing w:after="0"/>
        <w:jc w:val="both"/>
        <w:rPr>
          <w:rFonts w:ascii="Arial" w:hAnsi="Arial" w:cs="Arial"/>
        </w:rPr>
      </w:pPr>
    </w:p>
    <w:p w14:paraId="2851AA81" w14:textId="77777777" w:rsidR="00AA19D0" w:rsidRPr="00AA19D0" w:rsidRDefault="00AA19D0" w:rsidP="00AA19D0">
      <w:pPr>
        <w:spacing w:after="0"/>
        <w:jc w:val="both"/>
        <w:rPr>
          <w:rFonts w:ascii="Arial" w:hAnsi="Arial" w:cs="Arial"/>
        </w:rPr>
      </w:pPr>
      <w:r w:rsidRPr="00AA19D0">
        <w:rPr>
          <w:rFonts w:ascii="Arial" w:hAnsi="Arial" w:cs="Arial"/>
        </w:rPr>
        <w:t>ORI has taken promising steps to ensure that adequate services are available to LGBTQ immigrant youth</w:t>
      </w:r>
      <w:r w:rsidR="00EC795D">
        <w:rPr>
          <w:rFonts w:ascii="Arial" w:hAnsi="Arial" w:cs="Arial"/>
        </w:rPr>
        <w:t>, including a 2016 training with</w:t>
      </w:r>
      <w:r w:rsidRPr="00AA19D0">
        <w:rPr>
          <w:rFonts w:ascii="Arial" w:hAnsi="Arial" w:cs="Arial"/>
        </w:rPr>
        <w:t xml:space="preserve"> their unaccompanied refugee minor program providers.</w:t>
      </w:r>
      <w:r w:rsidR="00EC795D">
        <w:rPr>
          <w:rFonts w:ascii="Arial" w:hAnsi="Arial" w:cs="Arial"/>
        </w:rPr>
        <w:t xml:space="preserve"> ORI’s liaison to the Commission has fostered a productive relationship, which included facilitating a meeting between Commission representatives and ORI’s Executive Director, Mary Truong, and its chief of staff.</w:t>
      </w:r>
      <w:r w:rsidRPr="00AA19D0">
        <w:rPr>
          <w:rFonts w:ascii="Arial" w:hAnsi="Arial" w:cs="Arial"/>
        </w:rPr>
        <w:t xml:space="preserve"> </w:t>
      </w:r>
      <w:r w:rsidR="00EC795D">
        <w:rPr>
          <w:rFonts w:ascii="Arial" w:hAnsi="Arial" w:cs="Arial"/>
        </w:rPr>
        <w:t xml:space="preserve">Promisingly, </w:t>
      </w:r>
      <w:r w:rsidR="00C9267D">
        <w:rPr>
          <w:rFonts w:ascii="Arial" w:hAnsi="Arial" w:cs="Arial"/>
        </w:rPr>
        <w:t xml:space="preserve">ORI has finalized a new LGBTQ inclusive nondiscrimination policy and has sent it to </w:t>
      </w:r>
      <w:r w:rsidR="00EC795D">
        <w:rPr>
          <w:rFonts w:ascii="Arial" w:hAnsi="Arial" w:cs="Arial"/>
        </w:rPr>
        <w:t xml:space="preserve">counsel at </w:t>
      </w:r>
      <w:r w:rsidR="00C9267D">
        <w:rPr>
          <w:rFonts w:ascii="Arial" w:hAnsi="Arial" w:cs="Arial"/>
        </w:rPr>
        <w:t xml:space="preserve">EOHHS for final review before publication. </w:t>
      </w:r>
    </w:p>
    <w:p w14:paraId="6006CD69" w14:textId="77777777" w:rsidR="00AA19D0" w:rsidRPr="00AA19D0" w:rsidRDefault="00AA19D0" w:rsidP="00AA19D0">
      <w:pPr>
        <w:spacing w:after="0"/>
        <w:jc w:val="both"/>
        <w:rPr>
          <w:rFonts w:ascii="Arial" w:hAnsi="Arial" w:cs="Arial"/>
        </w:rPr>
      </w:pPr>
    </w:p>
    <w:p w14:paraId="000317FB" w14:textId="1AAC2E4E" w:rsidR="00AA19D0" w:rsidRPr="00AA19D0" w:rsidRDefault="00AA19D0" w:rsidP="00AA19D0">
      <w:pPr>
        <w:spacing w:after="0"/>
        <w:jc w:val="both"/>
        <w:rPr>
          <w:rFonts w:ascii="Arial" w:hAnsi="Arial" w:cs="Arial"/>
        </w:rPr>
      </w:pPr>
      <w:r w:rsidRPr="00AA19D0">
        <w:rPr>
          <w:rFonts w:ascii="Arial" w:hAnsi="Arial" w:cs="Arial"/>
        </w:rPr>
        <w:t xml:space="preserve">Young LGBTQ refugees, asylees, and migrants face a unique set of challenges in establishing themselves in the United States. Like other communities, migrant populations hold diverse understandings of sexuality, gender, and identity. While </w:t>
      </w:r>
      <w:r w:rsidR="00AC7202">
        <w:rPr>
          <w:rFonts w:ascii="Arial" w:hAnsi="Arial" w:cs="Arial"/>
        </w:rPr>
        <w:t>research is limited as to how</w:t>
      </w:r>
      <w:r w:rsidRPr="00AA19D0">
        <w:rPr>
          <w:rFonts w:ascii="Arial" w:hAnsi="Arial" w:cs="Arial"/>
        </w:rPr>
        <w:t xml:space="preserve"> many migrant youth are LGBTQ, one study of undocumented migrants between 18 and 35 found that 1</w:t>
      </w:r>
      <w:r w:rsidR="00BE7909">
        <w:rPr>
          <w:rFonts w:ascii="Arial" w:hAnsi="Arial" w:cs="Arial"/>
        </w:rPr>
        <w:t>0 percent identified as LGBTQ.</w:t>
      </w:r>
      <w:r w:rsidR="00BE7909">
        <w:rPr>
          <w:rStyle w:val="EndnoteReference"/>
          <w:rFonts w:ascii="Arial" w:hAnsi="Arial" w:cs="Arial"/>
        </w:rPr>
        <w:endnoteReference w:id="199"/>
      </w:r>
      <w:r w:rsidR="006C0289">
        <w:rPr>
          <w:rFonts w:ascii="Arial" w:hAnsi="Arial" w:cs="Arial"/>
        </w:rPr>
        <w:t xml:space="preserve"> </w:t>
      </w:r>
      <w:r w:rsidRPr="00AA19D0">
        <w:rPr>
          <w:rFonts w:ascii="Arial" w:hAnsi="Arial" w:cs="Arial"/>
        </w:rPr>
        <w:t xml:space="preserve">In some instances, these young people come to the United States seeking to escape persecution or violence based on their sexual orientation or gender identity; </w:t>
      </w:r>
      <w:r w:rsidR="00B9618F">
        <w:rPr>
          <w:rFonts w:ascii="Arial" w:hAnsi="Arial" w:cs="Arial"/>
        </w:rPr>
        <w:t xml:space="preserve">one study found that LGBT asylum seekers have high incidences of persecution during </w:t>
      </w:r>
      <w:r w:rsidR="00B9618F">
        <w:rPr>
          <w:rFonts w:ascii="Arial" w:hAnsi="Arial" w:cs="Arial"/>
        </w:rPr>
        <w:lastRenderedPageBreak/>
        <w:t>their childhood, experiences of sexual violence, and suicidal ideation.</w:t>
      </w:r>
      <w:r w:rsidR="00B9618F">
        <w:rPr>
          <w:rStyle w:val="EndnoteReference"/>
          <w:rFonts w:ascii="Arial" w:hAnsi="Arial" w:cs="Arial"/>
        </w:rPr>
        <w:endnoteReference w:id="200"/>
      </w:r>
      <w:r w:rsidR="00B9618F">
        <w:rPr>
          <w:rFonts w:ascii="Arial" w:hAnsi="Arial" w:cs="Arial"/>
        </w:rPr>
        <w:t xml:space="preserve"> O</w:t>
      </w:r>
      <w:r w:rsidRPr="00AA19D0">
        <w:rPr>
          <w:rFonts w:ascii="Arial" w:hAnsi="Arial" w:cs="Arial"/>
        </w:rPr>
        <w:t>ther</w:t>
      </w:r>
      <w:r w:rsidR="00B9618F">
        <w:rPr>
          <w:rFonts w:ascii="Arial" w:hAnsi="Arial" w:cs="Arial"/>
        </w:rPr>
        <w:t xml:space="preserve"> asylum seeker</w:t>
      </w:r>
      <w:r w:rsidRPr="00AA19D0">
        <w:rPr>
          <w:rFonts w:ascii="Arial" w:hAnsi="Arial" w:cs="Arial"/>
        </w:rPr>
        <w:t xml:space="preserve">s come </w:t>
      </w:r>
      <w:r w:rsidR="00B9618F">
        <w:rPr>
          <w:rFonts w:ascii="Arial" w:hAnsi="Arial" w:cs="Arial"/>
        </w:rPr>
        <w:t xml:space="preserve">to the U.S. </w:t>
      </w:r>
      <w:r w:rsidRPr="00AA19D0">
        <w:rPr>
          <w:rFonts w:ascii="Arial" w:hAnsi="Arial" w:cs="Arial"/>
        </w:rPr>
        <w:t>for unrelated reasons but must navigate a system in which their sexual orientation or gender identity compound the challenges they already face as migrants more broadly.</w:t>
      </w:r>
    </w:p>
    <w:p w14:paraId="11BB9BB4" w14:textId="77777777" w:rsidR="00AA19D0" w:rsidRPr="00AA19D0" w:rsidRDefault="00AA19D0" w:rsidP="00AA19D0">
      <w:pPr>
        <w:spacing w:after="0"/>
        <w:jc w:val="both"/>
        <w:rPr>
          <w:rFonts w:ascii="Arial" w:hAnsi="Arial" w:cs="Arial"/>
        </w:rPr>
      </w:pPr>
    </w:p>
    <w:p w14:paraId="6550FF9D" w14:textId="33E65A5B" w:rsidR="00AA19D0" w:rsidRPr="00AA19D0" w:rsidRDefault="00310021" w:rsidP="00AA19D0">
      <w:pPr>
        <w:spacing w:after="0"/>
        <w:jc w:val="both"/>
        <w:rPr>
          <w:rFonts w:ascii="Arial" w:hAnsi="Arial" w:cs="Arial"/>
        </w:rPr>
      </w:pPr>
      <w:r>
        <w:rPr>
          <w:rFonts w:ascii="Arial" w:hAnsi="Arial" w:cs="Arial"/>
        </w:rPr>
        <w:t xml:space="preserve">The </w:t>
      </w:r>
      <w:r w:rsidRPr="00310021">
        <w:rPr>
          <w:rFonts w:ascii="Arial" w:hAnsi="Arial" w:cs="Arial"/>
        </w:rPr>
        <w:t xml:space="preserve">dual-layer minority status </w:t>
      </w:r>
      <w:r>
        <w:rPr>
          <w:rFonts w:ascii="Arial" w:hAnsi="Arial" w:cs="Arial"/>
        </w:rPr>
        <w:t xml:space="preserve">of LGBTQ refugees and immigrants </w:t>
      </w:r>
      <w:r w:rsidRPr="00310021">
        <w:rPr>
          <w:rFonts w:ascii="Arial" w:hAnsi="Arial" w:cs="Arial"/>
        </w:rPr>
        <w:t xml:space="preserve">creates obstacles to accessing resources and support. </w:t>
      </w:r>
      <w:r w:rsidR="00AA19D0" w:rsidRPr="00AA19D0">
        <w:rPr>
          <w:rFonts w:ascii="Arial" w:hAnsi="Arial" w:cs="Arial"/>
        </w:rPr>
        <w:t xml:space="preserve">A recent survey </w:t>
      </w:r>
      <w:r w:rsidR="006C0289">
        <w:rPr>
          <w:rFonts w:ascii="Arial" w:hAnsi="Arial" w:cs="Arial"/>
        </w:rPr>
        <w:t>of LGBTQ immigrant</w:t>
      </w:r>
      <w:r w:rsidR="00275A5C">
        <w:rPr>
          <w:rFonts w:ascii="Arial" w:hAnsi="Arial" w:cs="Arial"/>
        </w:rPr>
        <w:t>s</w:t>
      </w:r>
      <w:r w:rsidR="006C0289">
        <w:rPr>
          <w:rFonts w:ascii="Arial" w:hAnsi="Arial" w:cs="Arial"/>
        </w:rPr>
        <w:t xml:space="preserve"> of diverse backgrounds</w:t>
      </w:r>
      <w:r w:rsidR="00AA19D0" w:rsidRPr="00AA19D0">
        <w:rPr>
          <w:rFonts w:ascii="Arial" w:hAnsi="Arial" w:cs="Arial"/>
        </w:rPr>
        <w:t xml:space="preserve"> found that respondents reported high rates of discrimination related to their immigration status</w:t>
      </w:r>
      <w:r w:rsidR="00AC7202">
        <w:rPr>
          <w:rFonts w:ascii="Arial" w:hAnsi="Arial" w:cs="Arial"/>
        </w:rPr>
        <w:t xml:space="preserve"> as well as</w:t>
      </w:r>
      <w:r w:rsidR="00AA19D0" w:rsidRPr="00AA19D0">
        <w:rPr>
          <w:rFonts w:ascii="Arial" w:hAnsi="Arial" w:cs="Arial"/>
        </w:rPr>
        <w:t xml:space="preserve"> sexual or</w:t>
      </w:r>
      <w:r w:rsidR="00BE7909">
        <w:rPr>
          <w:rFonts w:ascii="Arial" w:hAnsi="Arial" w:cs="Arial"/>
        </w:rPr>
        <w:t>ientation and gender identity.</w:t>
      </w:r>
      <w:r w:rsidR="00BE7909">
        <w:rPr>
          <w:rStyle w:val="EndnoteReference"/>
          <w:rFonts w:ascii="Arial" w:hAnsi="Arial" w:cs="Arial"/>
        </w:rPr>
        <w:endnoteReference w:id="201"/>
      </w:r>
      <w:r w:rsidR="006C0289">
        <w:rPr>
          <w:rFonts w:ascii="Arial" w:hAnsi="Arial" w:cs="Arial"/>
        </w:rPr>
        <w:t xml:space="preserve"> </w:t>
      </w:r>
      <w:r w:rsidR="00AA19D0" w:rsidRPr="00AA19D0">
        <w:rPr>
          <w:rFonts w:ascii="Arial" w:hAnsi="Arial" w:cs="Arial"/>
        </w:rPr>
        <w:t xml:space="preserve">Additionally, LGBTQ migrant youth may face heightened health and safety risks. In Massachusetts, sexual minority high school students who have been in the United States for six years or less reported higher rates of school victimization and suicidality than heterosexual immigrant youth </w:t>
      </w:r>
      <w:r w:rsidR="00275A5C">
        <w:rPr>
          <w:rFonts w:ascii="Arial" w:hAnsi="Arial" w:cs="Arial"/>
        </w:rPr>
        <w:t>or</w:t>
      </w:r>
      <w:r w:rsidR="00AA19D0" w:rsidRPr="00AA19D0">
        <w:rPr>
          <w:rFonts w:ascii="Arial" w:hAnsi="Arial" w:cs="Arial"/>
        </w:rPr>
        <w:t xml:space="preserve"> sexual minority students </w:t>
      </w:r>
      <w:r w:rsidR="00B9618F">
        <w:rPr>
          <w:rFonts w:ascii="Arial" w:hAnsi="Arial" w:cs="Arial"/>
        </w:rPr>
        <w:t>born in the U.S</w:t>
      </w:r>
      <w:r w:rsidR="00BE7909">
        <w:rPr>
          <w:rFonts w:ascii="Arial" w:hAnsi="Arial" w:cs="Arial"/>
        </w:rPr>
        <w:t>.</w:t>
      </w:r>
      <w:r w:rsidR="00BE7909">
        <w:rPr>
          <w:rStyle w:val="EndnoteReference"/>
          <w:rFonts w:ascii="Arial" w:hAnsi="Arial" w:cs="Arial"/>
        </w:rPr>
        <w:endnoteReference w:id="202"/>
      </w:r>
    </w:p>
    <w:p w14:paraId="6F6B0CAD" w14:textId="77777777" w:rsidR="00AA19D0" w:rsidRDefault="00AA19D0" w:rsidP="00AA19D0">
      <w:pPr>
        <w:spacing w:after="0"/>
        <w:jc w:val="both"/>
        <w:rPr>
          <w:rFonts w:ascii="Arial" w:hAnsi="Arial" w:cs="Arial"/>
        </w:rPr>
      </w:pPr>
    </w:p>
    <w:p w14:paraId="78D23AE3" w14:textId="77777777" w:rsidR="00D374E7" w:rsidRPr="00D374E7" w:rsidRDefault="00B9618F" w:rsidP="00D374E7">
      <w:pPr>
        <w:spacing w:after="0"/>
        <w:jc w:val="both"/>
        <w:rPr>
          <w:rFonts w:ascii="Arial" w:hAnsi="Arial" w:cs="Arial"/>
        </w:rPr>
      </w:pPr>
      <w:r>
        <w:rPr>
          <w:rFonts w:ascii="Arial" w:hAnsi="Arial" w:cs="Arial"/>
        </w:rPr>
        <w:t>A recent report posits</w:t>
      </w:r>
      <w:r w:rsidR="00676BE9">
        <w:rPr>
          <w:rFonts w:ascii="Arial" w:hAnsi="Arial" w:cs="Arial"/>
        </w:rPr>
        <w:t xml:space="preserve"> that</w:t>
      </w:r>
      <w:r w:rsidR="00D374E7" w:rsidRPr="00D374E7">
        <w:rPr>
          <w:rFonts w:ascii="Arial" w:hAnsi="Arial" w:cs="Arial"/>
        </w:rPr>
        <w:t xml:space="preserve"> “</w:t>
      </w:r>
      <w:r w:rsidR="00D374E7" w:rsidRPr="00676BE9">
        <w:rPr>
          <w:rFonts w:ascii="Arial" w:eastAsia="Times New Roman" w:hAnsi="Arial" w:cs="Arial"/>
          <w:color w:val="333333"/>
          <w:shd w:val="clear" w:color="auto" w:fill="FFFFFF"/>
        </w:rPr>
        <w:t>in order to ensure that LGBTQ immigrants thrive, it is critical to invest in culturally competent immigrant integration resources that are responsive to the needs of diverse communities, enabling them to fully participate and contribute to American society</w:t>
      </w:r>
      <w:r w:rsidR="00D374E7" w:rsidRPr="00676BE9">
        <w:rPr>
          <w:rFonts w:ascii="Arial" w:eastAsia="Times New Roman" w:hAnsi="Arial" w:cs="Arial"/>
        </w:rPr>
        <w:t>”</w:t>
      </w:r>
      <w:r w:rsidR="00D374E7">
        <w:rPr>
          <w:rFonts w:ascii="Arial" w:eastAsia="Times New Roman" w:hAnsi="Arial" w:cs="Arial"/>
        </w:rPr>
        <w:t>.</w:t>
      </w:r>
      <w:r w:rsidR="00587ADD">
        <w:rPr>
          <w:rStyle w:val="EndnoteReference"/>
          <w:rFonts w:ascii="Arial" w:eastAsia="Times New Roman" w:hAnsi="Arial" w:cs="Arial"/>
        </w:rPr>
        <w:endnoteReference w:id="203"/>
      </w:r>
      <w:r w:rsidR="00D374E7">
        <w:rPr>
          <w:rFonts w:ascii="Arial" w:eastAsia="Times New Roman" w:hAnsi="Arial" w:cs="Arial"/>
        </w:rPr>
        <w:t xml:space="preserve"> This goal is critical to ensure that</w:t>
      </w:r>
      <w:r>
        <w:rPr>
          <w:rFonts w:ascii="Arial" w:eastAsia="Times New Roman" w:hAnsi="Arial" w:cs="Arial"/>
        </w:rPr>
        <w:t xml:space="preserve"> all</w:t>
      </w:r>
      <w:r w:rsidR="00D374E7">
        <w:rPr>
          <w:rFonts w:ascii="Arial" w:eastAsia="Times New Roman" w:hAnsi="Arial" w:cs="Arial"/>
        </w:rPr>
        <w:t xml:space="preserve"> immigrants </w:t>
      </w:r>
      <w:r>
        <w:rPr>
          <w:rFonts w:ascii="Arial" w:eastAsia="Times New Roman" w:hAnsi="Arial" w:cs="Arial"/>
        </w:rPr>
        <w:t xml:space="preserve">and refugees </w:t>
      </w:r>
      <w:r w:rsidR="00D374E7">
        <w:rPr>
          <w:rFonts w:ascii="Arial" w:eastAsia="Times New Roman" w:hAnsi="Arial" w:cs="Arial"/>
        </w:rPr>
        <w:t xml:space="preserve">are treated fairly and welcomed </w:t>
      </w:r>
      <w:r>
        <w:rPr>
          <w:rFonts w:ascii="Arial" w:eastAsia="Times New Roman" w:hAnsi="Arial" w:cs="Arial"/>
        </w:rPr>
        <w:t>into communities across the Commonwealth</w:t>
      </w:r>
      <w:r w:rsidR="00D374E7">
        <w:rPr>
          <w:rFonts w:ascii="Arial" w:eastAsia="Times New Roman" w:hAnsi="Arial" w:cs="Arial"/>
        </w:rPr>
        <w:t xml:space="preserve">. </w:t>
      </w:r>
    </w:p>
    <w:p w14:paraId="342A01FD" w14:textId="77777777" w:rsidR="00AC20A8" w:rsidRPr="00A6026D" w:rsidRDefault="00AC20A8" w:rsidP="00A6026D">
      <w:pPr>
        <w:spacing w:after="0"/>
        <w:jc w:val="center"/>
        <w:rPr>
          <w:rFonts w:ascii="Arial" w:hAnsi="Arial" w:cs="Arial"/>
          <w:u w:val="single"/>
        </w:rPr>
      </w:pPr>
    </w:p>
    <w:p w14:paraId="4A9B1390" w14:textId="77777777" w:rsidR="00AA19D0" w:rsidRPr="00A6026D" w:rsidRDefault="00AA19D0" w:rsidP="00A6026D">
      <w:pPr>
        <w:spacing w:after="0"/>
        <w:jc w:val="center"/>
        <w:rPr>
          <w:rFonts w:ascii="Arial" w:hAnsi="Arial" w:cs="Arial"/>
          <w:b/>
          <w:u w:val="single"/>
        </w:rPr>
      </w:pPr>
      <w:r w:rsidRPr="00A6026D">
        <w:rPr>
          <w:rFonts w:ascii="Arial" w:hAnsi="Arial" w:cs="Arial"/>
          <w:b/>
          <w:u w:val="single"/>
        </w:rPr>
        <w:t>EXPANDED RECOMMENDATIONS</w:t>
      </w:r>
    </w:p>
    <w:p w14:paraId="3A4A4E2F" w14:textId="77777777" w:rsidR="00AA19D0" w:rsidRDefault="00AA19D0" w:rsidP="00F37FB7">
      <w:pPr>
        <w:spacing w:after="0"/>
        <w:jc w:val="both"/>
        <w:rPr>
          <w:rFonts w:ascii="Arial" w:hAnsi="Arial" w:cs="Arial"/>
        </w:rPr>
      </w:pPr>
    </w:p>
    <w:p w14:paraId="4FA636DE" w14:textId="77777777" w:rsidR="006C0289" w:rsidRPr="00A6026D" w:rsidRDefault="006C0289" w:rsidP="00961B5D">
      <w:pPr>
        <w:numPr>
          <w:ilvl w:val="0"/>
          <w:numId w:val="21"/>
        </w:numPr>
        <w:spacing w:after="0"/>
        <w:jc w:val="both"/>
        <w:rPr>
          <w:rFonts w:ascii="Arial" w:hAnsi="Arial" w:cs="Arial"/>
          <w:b/>
          <w:color w:val="365F91" w:themeColor="accent1" w:themeShade="BF"/>
        </w:rPr>
      </w:pPr>
      <w:r w:rsidRPr="00A6026D">
        <w:rPr>
          <w:rFonts w:ascii="Arial" w:hAnsi="Arial" w:cs="Arial"/>
          <w:b/>
          <w:color w:val="365F91" w:themeColor="accent1" w:themeShade="BF"/>
        </w:rPr>
        <w:t xml:space="preserve">Implement </w:t>
      </w:r>
      <w:r w:rsidR="0069596A">
        <w:rPr>
          <w:rFonts w:ascii="Arial" w:hAnsi="Arial" w:cs="Arial"/>
          <w:b/>
          <w:color w:val="365F91" w:themeColor="accent1" w:themeShade="BF"/>
        </w:rPr>
        <w:t>ORI’s</w:t>
      </w:r>
      <w:r w:rsidRPr="00A6026D">
        <w:rPr>
          <w:rFonts w:ascii="Arial" w:hAnsi="Arial" w:cs="Arial"/>
          <w:b/>
          <w:color w:val="365F91" w:themeColor="accent1" w:themeShade="BF"/>
        </w:rPr>
        <w:t xml:space="preserve"> new LGBTQ nondiscrimination policy and best practices.</w:t>
      </w:r>
    </w:p>
    <w:p w14:paraId="3693BBAA" w14:textId="77777777" w:rsidR="006C0289" w:rsidRDefault="006C0289" w:rsidP="006C0289">
      <w:pPr>
        <w:spacing w:after="0"/>
        <w:jc w:val="both"/>
        <w:rPr>
          <w:rFonts w:ascii="Arial" w:hAnsi="Arial" w:cs="Arial"/>
        </w:rPr>
      </w:pPr>
    </w:p>
    <w:p w14:paraId="5C933A81" w14:textId="77777777" w:rsidR="006C0289" w:rsidRDefault="008F733A" w:rsidP="006C0289">
      <w:pPr>
        <w:spacing w:after="0"/>
        <w:jc w:val="both"/>
        <w:rPr>
          <w:rFonts w:ascii="Arial" w:hAnsi="Arial" w:cs="Arial"/>
        </w:rPr>
      </w:pPr>
      <w:r>
        <w:rPr>
          <w:rFonts w:ascii="Arial" w:hAnsi="Arial" w:cs="Arial"/>
        </w:rPr>
        <w:t xml:space="preserve">During FY2018, ORI made progress on the Commission’s recommendation to develop a nondiscrimination policy and best practices guide. As of March 2018, ORI has finalized these documents and has sent them to </w:t>
      </w:r>
      <w:r w:rsidR="00C72B66">
        <w:rPr>
          <w:rFonts w:ascii="Arial" w:hAnsi="Arial" w:cs="Arial"/>
        </w:rPr>
        <w:t xml:space="preserve">counsel at </w:t>
      </w:r>
      <w:r>
        <w:rPr>
          <w:rFonts w:ascii="Arial" w:hAnsi="Arial" w:cs="Arial"/>
        </w:rPr>
        <w:t>EOHHS for review. The Commission thanks ORI for making progress on this goal, and looks forward to seeing the policy and guide implemented in FY2019.</w:t>
      </w:r>
    </w:p>
    <w:p w14:paraId="17384739" w14:textId="77777777" w:rsidR="006C0289" w:rsidRPr="00760926" w:rsidRDefault="006C0289" w:rsidP="006C0289">
      <w:pPr>
        <w:spacing w:after="0"/>
        <w:jc w:val="both"/>
        <w:rPr>
          <w:rFonts w:ascii="Arial" w:hAnsi="Arial" w:cs="Arial"/>
        </w:rPr>
      </w:pPr>
    </w:p>
    <w:p w14:paraId="65111FCF" w14:textId="77777777" w:rsidR="006C0289" w:rsidRPr="00A6026D" w:rsidRDefault="006C0289" w:rsidP="00961B5D">
      <w:pPr>
        <w:numPr>
          <w:ilvl w:val="0"/>
          <w:numId w:val="21"/>
        </w:numPr>
        <w:spacing w:after="0"/>
        <w:jc w:val="both"/>
        <w:rPr>
          <w:rFonts w:ascii="Arial" w:hAnsi="Arial" w:cs="Arial"/>
          <w:b/>
          <w:color w:val="365F91" w:themeColor="accent1" w:themeShade="BF"/>
        </w:rPr>
      </w:pPr>
      <w:r w:rsidRPr="00A6026D">
        <w:rPr>
          <w:rFonts w:ascii="Arial" w:hAnsi="Arial" w:cs="Arial"/>
          <w:b/>
          <w:color w:val="365F91" w:themeColor="accent1" w:themeShade="BF"/>
        </w:rPr>
        <w:t xml:space="preserve">Work with the Commission to explore promoting its LGBTQ </w:t>
      </w:r>
      <w:r w:rsidR="00C72B66">
        <w:rPr>
          <w:rFonts w:ascii="Arial" w:hAnsi="Arial" w:cs="Arial"/>
          <w:b/>
          <w:color w:val="365F91" w:themeColor="accent1" w:themeShade="BF"/>
        </w:rPr>
        <w:t>r</w:t>
      </w:r>
      <w:r w:rsidRPr="00A6026D">
        <w:rPr>
          <w:rFonts w:ascii="Arial" w:hAnsi="Arial" w:cs="Arial"/>
          <w:b/>
          <w:color w:val="365F91" w:themeColor="accent1" w:themeShade="BF"/>
        </w:rPr>
        <w:t xml:space="preserve">esource </w:t>
      </w:r>
      <w:r w:rsidR="00C72B66">
        <w:rPr>
          <w:rFonts w:ascii="Arial" w:hAnsi="Arial" w:cs="Arial"/>
          <w:b/>
          <w:color w:val="365F91" w:themeColor="accent1" w:themeShade="BF"/>
        </w:rPr>
        <w:t>m</w:t>
      </w:r>
      <w:r w:rsidRPr="00A6026D">
        <w:rPr>
          <w:rFonts w:ascii="Arial" w:hAnsi="Arial" w:cs="Arial"/>
          <w:b/>
          <w:color w:val="365F91" w:themeColor="accent1" w:themeShade="BF"/>
        </w:rPr>
        <w:t xml:space="preserve">ap as a tool for LGBTQ immigrants and refugees to find affirming resources. </w:t>
      </w:r>
    </w:p>
    <w:p w14:paraId="5CFE3AB0" w14:textId="77777777" w:rsidR="006C0289" w:rsidRDefault="006C0289" w:rsidP="006C0289">
      <w:pPr>
        <w:spacing w:after="0"/>
        <w:jc w:val="both"/>
        <w:rPr>
          <w:rFonts w:ascii="Arial" w:hAnsi="Arial" w:cs="Arial"/>
        </w:rPr>
      </w:pPr>
    </w:p>
    <w:p w14:paraId="201E60C2" w14:textId="145722BE" w:rsidR="006C0289" w:rsidRDefault="008F733A" w:rsidP="006C0289">
      <w:pPr>
        <w:spacing w:after="0"/>
        <w:jc w:val="both"/>
        <w:rPr>
          <w:rFonts w:ascii="Arial" w:hAnsi="Arial" w:cs="Arial"/>
        </w:rPr>
      </w:pPr>
      <w:r>
        <w:rPr>
          <w:rFonts w:ascii="Arial" w:hAnsi="Arial" w:cs="Arial"/>
        </w:rPr>
        <w:t xml:space="preserve">Previously, the Commission has recommended that ORI develop and disseminate a resource guide for LGBTQ immigrants and refugees, and also ensure that appropriate referrals are made by its providers who have LGBTQ clients. Because the Commission has been developing its own comprehensive, online resource map, </w:t>
      </w:r>
      <w:r w:rsidR="005E28E9">
        <w:rPr>
          <w:rFonts w:ascii="Arial" w:hAnsi="Arial" w:cs="Arial"/>
        </w:rPr>
        <w:t>the possibility of using this tool as a resource for ORI’s providers and clients</w:t>
      </w:r>
      <w:r>
        <w:rPr>
          <w:rFonts w:ascii="Arial" w:hAnsi="Arial" w:cs="Arial"/>
        </w:rPr>
        <w:t xml:space="preserve"> has recently</w:t>
      </w:r>
      <w:r w:rsidR="00A46185">
        <w:rPr>
          <w:rFonts w:ascii="Arial" w:hAnsi="Arial" w:cs="Arial"/>
        </w:rPr>
        <w:t xml:space="preserve"> been</w:t>
      </w:r>
      <w:r>
        <w:rPr>
          <w:rFonts w:ascii="Arial" w:hAnsi="Arial" w:cs="Arial"/>
        </w:rPr>
        <w:t xml:space="preserve"> discussed. The Commission recommends that ORI continue to explore this possibility in FY2019 as the tool is publicly launched. The Commission has offered to </w:t>
      </w:r>
      <w:r w:rsidR="008E5EA7">
        <w:rPr>
          <w:rFonts w:ascii="Arial" w:hAnsi="Arial" w:cs="Arial"/>
        </w:rPr>
        <w:t xml:space="preserve">design a flier specifically for ORI providers to advertise the tool and how they can use it to find resources for LGBTQ clients. The Commission also hopes that ORI and their providers might </w:t>
      </w:r>
      <w:r w:rsidR="00CC22B0">
        <w:rPr>
          <w:rFonts w:ascii="Arial" w:hAnsi="Arial" w:cs="Arial"/>
        </w:rPr>
        <w:t>offer</w:t>
      </w:r>
      <w:r w:rsidR="008E5EA7">
        <w:rPr>
          <w:rFonts w:ascii="Arial" w:hAnsi="Arial" w:cs="Arial"/>
        </w:rPr>
        <w:t xml:space="preserve"> advice on how to make the tool more useful to and accessibl</w:t>
      </w:r>
      <w:r w:rsidR="00FA7155">
        <w:rPr>
          <w:rFonts w:ascii="Arial" w:hAnsi="Arial" w:cs="Arial"/>
        </w:rPr>
        <w:t>e</w:t>
      </w:r>
      <w:r w:rsidR="008E5EA7">
        <w:rPr>
          <w:rFonts w:ascii="Arial" w:hAnsi="Arial" w:cs="Arial"/>
        </w:rPr>
        <w:t xml:space="preserve"> for refugee and immigrant populations, including in prioritizing potential translations for the tool. </w:t>
      </w:r>
    </w:p>
    <w:p w14:paraId="4872BEC1" w14:textId="77777777" w:rsidR="006C0289" w:rsidRPr="00760926" w:rsidRDefault="006C0289" w:rsidP="006C0289">
      <w:pPr>
        <w:spacing w:after="0"/>
        <w:jc w:val="both"/>
        <w:rPr>
          <w:rFonts w:ascii="Arial" w:hAnsi="Arial" w:cs="Arial"/>
        </w:rPr>
      </w:pPr>
    </w:p>
    <w:p w14:paraId="750CC881" w14:textId="77777777" w:rsidR="006C0289" w:rsidRPr="00A6026D" w:rsidRDefault="006C0289" w:rsidP="0069596A">
      <w:pPr>
        <w:numPr>
          <w:ilvl w:val="0"/>
          <w:numId w:val="21"/>
        </w:numPr>
        <w:spacing w:after="0"/>
        <w:jc w:val="both"/>
        <w:rPr>
          <w:rFonts w:ascii="Arial" w:hAnsi="Arial" w:cs="Arial"/>
          <w:b/>
          <w:color w:val="365F91" w:themeColor="accent1" w:themeShade="BF"/>
        </w:rPr>
      </w:pPr>
      <w:r w:rsidRPr="00A6026D">
        <w:rPr>
          <w:rFonts w:ascii="Arial" w:hAnsi="Arial" w:cs="Arial"/>
          <w:b/>
          <w:color w:val="365F91" w:themeColor="accent1" w:themeShade="BF"/>
        </w:rPr>
        <w:lastRenderedPageBreak/>
        <w:t xml:space="preserve">Continue collaborating with the interagency </w:t>
      </w:r>
      <w:r w:rsidR="0069596A" w:rsidRPr="0069596A">
        <w:rPr>
          <w:rFonts w:ascii="Arial" w:hAnsi="Arial" w:cs="Arial"/>
          <w:b/>
          <w:color w:val="365F91" w:themeColor="accent1" w:themeShade="BF"/>
        </w:rPr>
        <w:t>EOHHS effort to launch an interagency LGBTQ training and encourage staff and providers to participate in this training in accordance with interagency strategy.</w:t>
      </w:r>
    </w:p>
    <w:p w14:paraId="0674E744" w14:textId="77777777" w:rsidR="006C0289" w:rsidRDefault="006C0289" w:rsidP="006C0289">
      <w:pPr>
        <w:spacing w:after="0"/>
        <w:jc w:val="both"/>
        <w:rPr>
          <w:rFonts w:ascii="Arial" w:hAnsi="Arial" w:cs="Arial"/>
        </w:rPr>
      </w:pPr>
    </w:p>
    <w:p w14:paraId="4DD8CC7B" w14:textId="77777777" w:rsidR="006C0289" w:rsidRDefault="006D2586" w:rsidP="006C0289">
      <w:pPr>
        <w:spacing w:after="0"/>
        <w:jc w:val="both"/>
        <w:rPr>
          <w:rFonts w:ascii="Arial" w:hAnsi="Arial" w:cs="Arial"/>
        </w:rPr>
      </w:pPr>
      <w:r>
        <w:rPr>
          <w:rFonts w:ascii="Arial" w:hAnsi="Arial" w:cs="Arial"/>
        </w:rPr>
        <w:t xml:space="preserve">In FY2018, the Commission recommended that ORI require trainings in basic LGBTQ competency to </w:t>
      </w:r>
      <w:r w:rsidR="00EF6D34">
        <w:rPr>
          <w:rFonts w:ascii="Arial" w:hAnsi="Arial" w:cs="Arial"/>
        </w:rPr>
        <w:t xml:space="preserve">its contracted providers. </w:t>
      </w:r>
      <w:r w:rsidR="009224C4">
        <w:rPr>
          <w:rFonts w:ascii="Arial" w:hAnsi="Arial" w:cs="Arial"/>
        </w:rPr>
        <w:t>ORI had previously held a</w:t>
      </w:r>
      <w:r w:rsidR="009224C4" w:rsidRPr="009224C4">
        <w:rPr>
          <w:rFonts w:ascii="Arial" w:hAnsi="Arial" w:cs="Arial"/>
        </w:rPr>
        <w:t xml:space="preserve"> training </w:t>
      </w:r>
      <w:r w:rsidR="009224C4">
        <w:rPr>
          <w:rFonts w:ascii="Arial" w:hAnsi="Arial" w:cs="Arial"/>
        </w:rPr>
        <w:t>in 2016 for</w:t>
      </w:r>
      <w:r w:rsidR="009224C4" w:rsidRPr="009224C4">
        <w:rPr>
          <w:rFonts w:ascii="Arial" w:hAnsi="Arial" w:cs="Arial"/>
        </w:rPr>
        <w:t xml:space="preserve"> their unaccompanied refugee minor program providers. </w:t>
      </w:r>
      <w:r w:rsidR="00EF6D34">
        <w:rPr>
          <w:rFonts w:ascii="Arial" w:hAnsi="Arial" w:cs="Arial"/>
        </w:rPr>
        <w:t>The Commission has h</w:t>
      </w:r>
      <w:r w:rsidR="009224C4">
        <w:rPr>
          <w:rFonts w:ascii="Arial" w:hAnsi="Arial" w:cs="Arial"/>
        </w:rPr>
        <w:t>eld discussions with ORI on the topic of trainings</w:t>
      </w:r>
      <w:r w:rsidR="00EF6D34">
        <w:rPr>
          <w:rFonts w:ascii="Arial" w:hAnsi="Arial" w:cs="Arial"/>
        </w:rPr>
        <w:t>, and heard that</w:t>
      </w:r>
      <w:r w:rsidR="00865EDF">
        <w:rPr>
          <w:rFonts w:ascii="Arial" w:hAnsi="Arial" w:cs="Arial"/>
        </w:rPr>
        <w:t xml:space="preserve"> contracted</w:t>
      </w:r>
      <w:r w:rsidR="00EF6D34">
        <w:rPr>
          <w:rFonts w:ascii="Arial" w:hAnsi="Arial" w:cs="Arial"/>
        </w:rPr>
        <w:t xml:space="preserve"> providers </w:t>
      </w:r>
      <w:r w:rsidR="009224C4">
        <w:rPr>
          <w:rFonts w:ascii="Arial" w:hAnsi="Arial" w:cs="Arial"/>
        </w:rPr>
        <w:t xml:space="preserve">do </w:t>
      </w:r>
      <w:r w:rsidR="00EF6D34">
        <w:rPr>
          <w:rFonts w:ascii="Arial" w:hAnsi="Arial" w:cs="Arial"/>
        </w:rPr>
        <w:t xml:space="preserve">occasionally request training in this subject matter, but that ORI feels its capacity is limited to offer such training. One potential solution to this challenge would be to require (or at least offer and promote) use of the new online training being developed by the EOHHS interagency committee on LGBTQ </w:t>
      </w:r>
      <w:r w:rsidR="00865EDF">
        <w:rPr>
          <w:rFonts w:ascii="Arial" w:hAnsi="Arial" w:cs="Arial"/>
        </w:rPr>
        <w:t>issues</w:t>
      </w:r>
      <w:r w:rsidR="00EF6D34">
        <w:rPr>
          <w:rFonts w:ascii="Arial" w:hAnsi="Arial" w:cs="Arial"/>
        </w:rPr>
        <w:t xml:space="preserve">. This training would allow ORI’s providers to gain a basic understanding of LGBTQ people and how their needs may interact with the needs of ORI’s general client population. ORI may also want to explore offering training specifically on the needs of LGBTQ refugees or immigrants, or connecting providers to existing trainings and resources in this field. Starting with the online training for all providers would provide a foundation and perhaps educate providers who might not currently self-select to </w:t>
      </w:r>
      <w:r w:rsidR="00865EDF">
        <w:rPr>
          <w:rFonts w:ascii="Arial" w:hAnsi="Arial" w:cs="Arial"/>
        </w:rPr>
        <w:t>participate in such a training</w:t>
      </w:r>
      <w:r w:rsidR="00EF6D34">
        <w:rPr>
          <w:rFonts w:ascii="Arial" w:hAnsi="Arial" w:cs="Arial"/>
        </w:rPr>
        <w:t xml:space="preserve"> to learn that they do, in fact, serve LGBTQ people, and could benefit by learning more.</w:t>
      </w:r>
    </w:p>
    <w:p w14:paraId="11296E0B" w14:textId="77777777" w:rsidR="006C0289" w:rsidRPr="00760926" w:rsidRDefault="006C0289" w:rsidP="006C0289">
      <w:pPr>
        <w:spacing w:after="0"/>
        <w:jc w:val="both"/>
        <w:rPr>
          <w:rFonts w:ascii="Arial" w:hAnsi="Arial" w:cs="Arial"/>
        </w:rPr>
      </w:pPr>
    </w:p>
    <w:p w14:paraId="7D6F49EC" w14:textId="77777777" w:rsidR="006C0289" w:rsidRPr="00A6026D" w:rsidRDefault="006C0289" w:rsidP="00961B5D">
      <w:pPr>
        <w:numPr>
          <w:ilvl w:val="0"/>
          <w:numId w:val="21"/>
        </w:numPr>
        <w:spacing w:after="0"/>
        <w:jc w:val="both"/>
        <w:rPr>
          <w:rFonts w:ascii="Arial" w:hAnsi="Arial" w:cs="Arial"/>
          <w:b/>
          <w:color w:val="365F91" w:themeColor="accent1" w:themeShade="BF"/>
        </w:rPr>
      </w:pPr>
      <w:r w:rsidRPr="00A6026D">
        <w:rPr>
          <w:rFonts w:ascii="Arial" w:hAnsi="Arial" w:cs="Arial"/>
          <w:b/>
          <w:color w:val="365F91" w:themeColor="accent1" w:themeShade="BF"/>
        </w:rPr>
        <w:t>Work with the Commission to explore adding LGBTQ competency and nondiscrimination content to ORI's provider manual.</w:t>
      </w:r>
    </w:p>
    <w:p w14:paraId="3173F033" w14:textId="77777777" w:rsidR="006C0289" w:rsidRDefault="006C0289" w:rsidP="006C0289">
      <w:pPr>
        <w:spacing w:after="0"/>
        <w:jc w:val="both"/>
        <w:rPr>
          <w:rFonts w:ascii="Arial" w:hAnsi="Arial" w:cs="Arial"/>
        </w:rPr>
      </w:pPr>
    </w:p>
    <w:p w14:paraId="47D2ABF8" w14:textId="77777777" w:rsidR="00EF6D34" w:rsidRDefault="00EF6D34" w:rsidP="006C0289">
      <w:pPr>
        <w:spacing w:after="0"/>
        <w:jc w:val="both"/>
        <w:rPr>
          <w:rFonts w:ascii="Arial" w:hAnsi="Arial" w:cs="Arial"/>
        </w:rPr>
      </w:pPr>
      <w:r>
        <w:rPr>
          <w:rFonts w:ascii="Arial" w:hAnsi="Arial" w:cs="Arial"/>
        </w:rPr>
        <w:t xml:space="preserve">Because ORI has limited capacity to offer trainings to its providers, another way of ensuring that information is disseminated and that providers understand the needs of LGBTQ clients would be to include information in ORI’s provider manual. Basic information – like definitions of who comprises the LGBTQ community, examples of challenges and disparities facing LGBTQ refugees and immigrants, and available resources (such as the Commission’s resource map) – would prove to be a useful starting point in educating providers and ensuring that they have at least some of the tools that they need. The Commission hopes to further explore this possibility with ORI during FY2019, and is happy to offer technical assistance and potentially funding to see a plan come to fruition. </w:t>
      </w:r>
    </w:p>
    <w:p w14:paraId="781C21F5" w14:textId="77777777" w:rsidR="006C0289" w:rsidRPr="00760926" w:rsidRDefault="006C0289" w:rsidP="006C0289">
      <w:pPr>
        <w:spacing w:after="0"/>
        <w:jc w:val="both"/>
        <w:rPr>
          <w:rFonts w:ascii="Arial" w:hAnsi="Arial" w:cs="Arial"/>
        </w:rPr>
      </w:pPr>
    </w:p>
    <w:p w14:paraId="6A4F9E2D" w14:textId="77777777" w:rsidR="00A07650" w:rsidRDefault="00A07650">
      <w:pPr>
        <w:rPr>
          <w:rFonts w:ascii="Arial" w:hAnsi="Arial" w:cs="Arial"/>
          <w:b/>
          <w:sz w:val="28"/>
          <w:szCs w:val="28"/>
        </w:rPr>
      </w:pPr>
      <w:r>
        <w:rPr>
          <w:rFonts w:ascii="Arial" w:hAnsi="Arial" w:cs="Arial"/>
          <w:b/>
          <w:sz w:val="28"/>
          <w:szCs w:val="28"/>
        </w:rPr>
        <w:br w:type="page"/>
      </w:r>
    </w:p>
    <w:p w14:paraId="0B740D07" w14:textId="77777777" w:rsidR="00BE7909" w:rsidRPr="00BE7909" w:rsidRDefault="00BE7909" w:rsidP="00EB2689">
      <w:pPr>
        <w:pStyle w:val="Heading2"/>
      </w:pPr>
      <w:bookmarkStart w:id="40" w:name="_Toc512947918"/>
      <w:r w:rsidRPr="00BE7909">
        <w:lastRenderedPageBreak/>
        <w:t>Department of Transitional Assistance</w:t>
      </w:r>
      <w:bookmarkEnd w:id="40"/>
    </w:p>
    <w:p w14:paraId="7E246F80" w14:textId="77777777" w:rsidR="00BE7909" w:rsidRPr="00BE7909" w:rsidRDefault="00A6026D" w:rsidP="00BE7909">
      <w:pPr>
        <w:spacing w:after="0"/>
        <w:jc w:val="both"/>
        <w:rPr>
          <w:rFonts w:ascii="Arial" w:hAnsi="Arial" w:cs="Arial"/>
        </w:rPr>
      </w:pPr>
      <w:r>
        <w:rPr>
          <w:noProof/>
        </w:rPr>
        <w:drawing>
          <wp:anchor distT="0" distB="0" distL="114300" distR="114300" simplePos="0" relativeHeight="251777024" behindDoc="1" locked="0" layoutInCell="0" allowOverlap="1" wp14:anchorId="61CD4963" wp14:editId="1B85346F">
            <wp:simplePos x="0" y="0"/>
            <wp:positionH relativeFrom="column">
              <wp:posOffset>-5080</wp:posOffset>
            </wp:positionH>
            <wp:positionV relativeFrom="paragraph">
              <wp:posOffset>12700</wp:posOffset>
            </wp:positionV>
            <wp:extent cx="5980430" cy="18415"/>
            <wp:effectExtent l="0" t="0" r="1270" b="635"/>
            <wp:wrapNone/>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anchor>
        </w:drawing>
      </w:r>
    </w:p>
    <w:p w14:paraId="56D676E9" w14:textId="77777777" w:rsidR="00A6026D" w:rsidRDefault="00A6026D" w:rsidP="00A6026D">
      <w:pPr>
        <w:spacing w:after="0"/>
        <w:jc w:val="center"/>
        <w:rPr>
          <w:rFonts w:ascii="Arial" w:hAnsi="Arial" w:cs="Arial"/>
          <w:b/>
        </w:rPr>
      </w:pPr>
    </w:p>
    <w:p w14:paraId="7C9CBAC2" w14:textId="77777777" w:rsidR="004A043E" w:rsidRPr="00A6026D" w:rsidRDefault="004A043E" w:rsidP="00A6026D">
      <w:pPr>
        <w:spacing w:after="0"/>
        <w:jc w:val="center"/>
        <w:rPr>
          <w:rFonts w:ascii="Arial" w:hAnsi="Arial" w:cs="Arial"/>
          <w:b/>
          <w:u w:val="single"/>
        </w:rPr>
      </w:pPr>
      <w:r w:rsidRPr="00A6026D">
        <w:rPr>
          <w:rFonts w:ascii="Arial" w:hAnsi="Arial" w:cs="Arial"/>
          <w:b/>
          <w:u w:val="single"/>
        </w:rPr>
        <w:t>FY2019 RECOMMENDATIONS</w:t>
      </w:r>
    </w:p>
    <w:p w14:paraId="23B596D2" w14:textId="77777777" w:rsidR="004A043E" w:rsidRDefault="004A043E" w:rsidP="004A043E">
      <w:pPr>
        <w:spacing w:after="0"/>
        <w:jc w:val="both"/>
        <w:rPr>
          <w:rFonts w:ascii="Arial" w:hAnsi="Arial" w:cs="Arial"/>
        </w:rPr>
      </w:pPr>
    </w:p>
    <w:p w14:paraId="0867B0F6" w14:textId="77777777" w:rsidR="004A043E" w:rsidRPr="00A6026D" w:rsidRDefault="004A043E" w:rsidP="003D28B1">
      <w:pPr>
        <w:pStyle w:val="ListParagraph"/>
        <w:numPr>
          <w:ilvl w:val="0"/>
          <w:numId w:val="14"/>
        </w:numPr>
        <w:spacing w:after="0" w:line="240" w:lineRule="auto"/>
        <w:jc w:val="both"/>
        <w:rPr>
          <w:rFonts w:ascii="Arial" w:eastAsia="Times New Roman" w:hAnsi="Arial" w:cs="Arial"/>
          <w:b/>
          <w:color w:val="365F91" w:themeColor="accent1" w:themeShade="BF"/>
        </w:rPr>
      </w:pPr>
      <w:r w:rsidRPr="00A6026D">
        <w:rPr>
          <w:rFonts w:ascii="Arial" w:eastAsia="Times New Roman" w:hAnsi="Arial" w:cs="Arial"/>
          <w:b/>
          <w:color w:val="365F91" w:themeColor="accent1" w:themeShade="BF"/>
          <w:shd w:val="clear" w:color="auto" w:fill="FFFFFF"/>
        </w:rPr>
        <w:t>Designate staff to develop LGBTQ-inclusive policies within DTA services and contract agencies. </w:t>
      </w:r>
    </w:p>
    <w:p w14:paraId="0CFC8977" w14:textId="77777777" w:rsidR="004A043E" w:rsidRPr="00A6026D" w:rsidRDefault="004A043E" w:rsidP="003D28B1">
      <w:pPr>
        <w:pStyle w:val="ListParagraph"/>
        <w:numPr>
          <w:ilvl w:val="0"/>
          <w:numId w:val="14"/>
        </w:numPr>
        <w:spacing w:after="0" w:line="240" w:lineRule="auto"/>
        <w:jc w:val="both"/>
        <w:rPr>
          <w:rFonts w:ascii="Arial" w:eastAsia="Times New Roman" w:hAnsi="Arial" w:cs="Arial"/>
          <w:b/>
          <w:color w:val="365F91" w:themeColor="accent1" w:themeShade="BF"/>
        </w:rPr>
      </w:pPr>
      <w:r w:rsidRPr="00A6026D">
        <w:rPr>
          <w:rFonts w:ascii="Arial" w:eastAsia="Times New Roman" w:hAnsi="Arial" w:cs="Arial"/>
          <w:b/>
          <w:color w:val="365F91" w:themeColor="accent1" w:themeShade="BF"/>
          <w:shd w:val="clear" w:color="auto" w:fill="FFFFFF"/>
        </w:rPr>
        <w:t>Provide LGBTQ cultural competency training for all staff, especially those caseworkers involved in direct service provision, and continue collaborating on the EOHHS interagency training effort.</w:t>
      </w:r>
    </w:p>
    <w:p w14:paraId="55FEBFE5" w14:textId="4EE5DFC8" w:rsidR="00A6026D" w:rsidRPr="009344AC" w:rsidRDefault="004A043E" w:rsidP="009344AC">
      <w:pPr>
        <w:pStyle w:val="ListParagraph"/>
        <w:numPr>
          <w:ilvl w:val="0"/>
          <w:numId w:val="14"/>
        </w:numPr>
        <w:spacing w:after="0" w:line="240" w:lineRule="auto"/>
        <w:jc w:val="both"/>
        <w:rPr>
          <w:rFonts w:ascii="Arial" w:eastAsia="Times New Roman" w:hAnsi="Arial" w:cs="Arial"/>
          <w:b/>
          <w:color w:val="365F91" w:themeColor="accent1" w:themeShade="BF"/>
        </w:rPr>
      </w:pPr>
      <w:r w:rsidRPr="00A6026D">
        <w:rPr>
          <w:rFonts w:ascii="Arial" w:eastAsia="Times New Roman" w:hAnsi="Arial" w:cs="Arial"/>
          <w:b/>
          <w:color w:val="365F91" w:themeColor="accent1" w:themeShade="BF"/>
          <w:shd w:val="clear" w:color="auto" w:fill="FFFFFF"/>
        </w:rPr>
        <w:t>Require vendors to provide training and professional development to caseworkers on sexual orientation, gender identity, and the needs of LGBTQ youth.</w:t>
      </w:r>
    </w:p>
    <w:p w14:paraId="29148724" w14:textId="77777777" w:rsidR="00F14262" w:rsidRDefault="00F14262" w:rsidP="00A6026D">
      <w:pPr>
        <w:spacing w:after="0"/>
        <w:jc w:val="center"/>
        <w:rPr>
          <w:rFonts w:ascii="Arial" w:hAnsi="Arial" w:cs="Arial"/>
          <w:b/>
          <w:u w:val="single"/>
        </w:rPr>
      </w:pPr>
    </w:p>
    <w:p w14:paraId="1391267B" w14:textId="77777777" w:rsidR="004A043E" w:rsidRPr="00A6026D" w:rsidRDefault="004A043E" w:rsidP="00A6026D">
      <w:pPr>
        <w:spacing w:after="0"/>
        <w:jc w:val="center"/>
        <w:rPr>
          <w:rFonts w:ascii="Arial" w:hAnsi="Arial" w:cs="Arial"/>
          <w:b/>
          <w:u w:val="single"/>
        </w:rPr>
      </w:pPr>
      <w:r w:rsidRPr="00A6026D">
        <w:rPr>
          <w:rFonts w:ascii="Arial" w:hAnsi="Arial" w:cs="Arial"/>
          <w:b/>
          <w:u w:val="single"/>
        </w:rPr>
        <w:t>BACKGROUND &amp; RESEARCH</w:t>
      </w:r>
    </w:p>
    <w:p w14:paraId="427DEB37" w14:textId="77777777" w:rsidR="004A043E" w:rsidRPr="004A043E" w:rsidRDefault="004A043E" w:rsidP="004A043E">
      <w:pPr>
        <w:spacing w:after="0"/>
        <w:jc w:val="both"/>
        <w:rPr>
          <w:rFonts w:ascii="Arial" w:hAnsi="Arial" w:cs="Arial"/>
        </w:rPr>
      </w:pPr>
    </w:p>
    <w:p w14:paraId="73B56F19" w14:textId="5CEAC062" w:rsidR="004A043E" w:rsidRPr="004A043E" w:rsidRDefault="00CE23E5" w:rsidP="004A043E">
      <w:pPr>
        <w:spacing w:after="0"/>
        <w:jc w:val="both"/>
        <w:rPr>
          <w:rFonts w:ascii="Arial" w:hAnsi="Arial" w:cs="Arial"/>
        </w:rPr>
      </w:pPr>
      <w:r w:rsidRPr="00CE23E5">
        <w:rPr>
          <w:rFonts w:ascii="Arial" w:hAnsi="Arial" w:cs="Arial"/>
        </w:rPr>
        <w:t xml:space="preserve">The Department of Transitional Assistance (DTA) assists low-income individuals and their families to meet their basic needs, increase their incomes, and improve overall quality of </w:t>
      </w:r>
      <w:r w:rsidR="00FF2903" w:rsidRPr="00CE23E5">
        <w:rPr>
          <w:rFonts w:ascii="Arial" w:hAnsi="Arial" w:cs="Arial"/>
        </w:rPr>
        <w:t>life</w:t>
      </w:r>
      <w:r w:rsidR="00FF2903">
        <w:rPr>
          <w:rFonts w:ascii="Arial" w:hAnsi="Arial" w:cs="Arial"/>
        </w:rPr>
        <w:t>. Evidence</w:t>
      </w:r>
      <w:r w:rsidR="00D16FD3">
        <w:rPr>
          <w:rFonts w:ascii="Arial" w:hAnsi="Arial" w:cs="Arial"/>
        </w:rPr>
        <w:t xml:space="preserve"> suggests </w:t>
      </w:r>
      <w:r w:rsidR="00FF2903">
        <w:rPr>
          <w:rFonts w:ascii="Arial" w:hAnsi="Arial" w:cs="Arial"/>
        </w:rPr>
        <w:t xml:space="preserve">that </w:t>
      </w:r>
      <w:r w:rsidR="004A043E" w:rsidRPr="004A043E">
        <w:rPr>
          <w:rFonts w:ascii="Arial" w:hAnsi="Arial" w:cs="Arial"/>
        </w:rPr>
        <w:t>LGBT</w:t>
      </w:r>
      <w:r w:rsidR="00FF2903">
        <w:rPr>
          <w:rFonts w:ascii="Arial" w:hAnsi="Arial" w:cs="Arial"/>
        </w:rPr>
        <w:t>Q</w:t>
      </w:r>
      <w:r w:rsidR="004A043E" w:rsidRPr="004A043E">
        <w:rPr>
          <w:rFonts w:ascii="Arial" w:hAnsi="Arial" w:cs="Arial"/>
        </w:rPr>
        <w:t xml:space="preserve"> people are disproportionately food insecure</w:t>
      </w:r>
      <w:r w:rsidR="00FF2903">
        <w:rPr>
          <w:rFonts w:ascii="Arial" w:hAnsi="Arial" w:cs="Arial"/>
        </w:rPr>
        <w:t xml:space="preserve"> compared to non-LGBTQ peers</w:t>
      </w:r>
      <w:r w:rsidR="004A043E" w:rsidRPr="004A043E">
        <w:rPr>
          <w:rFonts w:ascii="Arial" w:hAnsi="Arial" w:cs="Arial"/>
        </w:rPr>
        <w:t xml:space="preserve">. </w:t>
      </w:r>
      <w:r w:rsidR="00D16FD3">
        <w:rPr>
          <w:rFonts w:ascii="Arial" w:hAnsi="Arial" w:cs="Arial"/>
        </w:rPr>
        <w:t>A national study found that</w:t>
      </w:r>
      <w:r w:rsidR="004A043E" w:rsidRPr="004A043E">
        <w:rPr>
          <w:rFonts w:ascii="Arial" w:hAnsi="Arial" w:cs="Arial"/>
        </w:rPr>
        <w:t xml:space="preserve"> LGB adults raising children are nearly </w:t>
      </w:r>
      <w:r w:rsidR="00D16FD3">
        <w:rPr>
          <w:rFonts w:ascii="Arial" w:hAnsi="Arial" w:cs="Arial"/>
        </w:rPr>
        <w:t>twice as</w:t>
      </w:r>
      <w:r w:rsidR="004A043E" w:rsidRPr="004A043E">
        <w:rPr>
          <w:rFonts w:ascii="Arial" w:hAnsi="Arial" w:cs="Arial"/>
        </w:rPr>
        <w:t xml:space="preserve"> likely </w:t>
      </w:r>
      <w:r w:rsidR="00D16FD3">
        <w:rPr>
          <w:rFonts w:ascii="Arial" w:hAnsi="Arial" w:cs="Arial"/>
        </w:rPr>
        <w:t>as</w:t>
      </w:r>
      <w:r w:rsidR="004A043E" w:rsidRPr="004A043E">
        <w:rPr>
          <w:rFonts w:ascii="Arial" w:hAnsi="Arial" w:cs="Arial"/>
        </w:rPr>
        <w:t xml:space="preserve"> their heterosexual counterparts to receive SNAP benefits.</w:t>
      </w:r>
      <w:r w:rsidR="00D16FD3" w:rsidRPr="00D16FD3">
        <w:rPr>
          <w:rFonts w:ascii="Arial" w:hAnsi="Arial" w:cs="Arial"/>
          <w:vertAlign w:val="superscript"/>
        </w:rPr>
        <w:endnoteReference w:id="204"/>
      </w:r>
      <w:r w:rsidR="004A043E" w:rsidRPr="004A043E">
        <w:rPr>
          <w:rFonts w:ascii="Arial" w:hAnsi="Arial" w:cs="Arial"/>
        </w:rPr>
        <w:t xml:space="preserve"> </w:t>
      </w:r>
      <w:r w:rsidR="00F2464F">
        <w:rPr>
          <w:rFonts w:ascii="Arial" w:hAnsi="Arial" w:cs="Arial"/>
        </w:rPr>
        <w:t>Sexual minority</w:t>
      </w:r>
      <w:r w:rsidR="00D16FD3">
        <w:rPr>
          <w:rFonts w:ascii="Arial" w:hAnsi="Arial" w:cs="Arial"/>
        </w:rPr>
        <w:t xml:space="preserve"> young adults</w:t>
      </w:r>
      <w:r w:rsidR="004A043E" w:rsidRPr="004A043E">
        <w:rPr>
          <w:rFonts w:ascii="Arial" w:hAnsi="Arial" w:cs="Arial"/>
        </w:rPr>
        <w:t xml:space="preserve"> age</w:t>
      </w:r>
      <w:r w:rsidR="00D16FD3">
        <w:rPr>
          <w:rFonts w:ascii="Arial" w:hAnsi="Arial" w:cs="Arial"/>
        </w:rPr>
        <w:t>d</w:t>
      </w:r>
      <w:r w:rsidR="004A043E" w:rsidRPr="004A043E">
        <w:rPr>
          <w:rFonts w:ascii="Arial" w:hAnsi="Arial" w:cs="Arial"/>
        </w:rPr>
        <w:t xml:space="preserve"> 18 to 24</w:t>
      </w:r>
      <w:r w:rsidR="00D16FD3">
        <w:rPr>
          <w:rFonts w:ascii="Arial" w:hAnsi="Arial" w:cs="Arial"/>
        </w:rPr>
        <w:t xml:space="preserve"> also </w:t>
      </w:r>
      <w:r w:rsidR="00B7283D">
        <w:rPr>
          <w:rFonts w:ascii="Arial" w:hAnsi="Arial" w:cs="Arial"/>
        </w:rPr>
        <w:t xml:space="preserve">show </w:t>
      </w:r>
      <w:r w:rsidR="00D16FD3">
        <w:rPr>
          <w:rFonts w:ascii="Arial" w:hAnsi="Arial" w:cs="Arial"/>
        </w:rPr>
        <w:t>a stark disparity, with</w:t>
      </w:r>
      <w:r w:rsidR="004A043E" w:rsidRPr="004A043E">
        <w:rPr>
          <w:rFonts w:ascii="Arial" w:hAnsi="Arial" w:cs="Arial"/>
        </w:rPr>
        <w:t xml:space="preserve"> 26 percent of LGB youth </w:t>
      </w:r>
      <w:r w:rsidR="00D16FD3">
        <w:rPr>
          <w:rFonts w:ascii="Arial" w:hAnsi="Arial" w:cs="Arial"/>
        </w:rPr>
        <w:t>participating</w:t>
      </w:r>
      <w:r w:rsidR="004A043E" w:rsidRPr="004A043E">
        <w:rPr>
          <w:rFonts w:ascii="Arial" w:hAnsi="Arial" w:cs="Arial"/>
        </w:rPr>
        <w:t xml:space="preserve"> in SNAP compared to 17 percent of heterosexual youth.</w:t>
      </w:r>
      <w:r w:rsidR="004A043E" w:rsidRPr="004A043E">
        <w:rPr>
          <w:rFonts w:ascii="Arial" w:hAnsi="Arial" w:cs="Arial"/>
          <w:vertAlign w:val="superscript"/>
        </w:rPr>
        <w:endnoteReference w:id="205"/>
      </w:r>
    </w:p>
    <w:p w14:paraId="12741549" w14:textId="77777777" w:rsidR="004A043E" w:rsidRPr="004A043E" w:rsidRDefault="004A043E" w:rsidP="004A043E">
      <w:pPr>
        <w:spacing w:after="0"/>
        <w:jc w:val="both"/>
        <w:rPr>
          <w:rFonts w:ascii="Arial" w:hAnsi="Arial" w:cs="Arial"/>
        </w:rPr>
      </w:pPr>
    </w:p>
    <w:p w14:paraId="0A614719" w14:textId="34E34CE3" w:rsidR="006141F0" w:rsidRDefault="004A043E" w:rsidP="001E4C25">
      <w:pPr>
        <w:spacing w:after="0"/>
        <w:jc w:val="both"/>
        <w:rPr>
          <w:rFonts w:ascii="Arial" w:hAnsi="Arial" w:cs="Arial"/>
        </w:rPr>
      </w:pPr>
      <w:r w:rsidRPr="004A043E">
        <w:rPr>
          <w:rFonts w:ascii="Arial" w:hAnsi="Arial" w:cs="Arial"/>
        </w:rPr>
        <w:t>More broadly, data indicate that LGBTQ communities are particularly vulnerable to poverty. According to one analysis of national census data, individuals in same-sex couples are more likely than their counterparts in different-sex couples to report receiving TANF.</w:t>
      </w:r>
      <w:r w:rsidRPr="004A043E">
        <w:rPr>
          <w:rFonts w:ascii="Arial" w:hAnsi="Arial" w:cs="Arial"/>
          <w:vertAlign w:val="superscript"/>
        </w:rPr>
        <w:endnoteReference w:id="206"/>
      </w:r>
      <w:r w:rsidRPr="004A043E">
        <w:rPr>
          <w:rFonts w:ascii="Arial" w:hAnsi="Arial" w:cs="Arial"/>
        </w:rPr>
        <w:t xml:space="preserve"> Poverty rates are especially high among some LGBTQ parents and some LGBTQ communities of color.</w:t>
      </w:r>
      <w:r w:rsidRPr="004A043E">
        <w:rPr>
          <w:rFonts w:ascii="Arial" w:hAnsi="Arial" w:cs="Arial"/>
          <w:vertAlign w:val="superscript"/>
        </w:rPr>
        <w:endnoteReference w:id="207"/>
      </w:r>
      <w:r w:rsidR="00676BE9">
        <w:rPr>
          <w:rFonts w:ascii="Arial" w:hAnsi="Arial" w:cs="Arial"/>
        </w:rPr>
        <w:t xml:space="preserve"> Furthermore, c</w:t>
      </w:r>
      <w:r w:rsidR="00676BE9" w:rsidRPr="004A043E">
        <w:rPr>
          <w:rFonts w:ascii="Arial" w:hAnsi="Arial" w:cs="Arial"/>
        </w:rPr>
        <w:t xml:space="preserve">ommonly cited estimates suggest that approximately 40 percent of homeless youth are LGBTQ and that one in five transgender individuals between the ages of 18 and 24 have experienced homelessness, </w:t>
      </w:r>
      <w:r w:rsidR="00676BE9">
        <w:rPr>
          <w:rFonts w:ascii="Arial" w:hAnsi="Arial" w:cs="Arial"/>
        </w:rPr>
        <w:t>with many also experiencing</w:t>
      </w:r>
      <w:r w:rsidR="00676BE9" w:rsidRPr="004A043E">
        <w:rPr>
          <w:rFonts w:ascii="Arial" w:hAnsi="Arial" w:cs="Arial"/>
        </w:rPr>
        <w:t xml:space="preserve"> neglect, abuse, or violence.</w:t>
      </w:r>
      <w:r w:rsidR="00676BE9" w:rsidRPr="004A043E">
        <w:rPr>
          <w:rFonts w:ascii="Arial" w:hAnsi="Arial" w:cs="Arial"/>
          <w:vertAlign w:val="superscript"/>
        </w:rPr>
        <w:endnoteReference w:id="208"/>
      </w:r>
      <w:r w:rsidR="001E4C25">
        <w:rPr>
          <w:rFonts w:ascii="Arial" w:hAnsi="Arial" w:cs="Arial"/>
        </w:rPr>
        <w:t xml:space="preserve"> </w:t>
      </w:r>
      <w:r w:rsidR="007E7547">
        <w:rPr>
          <w:rFonts w:ascii="Arial" w:hAnsi="Arial" w:cs="Arial"/>
        </w:rPr>
        <w:t xml:space="preserve">For more information on homelessness, factors resulting in housing </w:t>
      </w:r>
      <w:r w:rsidR="007E7547" w:rsidRPr="005A49CA">
        <w:rPr>
          <w:rFonts w:ascii="Arial" w:hAnsi="Arial" w:cs="Arial"/>
        </w:rPr>
        <w:t>insecurity, experiences while homeless, and services for those experiencing homelessness</w:t>
      </w:r>
      <w:r w:rsidR="00F2464F">
        <w:rPr>
          <w:rFonts w:ascii="Arial" w:hAnsi="Arial" w:cs="Arial"/>
        </w:rPr>
        <w:t>,</w:t>
      </w:r>
      <w:r w:rsidR="007E7547" w:rsidRPr="005A49CA">
        <w:rPr>
          <w:rFonts w:ascii="Arial" w:hAnsi="Arial" w:cs="Arial"/>
        </w:rPr>
        <w:t xml:space="preserve"> see</w:t>
      </w:r>
      <w:r w:rsidR="003133DA" w:rsidRPr="005A49CA">
        <w:rPr>
          <w:rFonts w:ascii="Arial" w:hAnsi="Arial" w:cs="Arial"/>
        </w:rPr>
        <w:t xml:space="preserve"> page </w:t>
      </w:r>
      <w:r w:rsidR="005A49CA" w:rsidRPr="005A49CA">
        <w:rPr>
          <w:rFonts w:ascii="Arial" w:hAnsi="Arial" w:cs="Arial"/>
        </w:rPr>
        <w:t>16</w:t>
      </w:r>
      <w:r w:rsidR="001E4C25" w:rsidRPr="005A49CA">
        <w:rPr>
          <w:rFonts w:ascii="Arial" w:hAnsi="Arial" w:cs="Arial"/>
        </w:rPr>
        <w:t>.</w:t>
      </w:r>
    </w:p>
    <w:p w14:paraId="50F138B0" w14:textId="77777777" w:rsidR="006141F0" w:rsidRDefault="006141F0" w:rsidP="00BE7909">
      <w:pPr>
        <w:spacing w:after="0"/>
        <w:jc w:val="both"/>
        <w:rPr>
          <w:rFonts w:ascii="Arial" w:hAnsi="Arial" w:cs="Arial"/>
        </w:rPr>
      </w:pPr>
    </w:p>
    <w:p w14:paraId="51189107" w14:textId="77777777" w:rsidR="00CE23E5" w:rsidRPr="00BE7909" w:rsidRDefault="00CE23E5" w:rsidP="0041555F">
      <w:pPr>
        <w:spacing w:after="0"/>
        <w:jc w:val="both"/>
        <w:rPr>
          <w:rFonts w:ascii="Arial" w:hAnsi="Arial" w:cs="Arial"/>
        </w:rPr>
      </w:pPr>
      <w:r>
        <w:rPr>
          <w:rFonts w:ascii="Arial" w:hAnsi="Arial" w:cs="Arial"/>
        </w:rPr>
        <w:t>The Commission has appreciated</w:t>
      </w:r>
      <w:r w:rsidRPr="00CE23E5">
        <w:rPr>
          <w:rFonts w:ascii="Arial" w:hAnsi="Arial" w:cs="Arial"/>
        </w:rPr>
        <w:t xml:space="preserve"> collaboration with Commissioner Jeff McCue and the work that has already been done to make the local DTA offices more affirming of LGBTQ youth. </w:t>
      </w:r>
      <w:r w:rsidR="00F93281">
        <w:rPr>
          <w:rFonts w:ascii="Arial" w:hAnsi="Arial" w:cs="Arial"/>
        </w:rPr>
        <w:t>The Commission</w:t>
      </w:r>
      <w:r w:rsidRPr="00CE23E5">
        <w:rPr>
          <w:rFonts w:ascii="Arial" w:hAnsi="Arial" w:cs="Arial"/>
        </w:rPr>
        <w:t xml:space="preserve"> congratulate</w:t>
      </w:r>
      <w:r w:rsidR="00F93281">
        <w:rPr>
          <w:rFonts w:ascii="Arial" w:hAnsi="Arial" w:cs="Arial"/>
        </w:rPr>
        <w:t>s</w:t>
      </w:r>
      <w:r w:rsidRPr="00CE23E5">
        <w:rPr>
          <w:rFonts w:ascii="Arial" w:hAnsi="Arial" w:cs="Arial"/>
        </w:rPr>
        <w:t xml:space="preserve"> DTA for their work in successfully drafting, finalizing, and approving a new nondiscrimination policy and guidance that incorporates sexual orientation and gender identity and agreeing to provide customer service training to all caseworkers. DTA has been part of the EOHHS interagency committee on LGBTQ issues, and has also been represented on the subcommittee working on an interagency LGBTQ training. The Commission hopes that this online training might be a way for DTA to provide all its employees with basic competency training.</w:t>
      </w:r>
    </w:p>
    <w:p w14:paraId="36809242" w14:textId="77777777" w:rsidR="00BE7909" w:rsidRPr="00BE7909" w:rsidRDefault="00BE7909" w:rsidP="0041555F">
      <w:pPr>
        <w:spacing w:after="0"/>
        <w:jc w:val="both"/>
        <w:rPr>
          <w:rFonts w:ascii="Arial" w:hAnsi="Arial" w:cs="Arial"/>
        </w:rPr>
      </w:pPr>
    </w:p>
    <w:p w14:paraId="7A77AA90" w14:textId="77777777" w:rsidR="00FF2903" w:rsidRDefault="00FF2903">
      <w:pPr>
        <w:rPr>
          <w:rFonts w:ascii="Arial" w:hAnsi="Arial" w:cs="Arial"/>
          <w:b/>
          <w:u w:val="single"/>
        </w:rPr>
      </w:pPr>
      <w:r>
        <w:rPr>
          <w:rFonts w:ascii="Arial" w:hAnsi="Arial" w:cs="Arial"/>
          <w:b/>
          <w:u w:val="single"/>
        </w:rPr>
        <w:br w:type="page"/>
      </w:r>
    </w:p>
    <w:p w14:paraId="7D77CA36" w14:textId="0F097FC7" w:rsidR="00BE7909" w:rsidRPr="00A6026D" w:rsidRDefault="00BE7909" w:rsidP="00A6026D">
      <w:pPr>
        <w:spacing w:after="0"/>
        <w:jc w:val="center"/>
        <w:rPr>
          <w:rFonts w:ascii="Arial" w:hAnsi="Arial" w:cs="Arial"/>
          <w:b/>
          <w:u w:val="single"/>
        </w:rPr>
      </w:pPr>
      <w:r w:rsidRPr="00A6026D">
        <w:rPr>
          <w:rFonts w:ascii="Arial" w:hAnsi="Arial" w:cs="Arial"/>
          <w:b/>
          <w:u w:val="single"/>
        </w:rPr>
        <w:lastRenderedPageBreak/>
        <w:t>EXPANDED RECOMMENDATIONS</w:t>
      </w:r>
    </w:p>
    <w:p w14:paraId="77956A75" w14:textId="77777777" w:rsidR="00BE7909" w:rsidRDefault="00BE7909" w:rsidP="0041555F">
      <w:pPr>
        <w:spacing w:after="0"/>
        <w:jc w:val="both"/>
        <w:rPr>
          <w:rFonts w:ascii="Arial" w:hAnsi="Arial" w:cs="Arial"/>
        </w:rPr>
      </w:pPr>
    </w:p>
    <w:p w14:paraId="3A21F9A0" w14:textId="77777777" w:rsidR="0041555F" w:rsidRPr="00A6026D" w:rsidRDefault="0041555F" w:rsidP="00961B5D">
      <w:pPr>
        <w:pStyle w:val="ListParagraph"/>
        <w:numPr>
          <w:ilvl w:val="0"/>
          <w:numId w:val="23"/>
        </w:numPr>
        <w:spacing w:after="0" w:line="240" w:lineRule="auto"/>
        <w:jc w:val="both"/>
        <w:rPr>
          <w:rFonts w:ascii="Arial" w:eastAsia="Times New Roman" w:hAnsi="Arial" w:cs="Arial"/>
          <w:b/>
          <w:color w:val="365F91" w:themeColor="accent1" w:themeShade="BF"/>
        </w:rPr>
      </w:pPr>
      <w:r w:rsidRPr="00A6026D">
        <w:rPr>
          <w:rFonts w:ascii="Arial" w:eastAsia="Times New Roman" w:hAnsi="Arial" w:cs="Arial"/>
          <w:b/>
          <w:color w:val="365F91" w:themeColor="accent1" w:themeShade="BF"/>
          <w:shd w:val="clear" w:color="auto" w:fill="FFFFFF"/>
        </w:rPr>
        <w:t>Designate staff to develop LGBTQ-inclusive policies within DTA services and contract agencies. </w:t>
      </w:r>
    </w:p>
    <w:p w14:paraId="447230FD" w14:textId="77777777" w:rsidR="0041555F" w:rsidRDefault="0041555F" w:rsidP="0041555F">
      <w:pPr>
        <w:spacing w:after="0" w:line="240" w:lineRule="auto"/>
        <w:jc w:val="both"/>
        <w:rPr>
          <w:rFonts w:ascii="Arial" w:eastAsia="Times New Roman" w:hAnsi="Arial" w:cs="Arial"/>
        </w:rPr>
      </w:pPr>
    </w:p>
    <w:p w14:paraId="6BCE26C9" w14:textId="77777777" w:rsidR="0041555F" w:rsidRDefault="0041555F" w:rsidP="00F94896">
      <w:pPr>
        <w:spacing w:after="0"/>
        <w:jc w:val="both"/>
        <w:rPr>
          <w:rFonts w:ascii="Arial" w:eastAsia="Times New Roman" w:hAnsi="Arial" w:cs="Arial"/>
        </w:rPr>
      </w:pPr>
      <w:r w:rsidRPr="0041555F">
        <w:rPr>
          <w:rFonts w:ascii="Arial" w:eastAsia="Times New Roman" w:hAnsi="Arial" w:cs="Arial"/>
        </w:rPr>
        <w:t>As exemplified by the LGBTQ liaison</w:t>
      </w:r>
      <w:r w:rsidR="00F2464F">
        <w:rPr>
          <w:rFonts w:ascii="Arial" w:eastAsia="Times New Roman" w:hAnsi="Arial" w:cs="Arial"/>
        </w:rPr>
        <w:t xml:space="preserve"> </w:t>
      </w:r>
      <w:r w:rsidRPr="0041555F">
        <w:rPr>
          <w:rFonts w:ascii="Arial" w:eastAsia="Times New Roman" w:hAnsi="Arial" w:cs="Arial"/>
        </w:rPr>
        <w:t>s</w:t>
      </w:r>
      <w:r w:rsidR="00F2464F">
        <w:rPr>
          <w:rFonts w:ascii="Arial" w:eastAsia="Times New Roman" w:hAnsi="Arial" w:cs="Arial"/>
        </w:rPr>
        <w:t>ystem</w:t>
      </w:r>
      <w:r w:rsidRPr="0041555F">
        <w:rPr>
          <w:rFonts w:ascii="Arial" w:eastAsia="Times New Roman" w:hAnsi="Arial" w:cs="Arial"/>
        </w:rPr>
        <w:t xml:space="preserve"> within the Department of Children and Families, designating staff to focus on cultural competence and expertise tremendously catalyzes the implementation of policies and practices that improve services for LGBTQ youth. </w:t>
      </w:r>
      <w:r w:rsidR="00F93281">
        <w:rPr>
          <w:rFonts w:ascii="Arial" w:eastAsia="Times New Roman" w:hAnsi="Arial" w:cs="Arial"/>
        </w:rPr>
        <w:t>The Commission</w:t>
      </w:r>
      <w:r w:rsidRPr="0041555F">
        <w:rPr>
          <w:rFonts w:ascii="Arial" w:eastAsia="Times New Roman" w:hAnsi="Arial" w:cs="Arial"/>
        </w:rPr>
        <w:t xml:space="preserve"> urge</w:t>
      </w:r>
      <w:r w:rsidR="00F93281">
        <w:rPr>
          <w:rFonts w:ascii="Arial" w:eastAsia="Times New Roman" w:hAnsi="Arial" w:cs="Arial"/>
        </w:rPr>
        <w:t>s</w:t>
      </w:r>
      <w:r w:rsidRPr="0041555F">
        <w:rPr>
          <w:rFonts w:ascii="Arial" w:eastAsia="Times New Roman" w:hAnsi="Arial" w:cs="Arial"/>
        </w:rPr>
        <w:t xml:space="preserve"> the department to create an internal working group and specifically charge the group to: (1) advise on the implementation of clear nondiscrimination policies and dissemination of LGBTQ-affirming materials; (2) perform quality assurance of providers’ policies; (3) disseminate guidance on transgender client service and program access; and (4) review contracts with DTA-funded agencies to ensure that adequate gender identity anti-discrimination protections are in place.</w:t>
      </w:r>
    </w:p>
    <w:p w14:paraId="5EB2D4CB" w14:textId="77777777" w:rsidR="0041555F" w:rsidRPr="00A6026D" w:rsidRDefault="0041555F" w:rsidP="0041555F">
      <w:pPr>
        <w:spacing w:after="0" w:line="240" w:lineRule="auto"/>
        <w:jc w:val="both"/>
        <w:rPr>
          <w:rFonts w:ascii="Arial" w:eastAsia="Times New Roman" w:hAnsi="Arial" w:cs="Arial"/>
          <w:b/>
          <w:color w:val="365F91" w:themeColor="accent1" w:themeShade="BF"/>
        </w:rPr>
      </w:pPr>
    </w:p>
    <w:p w14:paraId="0D9A5F9E" w14:textId="77777777" w:rsidR="0041555F" w:rsidRPr="00A6026D" w:rsidRDefault="0041555F" w:rsidP="00961B5D">
      <w:pPr>
        <w:pStyle w:val="ListParagraph"/>
        <w:numPr>
          <w:ilvl w:val="0"/>
          <w:numId w:val="23"/>
        </w:numPr>
        <w:spacing w:after="0" w:line="240" w:lineRule="auto"/>
        <w:jc w:val="both"/>
        <w:rPr>
          <w:rFonts w:ascii="Arial" w:eastAsia="Times New Roman" w:hAnsi="Arial" w:cs="Arial"/>
          <w:b/>
          <w:color w:val="365F91" w:themeColor="accent1" w:themeShade="BF"/>
        </w:rPr>
      </w:pPr>
      <w:r w:rsidRPr="00A6026D">
        <w:rPr>
          <w:rFonts w:ascii="Arial" w:eastAsia="Times New Roman" w:hAnsi="Arial" w:cs="Arial"/>
          <w:b/>
          <w:color w:val="365F91" w:themeColor="accent1" w:themeShade="BF"/>
          <w:shd w:val="clear" w:color="auto" w:fill="FFFFFF"/>
        </w:rPr>
        <w:t>Provide LGBTQ cultural competency training for all staff, especially those caseworkers involved in direct service provision, and continue collaborating on the EOHHS interagency training effort.</w:t>
      </w:r>
    </w:p>
    <w:p w14:paraId="7652EB24" w14:textId="77777777" w:rsidR="0041555F" w:rsidRDefault="0041555F" w:rsidP="0041555F">
      <w:pPr>
        <w:spacing w:after="0" w:line="240" w:lineRule="auto"/>
        <w:jc w:val="both"/>
        <w:rPr>
          <w:rFonts w:ascii="Arial" w:eastAsia="Times New Roman" w:hAnsi="Arial" w:cs="Arial"/>
        </w:rPr>
      </w:pPr>
    </w:p>
    <w:p w14:paraId="6613AD80" w14:textId="77777777" w:rsidR="0041555F" w:rsidRDefault="0041555F" w:rsidP="00F94896">
      <w:pPr>
        <w:spacing w:after="0"/>
        <w:jc w:val="both"/>
        <w:rPr>
          <w:rFonts w:ascii="Arial" w:eastAsia="Times New Roman" w:hAnsi="Arial" w:cs="Arial"/>
        </w:rPr>
      </w:pPr>
      <w:r w:rsidRPr="0041555F">
        <w:rPr>
          <w:rFonts w:ascii="Arial" w:eastAsia="Times New Roman" w:hAnsi="Arial" w:cs="Arial"/>
        </w:rPr>
        <w:t xml:space="preserve">Domestic </w:t>
      </w:r>
      <w:r w:rsidR="00C57A42">
        <w:rPr>
          <w:rFonts w:ascii="Arial" w:eastAsia="Times New Roman" w:hAnsi="Arial" w:cs="Arial"/>
        </w:rPr>
        <w:t>v</w:t>
      </w:r>
      <w:r w:rsidRPr="0041555F">
        <w:rPr>
          <w:rFonts w:ascii="Arial" w:eastAsia="Times New Roman" w:hAnsi="Arial" w:cs="Arial"/>
        </w:rPr>
        <w:t xml:space="preserve">iolence </w:t>
      </w:r>
      <w:r w:rsidR="00C57A42">
        <w:rPr>
          <w:rFonts w:ascii="Arial" w:eastAsia="Times New Roman" w:hAnsi="Arial" w:cs="Arial"/>
        </w:rPr>
        <w:t>s</w:t>
      </w:r>
      <w:r w:rsidRPr="0041555F">
        <w:rPr>
          <w:rFonts w:ascii="Arial" w:eastAsia="Times New Roman" w:hAnsi="Arial" w:cs="Arial"/>
        </w:rPr>
        <w:t>pecialists at DTA have independently soug</w:t>
      </w:r>
      <w:r w:rsidR="00F2464F">
        <w:rPr>
          <w:rFonts w:ascii="Arial" w:eastAsia="Times New Roman" w:hAnsi="Arial" w:cs="Arial"/>
        </w:rPr>
        <w:t>ht out LGBTQ competency</w:t>
      </w:r>
      <w:r w:rsidRPr="0041555F">
        <w:rPr>
          <w:rFonts w:ascii="Arial" w:eastAsia="Times New Roman" w:hAnsi="Arial" w:cs="Arial"/>
        </w:rPr>
        <w:t xml:space="preserve"> training from community organizations, including Fenway Health’s Violence Recovery Program and The Network/La Red. </w:t>
      </w:r>
      <w:r w:rsidR="00F93281">
        <w:rPr>
          <w:rFonts w:ascii="Arial" w:eastAsia="Times New Roman" w:hAnsi="Arial" w:cs="Arial"/>
        </w:rPr>
        <w:t>The Commission</w:t>
      </w:r>
      <w:r w:rsidRPr="0041555F">
        <w:rPr>
          <w:rFonts w:ascii="Arial" w:eastAsia="Times New Roman" w:hAnsi="Arial" w:cs="Arial"/>
        </w:rPr>
        <w:t xml:space="preserve"> recommend</w:t>
      </w:r>
      <w:r w:rsidR="00F93281">
        <w:rPr>
          <w:rFonts w:ascii="Arial" w:eastAsia="Times New Roman" w:hAnsi="Arial" w:cs="Arial"/>
        </w:rPr>
        <w:t>s</w:t>
      </w:r>
      <w:r w:rsidRPr="0041555F">
        <w:rPr>
          <w:rFonts w:ascii="Arial" w:eastAsia="Times New Roman" w:hAnsi="Arial" w:cs="Arial"/>
        </w:rPr>
        <w:t xml:space="preserve"> that DTA incorporate routine LGBTQ cultural co</w:t>
      </w:r>
      <w:r w:rsidR="00F2464F">
        <w:rPr>
          <w:rFonts w:ascii="Arial" w:eastAsia="Times New Roman" w:hAnsi="Arial" w:cs="Arial"/>
        </w:rPr>
        <w:t>mpetency training for all staff</w:t>
      </w:r>
      <w:r w:rsidRPr="0041555F">
        <w:rPr>
          <w:rFonts w:ascii="Arial" w:eastAsia="Times New Roman" w:hAnsi="Arial" w:cs="Arial"/>
        </w:rPr>
        <w:t xml:space="preserve"> and update customer service protocols to better meet the needs of LGBTQ youth clients. </w:t>
      </w:r>
      <w:r w:rsidR="00F93281">
        <w:rPr>
          <w:rFonts w:ascii="Arial" w:eastAsia="Times New Roman" w:hAnsi="Arial" w:cs="Arial"/>
        </w:rPr>
        <w:t>The Commission</w:t>
      </w:r>
      <w:r w:rsidRPr="0041555F">
        <w:rPr>
          <w:rFonts w:ascii="Arial" w:eastAsia="Times New Roman" w:hAnsi="Arial" w:cs="Arial"/>
        </w:rPr>
        <w:t xml:space="preserve"> encourage</w:t>
      </w:r>
      <w:r w:rsidR="00F93281">
        <w:rPr>
          <w:rFonts w:ascii="Arial" w:eastAsia="Times New Roman" w:hAnsi="Arial" w:cs="Arial"/>
        </w:rPr>
        <w:t>s</w:t>
      </w:r>
      <w:r w:rsidRPr="0041555F">
        <w:rPr>
          <w:rFonts w:ascii="Arial" w:eastAsia="Times New Roman" w:hAnsi="Arial" w:cs="Arial"/>
        </w:rPr>
        <w:t xml:space="preserve"> DTA to collaborate with other state agencies and community partners to realize these trainings. </w:t>
      </w:r>
      <w:r>
        <w:rPr>
          <w:rFonts w:ascii="Arial" w:eastAsia="Times New Roman" w:hAnsi="Arial" w:cs="Arial"/>
        </w:rPr>
        <w:t>One way to accomplish this might be through the EOHHS interagency training effort, in which DTA</w:t>
      </w:r>
      <w:r w:rsidR="00F2464F">
        <w:rPr>
          <w:rFonts w:ascii="Arial" w:eastAsia="Times New Roman" w:hAnsi="Arial" w:cs="Arial"/>
        </w:rPr>
        <w:t>’s liaison to the Commission</w:t>
      </w:r>
      <w:r>
        <w:rPr>
          <w:rFonts w:ascii="Arial" w:eastAsia="Times New Roman" w:hAnsi="Arial" w:cs="Arial"/>
        </w:rPr>
        <w:t xml:space="preserve"> has been an active and valued participant. This online training might provide a universal starting point for all DTA staff, from which </w:t>
      </w:r>
      <w:r w:rsidRPr="0041555F">
        <w:rPr>
          <w:rFonts w:ascii="Arial" w:eastAsia="Times New Roman" w:hAnsi="Arial" w:cs="Arial"/>
        </w:rPr>
        <w:t xml:space="preserve">separate trainings </w:t>
      </w:r>
      <w:r>
        <w:rPr>
          <w:rFonts w:ascii="Arial" w:eastAsia="Times New Roman" w:hAnsi="Arial" w:cs="Arial"/>
        </w:rPr>
        <w:t>could be</w:t>
      </w:r>
      <w:r w:rsidRPr="0041555F">
        <w:rPr>
          <w:rFonts w:ascii="Arial" w:eastAsia="Times New Roman" w:hAnsi="Arial" w:cs="Arial"/>
        </w:rPr>
        <w:t xml:space="preserve"> tailored to specific needs</w:t>
      </w:r>
      <w:r>
        <w:rPr>
          <w:rFonts w:ascii="Arial" w:eastAsia="Times New Roman" w:hAnsi="Arial" w:cs="Arial"/>
        </w:rPr>
        <w:t xml:space="preserve"> of subsets of staff</w:t>
      </w:r>
      <w:r w:rsidRPr="0041555F">
        <w:rPr>
          <w:rFonts w:ascii="Arial" w:eastAsia="Times New Roman" w:hAnsi="Arial" w:cs="Arial"/>
        </w:rPr>
        <w:t xml:space="preserve">, starting with a focus on </w:t>
      </w:r>
      <w:r w:rsidR="00F2464F">
        <w:rPr>
          <w:rFonts w:ascii="Arial" w:eastAsia="Times New Roman" w:hAnsi="Arial" w:cs="Arial"/>
        </w:rPr>
        <w:t>domestic violence</w:t>
      </w:r>
      <w:r w:rsidRPr="0041555F">
        <w:rPr>
          <w:rFonts w:ascii="Arial" w:eastAsia="Times New Roman" w:hAnsi="Arial" w:cs="Arial"/>
        </w:rPr>
        <w:t xml:space="preserve"> </w:t>
      </w:r>
      <w:r w:rsidR="00C57A42">
        <w:rPr>
          <w:rFonts w:ascii="Arial" w:eastAsia="Times New Roman" w:hAnsi="Arial" w:cs="Arial"/>
        </w:rPr>
        <w:t>specialists</w:t>
      </w:r>
      <w:r w:rsidRPr="0041555F">
        <w:rPr>
          <w:rFonts w:ascii="Arial" w:eastAsia="Times New Roman" w:hAnsi="Arial" w:cs="Arial"/>
        </w:rPr>
        <w:t>.</w:t>
      </w:r>
    </w:p>
    <w:p w14:paraId="1BF3F738" w14:textId="77777777" w:rsidR="0041555F" w:rsidRPr="00A6026D" w:rsidRDefault="0041555F" w:rsidP="0041555F">
      <w:pPr>
        <w:spacing w:after="0" w:line="240" w:lineRule="auto"/>
        <w:jc w:val="both"/>
        <w:rPr>
          <w:rFonts w:ascii="Arial" w:eastAsia="Times New Roman" w:hAnsi="Arial" w:cs="Arial"/>
          <w:b/>
          <w:color w:val="365F91" w:themeColor="accent1" w:themeShade="BF"/>
        </w:rPr>
      </w:pPr>
    </w:p>
    <w:p w14:paraId="795FF283" w14:textId="77777777" w:rsidR="0041555F" w:rsidRPr="00A6026D" w:rsidRDefault="0041555F" w:rsidP="00961B5D">
      <w:pPr>
        <w:pStyle w:val="ListParagraph"/>
        <w:numPr>
          <w:ilvl w:val="0"/>
          <w:numId w:val="23"/>
        </w:numPr>
        <w:spacing w:after="0" w:line="240" w:lineRule="auto"/>
        <w:jc w:val="both"/>
        <w:rPr>
          <w:rFonts w:ascii="Arial" w:eastAsia="Times New Roman" w:hAnsi="Arial" w:cs="Arial"/>
          <w:b/>
          <w:color w:val="365F91" w:themeColor="accent1" w:themeShade="BF"/>
        </w:rPr>
      </w:pPr>
      <w:r w:rsidRPr="00A6026D">
        <w:rPr>
          <w:rFonts w:ascii="Arial" w:eastAsia="Times New Roman" w:hAnsi="Arial" w:cs="Arial"/>
          <w:b/>
          <w:color w:val="365F91" w:themeColor="accent1" w:themeShade="BF"/>
          <w:shd w:val="clear" w:color="auto" w:fill="FFFFFF"/>
        </w:rPr>
        <w:t>Require vendors to provide training and professional development to caseworkers on sexual orientation, gender identity, and the needs of LGBTQ youth.</w:t>
      </w:r>
    </w:p>
    <w:p w14:paraId="70E77D41" w14:textId="77777777" w:rsidR="0041555F" w:rsidRDefault="0041555F" w:rsidP="0041555F">
      <w:pPr>
        <w:spacing w:after="0"/>
        <w:jc w:val="both"/>
        <w:rPr>
          <w:rFonts w:ascii="Arial" w:hAnsi="Arial" w:cs="Arial"/>
        </w:rPr>
      </w:pPr>
    </w:p>
    <w:p w14:paraId="7BBD1594" w14:textId="2FAD5F51" w:rsidR="0041555F" w:rsidRDefault="0041555F" w:rsidP="0041555F">
      <w:pPr>
        <w:spacing w:after="0"/>
        <w:jc w:val="both"/>
        <w:rPr>
          <w:rFonts w:ascii="Arial" w:hAnsi="Arial" w:cs="Arial"/>
        </w:rPr>
      </w:pPr>
      <w:r w:rsidRPr="0041555F">
        <w:rPr>
          <w:rFonts w:ascii="Arial" w:hAnsi="Arial" w:cs="Arial"/>
        </w:rPr>
        <w:t xml:space="preserve">Understanding the needs of LGBTQ youth is critical to providing responsive, trauma-informed services to LGBTQ youth within state agencies </w:t>
      </w:r>
      <w:r w:rsidR="0073159E">
        <w:rPr>
          <w:rFonts w:ascii="Arial" w:hAnsi="Arial" w:cs="Arial"/>
        </w:rPr>
        <w:t>and</w:t>
      </w:r>
      <w:r w:rsidRPr="0041555F">
        <w:rPr>
          <w:rFonts w:ascii="Arial" w:hAnsi="Arial" w:cs="Arial"/>
        </w:rPr>
        <w:t xml:space="preserve"> </w:t>
      </w:r>
      <w:r w:rsidR="00FF2903">
        <w:rPr>
          <w:rFonts w:ascii="Arial" w:hAnsi="Arial" w:cs="Arial"/>
        </w:rPr>
        <w:t xml:space="preserve">by </w:t>
      </w:r>
      <w:r w:rsidRPr="0041555F">
        <w:rPr>
          <w:rFonts w:ascii="Arial" w:hAnsi="Arial" w:cs="Arial"/>
        </w:rPr>
        <w:t xml:space="preserve">vendors providing state services. </w:t>
      </w:r>
      <w:r w:rsidR="00F93281">
        <w:rPr>
          <w:rFonts w:ascii="Arial" w:hAnsi="Arial" w:cs="Arial"/>
        </w:rPr>
        <w:t>The Commission</w:t>
      </w:r>
      <w:r w:rsidRPr="0041555F">
        <w:rPr>
          <w:rFonts w:ascii="Arial" w:hAnsi="Arial" w:cs="Arial"/>
        </w:rPr>
        <w:t xml:space="preserve"> recommend</w:t>
      </w:r>
      <w:r w:rsidR="00F93281">
        <w:rPr>
          <w:rFonts w:ascii="Arial" w:hAnsi="Arial" w:cs="Arial"/>
        </w:rPr>
        <w:t>s</w:t>
      </w:r>
      <w:r w:rsidRPr="0041555F">
        <w:rPr>
          <w:rFonts w:ascii="Arial" w:hAnsi="Arial" w:cs="Arial"/>
        </w:rPr>
        <w:t xml:space="preserve"> that all youth-serving employees within contracting agencies attend mandatory LGBTQ cultural competency training, with the specific goal of supporting employees in addressing the unique needs of LGBTQ youth. </w:t>
      </w:r>
      <w:r w:rsidR="00D16FD3">
        <w:rPr>
          <w:rFonts w:ascii="Arial" w:hAnsi="Arial" w:cs="Arial"/>
        </w:rPr>
        <w:t>Especially given</w:t>
      </w:r>
      <w:r w:rsidRPr="0041555F">
        <w:rPr>
          <w:rFonts w:ascii="Arial" w:hAnsi="Arial" w:cs="Arial"/>
        </w:rPr>
        <w:t xml:space="preserve"> that DTA works in collaboration with DCF and other state agencies</w:t>
      </w:r>
      <w:r w:rsidR="00D16FD3">
        <w:rPr>
          <w:rFonts w:ascii="Arial" w:hAnsi="Arial" w:cs="Arial"/>
        </w:rPr>
        <w:t>, the EOHHS interagency training may prove especially useful in achieving this goal</w:t>
      </w:r>
      <w:r w:rsidRPr="0041555F">
        <w:rPr>
          <w:rFonts w:ascii="Arial" w:hAnsi="Arial" w:cs="Arial"/>
        </w:rPr>
        <w:t>.</w:t>
      </w:r>
    </w:p>
    <w:p w14:paraId="1FF1CF6B" w14:textId="77777777" w:rsidR="00A07650" w:rsidRDefault="00A07650" w:rsidP="0041555F">
      <w:pPr>
        <w:jc w:val="both"/>
        <w:rPr>
          <w:rFonts w:ascii="Arial" w:hAnsi="Arial" w:cs="Arial"/>
          <w:b/>
          <w:sz w:val="28"/>
          <w:szCs w:val="28"/>
        </w:rPr>
      </w:pPr>
      <w:r>
        <w:rPr>
          <w:rFonts w:ascii="Arial" w:hAnsi="Arial" w:cs="Arial"/>
          <w:b/>
          <w:sz w:val="28"/>
          <w:szCs w:val="28"/>
        </w:rPr>
        <w:br w:type="page"/>
      </w:r>
    </w:p>
    <w:p w14:paraId="1AAF1111" w14:textId="77777777" w:rsidR="00A141F3" w:rsidRPr="00A141F3" w:rsidRDefault="00A141F3" w:rsidP="00EB2689">
      <w:pPr>
        <w:pStyle w:val="Heading2"/>
      </w:pPr>
      <w:bookmarkStart w:id="41" w:name="_Toc512947919"/>
      <w:r>
        <w:lastRenderedPageBreak/>
        <w:t>Department of Youth Services</w:t>
      </w:r>
      <w:bookmarkEnd w:id="41"/>
    </w:p>
    <w:p w14:paraId="492E80CF" w14:textId="77777777" w:rsidR="00A141F3" w:rsidRPr="00A141F3" w:rsidRDefault="00A6026D" w:rsidP="00A141F3">
      <w:pPr>
        <w:spacing w:after="0"/>
        <w:jc w:val="both"/>
        <w:rPr>
          <w:rFonts w:ascii="Arial" w:hAnsi="Arial" w:cs="Arial"/>
        </w:rPr>
      </w:pPr>
      <w:r>
        <w:rPr>
          <w:noProof/>
        </w:rPr>
        <w:drawing>
          <wp:anchor distT="0" distB="0" distL="114300" distR="114300" simplePos="0" relativeHeight="251779072" behindDoc="1" locked="0" layoutInCell="0" allowOverlap="1" wp14:anchorId="60393527" wp14:editId="0DB9072B">
            <wp:simplePos x="0" y="0"/>
            <wp:positionH relativeFrom="column">
              <wp:posOffset>-19050</wp:posOffset>
            </wp:positionH>
            <wp:positionV relativeFrom="paragraph">
              <wp:posOffset>3175</wp:posOffset>
            </wp:positionV>
            <wp:extent cx="5980430" cy="18415"/>
            <wp:effectExtent l="0" t="0" r="1270" b="635"/>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anchor>
        </w:drawing>
      </w:r>
    </w:p>
    <w:p w14:paraId="1810518E" w14:textId="77777777" w:rsidR="00A6026D" w:rsidRDefault="00A6026D" w:rsidP="001E4C25">
      <w:pPr>
        <w:spacing w:after="0"/>
        <w:jc w:val="both"/>
        <w:rPr>
          <w:rFonts w:ascii="Arial" w:hAnsi="Arial" w:cs="Arial"/>
          <w:b/>
        </w:rPr>
      </w:pPr>
    </w:p>
    <w:p w14:paraId="45156B95" w14:textId="77777777" w:rsidR="001E4C25" w:rsidRPr="00A6026D" w:rsidRDefault="001E4C25" w:rsidP="00A6026D">
      <w:pPr>
        <w:spacing w:after="0"/>
        <w:jc w:val="center"/>
        <w:rPr>
          <w:rFonts w:ascii="Arial" w:hAnsi="Arial" w:cs="Arial"/>
          <w:b/>
          <w:u w:val="single"/>
        </w:rPr>
      </w:pPr>
      <w:r w:rsidRPr="00A6026D">
        <w:rPr>
          <w:rFonts w:ascii="Arial" w:hAnsi="Arial" w:cs="Arial"/>
          <w:b/>
          <w:u w:val="single"/>
        </w:rPr>
        <w:t>FY2019 RECOMMENDATIONS</w:t>
      </w:r>
    </w:p>
    <w:p w14:paraId="61CD1967" w14:textId="77777777" w:rsidR="001E4C25" w:rsidRPr="00A141F3" w:rsidRDefault="001E4C25" w:rsidP="001E4C25">
      <w:pPr>
        <w:spacing w:after="0"/>
        <w:jc w:val="both"/>
        <w:rPr>
          <w:rFonts w:ascii="Arial" w:hAnsi="Arial" w:cs="Arial"/>
        </w:rPr>
      </w:pPr>
    </w:p>
    <w:p w14:paraId="1454824D" w14:textId="77777777" w:rsidR="001E4C25" w:rsidRPr="00A6026D" w:rsidRDefault="001E4C25" w:rsidP="003D28B1">
      <w:pPr>
        <w:pStyle w:val="ListParagraph"/>
        <w:numPr>
          <w:ilvl w:val="0"/>
          <w:numId w:val="5"/>
        </w:numPr>
        <w:jc w:val="both"/>
        <w:rPr>
          <w:rFonts w:ascii="Arial" w:hAnsi="Arial" w:cs="Arial"/>
          <w:b/>
          <w:color w:val="365F91" w:themeColor="accent1" w:themeShade="BF"/>
        </w:rPr>
      </w:pPr>
      <w:r w:rsidRPr="00A6026D">
        <w:rPr>
          <w:rFonts w:ascii="Arial" w:hAnsi="Arial" w:cs="Arial"/>
          <w:b/>
          <w:color w:val="365F91" w:themeColor="accent1" w:themeShade="BF"/>
        </w:rPr>
        <w:t xml:space="preserve">Implement regular reviews of data related to sexual orientation and gender identity and continue to test, validate, and modify methods as appropriate. </w:t>
      </w:r>
    </w:p>
    <w:p w14:paraId="09177D72" w14:textId="77777777" w:rsidR="001E4C25" w:rsidRPr="00A6026D" w:rsidRDefault="001E4C25" w:rsidP="003D28B1">
      <w:pPr>
        <w:pStyle w:val="ListParagraph"/>
        <w:numPr>
          <w:ilvl w:val="0"/>
          <w:numId w:val="5"/>
        </w:numPr>
        <w:jc w:val="both"/>
        <w:rPr>
          <w:rFonts w:ascii="Arial" w:hAnsi="Arial" w:cs="Arial"/>
          <w:b/>
          <w:color w:val="365F91" w:themeColor="accent1" w:themeShade="BF"/>
        </w:rPr>
      </w:pPr>
      <w:r w:rsidRPr="00A6026D">
        <w:rPr>
          <w:rFonts w:ascii="Arial" w:hAnsi="Arial" w:cs="Arial"/>
          <w:b/>
          <w:color w:val="365F91" w:themeColor="accent1" w:themeShade="BF"/>
        </w:rPr>
        <w:t>Review educational and clinical curricula on an ongoing basis in order to increase awareness of the diversity of youth in DYS care.</w:t>
      </w:r>
    </w:p>
    <w:p w14:paraId="65343E1A" w14:textId="77777777" w:rsidR="001E4C25" w:rsidRPr="00A6026D" w:rsidRDefault="001E4C25" w:rsidP="003D28B1">
      <w:pPr>
        <w:pStyle w:val="ListParagraph"/>
        <w:numPr>
          <w:ilvl w:val="0"/>
          <w:numId w:val="5"/>
        </w:numPr>
        <w:jc w:val="both"/>
        <w:rPr>
          <w:rFonts w:ascii="Arial" w:hAnsi="Arial" w:cs="Arial"/>
          <w:b/>
          <w:color w:val="365F91" w:themeColor="accent1" w:themeShade="BF"/>
        </w:rPr>
      </w:pPr>
      <w:r w:rsidRPr="00A6026D">
        <w:rPr>
          <w:rFonts w:ascii="Arial" w:hAnsi="Arial" w:cs="Arial"/>
          <w:b/>
          <w:color w:val="365F91" w:themeColor="accent1" w:themeShade="BF"/>
        </w:rPr>
        <w:t>Continue to provide LGBTQ training curriculum for existing and incoming staff and vendors, and evaluate the effectiveness of such trainings.</w:t>
      </w:r>
    </w:p>
    <w:p w14:paraId="203F546C" w14:textId="77777777" w:rsidR="001E4C25" w:rsidRPr="00A6026D" w:rsidRDefault="001E4C25" w:rsidP="003D28B1">
      <w:pPr>
        <w:pStyle w:val="ListParagraph"/>
        <w:numPr>
          <w:ilvl w:val="0"/>
          <w:numId w:val="5"/>
        </w:numPr>
        <w:jc w:val="both"/>
        <w:rPr>
          <w:rFonts w:ascii="Arial" w:hAnsi="Arial" w:cs="Arial"/>
          <w:b/>
          <w:color w:val="365F91" w:themeColor="accent1" w:themeShade="BF"/>
        </w:rPr>
      </w:pPr>
      <w:r w:rsidRPr="00A6026D">
        <w:rPr>
          <w:rFonts w:ascii="Arial" w:hAnsi="Arial" w:cs="Arial"/>
          <w:b/>
          <w:color w:val="365F91" w:themeColor="accent1" w:themeShade="BF"/>
        </w:rPr>
        <w:t>Collaborate with the Commission to explore how to implement LGBTQ-inclusive material into existing curricula and programming provided to youth in its care.</w:t>
      </w:r>
    </w:p>
    <w:p w14:paraId="38967911" w14:textId="77777777" w:rsidR="001E4C25" w:rsidRPr="00A6026D" w:rsidRDefault="001E4C25" w:rsidP="003D28B1">
      <w:pPr>
        <w:pStyle w:val="ListParagraph"/>
        <w:numPr>
          <w:ilvl w:val="0"/>
          <w:numId w:val="5"/>
        </w:numPr>
        <w:jc w:val="both"/>
        <w:rPr>
          <w:rFonts w:ascii="Arial" w:hAnsi="Arial" w:cs="Arial"/>
          <w:b/>
          <w:color w:val="365F91" w:themeColor="accent1" w:themeShade="BF"/>
        </w:rPr>
      </w:pPr>
      <w:r w:rsidRPr="00A6026D">
        <w:rPr>
          <w:rFonts w:ascii="Arial" w:hAnsi="Arial" w:cs="Arial"/>
          <w:b/>
          <w:color w:val="365F91" w:themeColor="accent1" w:themeShade="BF"/>
        </w:rPr>
        <w:t>Brief the Commission on its efforts to reduce and eliminate physical and sexual harassment of youth in custody, and provide any data it has on disparities in rates of such harassment affecting LGBTQ youth in custody.</w:t>
      </w:r>
    </w:p>
    <w:p w14:paraId="7FAF661A" w14:textId="2549D5F7" w:rsidR="00DE30A9" w:rsidRDefault="009619C1" w:rsidP="00DE30A9">
      <w:pPr>
        <w:spacing w:after="0"/>
        <w:jc w:val="both"/>
        <w:rPr>
          <w:rFonts w:ascii="Arial" w:hAnsi="Arial" w:cs="Arial"/>
        </w:rPr>
      </w:pPr>
      <w:r>
        <w:rPr>
          <w:rFonts w:ascii="Arial" w:hAnsi="Arial" w:cs="Arial"/>
          <w:noProof/>
        </w:rPr>
        <mc:AlternateContent>
          <mc:Choice Requires="wps">
            <w:drawing>
              <wp:anchor distT="0" distB="0" distL="114300" distR="114300" simplePos="0" relativeHeight="251706368" behindDoc="0" locked="0" layoutInCell="1" allowOverlap="1" wp14:anchorId="0E54A29D" wp14:editId="1CDB549D">
                <wp:simplePos x="0" y="0"/>
                <wp:positionH relativeFrom="column">
                  <wp:posOffset>15875</wp:posOffset>
                </wp:positionH>
                <wp:positionV relativeFrom="paragraph">
                  <wp:posOffset>80645</wp:posOffset>
                </wp:positionV>
                <wp:extent cx="5949315" cy="1641475"/>
                <wp:effectExtent l="0" t="0" r="13335" b="158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315" cy="1641475"/>
                        </a:xfrm>
                        <a:prstGeom prst="rect">
                          <a:avLst/>
                        </a:prstGeom>
                        <a:solidFill>
                          <a:schemeClr val="lt1"/>
                        </a:solidFill>
                        <a:ln w="19050">
                          <a:solidFill>
                            <a:srgbClr val="FFBC37"/>
                          </a:solidFill>
                        </a:ln>
                      </wps:spPr>
                      <wps:txbx>
                        <w:txbxContent>
                          <w:p w14:paraId="6C1F2A31" w14:textId="77777777" w:rsidR="00411ECA" w:rsidRPr="0011098F" w:rsidRDefault="00411ECA" w:rsidP="00983FF1">
                            <w:pPr>
                              <w:spacing w:after="0"/>
                              <w:jc w:val="both"/>
                              <w:rPr>
                                <w:rFonts w:ascii="Arial" w:hAnsi="Arial" w:cs="Arial"/>
                                <w:i/>
                              </w:rPr>
                            </w:pPr>
                            <w:r w:rsidRPr="0011098F">
                              <w:rPr>
                                <w:rFonts w:ascii="Arial" w:hAnsi="Arial" w:cs="Arial"/>
                                <w:i/>
                              </w:rPr>
                              <w:t>“I’ve seen major changes. The first transitioning youth that came in to DYS was restricted from undergarments and clothing because of safety and security. We brought up that should not be the case. Undergarments was something we really pushed for, and DYS actually pushed for those and now we can make them available. One of the greatest things I noticed was that now all DYS staff have to go through basic training, including a very large LGBTQI component. That has made a big difference with those staff going on the floor.”</w:t>
                            </w:r>
                          </w:p>
                          <w:p w14:paraId="02A2997C" w14:textId="77777777" w:rsidR="00411ECA" w:rsidRPr="00A141F3" w:rsidRDefault="00411ECA" w:rsidP="00983FF1">
                            <w:pPr>
                              <w:spacing w:after="0"/>
                              <w:jc w:val="both"/>
                              <w:rPr>
                                <w:rFonts w:ascii="Arial" w:hAnsi="Arial" w:cs="Arial"/>
                              </w:rPr>
                            </w:pPr>
                          </w:p>
                          <w:p w14:paraId="32E6CAF1" w14:textId="77777777" w:rsidR="00411ECA" w:rsidRPr="00A141F3" w:rsidRDefault="00411ECA" w:rsidP="00983FF1">
                            <w:pPr>
                              <w:spacing w:after="0"/>
                              <w:jc w:val="both"/>
                              <w:rPr>
                                <w:rFonts w:ascii="Arial" w:hAnsi="Arial" w:cs="Arial"/>
                              </w:rPr>
                            </w:pPr>
                            <w:r w:rsidRPr="00A141F3">
                              <w:rPr>
                                <w:rFonts w:ascii="Arial" w:hAnsi="Arial" w:cs="Arial"/>
                              </w:rPr>
                              <w:t>– Service Provider, Southeastern Massachusetts</w:t>
                            </w:r>
                          </w:p>
                          <w:p w14:paraId="5B044F6D" w14:textId="77777777" w:rsidR="00411ECA" w:rsidRDefault="00411E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6" o:spid="_x0000_s1051" type="#_x0000_t202" style="position:absolute;left:0;text-align:left;margin-left:1.25pt;margin-top:6.35pt;width:468.45pt;height:129.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" fillcolor="white [3201]" strokecolor="#ffbc37" strokeweight="1.5pt">
                <v:path arrowok="t"/>
                <v:textbox>
                  <w:txbxContent>
                    <w:p w14:paraId="6C1F2A31" w14:textId="77777777" w:rsidR="00411ECA" w:rsidRPr="0011098F" w:rsidRDefault="00411ECA" w:rsidP="00983FF1">
                      <w:pPr>
                        <w:spacing w:after="0"/>
                        <w:jc w:val="both"/>
                        <w:rPr>
                          <w:rFonts w:ascii="Arial" w:hAnsi="Arial" w:cs="Arial"/>
                          <w:i/>
                        </w:rPr>
                      </w:pPr>
                      <w:r w:rsidRPr="0011098F">
                        <w:rPr>
                          <w:rFonts w:ascii="Arial" w:hAnsi="Arial" w:cs="Arial"/>
                          <w:i/>
                        </w:rPr>
                        <w:t>“I’ve seen major changes. The first transitioning youth that came in to DYS was restricted from undergarments and clothing because of safety and security. We brought up that should not be the case. Undergarments was something we really pushed for, and DYS actually pushed for those and now we can make them available. One of the greatest things I noticed was that now all DYS staff have to go through basic training, including a very large LGBTQI component. That has made a big difference with those staff going on the floor.”</w:t>
                      </w:r>
                    </w:p>
                    <w:p w14:paraId="02A2997C" w14:textId="77777777" w:rsidR="00411ECA" w:rsidRPr="00A141F3" w:rsidRDefault="00411ECA" w:rsidP="00983FF1">
                      <w:pPr>
                        <w:spacing w:after="0"/>
                        <w:jc w:val="both"/>
                        <w:rPr>
                          <w:rFonts w:ascii="Arial" w:hAnsi="Arial" w:cs="Arial"/>
                        </w:rPr>
                      </w:pPr>
                    </w:p>
                    <w:p w14:paraId="32E6CAF1" w14:textId="77777777" w:rsidR="00411ECA" w:rsidRPr="00A141F3" w:rsidRDefault="00411ECA" w:rsidP="00983FF1">
                      <w:pPr>
                        <w:spacing w:after="0"/>
                        <w:jc w:val="both"/>
                        <w:rPr>
                          <w:rFonts w:ascii="Arial" w:hAnsi="Arial" w:cs="Arial"/>
                        </w:rPr>
                      </w:pPr>
                      <w:r w:rsidRPr="00A141F3">
                        <w:rPr>
                          <w:rFonts w:ascii="Arial" w:hAnsi="Arial" w:cs="Arial"/>
                        </w:rPr>
                        <w:t>– Service Provider, Southeastern Massachusetts</w:t>
                      </w:r>
                    </w:p>
                    <w:p w14:paraId="5B044F6D" w14:textId="77777777" w:rsidR="00411ECA" w:rsidRDefault="00411ECA"/>
                  </w:txbxContent>
                </v:textbox>
              </v:shape>
            </w:pict>
          </mc:Fallback>
        </mc:AlternateContent>
      </w:r>
    </w:p>
    <w:p w14:paraId="06ECE6FD" w14:textId="77777777" w:rsidR="00983FF1" w:rsidRDefault="00983FF1" w:rsidP="00DE30A9">
      <w:pPr>
        <w:spacing w:after="0"/>
        <w:jc w:val="both"/>
        <w:rPr>
          <w:rFonts w:ascii="Arial" w:hAnsi="Arial" w:cs="Arial"/>
        </w:rPr>
      </w:pPr>
    </w:p>
    <w:p w14:paraId="49662EFB" w14:textId="77777777" w:rsidR="00983FF1" w:rsidRDefault="00983FF1" w:rsidP="00DE30A9">
      <w:pPr>
        <w:spacing w:after="0"/>
        <w:jc w:val="both"/>
        <w:rPr>
          <w:rFonts w:ascii="Arial" w:hAnsi="Arial" w:cs="Arial"/>
        </w:rPr>
      </w:pPr>
    </w:p>
    <w:p w14:paraId="7025406D" w14:textId="77777777" w:rsidR="00983FF1" w:rsidRDefault="00983FF1" w:rsidP="00DE30A9">
      <w:pPr>
        <w:spacing w:after="0"/>
        <w:jc w:val="both"/>
        <w:rPr>
          <w:rFonts w:ascii="Arial" w:hAnsi="Arial" w:cs="Arial"/>
        </w:rPr>
      </w:pPr>
    </w:p>
    <w:p w14:paraId="60258F5B" w14:textId="77777777" w:rsidR="00983FF1" w:rsidRDefault="00983FF1" w:rsidP="00DE30A9">
      <w:pPr>
        <w:spacing w:after="0"/>
        <w:jc w:val="both"/>
        <w:rPr>
          <w:rFonts w:ascii="Arial" w:hAnsi="Arial" w:cs="Arial"/>
        </w:rPr>
      </w:pPr>
    </w:p>
    <w:p w14:paraId="1BF97658" w14:textId="77777777" w:rsidR="00983FF1" w:rsidRDefault="00983FF1" w:rsidP="00DE30A9">
      <w:pPr>
        <w:spacing w:after="0"/>
        <w:jc w:val="both"/>
        <w:rPr>
          <w:rFonts w:ascii="Arial" w:hAnsi="Arial" w:cs="Arial"/>
        </w:rPr>
      </w:pPr>
    </w:p>
    <w:p w14:paraId="4C3DD11B" w14:textId="77777777" w:rsidR="00983FF1" w:rsidRDefault="00983FF1" w:rsidP="00DE30A9">
      <w:pPr>
        <w:spacing w:after="0"/>
        <w:jc w:val="both"/>
        <w:rPr>
          <w:rFonts w:ascii="Arial" w:hAnsi="Arial" w:cs="Arial"/>
        </w:rPr>
      </w:pPr>
    </w:p>
    <w:p w14:paraId="7A8BC90E" w14:textId="77777777" w:rsidR="00983FF1" w:rsidRPr="00983FF1" w:rsidRDefault="00983FF1" w:rsidP="00DE30A9">
      <w:pPr>
        <w:spacing w:after="0"/>
        <w:jc w:val="both"/>
        <w:rPr>
          <w:rFonts w:ascii="Arial" w:hAnsi="Arial" w:cs="Arial"/>
        </w:rPr>
      </w:pPr>
    </w:p>
    <w:p w14:paraId="5FAD0C87" w14:textId="77777777" w:rsidR="00983FF1" w:rsidRDefault="00983FF1" w:rsidP="001E4C25">
      <w:pPr>
        <w:spacing w:after="0"/>
        <w:jc w:val="both"/>
        <w:rPr>
          <w:rFonts w:ascii="Arial" w:hAnsi="Arial" w:cs="Arial"/>
          <w:b/>
        </w:rPr>
      </w:pPr>
    </w:p>
    <w:p w14:paraId="0CC68D5C" w14:textId="77777777" w:rsidR="00983FF1" w:rsidRDefault="00983FF1" w:rsidP="001E4C25">
      <w:pPr>
        <w:spacing w:after="0"/>
        <w:jc w:val="both"/>
        <w:rPr>
          <w:rFonts w:ascii="Arial" w:hAnsi="Arial" w:cs="Arial"/>
          <w:b/>
        </w:rPr>
      </w:pPr>
    </w:p>
    <w:p w14:paraId="3829AEA1" w14:textId="77777777" w:rsidR="007E6460" w:rsidRDefault="007E6460" w:rsidP="00A6026D">
      <w:pPr>
        <w:spacing w:after="0"/>
        <w:jc w:val="center"/>
        <w:rPr>
          <w:rFonts w:ascii="Arial" w:hAnsi="Arial" w:cs="Arial"/>
          <w:b/>
          <w:u w:val="single"/>
        </w:rPr>
      </w:pPr>
    </w:p>
    <w:p w14:paraId="321D36C6" w14:textId="77777777" w:rsidR="001E4C25" w:rsidRPr="00A6026D" w:rsidRDefault="001E4C25" w:rsidP="00A6026D">
      <w:pPr>
        <w:spacing w:after="0"/>
        <w:jc w:val="center"/>
        <w:rPr>
          <w:rFonts w:ascii="Arial" w:hAnsi="Arial" w:cs="Arial"/>
          <w:b/>
          <w:u w:val="single"/>
        </w:rPr>
      </w:pPr>
      <w:r w:rsidRPr="00A6026D">
        <w:rPr>
          <w:rFonts w:ascii="Arial" w:hAnsi="Arial" w:cs="Arial"/>
          <w:b/>
          <w:u w:val="single"/>
        </w:rPr>
        <w:t>BACKGROUND &amp; RESEARCH</w:t>
      </w:r>
    </w:p>
    <w:p w14:paraId="25CB0D11" w14:textId="77777777" w:rsidR="001E4C25" w:rsidRDefault="001E4C25" w:rsidP="001E4C25">
      <w:pPr>
        <w:spacing w:after="0"/>
        <w:jc w:val="both"/>
        <w:rPr>
          <w:rFonts w:ascii="Arial" w:hAnsi="Arial" w:cs="Arial"/>
        </w:rPr>
      </w:pPr>
    </w:p>
    <w:p w14:paraId="79C1156C" w14:textId="78BC19B5" w:rsidR="001E4C25" w:rsidRPr="001E4C25" w:rsidRDefault="001E4C25" w:rsidP="001E4C25">
      <w:pPr>
        <w:spacing w:after="0"/>
        <w:jc w:val="both"/>
        <w:rPr>
          <w:rFonts w:ascii="Arial" w:hAnsi="Arial" w:cs="Arial"/>
        </w:rPr>
      </w:pPr>
      <w:r w:rsidRPr="001E4C25">
        <w:rPr>
          <w:rFonts w:ascii="Arial" w:hAnsi="Arial" w:cs="Arial"/>
        </w:rPr>
        <w:t xml:space="preserve">The Department of Youth Services (DYS) is the state agency charged with serving youth in pre-trial detention or youth committed as juvenile delinquents or youthful offenders. DYS has led the nation in developing and implementing policy and guidelines to prohibit discrimination and harassment against LGBTQ youth. The DYS policy and guidelines, which became effective </w:t>
      </w:r>
      <w:r w:rsidR="007E6460">
        <w:rPr>
          <w:rFonts w:ascii="Arial" w:hAnsi="Arial" w:cs="Arial"/>
        </w:rPr>
        <w:t xml:space="preserve">in July </w:t>
      </w:r>
      <w:r w:rsidRPr="001E4C25">
        <w:rPr>
          <w:rFonts w:ascii="Arial" w:hAnsi="Arial" w:cs="Arial"/>
        </w:rPr>
        <w:t>2014, were developed through collaboration with community advocates, including members of the Commission. DYS has received state and national recognition for their work on behalf of LGBTQ young people.</w:t>
      </w:r>
      <w:r>
        <w:rPr>
          <w:rFonts w:ascii="Arial" w:hAnsi="Arial" w:cs="Arial"/>
        </w:rPr>
        <w:t xml:space="preserve"> Since the implementation of these changes, DYS staff has kept the Commission </w:t>
      </w:r>
      <w:r w:rsidR="007E6460">
        <w:rPr>
          <w:rFonts w:ascii="Arial" w:hAnsi="Arial" w:cs="Arial"/>
        </w:rPr>
        <w:t>apprised</w:t>
      </w:r>
      <w:r>
        <w:rPr>
          <w:rFonts w:ascii="Arial" w:hAnsi="Arial" w:cs="Arial"/>
        </w:rPr>
        <w:t xml:space="preserve"> of their progress and DYS Commissioner Peter Forbes has met with representation from the Commission multiple times. DYS Deputy Commissioner Ruth Rovezzi also led representation from the Commission on a tour of one of DYS’s facilities in Taunton</w:t>
      </w:r>
      <w:r w:rsidR="00FF2903">
        <w:rPr>
          <w:rFonts w:ascii="Arial" w:hAnsi="Arial" w:cs="Arial"/>
        </w:rPr>
        <w:t xml:space="preserve"> to provide the Commission with a better understanding of the services that DYS provides and the changes it has made to better serve LGBTQ youth</w:t>
      </w:r>
      <w:r>
        <w:rPr>
          <w:rFonts w:ascii="Arial" w:hAnsi="Arial" w:cs="Arial"/>
        </w:rPr>
        <w:t>. The Commission appreciates the level of engagement that senior leadership at DYS has shown</w:t>
      </w:r>
      <w:r w:rsidR="007E6460">
        <w:rPr>
          <w:rFonts w:ascii="Arial" w:hAnsi="Arial" w:cs="Arial"/>
        </w:rPr>
        <w:t>.</w:t>
      </w:r>
    </w:p>
    <w:p w14:paraId="7F5FBEAD" w14:textId="77777777" w:rsidR="001E4C25" w:rsidRPr="00A141F3" w:rsidRDefault="001E4C25" w:rsidP="001E4C25">
      <w:pPr>
        <w:spacing w:after="0"/>
        <w:jc w:val="both"/>
        <w:rPr>
          <w:rFonts w:ascii="Arial" w:hAnsi="Arial" w:cs="Arial"/>
        </w:rPr>
      </w:pPr>
    </w:p>
    <w:p w14:paraId="1722E92A" w14:textId="77777777" w:rsidR="001E4C25" w:rsidRPr="00A141F3" w:rsidRDefault="001E4C25" w:rsidP="001E4C25">
      <w:pPr>
        <w:spacing w:after="0"/>
        <w:jc w:val="both"/>
        <w:rPr>
          <w:rFonts w:ascii="Arial" w:hAnsi="Arial" w:cs="Arial"/>
        </w:rPr>
      </w:pPr>
      <w:r w:rsidRPr="00A141F3">
        <w:rPr>
          <w:rFonts w:ascii="Arial" w:hAnsi="Arial" w:cs="Arial"/>
        </w:rPr>
        <w:lastRenderedPageBreak/>
        <w:t>Research from across the country suggests that LGBTQ youth are overrepresented within the juvenile justice system, with approximately 20 percent of youth in detention fa</w:t>
      </w:r>
      <w:r>
        <w:rPr>
          <w:rFonts w:ascii="Arial" w:hAnsi="Arial" w:cs="Arial"/>
        </w:rPr>
        <w:t>cilities identifying as LGBTQ.</w:t>
      </w:r>
      <w:r>
        <w:rPr>
          <w:rStyle w:val="EndnoteReference"/>
          <w:rFonts w:ascii="Arial" w:hAnsi="Arial" w:cs="Arial"/>
        </w:rPr>
        <w:endnoteReference w:id="209"/>
      </w:r>
      <w:r w:rsidRPr="00A141F3">
        <w:rPr>
          <w:rFonts w:ascii="Arial" w:hAnsi="Arial" w:cs="Arial"/>
        </w:rPr>
        <w:t xml:space="preserve"> These youth may come in contact with the system after experiencing family rejection, homelessness, school harassment, and “survival crimes” such as theft or sex work. Massachusetts data indicate that LGBTQ youth are more likely to be gang-involved than non-LGBTQ youth, skip school because they feel unsafe, and be involved in a fight at school.</w:t>
      </w:r>
      <w:r>
        <w:rPr>
          <w:rStyle w:val="EndnoteReference"/>
          <w:rFonts w:ascii="Arial" w:hAnsi="Arial" w:cs="Arial"/>
        </w:rPr>
        <w:endnoteReference w:id="210"/>
      </w:r>
      <w:r w:rsidRPr="00A141F3">
        <w:rPr>
          <w:rFonts w:ascii="Arial" w:hAnsi="Arial" w:cs="Arial"/>
        </w:rPr>
        <w:t xml:space="preserve"> LGBTQ girls are especially likely to be system-involved, w</w:t>
      </w:r>
      <w:r>
        <w:rPr>
          <w:rFonts w:ascii="Arial" w:hAnsi="Arial" w:cs="Arial"/>
        </w:rPr>
        <w:t xml:space="preserve">ith approximately 40 percent of </w:t>
      </w:r>
      <w:r w:rsidRPr="00A141F3">
        <w:rPr>
          <w:rFonts w:ascii="Arial" w:hAnsi="Arial" w:cs="Arial"/>
        </w:rPr>
        <w:t xml:space="preserve">girls – disproportionately girls of color – in juvenile detention facilities identified as </w:t>
      </w:r>
      <w:r>
        <w:rPr>
          <w:rFonts w:ascii="Arial" w:hAnsi="Arial" w:cs="Arial"/>
        </w:rPr>
        <w:t>LGBTQ or gender-nonconforming.</w:t>
      </w:r>
      <w:r>
        <w:rPr>
          <w:rStyle w:val="EndnoteReference"/>
          <w:rFonts w:ascii="Arial" w:hAnsi="Arial" w:cs="Arial"/>
        </w:rPr>
        <w:endnoteReference w:id="211"/>
      </w:r>
    </w:p>
    <w:p w14:paraId="31579C8B" w14:textId="77777777" w:rsidR="001E4C25" w:rsidRPr="00A141F3" w:rsidRDefault="001E4C25" w:rsidP="001E4C25">
      <w:pPr>
        <w:spacing w:after="0"/>
        <w:jc w:val="both"/>
        <w:rPr>
          <w:rFonts w:ascii="Arial" w:hAnsi="Arial" w:cs="Arial"/>
        </w:rPr>
      </w:pPr>
    </w:p>
    <w:p w14:paraId="4C243ACE" w14:textId="4BE07EB9" w:rsidR="001E4C25" w:rsidRPr="001158FB" w:rsidRDefault="001E4C25" w:rsidP="001E4C25">
      <w:pPr>
        <w:spacing w:after="0"/>
        <w:jc w:val="both"/>
        <w:rPr>
          <w:rFonts w:ascii="Arial" w:hAnsi="Arial" w:cs="Arial"/>
        </w:rPr>
      </w:pPr>
      <w:r w:rsidRPr="00A141F3">
        <w:rPr>
          <w:rFonts w:ascii="Arial" w:hAnsi="Arial" w:cs="Arial"/>
        </w:rPr>
        <w:t>There is an emerging body of</w:t>
      </w:r>
      <w:r w:rsidR="00604271">
        <w:rPr>
          <w:rFonts w:ascii="Arial" w:hAnsi="Arial" w:cs="Arial"/>
        </w:rPr>
        <w:t xml:space="preserve"> national</w:t>
      </w:r>
      <w:r w:rsidRPr="00A141F3">
        <w:rPr>
          <w:rFonts w:ascii="Arial" w:hAnsi="Arial" w:cs="Arial"/>
        </w:rPr>
        <w:t xml:space="preserve"> literature indicating that LGBTQ youth are punished more harshly than their heterosexual and non-transgender peers. </w:t>
      </w:r>
      <w:r w:rsidR="00FF2903">
        <w:rPr>
          <w:rFonts w:ascii="Arial" w:hAnsi="Arial" w:cs="Arial"/>
        </w:rPr>
        <w:t>Sexual minority</w:t>
      </w:r>
      <w:r w:rsidRPr="00A141F3">
        <w:rPr>
          <w:rFonts w:ascii="Arial" w:hAnsi="Arial" w:cs="Arial"/>
        </w:rPr>
        <w:t xml:space="preserve"> youth are punished more harshly in schools and in the court system</w:t>
      </w:r>
      <w:r w:rsidR="00FF2903">
        <w:rPr>
          <w:rFonts w:ascii="Arial" w:hAnsi="Arial" w:cs="Arial"/>
        </w:rPr>
        <w:t xml:space="preserve"> than heterosexual youth</w:t>
      </w:r>
      <w:r w:rsidRPr="00A141F3">
        <w:rPr>
          <w:rFonts w:ascii="Arial" w:hAnsi="Arial" w:cs="Arial"/>
        </w:rPr>
        <w:t>, a pattern not exp</w:t>
      </w:r>
      <w:r>
        <w:rPr>
          <w:rFonts w:ascii="Arial" w:hAnsi="Arial" w:cs="Arial"/>
        </w:rPr>
        <w:t>lained by rates of infraction.</w:t>
      </w:r>
      <w:r>
        <w:rPr>
          <w:rStyle w:val="EndnoteReference"/>
          <w:rFonts w:ascii="Arial" w:hAnsi="Arial" w:cs="Arial"/>
        </w:rPr>
        <w:endnoteReference w:id="212"/>
      </w:r>
      <w:r w:rsidRPr="00A141F3">
        <w:rPr>
          <w:rFonts w:ascii="Arial" w:hAnsi="Arial" w:cs="Arial"/>
        </w:rPr>
        <w:t xml:space="preserve"> </w:t>
      </w:r>
      <w:r w:rsidR="00FF2903">
        <w:rPr>
          <w:rFonts w:ascii="Arial" w:hAnsi="Arial" w:cs="Arial"/>
        </w:rPr>
        <w:t>Sexual minority</w:t>
      </w:r>
      <w:r w:rsidRPr="00A141F3">
        <w:rPr>
          <w:rFonts w:ascii="Arial" w:hAnsi="Arial" w:cs="Arial"/>
        </w:rPr>
        <w:t xml:space="preserve"> youth also report being suspended or expelled from school at higher rates than heterosex</w:t>
      </w:r>
      <w:r>
        <w:rPr>
          <w:rFonts w:ascii="Arial" w:hAnsi="Arial" w:cs="Arial"/>
        </w:rPr>
        <w:t>ual students.</w:t>
      </w:r>
      <w:r>
        <w:rPr>
          <w:rStyle w:val="EndnoteReference"/>
          <w:rFonts w:ascii="Arial" w:hAnsi="Arial" w:cs="Arial"/>
        </w:rPr>
        <w:endnoteReference w:id="213"/>
      </w:r>
      <w:r w:rsidRPr="00A141F3">
        <w:rPr>
          <w:rFonts w:ascii="Arial" w:hAnsi="Arial" w:cs="Arial"/>
        </w:rPr>
        <w:t xml:space="preserve"> This disparity in treatment by law enforcement is especially pronounced among girls. Lesbian and bisexual girls are 50 percent more likely to be stopped by police, and twice as likely to be arrested and convicted, even though they do not engage in higher levels of misconduct c</w:t>
      </w:r>
      <w:r>
        <w:rPr>
          <w:rFonts w:ascii="Arial" w:hAnsi="Arial" w:cs="Arial"/>
        </w:rPr>
        <w:t>ompared to heterosexual girls.</w:t>
      </w:r>
      <w:r>
        <w:rPr>
          <w:rStyle w:val="EndnoteReference"/>
          <w:rFonts w:ascii="Arial" w:hAnsi="Arial" w:cs="Arial"/>
        </w:rPr>
        <w:endnoteReference w:id="214"/>
      </w:r>
      <w:r w:rsidRPr="00A141F3">
        <w:rPr>
          <w:rFonts w:ascii="Arial" w:hAnsi="Arial" w:cs="Arial"/>
        </w:rPr>
        <w:t xml:space="preserve"> </w:t>
      </w:r>
      <w:r w:rsidR="00DE30A9">
        <w:rPr>
          <w:rFonts w:ascii="Arial" w:hAnsi="Arial" w:cs="Arial"/>
        </w:rPr>
        <w:t>For a detailed discussion on the risk factors LGBTQ youth face for involvement in the juvenile justice system</w:t>
      </w:r>
      <w:r w:rsidR="008159A7">
        <w:rPr>
          <w:rFonts w:ascii="Arial" w:hAnsi="Arial" w:cs="Arial"/>
        </w:rPr>
        <w:t>, and their experiences there</w:t>
      </w:r>
      <w:r w:rsidR="00DE30A9">
        <w:rPr>
          <w:rFonts w:ascii="Arial" w:hAnsi="Arial" w:cs="Arial"/>
        </w:rPr>
        <w:t xml:space="preserve">, see page </w:t>
      </w:r>
      <w:r w:rsidR="005A49CA">
        <w:rPr>
          <w:rFonts w:ascii="Arial" w:hAnsi="Arial" w:cs="Arial"/>
        </w:rPr>
        <w:t>20</w:t>
      </w:r>
      <w:r w:rsidR="00DE30A9">
        <w:rPr>
          <w:rFonts w:ascii="Arial" w:hAnsi="Arial" w:cs="Arial"/>
        </w:rPr>
        <w:t xml:space="preserve"> above.</w:t>
      </w:r>
    </w:p>
    <w:p w14:paraId="24F0DBC3" w14:textId="77777777" w:rsidR="00983FF1" w:rsidRDefault="00983FF1" w:rsidP="00A141F3">
      <w:pPr>
        <w:spacing w:after="0"/>
        <w:jc w:val="both"/>
        <w:rPr>
          <w:rFonts w:ascii="Arial" w:hAnsi="Arial" w:cs="Arial"/>
          <w:b/>
        </w:rPr>
      </w:pPr>
    </w:p>
    <w:p w14:paraId="472B8308" w14:textId="77777777" w:rsidR="00A141F3" w:rsidRPr="00A6026D" w:rsidRDefault="00A141F3" w:rsidP="00A6026D">
      <w:pPr>
        <w:spacing w:after="0"/>
        <w:jc w:val="center"/>
        <w:rPr>
          <w:rFonts w:ascii="Arial" w:hAnsi="Arial" w:cs="Arial"/>
          <w:b/>
          <w:u w:val="single"/>
        </w:rPr>
      </w:pPr>
      <w:r w:rsidRPr="00A6026D">
        <w:rPr>
          <w:rFonts w:ascii="Arial" w:hAnsi="Arial" w:cs="Arial"/>
          <w:b/>
          <w:u w:val="single"/>
        </w:rPr>
        <w:t>EXPANDED RECOMMENDATIONS</w:t>
      </w:r>
    </w:p>
    <w:p w14:paraId="6B4EB6C6" w14:textId="77777777" w:rsidR="00BE7909" w:rsidRDefault="00BE7909" w:rsidP="00F37FB7">
      <w:pPr>
        <w:spacing w:after="0"/>
        <w:jc w:val="both"/>
        <w:rPr>
          <w:rFonts w:ascii="Arial" w:hAnsi="Arial" w:cs="Arial"/>
        </w:rPr>
      </w:pPr>
    </w:p>
    <w:p w14:paraId="45C6C736" w14:textId="77777777" w:rsidR="001E4C25" w:rsidRPr="00A6026D" w:rsidRDefault="001E4C25" w:rsidP="007E6460">
      <w:pPr>
        <w:numPr>
          <w:ilvl w:val="0"/>
          <w:numId w:val="33"/>
        </w:numPr>
        <w:spacing w:after="0"/>
        <w:ind w:left="360"/>
        <w:jc w:val="both"/>
        <w:rPr>
          <w:rFonts w:ascii="Arial" w:hAnsi="Arial" w:cs="Arial"/>
          <w:b/>
          <w:color w:val="365F91" w:themeColor="accent1" w:themeShade="BF"/>
        </w:rPr>
      </w:pPr>
      <w:r w:rsidRPr="00A6026D">
        <w:rPr>
          <w:rFonts w:ascii="Arial" w:hAnsi="Arial" w:cs="Arial"/>
          <w:b/>
          <w:color w:val="365F91" w:themeColor="accent1" w:themeShade="BF"/>
        </w:rPr>
        <w:t xml:space="preserve">Implement regular reviews of data related to sexual orientation and gender identity and continue to test, validate, and modify methods as appropriate. </w:t>
      </w:r>
    </w:p>
    <w:p w14:paraId="75D53110" w14:textId="77777777" w:rsidR="001E4C25" w:rsidRPr="001E4C25" w:rsidRDefault="001E4C25" w:rsidP="003D28B1">
      <w:pPr>
        <w:spacing w:after="0"/>
        <w:jc w:val="both"/>
        <w:rPr>
          <w:rFonts w:ascii="Arial" w:hAnsi="Arial" w:cs="Arial"/>
        </w:rPr>
      </w:pPr>
    </w:p>
    <w:p w14:paraId="0EC839D6" w14:textId="354CBD43" w:rsidR="001E4C25" w:rsidRPr="001E4C25" w:rsidRDefault="001E4C25" w:rsidP="003D28B1">
      <w:pPr>
        <w:spacing w:after="0"/>
        <w:jc w:val="both"/>
        <w:rPr>
          <w:rFonts w:ascii="Arial" w:hAnsi="Arial" w:cs="Arial"/>
        </w:rPr>
      </w:pPr>
      <w:r w:rsidRPr="001E4C25">
        <w:rPr>
          <w:rFonts w:ascii="Arial" w:hAnsi="Arial" w:cs="Arial"/>
        </w:rPr>
        <w:t xml:space="preserve">The Commission commends DYS for the changes it has implemented </w:t>
      </w:r>
      <w:r w:rsidR="00FE2E20">
        <w:rPr>
          <w:rFonts w:ascii="Arial" w:hAnsi="Arial" w:cs="Arial"/>
        </w:rPr>
        <w:t>in</w:t>
      </w:r>
      <w:r w:rsidR="00FE2E20" w:rsidRPr="001E4C25">
        <w:rPr>
          <w:rFonts w:ascii="Arial" w:hAnsi="Arial" w:cs="Arial"/>
        </w:rPr>
        <w:t xml:space="preserve"> </w:t>
      </w:r>
      <w:r w:rsidRPr="001E4C25">
        <w:rPr>
          <w:rFonts w:ascii="Arial" w:hAnsi="Arial" w:cs="Arial"/>
        </w:rPr>
        <w:t>its intake process to collect data relating to sexual orientation and gender identity (SOGI) in a thoughtful, thorough, and confidential manner. It also supports the goal identified by DYS leadership of integrating a regular review of this data into its process for reviewing other related forms of data. The Commission looks forward to supporting DYS in any way possible as the agency refines its practices for collecting this data and implement</w:t>
      </w:r>
      <w:r w:rsidR="00966B6A">
        <w:rPr>
          <w:rFonts w:ascii="Arial" w:hAnsi="Arial" w:cs="Arial"/>
        </w:rPr>
        <w:t>ing</w:t>
      </w:r>
      <w:r w:rsidRPr="001E4C25">
        <w:rPr>
          <w:rFonts w:ascii="Arial" w:hAnsi="Arial" w:cs="Arial"/>
        </w:rPr>
        <w:t xml:space="preserve"> a regular review process. </w:t>
      </w:r>
    </w:p>
    <w:p w14:paraId="325F8682" w14:textId="77777777" w:rsidR="001E4C25" w:rsidRPr="001E4C25" w:rsidRDefault="001E4C25" w:rsidP="003D28B1">
      <w:pPr>
        <w:spacing w:after="0"/>
        <w:jc w:val="both"/>
        <w:rPr>
          <w:rFonts w:ascii="Arial" w:hAnsi="Arial" w:cs="Arial"/>
        </w:rPr>
      </w:pPr>
    </w:p>
    <w:p w14:paraId="15B7F2CF" w14:textId="77777777" w:rsidR="001E4C25" w:rsidRPr="00A6026D" w:rsidRDefault="001E4C25" w:rsidP="007E6460">
      <w:pPr>
        <w:numPr>
          <w:ilvl w:val="0"/>
          <w:numId w:val="33"/>
        </w:numPr>
        <w:spacing w:after="0"/>
        <w:ind w:left="360"/>
        <w:jc w:val="both"/>
        <w:rPr>
          <w:rFonts w:ascii="Arial" w:hAnsi="Arial" w:cs="Arial"/>
          <w:b/>
          <w:color w:val="365F91" w:themeColor="accent1" w:themeShade="BF"/>
        </w:rPr>
      </w:pPr>
      <w:r w:rsidRPr="00A6026D">
        <w:rPr>
          <w:rFonts w:ascii="Arial" w:hAnsi="Arial" w:cs="Arial"/>
          <w:b/>
          <w:color w:val="365F91" w:themeColor="accent1" w:themeShade="BF"/>
        </w:rPr>
        <w:t>Review educational and clinical curricula on an ongoing basis in order to increase awareness of the diversity of youth in DYS care.</w:t>
      </w:r>
    </w:p>
    <w:p w14:paraId="4CEAB0E9" w14:textId="77777777" w:rsidR="001E4C25" w:rsidRPr="001E4C25" w:rsidRDefault="001E4C25" w:rsidP="003D28B1">
      <w:pPr>
        <w:spacing w:after="0"/>
        <w:jc w:val="both"/>
        <w:rPr>
          <w:rFonts w:ascii="Arial" w:hAnsi="Arial" w:cs="Arial"/>
        </w:rPr>
      </w:pPr>
    </w:p>
    <w:p w14:paraId="6291BFF2" w14:textId="43660442" w:rsidR="008159A7" w:rsidRDefault="001E4C25" w:rsidP="001E4C25">
      <w:pPr>
        <w:spacing w:after="0"/>
        <w:jc w:val="both"/>
        <w:rPr>
          <w:rFonts w:ascii="Arial" w:hAnsi="Arial" w:cs="Arial"/>
        </w:rPr>
      </w:pPr>
      <w:r w:rsidRPr="001E4C25">
        <w:rPr>
          <w:rFonts w:ascii="Arial" w:hAnsi="Arial" w:cs="Arial"/>
        </w:rPr>
        <w:t xml:space="preserve">The Commission appreciates the work that DYS has done to </w:t>
      </w:r>
      <w:r w:rsidR="008159A7">
        <w:rPr>
          <w:rFonts w:ascii="Arial" w:hAnsi="Arial" w:cs="Arial"/>
        </w:rPr>
        <w:t>make</w:t>
      </w:r>
      <w:r w:rsidRPr="001E4C25">
        <w:rPr>
          <w:rFonts w:ascii="Arial" w:hAnsi="Arial" w:cs="Arial"/>
        </w:rPr>
        <w:t xml:space="preserve"> its educational and clinical curricula LGBTQ-inclusive. Given that information </w:t>
      </w:r>
      <w:r w:rsidR="008159A7">
        <w:rPr>
          <w:rFonts w:ascii="Arial" w:hAnsi="Arial" w:cs="Arial"/>
        </w:rPr>
        <w:t>on</w:t>
      </w:r>
      <w:r w:rsidRPr="001E4C25">
        <w:rPr>
          <w:rFonts w:ascii="Arial" w:hAnsi="Arial" w:cs="Arial"/>
        </w:rPr>
        <w:t xml:space="preserve"> provision of services to this population is rapidly expanding, the Commission recommends that DYS continue to </w:t>
      </w:r>
      <w:r>
        <w:rPr>
          <w:rFonts w:ascii="Arial" w:hAnsi="Arial" w:cs="Arial"/>
        </w:rPr>
        <w:t>regularly review and update these</w:t>
      </w:r>
      <w:r w:rsidRPr="001E4C25">
        <w:rPr>
          <w:rFonts w:ascii="Arial" w:hAnsi="Arial" w:cs="Arial"/>
        </w:rPr>
        <w:t xml:space="preserve"> curricula as appropriate. The Commission </w:t>
      </w:r>
      <w:r w:rsidR="00FF2903">
        <w:rPr>
          <w:rFonts w:ascii="Arial" w:hAnsi="Arial" w:cs="Arial"/>
        </w:rPr>
        <w:t>looks forward to sharing updated research and research with DYS when possible</w:t>
      </w:r>
    </w:p>
    <w:p w14:paraId="0C7D96EF" w14:textId="77777777" w:rsidR="008159A7" w:rsidRPr="001E4C25" w:rsidRDefault="008159A7" w:rsidP="001E4C25">
      <w:pPr>
        <w:spacing w:after="0"/>
        <w:jc w:val="both"/>
        <w:rPr>
          <w:rFonts w:ascii="Arial" w:hAnsi="Arial" w:cs="Arial"/>
        </w:rPr>
      </w:pPr>
    </w:p>
    <w:p w14:paraId="49141781" w14:textId="77777777" w:rsidR="001E4C25" w:rsidRPr="00A6026D" w:rsidRDefault="001E4C25" w:rsidP="007E6460">
      <w:pPr>
        <w:numPr>
          <w:ilvl w:val="0"/>
          <w:numId w:val="33"/>
        </w:numPr>
        <w:spacing w:after="0"/>
        <w:ind w:left="360"/>
        <w:jc w:val="both"/>
        <w:rPr>
          <w:rFonts w:ascii="Arial" w:hAnsi="Arial" w:cs="Arial"/>
          <w:b/>
          <w:color w:val="365F91" w:themeColor="accent1" w:themeShade="BF"/>
        </w:rPr>
      </w:pPr>
      <w:r w:rsidRPr="00A6026D">
        <w:rPr>
          <w:rFonts w:ascii="Arial" w:hAnsi="Arial" w:cs="Arial"/>
          <w:b/>
          <w:color w:val="365F91" w:themeColor="accent1" w:themeShade="BF"/>
        </w:rPr>
        <w:t>Continue to provide LGBTQ training curriculum for existing and incoming staff and vendors, and evaluate the effectiveness of such trainings.</w:t>
      </w:r>
    </w:p>
    <w:p w14:paraId="22D6910C" w14:textId="77777777" w:rsidR="001E4C25" w:rsidRPr="001E4C25" w:rsidRDefault="001E4C25" w:rsidP="003D28B1">
      <w:pPr>
        <w:spacing w:after="0"/>
        <w:jc w:val="both"/>
        <w:rPr>
          <w:rFonts w:ascii="Arial" w:hAnsi="Arial" w:cs="Arial"/>
        </w:rPr>
      </w:pPr>
    </w:p>
    <w:p w14:paraId="1C874364" w14:textId="0210CD04" w:rsidR="001E4C25" w:rsidRPr="001E4C25" w:rsidRDefault="009619C1" w:rsidP="001E4C25">
      <w:pPr>
        <w:spacing w:after="0"/>
        <w:jc w:val="both"/>
        <w:rPr>
          <w:rFonts w:ascii="Arial" w:hAnsi="Arial" w:cs="Arial"/>
        </w:rPr>
      </w:pPr>
      <w:r>
        <w:rPr>
          <w:rFonts w:ascii="Arial" w:hAnsi="Arial" w:cs="Arial"/>
          <w:noProof/>
        </w:rPr>
        <mc:AlternateContent>
          <mc:Choice Requires="wps">
            <w:drawing>
              <wp:anchor distT="0" distB="0" distL="114300" distR="114300" simplePos="0" relativeHeight="251821056" behindDoc="0" locked="0" layoutInCell="1" allowOverlap="1" wp14:anchorId="5FEF1808" wp14:editId="0D365413">
                <wp:simplePos x="0" y="0"/>
                <wp:positionH relativeFrom="column">
                  <wp:posOffset>-32385</wp:posOffset>
                </wp:positionH>
                <wp:positionV relativeFrom="paragraph">
                  <wp:posOffset>2540635</wp:posOffset>
                </wp:positionV>
                <wp:extent cx="6028055" cy="1413510"/>
                <wp:effectExtent l="0" t="0" r="10795" b="15240"/>
                <wp:wrapSquare wrapText="bothSides"/>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8055" cy="1413510"/>
                        </a:xfrm>
                        <a:prstGeom prst="rect">
                          <a:avLst/>
                        </a:prstGeom>
                        <a:solidFill>
                          <a:schemeClr val="lt1"/>
                        </a:solidFill>
                        <a:ln w="19050">
                          <a:solidFill>
                            <a:srgbClr val="FFBC37"/>
                          </a:solidFill>
                        </a:ln>
                      </wps:spPr>
                      <wps:txbx>
                        <w:txbxContent>
                          <w:p w14:paraId="60B7053A" w14:textId="77777777" w:rsidR="00411ECA" w:rsidRPr="0011098F" w:rsidRDefault="00411ECA" w:rsidP="008159A7">
                            <w:pPr>
                              <w:spacing w:after="0"/>
                              <w:jc w:val="both"/>
                              <w:rPr>
                                <w:rFonts w:ascii="Arial" w:hAnsi="Arial" w:cs="Arial"/>
                                <w:i/>
                              </w:rPr>
                            </w:pPr>
                            <w:r w:rsidRPr="0011098F">
                              <w:rPr>
                                <w:rFonts w:ascii="Arial" w:hAnsi="Arial" w:cs="Arial"/>
                                <w:i/>
                              </w:rPr>
                              <w:t>“A challenge for us is accessing more curricula. A lot of the things we come across are very heteronormative. We’re trying to piecemeal them. It’s like, this doesn’t reflect me or my life or my family. That’s really tough when you want to provide services and you want to reflect</w:t>
                            </w:r>
                            <w:r>
                              <w:rPr>
                                <w:rFonts w:ascii="Arial" w:hAnsi="Arial" w:cs="Arial"/>
                                <w:i/>
                              </w:rPr>
                              <w:t xml:space="preserve"> the population you’re serving… </w:t>
                            </w:r>
                            <w:r w:rsidRPr="0011098F">
                              <w:rPr>
                                <w:rFonts w:ascii="Arial" w:hAnsi="Arial" w:cs="Arial"/>
                                <w:i/>
                              </w:rPr>
                              <w:t>We’re human services and we’re well intentioned, but I don’t want to leave that population out. Our youth have educated us on a lot of things we didn’t know.”</w:t>
                            </w:r>
                          </w:p>
                          <w:p w14:paraId="68506C04" w14:textId="77777777" w:rsidR="00411ECA" w:rsidRPr="00A141F3" w:rsidRDefault="00411ECA" w:rsidP="008159A7">
                            <w:pPr>
                              <w:spacing w:after="0"/>
                              <w:jc w:val="both"/>
                              <w:rPr>
                                <w:rFonts w:ascii="Arial" w:hAnsi="Arial" w:cs="Arial"/>
                              </w:rPr>
                            </w:pPr>
                          </w:p>
                          <w:p w14:paraId="704CCF82" w14:textId="77777777" w:rsidR="00411ECA" w:rsidRPr="007E6460" w:rsidRDefault="00411ECA" w:rsidP="007E6460">
                            <w:pPr>
                              <w:spacing w:after="0"/>
                              <w:jc w:val="both"/>
                              <w:rPr>
                                <w:rFonts w:ascii="Arial" w:hAnsi="Arial" w:cs="Arial"/>
                              </w:rPr>
                            </w:pPr>
                            <w:r w:rsidRPr="00A141F3">
                              <w:rPr>
                                <w:rFonts w:ascii="Arial" w:hAnsi="Arial" w:cs="Arial"/>
                              </w:rPr>
                              <w:t>– Service Provi</w:t>
                            </w:r>
                            <w:r>
                              <w:rPr>
                                <w:rFonts w:ascii="Arial" w:hAnsi="Arial" w:cs="Arial"/>
                              </w:rPr>
                              <w:t>der, Southeastern Massachusetts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52" type="#_x0000_t202" style="position:absolute;left:0;text-align:left;margin-left:-2.55pt;margin-top:200.05pt;width:474.65pt;height:111.3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" fillcolor="white [3201]" strokecolor="#ffbc37" strokeweight="1.5pt">
                <v:path arrowok="t"/>
                <v:textbox>
                  <w:txbxContent>
                    <w:p w14:paraId="60B7053A" w14:textId="77777777" w:rsidR="00411ECA" w:rsidRPr="0011098F" w:rsidRDefault="00411ECA" w:rsidP="008159A7">
                      <w:pPr>
                        <w:spacing w:after="0"/>
                        <w:jc w:val="both"/>
                        <w:rPr>
                          <w:rFonts w:ascii="Arial" w:hAnsi="Arial" w:cs="Arial"/>
                          <w:i/>
                        </w:rPr>
                      </w:pPr>
                      <w:r w:rsidRPr="0011098F">
                        <w:rPr>
                          <w:rFonts w:ascii="Arial" w:hAnsi="Arial" w:cs="Arial"/>
                          <w:i/>
                        </w:rPr>
                        <w:t>“A challenge for us is accessing more curricula. A lot of the things we come across are very heteronormative. We’re trying to piecemeal them. It’s like, this doesn’t reflect me or my life or my family. That’s really tough when you want to provide services and you want to reflect</w:t>
                      </w:r>
                      <w:r>
                        <w:rPr>
                          <w:rFonts w:ascii="Arial" w:hAnsi="Arial" w:cs="Arial"/>
                          <w:i/>
                        </w:rPr>
                        <w:t xml:space="preserve"> the population you’re serving… </w:t>
                      </w:r>
                      <w:r w:rsidRPr="0011098F">
                        <w:rPr>
                          <w:rFonts w:ascii="Arial" w:hAnsi="Arial" w:cs="Arial"/>
                          <w:i/>
                        </w:rPr>
                        <w:t>We’re human services and we’re well intentioned, but I don’t want to leave that population out. Our youth have educated us on a lot of things we didn’t know.”</w:t>
                      </w:r>
                    </w:p>
                    <w:p w14:paraId="68506C04" w14:textId="77777777" w:rsidR="00411ECA" w:rsidRPr="00A141F3" w:rsidRDefault="00411ECA" w:rsidP="008159A7">
                      <w:pPr>
                        <w:spacing w:after="0"/>
                        <w:jc w:val="both"/>
                        <w:rPr>
                          <w:rFonts w:ascii="Arial" w:hAnsi="Arial" w:cs="Arial"/>
                        </w:rPr>
                      </w:pPr>
                    </w:p>
                    <w:p w14:paraId="704CCF82" w14:textId="77777777" w:rsidR="00411ECA" w:rsidRPr="007E6460" w:rsidRDefault="00411ECA" w:rsidP="007E6460">
                      <w:pPr>
                        <w:spacing w:after="0"/>
                        <w:jc w:val="both"/>
                        <w:rPr>
                          <w:rFonts w:ascii="Arial" w:hAnsi="Arial" w:cs="Arial"/>
                        </w:rPr>
                      </w:pPr>
                      <w:r w:rsidRPr="00A141F3">
                        <w:rPr>
                          <w:rFonts w:ascii="Arial" w:hAnsi="Arial" w:cs="Arial"/>
                        </w:rPr>
                        <w:t>– Service Provi</w:t>
                      </w:r>
                      <w:r>
                        <w:rPr>
                          <w:rFonts w:ascii="Arial" w:hAnsi="Arial" w:cs="Arial"/>
                        </w:rPr>
                        <w:t>der, Southeastern Massachusetts</w:t>
                      </w:r>
                    </w:p>
                  </w:txbxContent>
                </v:textbox>
                <w10:wrap type="square"/>
              </v:shape>
            </w:pict>
          </mc:Fallback>
        </mc:AlternateContent>
      </w:r>
      <w:r w:rsidR="001E4C25" w:rsidRPr="001E4C25">
        <w:rPr>
          <w:rFonts w:ascii="Arial" w:hAnsi="Arial" w:cs="Arial"/>
        </w:rPr>
        <w:t xml:space="preserve">The Commission commends DYS for implementing LGBTQ competency training for every member of its staff, thus providing an excellent example for other state agencies to achieve the Commission’s core recommendation on implementing such training (see page </w:t>
      </w:r>
      <w:r w:rsidR="005A49CA">
        <w:rPr>
          <w:rFonts w:ascii="Arial" w:hAnsi="Arial" w:cs="Arial"/>
        </w:rPr>
        <w:t>7</w:t>
      </w:r>
      <w:r w:rsidR="001E4C25" w:rsidRPr="001E4C25">
        <w:rPr>
          <w:rFonts w:ascii="Arial" w:hAnsi="Arial" w:cs="Arial"/>
        </w:rPr>
        <w:t xml:space="preserve"> above). Recently, DYS has taken the additional step of integrating </w:t>
      </w:r>
      <w:r w:rsidR="00FF2903">
        <w:rPr>
          <w:rFonts w:ascii="Arial" w:hAnsi="Arial" w:cs="Arial"/>
        </w:rPr>
        <w:t>this</w:t>
      </w:r>
      <w:r w:rsidR="00197F89">
        <w:rPr>
          <w:rFonts w:ascii="Arial" w:hAnsi="Arial" w:cs="Arial"/>
        </w:rPr>
        <w:t xml:space="preserve"> LGBTQ competency training</w:t>
      </w:r>
      <w:r w:rsidR="001E4C25" w:rsidRPr="001E4C25">
        <w:rPr>
          <w:rFonts w:ascii="Arial" w:hAnsi="Arial" w:cs="Arial"/>
        </w:rPr>
        <w:t xml:space="preserve"> into its basic training, thus ensuring that DYS staff receive </w:t>
      </w:r>
      <w:r w:rsidR="00197F89">
        <w:rPr>
          <w:rFonts w:ascii="Arial" w:hAnsi="Arial" w:cs="Arial"/>
        </w:rPr>
        <w:t>instruction</w:t>
      </w:r>
      <w:r w:rsidR="00197F89" w:rsidRPr="001E4C25">
        <w:rPr>
          <w:rFonts w:ascii="Arial" w:hAnsi="Arial" w:cs="Arial"/>
        </w:rPr>
        <w:t xml:space="preserve"> </w:t>
      </w:r>
      <w:r w:rsidR="001E4C25" w:rsidRPr="001E4C25">
        <w:rPr>
          <w:rFonts w:ascii="Arial" w:hAnsi="Arial" w:cs="Arial"/>
        </w:rPr>
        <w:t xml:space="preserve">early in their tenure and in a uniform manner. The Commission appreciates the evaluation that DYS has done so far, supports its goal of conducting additional evaluation to measure the effects of this training, and encourages </w:t>
      </w:r>
      <w:r w:rsidR="00FF2903">
        <w:rPr>
          <w:rFonts w:ascii="Arial" w:hAnsi="Arial" w:cs="Arial"/>
        </w:rPr>
        <w:t>DYS</w:t>
      </w:r>
      <w:r w:rsidR="001E4C25" w:rsidRPr="001E4C25">
        <w:rPr>
          <w:rFonts w:ascii="Arial" w:hAnsi="Arial" w:cs="Arial"/>
        </w:rPr>
        <w:t xml:space="preserve"> to use this data to consider how training might be improved. The Commission also encourages DYS to continue its participation in the EOHHS interagency effort to develop a universal, online basic training. While the Commission believes that it will likely be more productive for DYS to continue its in-person training, which has components specific to the needs of DYS staff, it will be helpful to have DYS’s perspective in the interagency conversations and to see how, if at all, the online training might be useful to DYS in the future. </w:t>
      </w:r>
    </w:p>
    <w:p w14:paraId="0C31187E" w14:textId="77777777" w:rsidR="001E4C25" w:rsidRPr="001E4C25" w:rsidRDefault="001E4C25" w:rsidP="001E4C25">
      <w:pPr>
        <w:spacing w:after="0"/>
        <w:jc w:val="both"/>
        <w:rPr>
          <w:rFonts w:ascii="Arial" w:hAnsi="Arial" w:cs="Arial"/>
        </w:rPr>
      </w:pPr>
    </w:p>
    <w:p w14:paraId="52853FFC" w14:textId="77777777" w:rsidR="001E4C25" w:rsidRPr="00A6026D" w:rsidRDefault="001E4C25" w:rsidP="007E6460">
      <w:pPr>
        <w:numPr>
          <w:ilvl w:val="0"/>
          <w:numId w:val="33"/>
        </w:numPr>
        <w:spacing w:after="0"/>
        <w:ind w:left="360"/>
        <w:jc w:val="both"/>
        <w:rPr>
          <w:rFonts w:ascii="Arial" w:hAnsi="Arial" w:cs="Arial"/>
          <w:b/>
          <w:color w:val="365F91" w:themeColor="accent1" w:themeShade="BF"/>
        </w:rPr>
      </w:pPr>
      <w:r w:rsidRPr="00A6026D">
        <w:rPr>
          <w:rFonts w:ascii="Arial" w:hAnsi="Arial" w:cs="Arial"/>
          <w:b/>
          <w:color w:val="365F91" w:themeColor="accent1" w:themeShade="BF"/>
        </w:rPr>
        <w:t>Collaborate with the Commission to explore how to implement LGBTQ-inclusive material into existing curricula and programming provided to youth in its care.</w:t>
      </w:r>
    </w:p>
    <w:p w14:paraId="5CF498D0" w14:textId="77777777" w:rsidR="001E4C25" w:rsidRPr="001E4C25" w:rsidRDefault="001E4C25" w:rsidP="001E4C25">
      <w:pPr>
        <w:spacing w:after="0"/>
        <w:jc w:val="both"/>
        <w:rPr>
          <w:rFonts w:ascii="Arial" w:hAnsi="Arial" w:cs="Arial"/>
        </w:rPr>
      </w:pPr>
    </w:p>
    <w:p w14:paraId="2E973D7A" w14:textId="6D729B34" w:rsidR="001E4C25" w:rsidRPr="001E4C25" w:rsidRDefault="001E4C25" w:rsidP="001E4C25">
      <w:pPr>
        <w:spacing w:after="0"/>
        <w:jc w:val="both"/>
        <w:rPr>
          <w:rFonts w:ascii="Arial" w:hAnsi="Arial" w:cs="Arial"/>
        </w:rPr>
      </w:pPr>
      <w:r w:rsidRPr="001E4C25">
        <w:rPr>
          <w:rFonts w:ascii="Arial" w:hAnsi="Arial" w:cs="Arial"/>
        </w:rPr>
        <w:t xml:space="preserve">The Commission had previously recommended that DYS explore how to utilize youth in its care as peer leaders to increase understanding and acceptance of LGBTQ peers and thus increase safety of these youth in its care. The Commission appreciates </w:t>
      </w:r>
      <w:r w:rsidR="007E6460">
        <w:rPr>
          <w:rFonts w:ascii="Arial" w:hAnsi="Arial" w:cs="Arial"/>
        </w:rPr>
        <w:t xml:space="preserve">that DYS believes more discussion is needed on how to do this and </w:t>
      </w:r>
      <w:r w:rsidRPr="001E4C25">
        <w:rPr>
          <w:rFonts w:ascii="Arial" w:hAnsi="Arial" w:cs="Arial"/>
        </w:rPr>
        <w:t xml:space="preserve">recommends </w:t>
      </w:r>
      <w:r w:rsidR="00FF2903">
        <w:rPr>
          <w:rFonts w:ascii="Arial" w:hAnsi="Arial" w:cs="Arial"/>
        </w:rPr>
        <w:t xml:space="preserve">that </w:t>
      </w:r>
      <w:r w:rsidRPr="001E4C25">
        <w:rPr>
          <w:rFonts w:ascii="Arial" w:hAnsi="Arial" w:cs="Arial"/>
        </w:rPr>
        <w:t xml:space="preserve">DYS </w:t>
      </w:r>
      <w:r w:rsidR="00FF2903">
        <w:rPr>
          <w:rFonts w:ascii="Arial" w:hAnsi="Arial" w:cs="Arial"/>
        </w:rPr>
        <w:t>also explore incorporating</w:t>
      </w:r>
      <w:r w:rsidRPr="001E4C25">
        <w:rPr>
          <w:rFonts w:ascii="Arial" w:hAnsi="Arial" w:cs="Arial"/>
        </w:rPr>
        <w:t xml:space="preserve"> LGBTQ-inclusive material into its existing curricula, much as the Commission has worked with DESE to do in public schools. The Commission appreciates DYS’s willingness to engage in this conversation and looks forward to working </w:t>
      </w:r>
      <w:r w:rsidR="00FF2903">
        <w:rPr>
          <w:rFonts w:ascii="Arial" w:hAnsi="Arial" w:cs="Arial"/>
        </w:rPr>
        <w:t>together</w:t>
      </w:r>
      <w:r w:rsidR="00941CD4" w:rsidRPr="001E4C25">
        <w:rPr>
          <w:rFonts w:ascii="Arial" w:hAnsi="Arial" w:cs="Arial"/>
        </w:rPr>
        <w:t xml:space="preserve"> </w:t>
      </w:r>
      <w:r w:rsidRPr="001E4C25">
        <w:rPr>
          <w:rFonts w:ascii="Arial" w:hAnsi="Arial" w:cs="Arial"/>
        </w:rPr>
        <w:t xml:space="preserve">in the new fiscal year. </w:t>
      </w:r>
    </w:p>
    <w:p w14:paraId="7B1E49F5" w14:textId="77777777" w:rsidR="001E4C25" w:rsidRPr="001E4C25" w:rsidRDefault="001E4C25" w:rsidP="001E4C25">
      <w:pPr>
        <w:spacing w:after="0"/>
        <w:jc w:val="both"/>
        <w:rPr>
          <w:rFonts w:ascii="Arial" w:hAnsi="Arial" w:cs="Arial"/>
        </w:rPr>
      </w:pPr>
    </w:p>
    <w:p w14:paraId="540837A2" w14:textId="77777777" w:rsidR="001E4C25" w:rsidRPr="00A6026D" w:rsidRDefault="001E4C25" w:rsidP="007E6460">
      <w:pPr>
        <w:numPr>
          <w:ilvl w:val="0"/>
          <w:numId w:val="33"/>
        </w:numPr>
        <w:spacing w:after="0"/>
        <w:ind w:left="360"/>
        <w:jc w:val="both"/>
        <w:rPr>
          <w:rFonts w:ascii="Arial" w:hAnsi="Arial" w:cs="Arial"/>
          <w:b/>
          <w:color w:val="365F91" w:themeColor="accent1" w:themeShade="BF"/>
        </w:rPr>
      </w:pPr>
      <w:r w:rsidRPr="00A6026D">
        <w:rPr>
          <w:rFonts w:ascii="Arial" w:hAnsi="Arial" w:cs="Arial"/>
          <w:b/>
          <w:color w:val="365F91" w:themeColor="accent1" w:themeShade="BF"/>
        </w:rPr>
        <w:t>Brief the Commission on efforts to reduce and eliminate physical and sexual harassment of youth in custody, and provide any data it has on disparities in rates of such harassment affecting LGBTQ youth in custody.</w:t>
      </w:r>
    </w:p>
    <w:p w14:paraId="5A4B36F7" w14:textId="77777777" w:rsidR="001E4C25" w:rsidRPr="001E4C25" w:rsidRDefault="001E4C25" w:rsidP="001E4C25">
      <w:pPr>
        <w:spacing w:after="0"/>
        <w:jc w:val="both"/>
        <w:rPr>
          <w:rFonts w:ascii="Arial" w:hAnsi="Arial" w:cs="Arial"/>
        </w:rPr>
      </w:pPr>
    </w:p>
    <w:p w14:paraId="128877E7" w14:textId="208A4DD6" w:rsidR="001E4C25" w:rsidRPr="007E6460" w:rsidRDefault="001E4C25" w:rsidP="00F37FB7">
      <w:pPr>
        <w:spacing w:after="0"/>
        <w:jc w:val="both"/>
        <w:rPr>
          <w:rFonts w:ascii="Arial" w:hAnsi="Arial" w:cs="Arial"/>
        </w:rPr>
      </w:pPr>
      <w:r w:rsidRPr="001E4C25">
        <w:rPr>
          <w:rFonts w:ascii="Arial" w:hAnsi="Arial" w:cs="Arial"/>
        </w:rPr>
        <w:t xml:space="preserve">The work that DYS has done to improve the safety of LGBTQ youth in custody should help to decrease the risks that LGBTQ youth generally face while involved in juvenile justice systems, as described in the Commission’s research to this effect at page </w:t>
      </w:r>
      <w:r w:rsidR="005A49CA">
        <w:rPr>
          <w:rFonts w:ascii="Arial" w:hAnsi="Arial" w:cs="Arial"/>
        </w:rPr>
        <w:t>20</w:t>
      </w:r>
      <w:r w:rsidRPr="001E4C25">
        <w:rPr>
          <w:rFonts w:ascii="Arial" w:hAnsi="Arial" w:cs="Arial"/>
        </w:rPr>
        <w:t xml:space="preserve"> above. The Commission appreciates DYS’s efforts to provide it with reports that will regularly be submitted as part of the requirements under PREA</w:t>
      </w:r>
      <w:r w:rsidR="00FF2903">
        <w:rPr>
          <w:rFonts w:ascii="Arial" w:hAnsi="Arial" w:cs="Arial"/>
        </w:rPr>
        <w:t>, and looks forward to reviewing this information</w:t>
      </w:r>
      <w:r w:rsidRPr="001E4C25">
        <w:rPr>
          <w:rFonts w:ascii="Arial" w:hAnsi="Arial" w:cs="Arial"/>
        </w:rPr>
        <w:t>.</w:t>
      </w:r>
      <w:r w:rsidR="00FF2903" w:rsidRPr="007E6460">
        <w:rPr>
          <w:rFonts w:ascii="Arial" w:hAnsi="Arial" w:cs="Arial"/>
        </w:rPr>
        <w:t xml:space="preserve"> </w:t>
      </w:r>
    </w:p>
    <w:p w14:paraId="186C880D" w14:textId="77777777" w:rsidR="004733DF" w:rsidRPr="004733DF" w:rsidRDefault="00A6026D" w:rsidP="003B48A9">
      <w:pPr>
        <w:pStyle w:val="Heading1"/>
      </w:pPr>
      <w:bookmarkStart w:id="42" w:name="_Toc512947920"/>
      <w:r>
        <w:rPr>
          <w:noProof/>
        </w:rPr>
        <w:lastRenderedPageBreak/>
        <w:drawing>
          <wp:anchor distT="0" distB="0" distL="114300" distR="114300" simplePos="0" relativeHeight="251781120" behindDoc="1" locked="0" layoutInCell="0" allowOverlap="1" wp14:anchorId="7279D12E" wp14:editId="465ACF97">
            <wp:simplePos x="0" y="0"/>
            <wp:positionH relativeFrom="column">
              <wp:posOffset>4445</wp:posOffset>
            </wp:positionH>
            <wp:positionV relativeFrom="paragraph">
              <wp:posOffset>388620</wp:posOffset>
            </wp:positionV>
            <wp:extent cx="5980430" cy="27305"/>
            <wp:effectExtent l="0" t="0" r="1270" b="0"/>
            <wp:wrapNone/>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80430" cy="27305"/>
                    </a:xfrm>
                    <a:prstGeom prst="rect">
                      <a:avLst/>
                    </a:prstGeom>
                    <a:noFill/>
                  </pic:spPr>
                </pic:pic>
              </a:graphicData>
            </a:graphic>
          </wp:anchor>
        </w:drawing>
      </w:r>
      <w:r w:rsidR="004733DF" w:rsidRPr="004733DF">
        <w:t>Executive Office of Public Safety and Security</w:t>
      </w:r>
      <w:bookmarkEnd w:id="42"/>
    </w:p>
    <w:p w14:paraId="16AC17DE" w14:textId="77777777" w:rsidR="004733DF" w:rsidRPr="004733DF" w:rsidRDefault="004733DF" w:rsidP="004733DF">
      <w:pPr>
        <w:spacing w:after="0"/>
        <w:jc w:val="both"/>
        <w:rPr>
          <w:rFonts w:ascii="Arial" w:hAnsi="Arial" w:cs="Arial"/>
        </w:rPr>
      </w:pPr>
    </w:p>
    <w:p w14:paraId="631C5B84" w14:textId="77777777" w:rsidR="00A6026D" w:rsidRPr="00A6026D" w:rsidRDefault="00A6026D" w:rsidP="004733DF">
      <w:pPr>
        <w:spacing w:after="0"/>
        <w:jc w:val="both"/>
        <w:rPr>
          <w:rFonts w:ascii="Arial" w:hAnsi="Arial" w:cs="Arial"/>
          <w:b/>
          <w:u w:val="single"/>
        </w:rPr>
      </w:pPr>
    </w:p>
    <w:p w14:paraId="51EFB5D0" w14:textId="77777777" w:rsidR="004733DF" w:rsidRPr="00A6026D" w:rsidRDefault="007D4622" w:rsidP="00A6026D">
      <w:pPr>
        <w:spacing w:after="0"/>
        <w:jc w:val="center"/>
        <w:rPr>
          <w:rFonts w:ascii="Arial" w:hAnsi="Arial" w:cs="Arial"/>
          <w:b/>
          <w:u w:val="single"/>
        </w:rPr>
      </w:pPr>
      <w:r w:rsidRPr="00A6026D">
        <w:rPr>
          <w:rFonts w:ascii="Arial" w:hAnsi="Arial" w:cs="Arial"/>
          <w:b/>
          <w:u w:val="single"/>
        </w:rPr>
        <w:t>FY2019</w:t>
      </w:r>
      <w:r w:rsidR="004733DF" w:rsidRPr="00A6026D">
        <w:rPr>
          <w:rFonts w:ascii="Arial" w:hAnsi="Arial" w:cs="Arial"/>
          <w:b/>
          <w:u w:val="single"/>
        </w:rPr>
        <w:t xml:space="preserve"> RECOMMENDATIONS</w:t>
      </w:r>
    </w:p>
    <w:p w14:paraId="741EC4C0" w14:textId="77777777" w:rsidR="004733DF" w:rsidRPr="004733DF" w:rsidRDefault="004733DF" w:rsidP="004733DF">
      <w:pPr>
        <w:spacing w:after="0"/>
        <w:jc w:val="both"/>
        <w:rPr>
          <w:rFonts w:ascii="Arial" w:hAnsi="Arial" w:cs="Arial"/>
        </w:rPr>
      </w:pPr>
    </w:p>
    <w:p w14:paraId="5B6EF1EF" w14:textId="77777777" w:rsidR="00EC4314" w:rsidRPr="00A6026D" w:rsidRDefault="00EC4314" w:rsidP="00961B5D">
      <w:pPr>
        <w:numPr>
          <w:ilvl w:val="0"/>
          <w:numId w:val="24"/>
        </w:numPr>
        <w:spacing w:after="0"/>
        <w:contextualSpacing/>
        <w:jc w:val="both"/>
        <w:rPr>
          <w:rFonts w:ascii="Arial" w:hAnsi="Arial" w:cs="Arial"/>
          <w:b/>
          <w:color w:val="365F91" w:themeColor="accent1" w:themeShade="BF"/>
        </w:rPr>
      </w:pPr>
      <w:r w:rsidRPr="00A6026D">
        <w:rPr>
          <w:rFonts w:ascii="Arial" w:hAnsi="Arial" w:cs="Arial"/>
          <w:b/>
          <w:color w:val="365F91" w:themeColor="accent1" w:themeShade="BF"/>
        </w:rPr>
        <w:t xml:space="preserve">Convene an interagency committee to discuss the needs of LGBTQ young people </w:t>
      </w:r>
      <w:r w:rsidR="00A8483E">
        <w:rPr>
          <w:rFonts w:ascii="Arial" w:hAnsi="Arial" w:cs="Arial"/>
          <w:b/>
          <w:color w:val="365F91" w:themeColor="accent1" w:themeShade="BF"/>
        </w:rPr>
        <w:t xml:space="preserve">involved with EOPSS agencies </w:t>
      </w:r>
      <w:r w:rsidRPr="00A6026D">
        <w:rPr>
          <w:rFonts w:ascii="Arial" w:hAnsi="Arial" w:cs="Arial"/>
          <w:b/>
          <w:color w:val="365F91" w:themeColor="accent1" w:themeShade="BF"/>
        </w:rPr>
        <w:t>and explore options for data collection, training, and policies.</w:t>
      </w:r>
    </w:p>
    <w:p w14:paraId="4A444526" w14:textId="77777777" w:rsidR="004733DF" w:rsidRPr="004733DF" w:rsidRDefault="004733DF" w:rsidP="004733DF">
      <w:pPr>
        <w:spacing w:after="0"/>
        <w:jc w:val="both"/>
        <w:rPr>
          <w:rFonts w:ascii="Arial" w:hAnsi="Arial" w:cs="Arial"/>
        </w:rPr>
      </w:pPr>
    </w:p>
    <w:p w14:paraId="381DAF27" w14:textId="77777777" w:rsidR="004733DF" w:rsidRPr="00A6026D" w:rsidRDefault="004733DF" w:rsidP="00A6026D">
      <w:pPr>
        <w:spacing w:after="0"/>
        <w:jc w:val="center"/>
        <w:rPr>
          <w:rFonts w:ascii="Arial" w:hAnsi="Arial" w:cs="Arial"/>
          <w:b/>
          <w:u w:val="single"/>
        </w:rPr>
      </w:pPr>
      <w:r w:rsidRPr="00A6026D">
        <w:rPr>
          <w:rFonts w:ascii="Arial" w:hAnsi="Arial" w:cs="Arial"/>
          <w:b/>
          <w:u w:val="single"/>
        </w:rPr>
        <w:t>BACKGROUND &amp; RESEARCH</w:t>
      </w:r>
    </w:p>
    <w:p w14:paraId="65D537AB" w14:textId="77777777" w:rsidR="004733DF" w:rsidRPr="004733DF" w:rsidRDefault="004733DF" w:rsidP="004733DF">
      <w:pPr>
        <w:spacing w:after="0"/>
        <w:jc w:val="both"/>
        <w:rPr>
          <w:rFonts w:ascii="Arial" w:hAnsi="Arial" w:cs="Arial"/>
        </w:rPr>
      </w:pPr>
    </w:p>
    <w:p w14:paraId="3FC5866B" w14:textId="77777777" w:rsidR="007E54A8" w:rsidRDefault="007D4622" w:rsidP="004733DF">
      <w:pPr>
        <w:spacing w:after="0"/>
        <w:jc w:val="both"/>
        <w:rPr>
          <w:rFonts w:ascii="Arial" w:hAnsi="Arial" w:cs="Arial"/>
        </w:rPr>
      </w:pPr>
      <w:r w:rsidRPr="007D4622">
        <w:rPr>
          <w:rFonts w:ascii="Arial" w:hAnsi="Arial" w:cs="Arial"/>
        </w:rPr>
        <w:t xml:space="preserve">The Executive Office of Public Safety and Security (EOPSS) oversees several agencies that impact the lives of LGBTQ youth and young adults, including the State Police, Department of Correction, Sex Offender Registry Board, Municipal Police Training Committee, and Parole Board. </w:t>
      </w:r>
      <w:r w:rsidR="007E54A8">
        <w:rPr>
          <w:rFonts w:ascii="Arial" w:hAnsi="Arial" w:cs="Arial"/>
        </w:rPr>
        <w:t>In FY2018, the Commission recommended that EOPSS appoint a liaison to begin working with us on addressing the needs of LGBTQ youth involved in their agencies. EOPSS fulfilled this recommendation and held two meetings with Commission representatives during the past fiscal year to begin discussions.</w:t>
      </w:r>
    </w:p>
    <w:p w14:paraId="17C294E9" w14:textId="77777777" w:rsidR="007E54A8" w:rsidRDefault="007E54A8" w:rsidP="004733DF">
      <w:pPr>
        <w:spacing w:after="0"/>
        <w:jc w:val="both"/>
        <w:rPr>
          <w:rFonts w:ascii="Arial" w:hAnsi="Arial" w:cs="Arial"/>
        </w:rPr>
      </w:pPr>
    </w:p>
    <w:p w14:paraId="1ED7608D" w14:textId="20E44633" w:rsidR="007D4622" w:rsidRDefault="007D4622" w:rsidP="004733DF">
      <w:pPr>
        <w:spacing w:after="0"/>
        <w:jc w:val="both"/>
        <w:rPr>
          <w:rFonts w:ascii="Arial" w:hAnsi="Arial" w:cs="Arial"/>
        </w:rPr>
      </w:pPr>
      <w:r w:rsidRPr="007D4622">
        <w:rPr>
          <w:rFonts w:ascii="Arial" w:hAnsi="Arial" w:cs="Arial"/>
        </w:rPr>
        <w:t xml:space="preserve">The Commission </w:t>
      </w:r>
      <w:r w:rsidR="00FF2903">
        <w:rPr>
          <w:rFonts w:ascii="Arial" w:hAnsi="Arial" w:cs="Arial"/>
        </w:rPr>
        <w:t>has been pleased</w:t>
      </w:r>
      <w:r w:rsidR="00A8483E">
        <w:rPr>
          <w:rFonts w:ascii="Arial" w:hAnsi="Arial" w:cs="Arial"/>
        </w:rPr>
        <w:t xml:space="preserve"> by the nationally-</w:t>
      </w:r>
      <w:r w:rsidRPr="007D4622">
        <w:rPr>
          <w:rFonts w:ascii="Arial" w:hAnsi="Arial" w:cs="Arial"/>
        </w:rPr>
        <w:t>recognized work that has been accomplished within the juvenile justice system in Massachusetts</w:t>
      </w:r>
      <w:r w:rsidR="00E06353">
        <w:rPr>
          <w:rFonts w:ascii="Arial" w:hAnsi="Arial" w:cs="Arial"/>
        </w:rPr>
        <w:t>, as discussed at page 64</w:t>
      </w:r>
      <w:r w:rsidR="005E56CD">
        <w:rPr>
          <w:rFonts w:ascii="Arial" w:hAnsi="Arial" w:cs="Arial"/>
        </w:rPr>
        <w:t xml:space="preserve"> above,</w:t>
      </w:r>
      <w:r w:rsidRPr="007D4622">
        <w:rPr>
          <w:rFonts w:ascii="Arial" w:hAnsi="Arial" w:cs="Arial"/>
        </w:rPr>
        <w:t xml:space="preserve"> and hope</w:t>
      </w:r>
      <w:r w:rsidR="00BB2B2D">
        <w:rPr>
          <w:rFonts w:ascii="Arial" w:hAnsi="Arial" w:cs="Arial"/>
        </w:rPr>
        <w:t>s</w:t>
      </w:r>
      <w:r w:rsidRPr="007D4622">
        <w:rPr>
          <w:rFonts w:ascii="Arial" w:hAnsi="Arial" w:cs="Arial"/>
        </w:rPr>
        <w:t xml:space="preserve"> that the momentum from these efforts will carry forward throughout the agencies </w:t>
      </w:r>
      <w:r w:rsidR="00A8483E">
        <w:rPr>
          <w:rFonts w:ascii="Arial" w:hAnsi="Arial" w:cs="Arial"/>
        </w:rPr>
        <w:t>under</w:t>
      </w:r>
      <w:r w:rsidRPr="007D4622">
        <w:rPr>
          <w:rFonts w:ascii="Arial" w:hAnsi="Arial" w:cs="Arial"/>
        </w:rPr>
        <w:t xml:space="preserve"> EOPSS. There are several positive training initiatives that provide a precedent for working on LGBTQ issues within public safety sectors, including LGBTQ cultural competency</w:t>
      </w:r>
      <w:r w:rsidR="005E56CD">
        <w:rPr>
          <w:rFonts w:ascii="Arial" w:hAnsi="Arial" w:cs="Arial"/>
        </w:rPr>
        <w:t xml:space="preserve"> trainings</w:t>
      </w:r>
      <w:r w:rsidRPr="007D4622">
        <w:rPr>
          <w:rFonts w:ascii="Arial" w:hAnsi="Arial" w:cs="Arial"/>
        </w:rPr>
        <w:t xml:space="preserve"> undertaken by the Cambridge Police Department. </w:t>
      </w:r>
    </w:p>
    <w:p w14:paraId="479FB3A6" w14:textId="77777777" w:rsidR="007D4622" w:rsidRDefault="007D4622" w:rsidP="004733DF">
      <w:pPr>
        <w:spacing w:after="0"/>
        <w:jc w:val="both"/>
        <w:rPr>
          <w:rFonts w:ascii="Arial" w:hAnsi="Arial" w:cs="Arial"/>
        </w:rPr>
      </w:pPr>
    </w:p>
    <w:p w14:paraId="54BBCA82" w14:textId="4139C2F2" w:rsidR="004733DF" w:rsidRPr="004733DF" w:rsidRDefault="004733DF" w:rsidP="004733DF">
      <w:pPr>
        <w:spacing w:after="0"/>
        <w:jc w:val="both"/>
        <w:rPr>
          <w:rFonts w:ascii="Arial" w:hAnsi="Arial" w:cs="Arial"/>
        </w:rPr>
      </w:pPr>
      <w:r w:rsidRPr="004733DF">
        <w:rPr>
          <w:rFonts w:ascii="Arial" w:hAnsi="Arial" w:cs="Arial"/>
        </w:rPr>
        <w:t xml:space="preserve">Homelessness, financial insecurity, family rejection, and poor school climates mean that LGBTQ young people are disproportionately likely to come into contact with the public safety and criminal justice systems. Often, these interactions start while youth are still minors and continue into their early adulthood. For </w:t>
      </w:r>
      <w:r w:rsidR="00ED1B5A">
        <w:rPr>
          <w:rFonts w:ascii="Arial" w:hAnsi="Arial" w:cs="Arial"/>
        </w:rPr>
        <w:t>instance</w:t>
      </w:r>
      <w:r w:rsidR="00532F4B">
        <w:rPr>
          <w:rFonts w:ascii="Arial" w:hAnsi="Arial" w:cs="Arial"/>
        </w:rPr>
        <w:t>, a national study shows that</w:t>
      </w:r>
      <w:r w:rsidRPr="004733DF">
        <w:rPr>
          <w:rFonts w:ascii="Arial" w:hAnsi="Arial" w:cs="Arial"/>
        </w:rPr>
        <w:t xml:space="preserve"> lesbian, bisexual, and questioning girls in detention are approximately twice as likely as their heterosexual peers to have been detained for engaging in the sex trade, and gay, bisexual, and questioning boys are appr</w:t>
      </w:r>
      <w:r w:rsidR="00B226ED">
        <w:rPr>
          <w:rFonts w:ascii="Arial" w:hAnsi="Arial" w:cs="Arial"/>
        </w:rPr>
        <w:t>oximately ten times as likely.</w:t>
      </w:r>
      <w:r w:rsidR="00B226ED">
        <w:rPr>
          <w:rStyle w:val="EndnoteReference"/>
          <w:rFonts w:ascii="Arial" w:hAnsi="Arial" w:cs="Arial"/>
        </w:rPr>
        <w:endnoteReference w:id="215"/>
      </w:r>
      <w:r w:rsidRPr="004733DF">
        <w:rPr>
          <w:rFonts w:ascii="Arial" w:hAnsi="Arial" w:cs="Arial"/>
        </w:rPr>
        <w:t xml:space="preserve"> LGBTQ youth are also more likely than their</w:t>
      </w:r>
      <w:r w:rsidR="00ED1B5A">
        <w:rPr>
          <w:rFonts w:ascii="Arial" w:hAnsi="Arial" w:cs="Arial"/>
        </w:rPr>
        <w:t xml:space="preserve"> non-LGBTQ</w:t>
      </w:r>
      <w:r w:rsidRPr="004733DF">
        <w:rPr>
          <w:rFonts w:ascii="Arial" w:hAnsi="Arial" w:cs="Arial"/>
        </w:rPr>
        <w:t xml:space="preserve"> peers to be detained for status offenses such as truancy, running away from home,</w:t>
      </w:r>
      <w:r w:rsidR="00B226ED">
        <w:rPr>
          <w:rFonts w:ascii="Arial" w:hAnsi="Arial" w:cs="Arial"/>
        </w:rPr>
        <w:t xml:space="preserve"> and probation violations.</w:t>
      </w:r>
      <w:r w:rsidR="00B226ED">
        <w:rPr>
          <w:rStyle w:val="EndnoteReference"/>
          <w:rFonts w:ascii="Arial" w:hAnsi="Arial" w:cs="Arial"/>
        </w:rPr>
        <w:endnoteReference w:id="216"/>
      </w:r>
      <w:r w:rsidR="005E56CD">
        <w:rPr>
          <w:rFonts w:ascii="Arial" w:hAnsi="Arial" w:cs="Arial"/>
        </w:rPr>
        <w:t xml:space="preserve"> </w:t>
      </w:r>
    </w:p>
    <w:p w14:paraId="4354C9F3" w14:textId="77777777" w:rsidR="004733DF" w:rsidRPr="004733DF" w:rsidRDefault="004733DF" w:rsidP="004733DF">
      <w:pPr>
        <w:spacing w:after="0"/>
        <w:jc w:val="both"/>
        <w:rPr>
          <w:rFonts w:ascii="Arial" w:hAnsi="Arial" w:cs="Arial"/>
        </w:rPr>
      </w:pPr>
    </w:p>
    <w:p w14:paraId="26D43842" w14:textId="53F6D2CE" w:rsidR="004733DF" w:rsidRPr="004733DF" w:rsidRDefault="004733DF" w:rsidP="004733DF">
      <w:pPr>
        <w:spacing w:after="0"/>
        <w:jc w:val="both"/>
        <w:rPr>
          <w:rFonts w:ascii="Arial" w:hAnsi="Arial" w:cs="Arial"/>
        </w:rPr>
      </w:pPr>
      <w:r w:rsidRPr="004733DF">
        <w:rPr>
          <w:rFonts w:ascii="Arial" w:hAnsi="Arial" w:cs="Arial"/>
        </w:rPr>
        <w:t>Indeed, national research found that nearly three quarters of all LGBTQ people and people living with HIV had contact with police in the previous five years.</w:t>
      </w:r>
      <w:r w:rsidR="005E56CD">
        <w:rPr>
          <w:rStyle w:val="EndnoteReference"/>
          <w:rFonts w:ascii="Arial" w:hAnsi="Arial" w:cs="Arial"/>
        </w:rPr>
        <w:endnoteReference w:id="217"/>
      </w:r>
      <w:r w:rsidRPr="004733DF">
        <w:rPr>
          <w:rFonts w:ascii="Arial" w:hAnsi="Arial" w:cs="Arial"/>
        </w:rPr>
        <w:t xml:space="preserve"> Additionally, a quarter of respondents who recently had contact with police r</w:t>
      </w:r>
      <w:r w:rsidR="00B226ED">
        <w:rPr>
          <w:rFonts w:ascii="Arial" w:hAnsi="Arial" w:cs="Arial"/>
        </w:rPr>
        <w:t xml:space="preserve">eported experiencing misconduct </w:t>
      </w:r>
      <w:r w:rsidRPr="004733DF">
        <w:rPr>
          <w:rFonts w:ascii="Arial" w:hAnsi="Arial" w:cs="Arial"/>
        </w:rPr>
        <w:t>or harassment, such as profiling, false arrests, verbal or physical assault, or sexual harassment or assault, with higher rates among LGBTQ respondents of col</w:t>
      </w:r>
      <w:r w:rsidR="00B226ED">
        <w:rPr>
          <w:rFonts w:ascii="Arial" w:hAnsi="Arial" w:cs="Arial"/>
        </w:rPr>
        <w:t>or and low-income respondents.</w:t>
      </w:r>
      <w:r w:rsidR="00B226ED">
        <w:rPr>
          <w:rStyle w:val="EndnoteReference"/>
          <w:rFonts w:ascii="Arial" w:hAnsi="Arial" w:cs="Arial"/>
        </w:rPr>
        <w:endnoteReference w:id="218"/>
      </w:r>
    </w:p>
    <w:p w14:paraId="367F12AB" w14:textId="77777777" w:rsidR="004733DF" w:rsidRPr="004733DF" w:rsidRDefault="004733DF" w:rsidP="004733DF">
      <w:pPr>
        <w:spacing w:after="0"/>
        <w:jc w:val="both"/>
        <w:rPr>
          <w:rFonts w:ascii="Arial" w:hAnsi="Arial" w:cs="Arial"/>
        </w:rPr>
      </w:pPr>
    </w:p>
    <w:p w14:paraId="43FC0A08" w14:textId="49BD8913" w:rsidR="00DE30A9" w:rsidRDefault="004733DF" w:rsidP="004733DF">
      <w:pPr>
        <w:spacing w:after="0"/>
        <w:jc w:val="both"/>
        <w:rPr>
          <w:rFonts w:ascii="Arial" w:hAnsi="Arial" w:cs="Arial"/>
        </w:rPr>
      </w:pPr>
      <w:r w:rsidRPr="004733DF">
        <w:rPr>
          <w:rFonts w:ascii="Arial" w:hAnsi="Arial" w:cs="Arial"/>
        </w:rPr>
        <w:lastRenderedPageBreak/>
        <w:t xml:space="preserve">Within detention settings, LGBTQ individuals are at increased risk for violence and victimization. While </w:t>
      </w:r>
      <w:r w:rsidR="00BB2B2D">
        <w:rPr>
          <w:rFonts w:ascii="Arial" w:hAnsi="Arial" w:cs="Arial"/>
        </w:rPr>
        <w:t>the Commission has</w:t>
      </w:r>
      <w:r w:rsidRPr="004733DF">
        <w:rPr>
          <w:rFonts w:ascii="Arial" w:hAnsi="Arial" w:cs="Arial"/>
        </w:rPr>
        <w:t xml:space="preserve"> relatively little data specific to Massachusetts, data from the Bureau of Justice Statistics suggest that nationally, non-heterosexual prison inmates experience sexual victimization from other inmates at about ten times the rate of their heterosexual counterparts, and that they experience sexual victimization from staff at more than twice the rate of </w:t>
      </w:r>
      <w:r w:rsidR="00B226ED">
        <w:rPr>
          <w:rFonts w:ascii="Arial" w:hAnsi="Arial" w:cs="Arial"/>
        </w:rPr>
        <w:t>heterosexual inmates.</w:t>
      </w:r>
      <w:r w:rsidR="00B226ED">
        <w:rPr>
          <w:rStyle w:val="EndnoteReference"/>
          <w:rFonts w:ascii="Arial" w:hAnsi="Arial" w:cs="Arial"/>
        </w:rPr>
        <w:endnoteReference w:id="219"/>
      </w:r>
      <w:r w:rsidRPr="004733DF">
        <w:rPr>
          <w:rFonts w:ascii="Arial" w:hAnsi="Arial" w:cs="Arial"/>
        </w:rPr>
        <w:t xml:space="preserve"> In addition to specific experiences of violence, stigma can have a significant impact on LGBTQ incarcerated people</w:t>
      </w:r>
      <w:r w:rsidR="002539AF">
        <w:rPr>
          <w:rFonts w:ascii="Arial" w:hAnsi="Arial" w:cs="Arial"/>
        </w:rPr>
        <w:t>.</w:t>
      </w:r>
      <w:r w:rsidRPr="004733DF">
        <w:rPr>
          <w:rFonts w:ascii="Arial" w:hAnsi="Arial" w:cs="Arial"/>
        </w:rPr>
        <w:t xml:space="preserve"> </w:t>
      </w:r>
      <w:r w:rsidR="002539AF">
        <w:rPr>
          <w:rFonts w:ascii="Arial" w:hAnsi="Arial" w:cs="Arial"/>
        </w:rPr>
        <w:t>O</w:t>
      </w:r>
      <w:r w:rsidRPr="004733DF">
        <w:rPr>
          <w:rFonts w:ascii="Arial" w:hAnsi="Arial" w:cs="Arial"/>
        </w:rPr>
        <w:t>ne survey of LGBTQ prisoners found that 70 percent of respondents had experienced emotional pain from hiding their sexuality, and 78 percent of transgender respondents had experienced pain from</w:t>
      </w:r>
      <w:r w:rsidR="00B226ED">
        <w:rPr>
          <w:rFonts w:ascii="Arial" w:hAnsi="Arial" w:cs="Arial"/>
        </w:rPr>
        <w:t xml:space="preserve"> hiding their gender identity.</w:t>
      </w:r>
      <w:r w:rsidR="00B226ED">
        <w:rPr>
          <w:rStyle w:val="EndnoteReference"/>
          <w:rFonts w:ascii="Arial" w:hAnsi="Arial" w:cs="Arial"/>
        </w:rPr>
        <w:endnoteReference w:id="220"/>
      </w:r>
      <w:r w:rsidR="005D63CC">
        <w:rPr>
          <w:rFonts w:ascii="Arial" w:hAnsi="Arial" w:cs="Arial"/>
        </w:rPr>
        <w:t xml:space="preserve"> </w:t>
      </w:r>
    </w:p>
    <w:p w14:paraId="37199B91" w14:textId="77777777" w:rsidR="00DE30A9" w:rsidRDefault="00DE30A9" w:rsidP="004733DF">
      <w:pPr>
        <w:spacing w:after="0"/>
        <w:jc w:val="both"/>
        <w:rPr>
          <w:rFonts w:ascii="Arial" w:hAnsi="Arial" w:cs="Arial"/>
        </w:rPr>
      </w:pPr>
    </w:p>
    <w:p w14:paraId="6C71C82A" w14:textId="77777777" w:rsidR="004733DF" w:rsidRPr="004733DF" w:rsidRDefault="00DE30A9" w:rsidP="004733DF">
      <w:pPr>
        <w:spacing w:after="0"/>
        <w:jc w:val="both"/>
        <w:rPr>
          <w:rFonts w:ascii="Arial" w:hAnsi="Arial" w:cs="Arial"/>
        </w:rPr>
      </w:pPr>
      <w:r>
        <w:rPr>
          <w:rFonts w:ascii="Arial" w:hAnsi="Arial" w:cs="Arial"/>
        </w:rPr>
        <w:t>Detailed</w:t>
      </w:r>
      <w:r w:rsidR="005D63CC">
        <w:rPr>
          <w:rFonts w:ascii="Arial" w:hAnsi="Arial" w:cs="Arial"/>
        </w:rPr>
        <w:t xml:space="preserve"> information on the experiences of LGBTQ youth in the criminal justice system can be found on page </w:t>
      </w:r>
      <w:r w:rsidR="005A49CA">
        <w:rPr>
          <w:rFonts w:ascii="Arial" w:hAnsi="Arial" w:cs="Arial"/>
        </w:rPr>
        <w:t>20</w:t>
      </w:r>
      <w:r>
        <w:rPr>
          <w:rFonts w:ascii="Arial" w:hAnsi="Arial" w:cs="Arial"/>
        </w:rPr>
        <w:t>.</w:t>
      </w:r>
      <w:r w:rsidR="005D63CC">
        <w:rPr>
          <w:rFonts w:ascii="Arial" w:hAnsi="Arial" w:cs="Arial"/>
        </w:rPr>
        <w:t xml:space="preserve"> </w:t>
      </w:r>
    </w:p>
    <w:p w14:paraId="6418DFD4" w14:textId="77777777" w:rsidR="004733DF" w:rsidRPr="004733DF" w:rsidRDefault="004733DF" w:rsidP="004733DF">
      <w:pPr>
        <w:spacing w:after="0"/>
        <w:jc w:val="both"/>
        <w:rPr>
          <w:rFonts w:ascii="Arial" w:hAnsi="Arial" w:cs="Arial"/>
        </w:rPr>
      </w:pPr>
    </w:p>
    <w:p w14:paraId="294FA980" w14:textId="77777777" w:rsidR="004733DF" w:rsidRPr="00A6026D" w:rsidRDefault="004733DF" w:rsidP="00A6026D">
      <w:pPr>
        <w:spacing w:after="0"/>
        <w:jc w:val="center"/>
        <w:rPr>
          <w:rFonts w:ascii="Arial" w:hAnsi="Arial" w:cs="Arial"/>
          <w:b/>
          <w:u w:val="single"/>
        </w:rPr>
      </w:pPr>
      <w:r w:rsidRPr="00A6026D">
        <w:rPr>
          <w:rFonts w:ascii="Arial" w:hAnsi="Arial" w:cs="Arial"/>
          <w:b/>
          <w:u w:val="single"/>
        </w:rPr>
        <w:t>EXPANDED RECOMMENDATIONS</w:t>
      </w:r>
    </w:p>
    <w:p w14:paraId="70265309" w14:textId="77777777" w:rsidR="00771606" w:rsidRDefault="00771606" w:rsidP="00F37FB7">
      <w:pPr>
        <w:spacing w:after="0"/>
        <w:jc w:val="both"/>
        <w:rPr>
          <w:rFonts w:ascii="Arial" w:hAnsi="Arial" w:cs="Arial"/>
        </w:rPr>
      </w:pPr>
    </w:p>
    <w:p w14:paraId="094C81AD" w14:textId="77777777" w:rsidR="007E54A8" w:rsidRPr="00A6026D" w:rsidRDefault="007E54A8" w:rsidP="00961B5D">
      <w:pPr>
        <w:pStyle w:val="ListParagraph"/>
        <w:numPr>
          <w:ilvl w:val="0"/>
          <w:numId w:val="25"/>
        </w:numPr>
        <w:spacing w:after="0"/>
        <w:jc w:val="both"/>
        <w:rPr>
          <w:rFonts w:ascii="Arial" w:hAnsi="Arial" w:cs="Arial"/>
          <w:b/>
          <w:color w:val="365F91" w:themeColor="accent1" w:themeShade="BF"/>
        </w:rPr>
      </w:pPr>
      <w:r w:rsidRPr="00A6026D">
        <w:rPr>
          <w:rFonts w:ascii="Arial" w:hAnsi="Arial" w:cs="Arial"/>
          <w:b/>
          <w:color w:val="365F91" w:themeColor="accent1" w:themeShade="BF"/>
        </w:rPr>
        <w:t xml:space="preserve">Convene an interagency committee to discuss the needs of LGBTQ young </w:t>
      </w:r>
      <w:r w:rsidR="00A8483E">
        <w:rPr>
          <w:rFonts w:ascii="Arial" w:hAnsi="Arial" w:cs="Arial"/>
          <w:b/>
          <w:color w:val="365F91" w:themeColor="accent1" w:themeShade="BF"/>
        </w:rPr>
        <w:t>people involved with EOPSS agencies</w:t>
      </w:r>
      <w:r w:rsidRPr="00A6026D">
        <w:rPr>
          <w:rFonts w:ascii="Arial" w:hAnsi="Arial" w:cs="Arial"/>
          <w:b/>
          <w:color w:val="365F91" w:themeColor="accent1" w:themeShade="BF"/>
        </w:rPr>
        <w:t xml:space="preserve"> and explore options for data collection, training, and policies.</w:t>
      </w:r>
    </w:p>
    <w:p w14:paraId="571771A2" w14:textId="77777777" w:rsidR="004733DF" w:rsidRDefault="004733DF" w:rsidP="00F37FB7">
      <w:pPr>
        <w:spacing w:after="0"/>
        <w:jc w:val="both"/>
        <w:rPr>
          <w:rFonts w:ascii="Arial" w:hAnsi="Arial" w:cs="Arial"/>
        </w:rPr>
      </w:pPr>
    </w:p>
    <w:p w14:paraId="396F3F00" w14:textId="07406DB4" w:rsidR="00810BCD" w:rsidRDefault="00810BCD" w:rsidP="00F37FB7">
      <w:pPr>
        <w:spacing w:after="0"/>
        <w:jc w:val="both"/>
        <w:rPr>
          <w:rFonts w:ascii="Arial" w:hAnsi="Arial" w:cs="Arial"/>
        </w:rPr>
      </w:pPr>
      <w:r>
        <w:rPr>
          <w:rFonts w:ascii="Arial" w:hAnsi="Arial" w:cs="Arial"/>
        </w:rPr>
        <w:t>The Commission has seen success working with</w:t>
      </w:r>
      <w:r w:rsidR="00EC4314">
        <w:rPr>
          <w:rFonts w:ascii="Arial" w:hAnsi="Arial" w:cs="Arial"/>
        </w:rPr>
        <w:t>in</w:t>
      </w:r>
      <w:r>
        <w:rPr>
          <w:rFonts w:ascii="Arial" w:hAnsi="Arial" w:cs="Arial"/>
        </w:rPr>
        <w:t xml:space="preserve"> an interagency model </w:t>
      </w:r>
      <w:r w:rsidR="00EC4314">
        <w:rPr>
          <w:rFonts w:ascii="Arial" w:hAnsi="Arial" w:cs="Arial"/>
        </w:rPr>
        <w:t>at EOHHS</w:t>
      </w:r>
      <w:r>
        <w:rPr>
          <w:rFonts w:ascii="Arial" w:hAnsi="Arial" w:cs="Arial"/>
        </w:rPr>
        <w:t xml:space="preserve"> and has </w:t>
      </w:r>
      <w:r w:rsidR="00604271">
        <w:rPr>
          <w:rFonts w:ascii="Arial" w:hAnsi="Arial" w:cs="Arial"/>
        </w:rPr>
        <w:t>supported</w:t>
      </w:r>
      <w:r>
        <w:rPr>
          <w:rFonts w:ascii="Arial" w:hAnsi="Arial" w:cs="Arial"/>
        </w:rPr>
        <w:t xml:space="preserve"> discussions between EOHHS and EOPSS on how that model could be applied to EOPSS’s agencies. The Commission recommends this approach to ensure that discussions on LGBTQ youth are coordinated, particularly </w:t>
      </w:r>
      <w:r w:rsidR="007826B3">
        <w:rPr>
          <w:rFonts w:ascii="Arial" w:hAnsi="Arial" w:cs="Arial"/>
        </w:rPr>
        <w:t>because</w:t>
      </w:r>
      <w:r>
        <w:rPr>
          <w:rFonts w:ascii="Arial" w:hAnsi="Arial" w:cs="Arial"/>
        </w:rPr>
        <w:t xml:space="preserve"> topics like data collection and nondiscrimination policies may not function well in isolation within the larger EOPSS system. Furthermore, the EOHHS interagency training that is being developed may serve as a useful tool f</w:t>
      </w:r>
      <w:r w:rsidR="00EC4314">
        <w:rPr>
          <w:rFonts w:ascii="Arial" w:hAnsi="Arial" w:cs="Arial"/>
        </w:rPr>
        <w:t>or the EOPSS agencies to adopt once it has launched</w:t>
      </w:r>
      <w:r>
        <w:rPr>
          <w:rFonts w:ascii="Arial" w:hAnsi="Arial" w:cs="Arial"/>
        </w:rPr>
        <w:t xml:space="preserve">. </w:t>
      </w:r>
      <w:r w:rsidR="00EC4314">
        <w:rPr>
          <w:rFonts w:ascii="Arial" w:hAnsi="Arial" w:cs="Arial"/>
        </w:rPr>
        <w:t xml:space="preserve">Once interagency discussions have begun, the Commission would be pleased to appoint liaisons to individual agencies who wanted to have deeper discussions or receive additional support. </w:t>
      </w:r>
    </w:p>
    <w:p w14:paraId="7BD0B318" w14:textId="77777777" w:rsidR="00810BCD" w:rsidRDefault="00810BCD" w:rsidP="00F37FB7">
      <w:pPr>
        <w:spacing w:after="0"/>
        <w:jc w:val="both"/>
        <w:rPr>
          <w:rFonts w:ascii="Arial" w:hAnsi="Arial" w:cs="Arial"/>
        </w:rPr>
      </w:pPr>
    </w:p>
    <w:p w14:paraId="1073A698" w14:textId="29621A0D" w:rsidR="007E54A8" w:rsidRDefault="00810BCD" w:rsidP="00F37FB7">
      <w:pPr>
        <w:spacing w:after="0"/>
        <w:jc w:val="both"/>
        <w:rPr>
          <w:rFonts w:ascii="Arial" w:hAnsi="Arial" w:cs="Arial"/>
        </w:rPr>
      </w:pPr>
      <w:r>
        <w:rPr>
          <w:rFonts w:ascii="Arial" w:hAnsi="Arial" w:cs="Arial"/>
        </w:rPr>
        <w:t>The Commission has been encouraged by the recent criminal justice reform effort at the State House, and the prospect of a special commission to look into LGBTQ health during incarceration</w:t>
      </w:r>
      <w:r w:rsidR="00EC4314">
        <w:rPr>
          <w:rFonts w:ascii="Arial" w:hAnsi="Arial" w:cs="Arial"/>
        </w:rPr>
        <w:t>.</w:t>
      </w:r>
      <w:r w:rsidR="00962711">
        <w:rPr>
          <w:rStyle w:val="EndnoteReference"/>
          <w:rFonts w:ascii="Arial" w:hAnsi="Arial" w:cs="Arial"/>
        </w:rPr>
        <w:endnoteReference w:id="221"/>
      </w:r>
      <w:r w:rsidR="00EC4314">
        <w:rPr>
          <w:rFonts w:ascii="Arial" w:hAnsi="Arial" w:cs="Arial"/>
        </w:rPr>
        <w:t xml:space="preserve"> However, much work still needs to be done</w:t>
      </w:r>
      <w:r>
        <w:rPr>
          <w:rFonts w:ascii="Arial" w:hAnsi="Arial" w:cs="Arial"/>
        </w:rPr>
        <w:t xml:space="preserve">. Identifying the most relevant partners at each of EOPSS’s agencies and bringing them together to begin a </w:t>
      </w:r>
      <w:r w:rsidR="00EC4314">
        <w:rPr>
          <w:rFonts w:ascii="Arial" w:hAnsi="Arial" w:cs="Arial"/>
        </w:rPr>
        <w:t>conversation</w:t>
      </w:r>
      <w:r>
        <w:rPr>
          <w:rFonts w:ascii="Arial" w:hAnsi="Arial" w:cs="Arial"/>
        </w:rPr>
        <w:t xml:space="preserve"> on </w:t>
      </w:r>
      <w:r w:rsidR="00EC4314">
        <w:rPr>
          <w:rFonts w:ascii="Arial" w:hAnsi="Arial" w:cs="Arial"/>
        </w:rPr>
        <w:t>the</w:t>
      </w:r>
      <w:r>
        <w:rPr>
          <w:rFonts w:ascii="Arial" w:hAnsi="Arial" w:cs="Arial"/>
        </w:rPr>
        <w:t xml:space="preserve"> important topic </w:t>
      </w:r>
      <w:r w:rsidR="00EC4314">
        <w:rPr>
          <w:rFonts w:ascii="Arial" w:hAnsi="Arial" w:cs="Arial"/>
        </w:rPr>
        <w:t xml:space="preserve">of LGBTQ equity </w:t>
      </w:r>
      <w:r>
        <w:rPr>
          <w:rFonts w:ascii="Arial" w:hAnsi="Arial" w:cs="Arial"/>
        </w:rPr>
        <w:t>would be an excellent first step</w:t>
      </w:r>
      <w:r w:rsidR="00420E6B">
        <w:rPr>
          <w:rFonts w:ascii="Arial" w:hAnsi="Arial" w:cs="Arial"/>
        </w:rPr>
        <w:t>. This</w:t>
      </w:r>
      <w:r w:rsidR="00EC4314">
        <w:rPr>
          <w:rFonts w:ascii="Arial" w:hAnsi="Arial" w:cs="Arial"/>
        </w:rPr>
        <w:t xml:space="preserve"> effort</w:t>
      </w:r>
      <w:r w:rsidR="00420E6B">
        <w:rPr>
          <w:rFonts w:ascii="Arial" w:hAnsi="Arial" w:cs="Arial"/>
        </w:rPr>
        <w:t xml:space="preserve"> is especially critical with respect to LGBTQ youth of color, who face both greater safety needs and higher rates of being incarcerated. </w:t>
      </w:r>
      <w:r>
        <w:rPr>
          <w:rFonts w:ascii="Arial" w:hAnsi="Arial" w:cs="Arial"/>
        </w:rPr>
        <w:t xml:space="preserve">  </w:t>
      </w:r>
    </w:p>
    <w:p w14:paraId="3FCAC6E6" w14:textId="73C069B4" w:rsidR="00EB2689" w:rsidRPr="00AA3486" w:rsidRDefault="00EB2689" w:rsidP="00AA3486">
      <w:pPr>
        <w:rPr>
          <w:rFonts w:ascii="Arial" w:hAnsi="Arial" w:cs="Arial"/>
          <w:b/>
          <w:sz w:val="28"/>
          <w:szCs w:val="28"/>
        </w:rPr>
      </w:pPr>
    </w:p>
    <w:p w14:paraId="613D2970" w14:textId="77777777" w:rsidR="00EB2689" w:rsidRPr="00DE30A9" w:rsidRDefault="00A6026D" w:rsidP="00C84528">
      <w:pPr>
        <w:pStyle w:val="Heading1"/>
        <w:rPr>
          <w:strike/>
        </w:rPr>
      </w:pPr>
      <w:bookmarkStart w:id="43" w:name="_Toc512947921"/>
      <w:r>
        <w:rPr>
          <w:noProof/>
        </w:rPr>
        <w:lastRenderedPageBreak/>
        <w:drawing>
          <wp:anchor distT="0" distB="0" distL="114300" distR="114300" simplePos="0" relativeHeight="251783168" behindDoc="1" locked="0" layoutInCell="0" allowOverlap="1" wp14:anchorId="24DAB3B1" wp14:editId="752C4CFD">
            <wp:simplePos x="0" y="0"/>
            <wp:positionH relativeFrom="column">
              <wp:posOffset>-4445</wp:posOffset>
            </wp:positionH>
            <wp:positionV relativeFrom="paragraph">
              <wp:posOffset>274320</wp:posOffset>
            </wp:positionV>
            <wp:extent cx="5980430" cy="27305"/>
            <wp:effectExtent l="0" t="0" r="1270" b="0"/>
            <wp:wrapNone/>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80430" cy="27305"/>
                    </a:xfrm>
                    <a:prstGeom prst="rect">
                      <a:avLst/>
                    </a:prstGeom>
                    <a:noFill/>
                  </pic:spPr>
                </pic:pic>
              </a:graphicData>
            </a:graphic>
          </wp:anchor>
        </w:drawing>
      </w:r>
      <w:r w:rsidR="00DE30A9">
        <w:t>Additional</w:t>
      </w:r>
      <w:r w:rsidR="005007ED">
        <w:t xml:space="preserve"> State </w:t>
      </w:r>
      <w:r w:rsidR="00AD2C92">
        <w:t>Entities</w:t>
      </w:r>
      <w:bookmarkEnd w:id="43"/>
      <w:r w:rsidR="000511F2">
        <w:t xml:space="preserve"> </w:t>
      </w:r>
    </w:p>
    <w:p w14:paraId="026B9D43" w14:textId="77777777" w:rsidR="00EB2689" w:rsidRDefault="00EB2689" w:rsidP="00B226ED">
      <w:pPr>
        <w:spacing w:after="0"/>
        <w:jc w:val="both"/>
        <w:rPr>
          <w:rFonts w:ascii="Arial" w:hAnsi="Arial" w:cs="Arial"/>
          <w:b/>
          <w:sz w:val="28"/>
          <w:szCs w:val="28"/>
        </w:rPr>
      </w:pPr>
    </w:p>
    <w:p w14:paraId="757CB235" w14:textId="77777777" w:rsidR="00B226ED" w:rsidRPr="00B226ED" w:rsidRDefault="00961938" w:rsidP="00C84528">
      <w:pPr>
        <w:pStyle w:val="Heading2"/>
      </w:pPr>
      <w:bookmarkStart w:id="44" w:name="_Toc512947922"/>
      <w:r>
        <w:rPr>
          <w:noProof/>
        </w:rPr>
        <w:drawing>
          <wp:anchor distT="0" distB="0" distL="114300" distR="114300" simplePos="0" relativeHeight="251785216" behindDoc="1" locked="0" layoutInCell="0" allowOverlap="1" wp14:anchorId="3F926EE3" wp14:editId="6FB4C05F">
            <wp:simplePos x="0" y="0"/>
            <wp:positionH relativeFrom="column">
              <wp:posOffset>-4445</wp:posOffset>
            </wp:positionH>
            <wp:positionV relativeFrom="paragraph">
              <wp:posOffset>330835</wp:posOffset>
            </wp:positionV>
            <wp:extent cx="5980430" cy="18415"/>
            <wp:effectExtent l="0" t="0" r="1270" b="635"/>
            <wp:wrapNone/>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anchor>
        </w:drawing>
      </w:r>
      <w:r w:rsidR="00B226ED" w:rsidRPr="00B226ED">
        <w:t>Registry of Motor Vehicles</w:t>
      </w:r>
      <w:bookmarkEnd w:id="44"/>
    </w:p>
    <w:p w14:paraId="4BCD952A" w14:textId="77777777" w:rsidR="00B226ED" w:rsidRPr="00B226ED" w:rsidRDefault="00B226ED" w:rsidP="00B226ED">
      <w:pPr>
        <w:spacing w:after="0"/>
        <w:jc w:val="both"/>
        <w:rPr>
          <w:rFonts w:ascii="Arial" w:hAnsi="Arial" w:cs="Arial"/>
        </w:rPr>
      </w:pPr>
    </w:p>
    <w:p w14:paraId="28E04B0B" w14:textId="77777777" w:rsidR="00961938" w:rsidRDefault="00961938" w:rsidP="00961938">
      <w:pPr>
        <w:spacing w:after="0"/>
        <w:jc w:val="center"/>
        <w:rPr>
          <w:rFonts w:ascii="Arial" w:hAnsi="Arial" w:cs="Arial"/>
          <w:b/>
        </w:rPr>
      </w:pPr>
    </w:p>
    <w:p w14:paraId="3FABB638" w14:textId="77777777" w:rsidR="00C00447" w:rsidRPr="00961938" w:rsidRDefault="00C00447" w:rsidP="00961938">
      <w:pPr>
        <w:spacing w:after="0"/>
        <w:jc w:val="center"/>
        <w:rPr>
          <w:rFonts w:ascii="Arial" w:hAnsi="Arial" w:cs="Arial"/>
          <w:b/>
          <w:u w:val="single"/>
        </w:rPr>
      </w:pPr>
      <w:r w:rsidRPr="00961938">
        <w:rPr>
          <w:rFonts w:ascii="Arial" w:hAnsi="Arial" w:cs="Arial"/>
          <w:b/>
          <w:u w:val="single"/>
        </w:rPr>
        <w:t>FY2019 RECOMMENDATIONS</w:t>
      </w:r>
    </w:p>
    <w:p w14:paraId="397A584A" w14:textId="77777777" w:rsidR="00C00447" w:rsidRPr="00B226ED" w:rsidRDefault="00C00447" w:rsidP="00C00447">
      <w:pPr>
        <w:spacing w:after="0"/>
        <w:jc w:val="both"/>
        <w:rPr>
          <w:rFonts w:ascii="Arial" w:hAnsi="Arial" w:cs="Arial"/>
        </w:rPr>
      </w:pPr>
    </w:p>
    <w:p w14:paraId="2599CF79" w14:textId="77777777" w:rsidR="00417351" w:rsidRPr="00961938" w:rsidRDefault="00417351" w:rsidP="00417351">
      <w:pPr>
        <w:pStyle w:val="ListParagraph"/>
        <w:numPr>
          <w:ilvl w:val="0"/>
          <w:numId w:val="6"/>
        </w:numPr>
        <w:spacing w:after="0"/>
        <w:jc w:val="both"/>
        <w:rPr>
          <w:rFonts w:ascii="Arial" w:hAnsi="Arial" w:cs="Arial"/>
          <w:b/>
          <w:color w:val="365F91" w:themeColor="accent1" w:themeShade="BF"/>
        </w:rPr>
      </w:pPr>
      <w:r w:rsidRPr="00961938">
        <w:rPr>
          <w:rFonts w:ascii="Arial" w:hAnsi="Arial" w:cs="Arial"/>
          <w:b/>
          <w:color w:val="365F91" w:themeColor="accent1" w:themeShade="BF"/>
        </w:rPr>
        <w:t>Implement the nonbinary gender marker option in</w:t>
      </w:r>
      <w:r>
        <w:rPr>
          <w:rFonts w:ascii="Arial" w:hAnsi="Arial" w:cs="Arial"/>
          <w:b/>
          <w:color w:val="365F91" w:themeColor="accent1" w:themeShade="BF"/>
        </w:rPr>
        <w:t xml:space="preserve"> the RMV’s new licensing system.</w:t>
      </w:r>
    </w:p>
    <w:p w14:paraId="18B91E77" w14:textId="77777777" w:rsidR="008450E3" w:rsidRPr="00961938" w:rsidRDefault="00EA38BE" w:rsidP="00961B5D">
      <w:pPr>
        <w:pStyle w:val="ListParagraph"/>
        <w:numPr>
          <w:ilvl w:val="0"/>
          <w:numId w:val="6"/>
        </w:numPr>
        <w:spacing w:after="0"/>
        <w:jc w:val="both"/>
        <w:rPr>
          <w:rFonts w:ascii="Arial" w:hAnsi="Arial" w:cs="Arial"/>
          <w:b/>
          <w:color w:val="365F91" w:themeColor="accent1" w:themeShade="BF"/>
        </w:rPr>
      </w:pPr>
      <w:r w:rsidRPr="00961938">
        <w:rPr>
          <w:rFonts w:ascii="Arial" w:hAnsi="Arial" w:cs="Arial"/>
          <w:b/>
          <w:color w:val="365F91" w:themeColor="accent1" w:themeShade="BF"/>
        </w:rPr>
        <w:t>Provide</w:t>
      </w:r>
      <w:r w:rsidR="008450E3" w:rsidRPr="00961938">
        <w:rPr>
          <w:rFonts w:ascii="Arial" w:hAnsi="Arial" w:cs="Arial"/>
          <w:b/>
          <w:color w:val="365F91" w:themeColor="accent1" w:themeShade="BF"/>
        </w:rPr>
        <w:t xml:space="preserve"> cultural competency training for all line staff</w:t>
      </w:r>
      <w:r w:rsidRPr="00961938">
        <w:rPr>
          <w:rFonts w:ascii="Arial" w:hAnsi="Arial" w:cs="Arial"/>
          <w:b/>
          <w:color w:val="365F91" w:themeColor="accent1" w:themeShade="BF"/>
        </w:rPr>
        <w:t>.</w:t>
      </w:r>
    </w:p>
    <w:p w14:paraId="10D275FA" w14:textId="77777777" w:rsidR="008450E3" w:rsidRPr="00961938" w:rsidRDefault="008450E3" w:rsidP="00961B5D">
      <w:pPr>
        <w:pStyle w:val="ListParagraph"/>
        <w:numPr>
          <w:ilvl w:val="0"/>
          <w:numId w:val="6"/>
        </w:numPr>
        <w:spacing w:after="0"/>
        <w:jc w:val="both"/>
        <w:rPr>
          <w:rFonts w:ascii="Arial" w:hAnsi="Arial" w:cs="Arial"/>
          <w:b/>
          <w:color w:val="365F91" w:themeColor="accent1" w:themeShade="BF"/>
        </w:rPr>
      </w:pPr>
      <w:r w:rsidRPr="00961938">
        <w:rPr>
          <w:rFonts w:ascii="Arial" w:hAnsi="Arial" w:cs="Arial"/>
          <w:b/>
          <w:color w:val="365F91" w:themeColor="accent1" w:themeShade="BF"/>
        </w:rPr>
        <w:t xml:space="preserve">Establish streamlined procedures and community outreach initiatives to facilitate access to identification cards for unaccompanied homeless youth and other young people at risk for housing instability. </w:t>
      </w:r>
    </w:p>
    <w:p w14:paraId="7504BAE1" w14:textId="0001B8D5" w:rsidR="007A61A7" w:rsidRPr="00961938" w:rsidRDefault="009619C1" w:rsidP="00961B5D">
      <w:pPr>
        <w:pStyle w:val="ListParagraph"/>
        <w:numPr>
          <w:ilvl w:val="0"/>
          <w:numId w:val="6"/>
        </w:numPr>
        <w:spacing w:after="0"/>
        <w:jc w:val="both"/>
        <w:rPr>
          <w:rFonts w:ascii="Arial" w:hAnsi="Arial" w:cs="Arial"/>
          <w:b/>
          <w:color w:val="365F91" w:themeColor="accent1" w:themeShade="BF"/>
        </w:rPr>
      </w:pPr>
      <w:r>
        <w:rPr>
          <w:rFonts w:ascii="Arial" w:hAnsi="Arial" w:cs="Arial"/>
          <w:noProof/>
        </w:rPr>
        <mc:AlternateContent>
          <mc:Choice Requires="wps">
            <w:drawing>
              <wp:anchor distT="0" distB="0" distL="114300" distR="114300" simplePos="0" relativeHeight="251671552" behindDoc="0" locked="0" layoutInCell="1" allowOverlap="1" wp14:anchorId="0444E86A" wp14:editId="51DF5661">
                <wp:simplePos x="0" y="0"/>
                <wp:positionH relativeFrom="column">
                  <wp:posOffset>0</wp:posOffset>
                </wp:positionH>
                <wp:positionV relativeFrom="paragraph">
                  <wp:posOffset>552450</wp:posOffset>
                </wp:positionV>
                <wp:extent cx="5963285" cy="1576070"/>
                <wp:effectExtent l="0" t="0" r="18415" b="2413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285" cy="1576070"/>
                        </a:xfrm>
                        <a:prstGeom prst="rect">
                          <a:avLst/>
                        </a:prstGeom>
                        <a:solidFill>
                          <a:srgbClr val="FFFFFF"/>
                        </a:solidFill>
                        <a:ln w="19050">
                          <a:solidFill>
                            <a:srgbClr val="FFBC37"/>
                          </a:solidFill>
                          <a:miter lim="800000"/>
                          <a:headEnd/>
                          <a:tailEnd/>
                        </a:ln>
                      </wps:spPr>
                      <wps:txbx>
                        <w:txbxContent>
                          <w:p w14:paraId="19AF6AC0" w14:textId="77777777" w:rsidR="00411ECA" w:rsidRPr="00983FF1" w:rsidRDefault="00411ECA" w:rsidP="00C84E4E">
                            <w:pPr>
                              <w:jc w:val="both"/>
                              <w:rPr>
                                <w:rFonts w:ascii="Arial" w:hAnsi="Arial" w:cs="Arial"/>
                                <w:i/>
                              </w:rPr>
                            </w:pPr>
                            <w:r w:rsidRPr="00983FF1">
                              <w:rPr>
                                <w:rFonts w:ascii="Arial" w:hAnsi="Arial" w:cs="Arial"/>
                                <w:i/>
                              </w:rPr>
                              <w:t>“More than one in ten homeless youth are unable to access needed services because they lacked proper identification, and this number is almost surely higher for LGBTQ youth who face intersecting forms of discrimination and marginalization. When an LGBTQ youth who is experiencing homelessness is denied services or does not even attempt to access services because they lack a state document, they relive the victimization they have faced, such as rejection by their families and ‘falling through the cracks’ of state services.”</w:t>
                            </w:r>
                          </w:p>
                          <w:p w14:paraId="799EF740" w14:textId="77777777" w:rsidR="00411ECA" w:rsidRPr="00983FF1" w:rsidRDefault="00411ECA" w:rsidP="00EE5094">
                            <w:pPr>
                              <w:rPr>
                                <w:rFonts w:ascii="Arial" w:hAnsi="Arial" w:cs="Arial"/>
                              </w:rPr>
                            </w:pPr>
                            <w:r w:rsidRPr="00983FF1">
                              <w:rPr>
                                <w:rFonts w:ascii="Arial" w:hAnsi="Arial" w:cs="Arial"/>
                              </w:rPr>
                              <w:t xml:space="preserve">– Commission testimony to </w:t>
                            </w:r>
                            <w:r>
                              <w:rPr>
                                <w:rFonts w:ascii="Arial" w:hAnsi="Arial" w:cs="Arial"/>
                              </w:rPr>
                              <w:t xml:space="preserve">the </w:t>
                            </w:r>
                            <w:r w:rsidRPr="00983FF1">
                              <w:rPr>
                                <w:rFonts w:ascii="Arial" w:hAnsi="Arial" w:cs="Arial"/>
                              </w:rPr>
                              <w:t>Joint Committee on Transportation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left:0;text-align:left;margin-left:0;margin-top:43.5pt;width:469.55pt;height:124.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" strokecolor="#ffbc37" strokeweight="1.5pt">
                <v:textbox>
                  <w:txbxContent>
                    <w:p w14:paraId="19AF6AC0" w14:textId="77777777" w:rsidR="00411ECA" w:rsidRPr="00983FF1" w:rsidRDefault="00411ECA" w:rsidP="00C84E4E">
                      <w:pPr>
                        <w:jc w:val="both"/>
                        <w:rPr>
                          <w:rFonts w:ascii="Arial" w:hAnsi="Arial" w:cs="Arial"/>
                          <w:i/>
                        </w:rPr>
                      </w:pPr>
                      <w:r w:rsidRPr="00983FF1">
                        <w:rPr>
                          <w:rFonts w:ascii="Arial" w:hAnsi="Arial" w:cs="Arial"/>
                          <w:i/>
                        </w:rPr>
                        <w:t>“More than one in ten homeless youth are unable to access needed services because they lacked proper identification, and this number is almost surely higher for LGBTQ youth who face intersecting forms of discrimination and marginalization. When an LGBTQ youth who is experiencing homelessness is denied services or does not even attempt to access services because they lack a state document, they relive the victimization they have faced, such as rejection by their families and ‘falling through the cracks’ of state services.”</w:t>
                      </w:r>
                    </w:p>
                    <w:p w14:paraId="799EF740" w14:textId="77777777" w:rsidR="00411ECA" w:rsidRPr="00983FF1" w:rsidRDefault="00411ECA" w:rsidP="00EE5094">
                      <w:pPr>
                        <w:rPr>
                          <w:rFonts w:ascii="Arial" w:hAnsi="Arial" w:cs="Arial"/>
                        </w:rPr>
                      </w:pPr>
                      <w:r w:rsidRPr="00983FF1">
                        <w:rPr>
                          <w:rFonts w:ascii="Arial" w:hAnsi="Arial" w:cs="Arial"/>
                        </w:rPr>
                        <w:t xml:space="preserve">– Commission testimony to </w:t>
                      </w:r>
                      <w:r>
                        <w:rPr>
                          <w:rFonts w:ascii="Arial" w:hAnsi="Arial" w:cs="Arial"/>
                        </w:rPr>
                        <w:t xml:space="preserve">the </w:t>
                      </w:r>
                      <w:r w:rsidRPr="00983FF1">
                        <w:rPr>
                          <w:rFonts w:ascii="Arial" w:hAnsi="Arial" w:cs="Arial"/>
                        </w:rPr>
                        <w:t>Joint Committee on Transportation</w:t>
                      </w:r>
                    </w:p>
                  </w:txbxContent>
                </v:textbox>
                <w10:wrap type="square"/>
              </v:shape>
            </w:pict>
          </mc:Fallback>
        </mc:AlternateContent>
      </w:r>
      <w:r w:rsidR="006C71B4" w:rsidRPr="00961938">
        <w:rPr>
          <w:rFonts w:ascii="Arial" w:hAnsi="Arial" w:cs="Arial"/>
          <w:b/>
          <w:color w:val="365F91" w:themeColor="accent1" w:themeShade="BF"/>
        </w:rPr>
        <w:t>Create</w:t>
      </w:r>
      <w:r w:rsidR="007A61A7" w:rsidRPr="00961938">
        <w:rPr>
          <w:rFonts w:ascii="Arial" w:hAnsi="Arial" w:cs="Arial"/>
          <w:b/>
          <w:color w:val="365F91" w:themeColor="accent1" w:themeShade="BF"/>
        </w:rPr>
        <w:t xml:space="preserve"> and implement a policy</w:t>
      </w:r>
      <w:r w:rsidR="007A61A7" w:rsidRPr="00961938">
        <w:rPr>
          <w:b/>
          <w:color w:val="365F91" w:themeColor="accent1" w:themeShade="BF"/>
        </w:rPr>
        <w:t xml:space="preserve"> </w:t>
      </w:r>
      <w:r w:rsidR="007A61A7" w:rsidRPr="00961938">
        <w:rPr>
          <w:rFonts w:ascii="Arial" w:hAnsi="Arial" w:cs="Arial"/>
          <w:b/>
          <w:color w:val="365F91" w:themeColor="accent1" w:themeShade="BF"/>
        </w:rPr>
        <w:t xml:space="preserve">to promote nondiscriminatory services for LGBTQ young people. </w:t>
      </w:r>
    </w:p>
    <w:p w14:paraId="51823961" w14:textId="77777777" w:rsidR="008450E3" w:rsidRDefault="008450E3" w:rsidP="00ED0E1F">
      <w:pPr>
        <w:pStyle w:val="ListParagraph"/>
        <w:spacing w:after="0"/>
        <w:ind w:left="360"/>
        <w:jc w:val="both"/>
        <w:rPr>
          <w:rFonts w:ascii="Arial" w:hAnsi="Arial" w:cs="Arial"/>
        </w:rPr>
      </w:pPr>
    </w:p>
    <w:p w14:paraId="0BE030F5" w14:textId="77777777" w:rsidR="008450E3" w:rsidRPr="00961938" w:rsidRDefault="008450E3" w:rsidP="00961938">
      <w:pPr>
        <w:spacing w:after="0"/>
        <w:jc w:val="center"/>
        <w:rPr>
          <w:rFonts w:ascii="Arial" w:hAnsi="Arial" w:cs="Arial"/>
          <w:b/>
          <w:u w:val="single"/>
        </w:rPr>
      </w:pPr>
      <w:r w:rsidRPr="00961938">
        <w:rPr>
          <w:rFonts w:ascii="Arial" w:hAnsi="Arial" w:cs="Arial"/>
          <w:b/>
          <w:u w:val="single"/>
        </w:rPr>
        <w:t>BACKGROUND &amp; RESEARCH</w:t>
      </w:r>
    </w:p>
    <w:p w14:paraId="32C2DE01" w14:textId="77777777" w:rsidR="008450E3" w:rsidRDefault="008450E3" w:rsidP="00B226ED">
      <w:pPr>
        <w:spacing w:after="0"/>
        <w:jc w:val="both"/>
        <w:rPr>
          <w:rFonts w:ascii="Arial" w:hAnsi="Arial" w:cs="Arial"/>
        </w:rPr>
      </w:pPr>
    </w:p>
    <w:p w14:paraId="78CB8C46" w14:textId="03BACC4B" w:rsidR="00B226ED" w:rsidRPr="00B226ED" w:rsidRDefault="00B226ED" w:rsidP="00B226ED">
      <w:pPr>
        <w:spacing w:after="0"/>
        <w:jc w:val="both"/>
        <w:rPr>
          <w:rFonts w:ascii="Arial" w:hAnsi="Arial" w:cs="Arial"/>
        </w:rPr>
      </w:pPr>
      <w:r w:rsidRPr="00B226ED">
        <w:rPr>
          <w:rFonts w:ascii="Arial" w:hAnsi="Arial" w:cs="Arial"/>
        </w:rPr>
        <w:t>The Massachusetts Commission on LGBTQ Youth is pleased to have an ongoing relationship with the R</w:t>
      </w:r>
      <w:r w:rsidR="001171C9">
        <w:rPr>
          <w:rFonts w:ascii="Arial" w:hAnsi="Arial" w:cs="Arial"/>
        </w:rPr>
        <w:t xml:space="preserve">egistry of Motor Vehicles (RMV), whose work is relevant to that of the Commission because </w:t>
      </w:r>
      <w:r w:rsidR="00832B22">
        <w:rPr>
          <w:rFonts w:ascii="Arial" w:hAnsi="Arial" w:cs="Arial"/>
        </w:rPr>
        <w:t>it</w:t>
      </w:r>
      <w:r w:rsidR="001171C9">
        <w:rPr>
          <w:rFonts w:ascii="Arial" w:hAnsi="Arial" w:cs="Arial"/>
        </w:rPr>
        <w:t xml:space="preserve"> oversee</w:t>
      </w:r>
      <w:r w:rsidR="00832B22">
        <w:rPr>
          <w:rFonts w:ascii="Arial" w:hAnsi="Arial" w:cs="Arial"/>
        </w:rPr>
        <w:t>s</w:t>
      </w:r>
      <w:r w:rsidR="001171C9">
        <w:rPr>
          <w:rFonts w:ascii="Arial" w:hAnsi="Arial" w:cs="Arial"/>
        </w:rPr>
        <w:t xml:space="preserve"> the provision of state IDs</w:t>
      </w:r>
      <w:r w:rsidR="009E4399">
        <w:rPr>
          <w:rFonts w:ascii="Arial" w:hAnsi="Arial" w:cs="Arial"/>
        </w:rPr>
        <w:t xml:space="preserve">. </w:t>
      </w:r>
      <w:r w:rsidR="001171C9" w:rsidRPr="00B226ED">
        <w:rPr>
          <w:rFonts w:ascii="Arial" w:hAnsi="Arial" w:cs="Arial"/>
        </w:rPr>
        <w:t>Accurate and up-to-date identity documents are critical for LGBTQ y</w:t>
      </w:r>
      <w:r w:rsidR="001171C9">
        <w:rPr>
          <w:rFonts w:ascii="Arial" w:hAnsi="Arial" w:cs="Arial"/>
        </w:rPr>
        <w:t xml:space="preserve">oung people to access education, </w:t>
      </w:r>
      <w:r w:rsidR="001171C9" w:rsidRPr="00B226ED">
        <w:rPr>
          <w:rFonts w:ascii="Arial" w:hAnsi="Arial" w:cs="Arial"/>
        </w:rPr>
        <w:t xml:space="preserve">employment, services, </w:t>
      </w:r>
      <w:r w:rsidR="001171C9">
        <w:rPr>
          <w:rFonts w:ascii="Arial" w:hAnsi="Arial" w:cs="Arial"/>
        </w:rPr>
        <w:t xml:space="preserve">bank accounts, and more, </w:t>
      </w:r>
      <w:r w:rsidR="009E4399">
        <w:rPr>
          <w:rFonts w:ascii="Arial" w:hAnsi="Arial" w:cs="Arial"/>
        </w:rPr>
        <w:t>and</w:t>
      </w:r>
      <w:r w:rsidR="001171C9">
        <w:rPr>
          <w:rFonts w:ascii="Arial" w:hAnsi="Arial" w:cs="Arial"/>
        </w:rPr>
        <w:t xml:space="preserve"> youth who lack ID</w:t>
      </w:r>
      <w:r w:rsidR="001171C9" w:rsidRPr="00CE5186">
        <w:rPr>
          <w:rFonts w:ascii="Arial" w:hAnsi="Arial" w:cs="Arial"/>
        </w:rPr>
        <w:t xml:space="preserve"> </w:t>
      </w:r>
      <w:r w:rsidR="001171C9">
        <w:rPr>
          <w:rFonts w:ascii="Arial" w:hAnsi="Arial" w:cs="Arial"/>
        </w:rPr>
        <w:t>facing</w:t>
      </w:r>
      <w:r w:rsidR="001171C9" w:rsidRPr="00CE5186">
        <w:rPr>
          <w:rFonts w:ascii="Arial" w:hAnsi="Arial" w:cs="Arial"/>
        </w:rPr>
        <w:t xml:space="preserve"> higher risk of adverse encounters with law enforcement.</w:t>
      </w:r>
      <w:r w:rsidR="001171C9" w:rsidRPr="00CE5186">
        <w:rPr>
          <w:rFonts w:ascii="Arial" w:hAnsi="Arial" w:cs="Arial"/>
          <w:vertAlign w:val="superscript"/>
        </w:rPr>
        <w:endnoteReference w:id="222"/>
      </w:r>
      <w:r w:rsidR="001171C9">
        <w:rPr>
          <w:rFonts w:ascii="Arial" w:hAnsi="Arial" w:cs="Arial"/>
        </w:rPr>
        <w:t xml:space="preserve"> </w:t>
      </w:r>
      <w:r w:rsidR="00B8328E">
        <w:rPr>
          <w:rFonts w:ascii="Arial" w:hAnsi="Arial" w:cs="Arial"/>
        </w:rPr>
        <w:t>Since</w:t>
      </w:r>
      <w:r w:rsidRPr="00B226ED">
        <w:rPr>
          <w:rFonts w:ascii="Arial" w:hAnsi="Arial" w:cs="Arial"/>
        </w:rPr>
        <w:t xml:space="preserve"> the passage of REAL ID legislation in Massachusetts, </w:t>
      </w:r>
      <w:r w:rsidR="00F93281">
        <w:rPr>
          <w:rFonts w:ascii="Arial" w:hAnsi="Arial" w:cs="Arial"/>
        </w:rPr>
        <w:t>the Commission</w:t>
      </w:r>
      <w:r w:rsidRPr="00B226ED">
        <w:rPr>
          <w:rFonts w:ascii="Arial" w:hAnsi="Arial" w:cs="Arial"/>
        </w:rPr>
        <w:t xml:space="preserve"> </w:t>
      </w:r>
      <w:r w:rsidR="00B8328E">
        <w:rPr>
          <w:rFonts w:ascii="Arial" w:hAnsi="Arial" w:cs="Arial"/>
        </w:rPr>
        <w:t>ha</w:t>
      </w:r>
      <w:r w:rsidR="00F93281">
        <w:rPr>
          <w:rFonts w:ascii="Arial" w:hAnsi="Arial" w:cs="Arial"/>
        </w:rPr>
        <w:t>s</w:t>
      </w:r>
      <w:r w:rsidR="00B8328E">
        <w:rPr>
          <w:rFonts w:ascii="Arial" w:hAnsi="Arial" w:cs="Arial"/>
        </w:rPr>
        <w:t xml:space="preserve"> been</w:t>
      </w:r>
      <w:r w:rsidRPr="00B226ED">
        <w:rPr>
          <w:rFonts w:ascii="Arial" w:hAnsi="Arial" w:cs="Arial"/>
        </w:rPr>
        <w:t xml:space="preserve"> committed to supporting the RMV on implementation that best meets t</w:t>
      </w:r>
      <w:r w:rsidR="008450E3">
        <w:rPr>
          <w:rFonts w:ascii="Arial" w:hAnsi="Arial" w:cs="Arial"/>
        </w:rPr>
        <w:t>he needs of LGBTQ young people.</w:t>
      </w:r>
      <w:r w:rsidR="00B8328E">
        <w:rPr>
          <w:rFonts w:ascii="Arial" w:hAnsi="Arial" w:cs="Arial"/>
        </w:rPr>
        <w:t xml:space="preserve"> The Commission has also been pleased to have been involved with the RMV as it implemented a new licensing system in March 2018. </w:t>
      </w:r>
    </w:p>
    <w:p w14:paraId="33D1574F" w14:textId="77777777" w:rsidR="00B226ED" w:rsidRPr="00B226ED" w:rsidRDefault="00B226ED" w:rsidP="00B226ED">
      <w:pPr>
        <w:spacing w:after="0"/>
        <w:jc w:val="both"/>
        <w:rPr>
          <w:rFonts w:ascii="Arial" w:hAnsi="Arial" w:cs="Arial"/>
        </w:rPr>
      </w:pPr>
    </w:p>
    <w:p w14:paraId="010F5189" w14:textId="4285B974" w:rsidR="00B226ED" w:rsidRPr="00B226ED" w:rsidRDefault="00AC6B8F" w:rsidP="00B226ED">
      <w:pPr>
        <w:spacing w:after="0"/>
        <w:jc w:val="both"/>
        <w:rPr>
          <w:rFonts w:ascii="Arial" w:hAnsi="Arial" w:cs="Arial"/>
        </w:rPr>
      </w:pPr>
      <w:r>
        <w:rPr>
          <w:rFonts w:ascii="Arial" w:hAnsi="Arial" w:cs="Arial"/>
        </w:rPr>
        <w:t>The RMV made a major change in FY2018 that now allows transgender people to self-attest that they identify with a gen</w:t>
      </w:r>
      <w:r w:rsidR="00EA38BE">
        <w:rPr>
          <w:rFonts w:ascii="Arial" w:hAnsi="Arial" w:cs="Arial"/>
        </w:rPr>
        <w:t>der other than their birth sex. T</w:t>
      </w:r>
      <w:r>
        <w:rPr>
          <w:rFonts w:ascii="Arial" w:hAnsi="Arial" w:cs="Arial"/>
        </w:rPr>
        <w:t xml:space="preserve">his had been a priority of the Commission, given the financial and emotional burden as well as the stigmatizing effect of having to seek documentation from a doctor </w:t>
      </w:r>
      <w:r w:rsidR="002206D2">
        <w:rPr>
          <w:rFonts w:ascii="Arial" w:hAnsi="Arial" w:cs="Arial"/>
        </w:rPr>
        <w:t>to</w:t>
      </w:r>
      <w:r>
        <w:rPr>
          <w:rFonts w:ascii="Arial" w:hAnsi="Arial" w:cs="Arial"/>
        </w:rPr>
        <w:t xml:space="preserve"> verify that </w:t>
      </w:r>
      <w:r w:rsidR="009E4399">
        <w:rPr>
          <w:rFonts w:ascii="Arial" w:hAnsi="Arial" w:cs="Arial"/>
        </w:rPr>
        <w:t>their</w:t>
      </w:r>
      <w:r w:rsidR="007826B3">
        <w:rPr>
          <w:rFonts w:ascii="Arial" w:hAnsi="Arial" w:cs="Arial"/>
        </w:rPr>
        <w:t xml:space="preserve"> </w:t>
      </w:r>
      <w:r>
        <w:rPr>
          <w:rFonts w:ascii="Arial" w:hAnsi="Arial" w:cs="Arial"/>
        </w:rPr>
        <w:t xml:space="preserve">gender identity is “genuine.” </w:t>
      </w:r>
      <w:r w:rsidR="00EA6D49">
        <w:rPr>
          <w:rFonts w:ascii="Arial" w:hAnsi="Arial" w:cs="Arial"/>
        </w:rPr>
        <w:t>Lacking ID that reflects one’s gender identity is also incredibly harmful</w:t>
      </w:r>
      <w:r w:rsidR="002206D2">
        <w:rPr>
          <w:rFonts w:ascii="Arial" w:hAnsi="Arial" w:cs="Arial"/>
        </w:rPr>
        <w:t xml:space="preserve">. One </w:t>
      </w:r>
      <w:r w:rsidR="00EA6D49" w:rsidRPr="00B226ED">
        <w:rPr>
          <w:rFonts w:ascii="Arial" w:hAnsi="Arial" w:cs="Arial"/>
        </w:rPr>
        <w:t xml:space="preserve">recent study </w:t>
      </w:r>
      <w:r w:rsidR="002206D2">
        <w:rPr>
          <w:rFonts w:ascii="Arial" w:hAnsi="Arial" w:cs="Arial"/>
        </w:rPr>
        <w:t>found</w:t>
      </w:r>
      <w:r w:rsidR="002206D2" w:rsidRPr="00B226ED">
        <w:rPr>
          <w:rFonts w:ascii="Arial" w:hAnsi="Arial" w:cs="Arial"/>
        </w:rPr>
        <w:t xml:space="preserve"> </w:t>
      </w:r>
      <w:r w:rsidR="00EA6D49" w:rsidRPr="00B226ED">
        <w:rPr>
          <w:rFonts w:ascii="Arial" w:hAnsi="Arial" w:cs="Arial"/>
        </w:rPr>
        <w:t xml:space="preserve">that nearly one third of transgender individuals who showed ID incongruent with their gender </w:t>
      </w:r>
      <w:r w:rsidR="00EA6D49" w:rsidRPr="00B226ED">
        <w:rPr>
          <w:rFonts w:ascii="Arial" w:hAnsi="Arial" w:cs="Arial"/>
        </w:rPr>
        <w:lastRenderedPageBreak/>
        <w:t>presentation had a negative experience such as being harassed,</w:t>
      </w:r>
      <w:r w:rsidR="00EA6D49">
        <w:rPr>
          <w:rFonts w:ascii="Arial" w:hAnsi="Arial" w:cs="Arial"/>
        </w:rPr>
        <w:t xml:space="preserve"> denied services, or attacked.</w:t>
      </w:r>
      <w:r w:rsidR="00EA6D49">
        <w:rPr>
          <w:rStyle w:val="EndnoteReference"/>
          <w:rFonts w:ascii="Arial" w:hAnsi="Arial" w:cs="Arial"/>
        </w:rPr>
        <w:endnoteReference w:id="223"/>
      </w:r>
      <w:r w:rsidR="00EA6D49" w:rsidRPr="00B226ED">
        <w:rPr>
          <w:rFonts w:ascii="Arial" w:hAnsi="Arial" w:cs="Arial"/>
        </w:rPr>
        <w:t xml:space="preserve"> </w:t>
      </w:r>
      <w:r>
        <w:rPr>
          <w:rFonts w:ascii="Arial" w:hAnsi="Arial" w:cs="Arial"/>
        </w:rPr>
        <w:t>T</w:t>
      </w:r>
      <w:r w:rsidR="00B226ED" w:rsidRPr="00B226ED">
        <w:rPr>
          <w:rFonts w:ascii="Arial" w:hAnsi="Arial" w:cs="Arial"/>
        </w:rPr>
        <w:t xml:space="preserve">he Commission </w:t>
      </w:r>
      <w:r>
        <w:rPr>
          <w:rFonts w:ascii="Arial" w:hAnsi="Arial" w:cs="Arial"/>
        </w:rPr>
        <w:t xml:space="preserve">hopes that this </w:t>
      </w:r>
      <w:r w:rsidR="00EA6D49">
        <w:rPr>
          <w:rFonts w:ascii="Arial" w:hAnsi="Arial" w:cs="Arial"/>
        </w:rPr>
        <w:t xml:space="preserve">policy </w:t>
      </w:r>
      <w:r>
        <w:rPr>
          <w:rFonts w:ascii="Arial" w:hAnsi="Arial" w:cs="Arial"/>
        </w:rPr>
        <w:t xml:space="preserve">change, in addition to changes that would come should the RMV implement the recommendations below, would address concerns it has heard in the past </w:t>
      </w:r>
      <w:r w:rsidR="00496200">
        <w:rPr>
          <w:rFonts w:ascii="Arial" w:hAnsi="Arial" w:cs="Arial"/>
        </w:rPr>
        <w:t xml:space="preserve">about </w:t>
      </w:r>
      <w:r>
        <w:rPr>
          <w:rFonts w:ascii="Arial" w:hAnsi="Arial" w:cs="Arial"/>
        </w:rPr>
        <w:t>transgender people encounter</w:t>
      </w:r>
      <w:r w:rsidR="00496200">
        <w:rPr>
          <w:rFonts w:ascii="Arial" w:hAnsi="Arial" w:cs="Arial"/>
        </w:rPr>
        <w:t>ing</w:t>
      </w:r>
      <w:r w:rsidR="00B226ED" w:rsidRPr="00B226ED">
        <w:rPr>
          <w:rFonts w:ascii="Arial" w:hAnsi="Arial" w:cs="Arial"/>
        </w:rPr>
        <w:t xml:space="preserve"> unfriendly attitudes, being laughed at, or hearing staff talking about them and their appearance while processing forms.</w:t>
      </w:r>
      <w:r>
        <w:rPr>
          <w:rFonts w:ascii="Arial" w:hAnsi="Arial" w:cs="Arial"/>
        </w:rPr>
        <w:t xml:space="preserve"> </w:t>
      </w:r>
    </w:p>
    <w:p w14:paraId="43B7B475" w14:textId="77777777" w:rsidR="00B226ED" w:rsidRPr="00B226ED" w:rsidRDefault="00B226ED" w:rsidP="00B226ED">
      <w:pPr>
        <w:spacing w:after="0"/>
        <w:jc w:val="both"/>
        <w:rPr>
          <w:rFonts w:ascii="Arial" w:hAnsi="Arial" w:cs="Arial"/>
        </w:rPr>
      </w:pPr>
    </w:p>
    <w:p w14:paraId="7992D57A" w14:textId="042CDB11" w:rsidR="00832B22" w:rsidRDefault="008F403D" w:rsidP="00B226ED">
      <w:pPr>
        <w:spacing w:after="0"/>
        <w:jc w:val="both"/>
        <w:rPr>
          <w:rFonts w:ascii="Arial" w:hAnsi="Arial" w:cs="Arial"/>
        </w:rPr>
      </w:pPr>
      <w:r>
        <w:rPr>
          <w:rFonts w:ascii="Arial" w:hAnsi="Arial" w:cs="Arial"/>
        </w:rPr>
        <w:t xml:space="preserve">ID access is also particularly relevant for LGBTQ youth experiencing homelessness, a crisis described in detail at page 16 above. </w:t>
      </w:r>
      <w:r w:rsidRPr="001158FB">
        <w:rPr>
          <w:rFonts w:ascii="Arial" w:hAnsi="Arial" w:cs="Arial"/>
        </w:rPr>
        <w:t xml:space="preserve">The </w:t>
      </w:r>
      <w:r>
        <w:rPr>
          <w:rFonts w:ascii="Arial" w:hAnsi="Arial" w:cs="Arial"/>
        </w:rPr>
        <w:t>2017 Massachusetts Youth Count demonstrated that 9% of youth experiencing homelessness were not able to access needed services because they did not have proper ID, down from 15% in the 2016 survey</w:t>
      </w:r>
      <w:r w:rsidRPr="001158FB">
        <w:rPr>
          <w:rFonts w:ascii="Arial" w:hAnsi="Arial" w:cs="Arial"/>
        </w:rPr>
        <w:t>.</w:t>
      </w:r>
      <w:r w:rsidRPr="001158FB">
        <w:rPr>
          <w:rFonts w:ascii="Arial" w:hAnsi="Arial" w:cs="Arial"/>
          <w:vertAlign w:val="superscript"/>
        </w:rPr>
        <w:endnoteReference w:id="224"/>
      </w:r>
      <w:r w:rsidRPr="001158FB">
        <w:rPr>
          <w:rFonts w:ascii="Arial" w:hAnsi="Arial" w:cs="Arial"/>
        </w:rPr>
        <w:t xml:space="preserve"> </w:t>
      </w:r>
      <w:r>
        <w:rPr>
          <w:rFonts w:ascii="Arial" w:hAnsi="Arial" w:cs="Arial"/>
        </w:rPr>
        <w:t>N</w:t>
      </w:r>
      <w:r w:rsidRPr="00B226ED">
        <w:rPr>
          <w:rFonts w:ascii="Arial" w:hAnsi="Arial" w:cs="Arial"/>
        </w:rPr>
        <w:t xml:space="preserve">ational partners such as the American Bar Association and the U.S. Interagency Council on Homelessness have </w:t>
      </w:r>
      <w:r>
        <w:rPr>
          <w:rFonts w:ascii="Arial" w:hAnsi="Arial" w:cs="Arial"/>
        </w:rPr>
        <w:t>also found that access to</w:t>
      </w:r>
      <w:r w:rsidRPr="00B226ED">
        <w:rPr>
          <w:rFonts w:ascii="Arial" w:hAnsi="Arial" w:cs="Arial"/>
        </w:rPr>
        <w:t xml:space="preserve"> ID documents </w:t>
      </w:r>
      <w:r>
        <w:rPr>
          <w:rFonts w:ascii="Arial" w:hAnsi="Arial" w:cs="Arial"/>
        </w:rPr>
        <w:t>is</w:t>
      </w:r>
      <w:r w:rsidRPr="00B226ED">
        <w:rPr>
          <w:rFonts w:ascii="Arial" w:hAnsi="Arial" w:cs="Arial"/>
        </w:rPr>
        <w:t xml:space="preserve"> an important issue for young peo</w:t>
      </w:r>
      <w:r>
        <w:rPr>
          <w:rFonts w:ascii="Arial" w:hAnsi="Arial" w:cs="Arial"/>
        </w:rPr>
        <w:t>ple experiencing homelessness.</w:t>
      </w:r>
      <w:r>
        <w:rPr>
          <w:rStyle w:val="EndnoteReference"/>
          <w:rFonts w:ascii="Arial" w:hAnsi="Arial" w:cs="Arial"/>
        </w:rPr>
        <w:endnoteReference w:id="225"/>
      </w:r>
      <w:r w:rsidRPr="00832B22">
        <w:rPr>
          <w:rFonts w:ascii="Arial" w:hAnsi="Arial" w:cs="Arial"/>
        </w:rPr>
        <w:t xml:space="preserve"> </w:t>
      </w:r>
      <w:r w:rsidR="00B226ED" w:rsidRPr="00B226ED">
        <w:rPr>
          <w:rFonts w:ascii="Arial" w:hAnsi="Arial" w:cs="Arial"/>
        </w:rPr>
        <w:t>In the fall of 2014, the Commission held a Boston-area convening of youth-serving community organizations. Providers and young people identified lack of access to state-issued identification as a major barrier to services for homeless and low-income youth. Young people sometimes leave th</w:t>
      </w:r>
      <w:r w:rsidR="00F6279B">
        <w:rPr>
          <w:rFonts w:ascii="Arial" w:hAnsi="Arial" w:cs="Arial"/>
        </w:rPr>
        <w:t>eir homes of origin in a hurry and</w:t>
      </w:r>
      <w:r w:rsidR="00B226ED" w:rsidRPr="00B226ED">
        <w:rPr>
          <w:rFonts w:ascii="Arial" w:hAnsi="Arial" w:cs="Arial"/>
        </w:rPr>
        <w:t xml:space="preserve"> returning for ID cards may be physically or emotionally unsafe. In other instances, ID cards are stolen, lost, or confiscated while youth are experiencing homelessness. Furthermore, even a $25 fee to obtain ID cards may be out of reach for young people experiencing homelessness. Other barriers include requirements for minors to obtain parental consent, as well as residency requirements that necessitate a specific address.</w:t>
      </w:r>
      <w:r w:rsidR="00832B22">
        <w:rPr>
          <w:rFonts w:ascii="Arial" w:hAnsi="Arial" w:cs="Arial"/>
        </w:rPr>
        <w:t xml:space="preserve"> </w:t>
      </w:r>
      <w:r w:rsidR="00832B22" w:rsidRPr="001158FB">
        <w:rPr>
          <w:rFonts w:ascii="Arial" w:hAnsi="Arial" w:cs="Arial"/>
        </w:rPr>
        <w:t xml:space="preserve">The latter challenge disproportionately impacts LGBTQ youth separated from their families </w:t>
      </w:r>
      <w:r w:rsidR="00F159C0">
        <w:rPr>
          <w:rFonts w:ascii="Arial" w:hAnsi="Arial" w:cs="Arial"/>
        </w:rPr>
        <w:t>because of</w:t>
      </w:r>
      <w:r w:rsidR="00F159C0" w:rsidRPr="001158FB">
        <w:rPr>
          <w:rFonts w:ascii="Arial" w:hAnsi="Arial" w:cs="Arial"/>
        </w:rPr>
        <w:t xml:space="preserve"> </w:t>
      </w:r>
      <w:r w:rsidR="00832B22" w:rsidRPr="001158FB">
        <w:rPr>
          <w:rFonts w:ascii="Arial" w:hAnsi="Arial" w:cs="Arial"/>
        </w:rPr>
        <w:t xml:space="preserve">conflicts related to their LGBTQ </w:t>
      </w:r>
      <w:r w:rsidR="009E4399">
        <w:rPr>
          <w:rFonts w:ascii="Arial" w:hAnsi="Arial" w:cs="Arial"/>
        </w:rPr>
        <w:t>identities</w:t>
      </w:r>
      <w:r w:rsidR="00832B22" w:rsidRPr="001158FB">
        <w:rPr>
          <w:rFonts w:ascii="Arial" w:hAnsi="Arial" w:cs="Arial"/>
        </w:rPr>
        <w:t>.</w:t>
      </w:r>
    </w:p>
    <w:p w14:paraId="1114A0FC" w14:textId="77777777" w:rsidR="00832B22" w:rsidRDefault="00832B22" w:rsidP="00B226ED">
      <w:pPr>
        <w:spacing w:after="0"/>
        <w:jc w:val="both"/>
        <w:rPr>
          <w:rFonts w:ascii="Arial" w:hAnsi="Arial" w:cs="Arial"/>
        </w:rPr>
      </w:pPr>
    </w:p>
    <w:p w14:paraId="5F709A2B" w14:textId="77777777" w:rsidR="00C23BEB" w:rsidRPr="001158FB" w:rsidRDefault="00CE5186" w:rsidP="00C23BEB">
      <w:pPr>
        <w:spacing w:after="0"/>
        <w:jc w:val="both"/>
        <w:rPr>
          <w:rFonts w:ascii="Arial" w:hAnsi="Arial" w:cs="Arial"/>
        </w:rPr>
      </w:pPr>
      <w:r>
        <w:rPr>
          <w:rFonts w:ascii="Arial" w:hAnsi="Arial" w:cs="Arial"/>
        </w:rPr>
        <w:t xml:space="preserve">Recent changes with respect to the federal REAL ID Act increase </w:t>
      </w:r>
      <w:r w:rsidR="00832B22">
        <w:rPr>
          <w:rFonts w:ascii="Arial" w:hAnsi="Arial" w:cs="Arial"/>
        </w:rPr>
        <w:t>barriers</w:t>
      </w:r>
      <w:r w:rsidR="008F403D">
        <w:rPr>
          <w:rFonts w:ascii="Arial" w:hAnsi="Arial" w:cs="Arial"/>
        </w:rPr>
        <w:t xml:space="preserve"> for youth to access an ID</w:t>
      </w:r>
      <w:r w:rsidR="00832B22">
        <w:rPr>
          <w:rFonts w:ascii="Arial" w:hAnsi="Arial" w:cs="Arial"/>
        </w:rPr>
        <w:t>,</w:t>
      </w:r>
      <w:r>
        <w:rPr>
          <w:rFonts w:ascii="Arial" w:hAnsi="Arial" w:cs="Arial"/>
        </w:rPr>
        <w:t xml:space="preserve"> and</w:t>
      </w:r>
      <w:r w:rsidR="00D01BDC">
        <w:rPr>
          <w:rFonts w:ascii="Arial" w:hAnsi="Arial" w:cs="Arial"/>
        </w:rPr>
        <w:t xml:space="preserve"> </w:t>
      </w:r>
      <w:r w:rsidR="00832B22">
        <w:rPr>
          <w:rFonts w:ascii="Arial" w:hAnsi="Arial" w:cs="Arial"/>
        </w:rPr>
        <w:t xml:space="preserve">the </w:t>
      </w:r>
      <w:r w:rsidR="00D01BDC">
        <w:rPr>
          <w:rFonts w:ascii="Arial" w:hAnsi="Arial" w:cs="Arial"/>
        </w:rPr>
        <w:t>Commission has wo</w:t>
      </w:r>
      <w:r>
        <w:rPr>
          <w:rFonts w:ascii="Arial" w:hAnsi="Arial" w:cs="Arial"/>
        </w:rPr>
        <w:t xml:space="preserve">rked with the RMV, as well as testified before </w:t>
      </w:r>
      <w:r w:rsidR="00D01BDC">
        <w:rPr>
          <w:rFonts w:ascii="Arial" w:hAnsi="Arial" w:cs="Arial"/>
        </w:rPr>
        <w:t>the Joint Committee on Transportation</w:t>
      </w:r>
      <w:r>
        <w:rPr>
          <w:rFonts w:ascii="Arial" w:hAnsi="Arial" w:cs="Arial"/>
        </w:rPr>
        <w:t>, on the importance of this issue for LGBTQ youth</w:t>
      </w:r>
      <w:r w:rsidR="00D01BDC">
        <w:rPr>
          <w:rFonts w:ascii="Arial" w:hAnsi="Arial" w:cs="Arial"/>
        </w:rPr>
        <w:t>.</w:t>
      </w:r>
      <w:r>
        <w:rPr>
          <w:rStyle w:val="EndnoteReference"/>
          <w:rFonts w:ascii="Arial" w:hAnsi="Arial" w:cs="Arial"/>
        </w:rPr>
        <w:endnoteReference w:id="226"/>
      </w:r>
      <w:r w:rsidRPr="00CE5186">
        <w:rPr>
          <w:rFonts w:ascii="Arial" w:hAnsi="Arial" w:cs="Arial"/>
        </w:rPr>
        <w:t xml:space="preserve"> </w:t>
      </w:r>
      <w:r w:rsidR="00B226ED" w:rsidRPr="00B226ED">
        <w:rPr>
          <w:rFonts w:ascii="Arial" w:hAnsi="Arial" w:cs="Arial"/>
        </w:rPr>
        <w:t>Many other states have taken action to address these barriers while maintaining compliance with th</w:t>
      </w:r>
      <w:r w:rsidR="00832B22">
        <w:rPr>
          <w:rFonts w:ascii="Arial" w:hAnsi="Arial" w:cs="Arial"/>
        </w:rPr>
        <w:t>e federal REAL ID regulations,</w:t>
      </w:r>
      <w:r w:rsidR="00F6279B">
        <w:rPr>
          <w:rStyle w:val="EndnoteReference"/>
          <w:rFonts w:ascii="Arial" w:hAnsi="Arial" w:cs="Arial"/>
        </w:rPr>
        <w:endnoteReference w:id="227"/>
      </w:r>
      <w:r w:rsidR="00B226ED" w:rsidRPr="00B226ED">
        <w:rPr>
          <w:rFonts w:ascii="Arial" w:hAnsi="Arial" w:cs="Arial"/>
        </w:rPr>
        <w:t xml:space="preserve"> </w:t>
      </w:r>
      <w:r w:rsidR="00832B22">
        <w:rPr>
          <w:rFonts w:ascii="Arial" w:hAnsi="Arial" w:cs="Arial"/>
        </w:rPr>
        <w:t xml:space="preserve">and their actions might provide guidance to Massachusetts as it addresses the same concerns. </w:t>
      </w:r>
    </w:p>
    <w:p w14:paraId="7DD74D6B" w14:textId="77777777" w:rsidR="00C23BEB" w:rsidRPr="001158FB" w:rsidRDefault="00C23BEB" w:rsidP="00C23BEB">
      <w:pPr>
        <w:spacing w:after="0"/>
        <w:jc w:val="both"/>
        <w:rPr>
          <w:rFonts w:ascii="Arial" w:hAnsi="Arial" w:cs="Arial"/>
        </w:rPr>
      </w:pPr>
    </w:p>
    <w:p w14:paraId="47C1EDFE" w14:textId="77777777" w:rsidR="00B226ED" w:rsidRPr="00961938" w:rsidRDefault="00B226ED" w:rsidP="00961938">
      <w:pPr>
        <w:spacing w:after="0"/>
        <w:jc w:val="center"/>
        <w:rPr>
          <w:rFonts w:ascii="Arial" w:hAnsi="Arial" w:cs="Arial"/>
          <w:b/>
          <w:u w:val="single"/>
        </w:rPr>
      </w:pPr>
      <w:r w:rsidRPr="00961938">
        <w:rPr>
          <w:rFonts w:ascii="Arial" w:hAnsi="Arial" w:cs="Arial"/>
          <w:b/>
          <w:u w:val="single"/>
        </w:rPr>
        <w:t>EXPANDED RECOMMENDATIONS</w:t>
      </w:r>
    </w:p>
    <w:p w14:paraId="75D4074E" w14:textId="77777777" w:rsidR="00B226ED" w:rsidRDefault="00B226ED" w:rsidP="00B226ED">
      <w:pPr>
        <w:spacing w:after="0"/>
        <w:jc w:val="both"/>
        <w:rPr>
          <w:rFonts w:ascii="Arial" w:hAnsi="Arial" w:cs="Arial"/>
        </w:rPr>
      </w:pPr>
    </w:p>
    <w:p w14:paraId="622939F7" w14:textId="77777777" w:rsidR="00417351" w:rsidRDefault="00417351" w:rsidP="00417351">
      <w:pPr>
        <w:numPr>
          <w:ilvl w:val="0"/>
          <w:numId w:val="22"/>
        </w:numPr>
        <w:contextualSpacing/>
        <w:rPr>
          <w:rFonts w:ascii="Arial" w:hAnsi="Arial" w:cs="Arial"/>
          <w:b/>
          <w:color w:val="365F91" w:themeColor="accent1" w:themeShade="BF"/>
        </w:rPr>
      </w:pPr>
      <w:r w:rsidRPr="00417351">
        <w:rPr>
          <w:rFonts w:ascii="Arial" w:hAnsi="Arial" w:cs="Arial"/>
          <w:b/>
          <w:color w:val="365F91" w:themeColor="accent1" w:themeShade="BF"/>
        </w:rPr>
        <w:t>Implement the nonbinary gender marker option in the RMV’s new licensing system.</w:t>
      </w:r>
    </w:p>
    <w:p w14:paraId="62A191AB" w14:textId="77777777" w:rsidR="00417351" w:rsidRPr="00417351" w:rsidRDefault="00417351" w:rsidP="00417351">
      <w:pPr>
        <w:ind w:left="360"/>
        <w:contextualSpacing/>
        <w:rPr>
          <w:rFonts w:ascii="Arial" w:hAnsi="Arial" w:cs="Arial"/>
          <w:b/>
          <w:color w:val="365F91" w:themeColor="accent1" w:themeShade="BF"/>
        </w:rPr>
      </w:pPr>
    </w:p>
    <w:p w14:paraId="6B5E3E43" w14:textId="77777777" w:rsidR="00417351" w:rsidRDefault="00417351" w:rsidP="00417351">
      <w:pPr>
        <w:spacing w:after="0"/>
        <w:jc w:val="both"/>
        <w:rPr>
          <w:rFonts w:ascii="Arial" w:hAnsi="Arial" w:cs="Arial"/>
          <w:b/>
          <w:color w:val="365F91" w:themeColor="accent1" w:themeShade="BF"/>
        </w:rPr>
      </w:pPr>
      <w:r w:rsidRPr="00417351">
        <w:rPr>
          <w:rFonts w:ascii="Arial" w:hAnsi="Arial" w:cs="Arial"/>
        </w:rPr>
        <w:t xml:space="preserve">The Commission commends the RMV for </w:t>
      </w:r>
      <w:r>
        <w:rPr>
          <w:rFonts w:ascii="Arial" w:hAnsi="Arial" w:cs="Arial"/>
        </w:rPr>
        <w:t>including space for a nonbinary gender marker in its new licensing system. However, while the RMV has committed to making this option available soon,</w:t>
      </w:r>
      <w:r>
        <w:rPr>
          <w:rStyle w:val="EndnoteReference"/>
          <w:rFonts w:ascii="Arial" w:hAnsi="Arial" w:cs="Arial"/>
        </w:rPr>
        <w:endnoteReference w:id="228"/>
      </w:r>
      <w:r>
        <w:rPr>
          <w:rFonts w:ascii="Arial" w:hAnsi="Arial" w:cs="Arial"/>
        </w:rPr>
        <w:t xml:space="preserve"> it has not yet been activated. The Commission encourages the RMV</w:t>
      </w:r>
      <w:r w:rsidRPr="00417351">
        <w:rPr>
          <w:rFonts w:ascii="Arial" w:hAnsi="Arial" w:cs="Arial"/>
        </w:rPr>
        <w:t xml:space="preserve"> to begin utilization of the new option as soon into FY2019 as possible. This will allow Massachusetts to join the growing number of states and countries that are already providing a third marker in identification documents, and also bring the RMV in alignment with changes that the Department of Elementary and Secondary Education made to its own records system in 2016.</w:t>
      </w:r>
    </w:p>
    <w:p w14:paraId="198774D2" w14:textId="77777777" w:rsidR="00417351" w:rsidRDefault="00417351">
      <w:pPr>
        <w:rPr>
          <w:rFonts w:ascii="Arial" w:hAnsi="Arial" w:cs="Arial"/>
          <w:b/>
          <w:color w:val="365F91" w:themeColor="accent1" w:themeShade="BF"/>
        </w:rPr>
      </w:pPr>
      <w:r>
        <w:rPr>
          <w:rFonts w:ascii="Arial" w:hAnsi="Arial" w:cs="Arial"/>
          <w:b/>
          <w:color w:val="365F91" w:themeColor="accent1" w:themeShade="BF"/>
        </w:rPr>
        <w:br w:type="page"/>
      </w:r>
    </w:p>
    <w:p w14:paraId="7C996617" w14:textId="77777777" w:rsidR="00ED0E1F" w:rsidRPr="00ED0E1F" w:rsidRDefault="00ED0E1F" w:rsidP="00ED0E1F">
      <w:pPr>
        <w:numPr>
          <w:ilvl w:val="0"/>
          <w:numId w:val="22"/>
        </w:numPr>
        <w:spacing w:after="0"/>
        <w:contextualSpacing/>
        <w:jc w:val="both"/>
        <w:rPr>
          <w:rFonts w:ascii="Arial" w:hAnsi="Arial" w:cs="Arial"/>
          <w:b/>
          <w:color w:val="365F91" w:themeColor="accent1" w:themeShade="BF"/>
        </w:rPr>
      </w:pPr>
      <w:r>
        <w:rPr>
          <w:rFonts w:ascii="Arial" w:hAnsi="Arial" w:cs="Arial"/>
          <w:b/>
          <w:color w:val="365F91" w:themeColor="accent1" w:themeShade="BF"/>
        </w:rPr>
        <w:lastRenderedPageBreak/>
        <w:t>Provide</w:t>
      </w:r>
      <w:r w:rsidRPr="00ED0E1F">
        <w:rPr>
          <w:rFonts w:ascii="Arial" w:hAnsi="Arial" w:cs="Arial"/>
          <w:b/>
          <w:color w:val="365F91" w:themeColor="accent1" w:themeShade="BF"/>
        </w:rPr>
        <w:t xml:space="preserve"> cultural competency training for all line staff</w:t>
      </w:r>
      <w:r>
        <w:rPr>
          <w:rFonts w:ascii="Arial" w:hAnsi="Arial" w:cs="Arial"/>
          <w:b/>
          <w:color w:val="365F91" w:themeColor="accent1" w:themeShade="BF"/>
        </w:rPr>
        <w:t>.</w:t>
      </w:r>
    </w:p>
    <w:p w14:paraId="23EE7D57" w14:textId="77777777" w:rsidR="00ED0E1F" w:rsidRPr="00ED0E1F" w:rsidRDefault="00ED0E1F" w:rsidP="00ED0E1F">
      <w:pPr>
        <w:spacing w:after="0"/>
        <w:jc w:val="both"/>
        <w:rPr>
          <w:rFonts w:ascii="Arial" w:hAnsi="Arial" w:cs="Arial"/>
        </w:rPr>
      </w:pPr>
    </w:p>
    <w:p w14:paraId="0F4B252F" w14:textId="73D0CEA3" w:rsidR="00ED0E1F" w:rsidRPr="00ED0E1F" w:rsidRDefault="00ED0E1F" w:rsidP="00ED0E1F">
      <w:pPr>
        <w:spacing w:after="0"/>
        <w:jc w:val="both"/>
        <w:rPr>
          <w:rFonts w:ascii="Arial" w:hAnsi="Arial" w:cs="Arial"/>
        </w:rPr>
      </w:pPr>
      <w:r w:rsidRPr="00ED0E1F">
        <w:rPr>
          <w:rFonts w:ascii="Arial" w:hAnsi="Arial" w:cs="Arial"/>
        </w:rPr>
        <w:t xml:space="preserve">The Commission </w:t>
      </w:r>
      <w:r w:rsidR="00417351">
        <w:rPr>
          <w:rFonts w:ascii="Arial" w:hAnsi="Arial" w:cs="Arial"/>
        </w:rPr>
        <w:t>recommends that</w:t>
      </w:r>
      <w:r w:rsidRPr="00ED0E1F">
        <w:rPr>
          <w:rFonts w:ascii="Arial" w:hAnsi="Arial" w:cs="Arial"/>
        </w:rPr>
        <w:t xml:space="preserve"> the RMV </w:t>
      </w:r>
      <w:r w:rsidR="00417351">
        <w:rPr>
          <w:rFonts w:ascii="Arial" w:hAnsi="Arial" w:cs="Arial"/>
        </w:rPr>
        <w:t>provide mandatory</w:t>
      </w:r>
      <w:r w:rsidRPr="00ED0E1F">
        <w:rPr>
          <w:rFonts w:ascii="Arial" w:hAnsi="Arial" w:cs="Arial"/>
        </w:rPr>
        <w:t xml:space="preserve"> LGBTQ competency training for </w:t>
      </w:r>
      <w:r w:rsidR="00F01748">
        <w:rPr>
          <w:rFonts w:ascii="Arial" w:hAnsi="Arial" w:cs="Arial"/>
        </w:rPr>
        <w:t xml:space="preserve">all staff, especially those who are </w:t>
      </w:r>
      <w:r w:rsidRPr="00ED0E1F">
        <w:rPr>
          <w:rFonts w:ascii="Arial" w:hAnsi="Arial" w:cs="Arial"/>
        </w:rPr>
        <w:t>client-facin</w:t>
      </w:r>
      <w:r w:rsidR="00F01748">
        <w:rPr>
          <w:rFonts w:ascii="Arial" w:hAnsi="Arial" w:cs="Arial"/>
        </w:rPr>
        <w:t xml:space="preserve">g, </w:t>
      </w:r>
      <w:r w:rsidRPr="00ED0E1F">
        <w:rPr>
          <w:rFonts w:ascii="Arial" w:hAnsi="Arial" w:cs="Arial"/>
        </w:rPr>
        <w:t>that include</w:t>
      </w:r>
      <w:r w:rsidR="000E5A5E">
        <w:rPr>
          <w:rFonts w:ascii="Arial" w:hAnsi="Arial" w:cs="Arial"/>
        </w:rPr>
        <w:t>s</w:t>
      </w:r>
      <w:r w:rsidRPr="00ED0E1F">
        <w:rPr>
          <w:rFonts w:ascii="Arial" w:hAnsi="Arial" w:cs="Arial"/>
        </w:rPr>
        <w:t xml:space="preserve"> basic cultural competency and specific instruction</w:t>
      </w:r>
      <w:r w:rsidR="000E5A5E">
        <w:rPr>
          <w:rFonts w:ascii="Arial" w:hAnsi="Arial" w:cs="Arial"/>
        </w:rPr>
        <w:t>s</w:t>
      </w:r>
      <w:r w:rsidRPr="00ED0E1F">
        <w:rPr>
          <w:rFonts w:ascii="Arial" w:hAnsi="Arial" w:cs="Arial"/>
        </w:rPr>
        <w:t xml:space="preserve"> on the needs of transgender and gender-nonconforming clients. These include understanding new policies on self-attestation of gender identity and the nonbinary ID marker. While training is critical to addressing the concerns expressed by community groups regarding the cultural competence of RMV staff, the Commission advises the RMV to not delay making the nonbinary gender marker option available until after training is completed. Rather, a training plan could be implemented as clients begin to adopt the nonbinary option.</w:t>
      </w:r>
    </w:p>
    <w:p w14:paraId="50DE46DA" w14:textId="77777777" w:rsidR="00ED0E1F" w:rsidRDefault="00ED0E1F" w:rsidP="00B226ED">
      <w:pPr>
        <w:spacing w:after="0"/>
        <w:jc w:val="both"/>
        <w:rPr>
          <w:rFonts w:ascii="Arial" w:hAnsi="Arial" w:cs="Arial"/>
        </w:rPr>
      </w:pPr>
    </w:p>
    <w:p w14:paraId="7A50FDAC" w14:textId="77777777" w:rsidR="008450E3" w:rsidRPr="00961938" w:rsidRDefault="008450E3" w:rsidP="00961B5D">
      <w:pPr>
        <w:pStyle w:val="ListParagraph"/>
        <w:numPr>
          <w:ilvl w:val="0"/>
          <w:numId w:val="22"/>
        </w:numPr>
        <w:spacing w:after="0"/>
        <w:jc w:val="both"/>
        <w:rPr>
          <w:rFonts w:ascii="Arial" w:hAnsi="Arial" w:cs="Arial"/>
          <w:b/>
          <w:color w:val="365F91" w:themeColor="accent1" w:themeShade="BF"/>
        </w:rPr>
      </w:pPr>
      <w:r w:rsidRPr="00961938">
        <w:rPr>
          <w:rFonts w:ascii="Arial" w:hAnsi="Arial" w:cs="Arial"/>
          <w:b/>
          <w:color w:val="365F91" w:themeColor="accent1" w:themeShade="BF"/>
        </w:rPr>
        <w:t xml:space="preserve">Establish streamlined procedures and community outreach initiatives to facilitate access to identification cards for unaccompanied homeless youth and other young people at risk for housing instability. </w:t>
      </w:r>
    </w:p>
    <w:p w14:paraId="10209F95" w14:textId="77777777" w:rsidR="008450E3" w:rsidRDefault="008450E3" w:rsidP="008450E3">
      <w:pPr>
        <w:spacing w:after="0"/>
        <w:jc w:val="both"/>
        <w:rPr>
          <w:rFonts w:ascii="Arial" w:hAnsi="Arial" w:cs="Arial"/>
        </w:rPr>
      </w:pPr>
    </w:p>
    <w:p w14:paraId="4E96C06A" w14:textId="4445140D" w:rsidR="008450E3" w:rsidRDefault="00B95A90" w:rsidP="008450E3">
      <w:pPr>
        <w:spacing w:after="0"/>
        <w:jc w:val="both"/>
        <w:rPr>
          <w:rFonts w:ascii="Arial" w:hAnsi="Arial" w:cs="Arial"/>
        </w:rPr>
      </w:pPr>
      <w:r>
        <w:rPr>
          <w:rFonts w:ascii="Arial" w:hAnsi="Arial" w:cs="Arial"/>
        </w:rPr>
        <w:t>The Commission thanks the RMV for continuing to discuss ways in which ID access can be improved for youth experiencing homelessness and others who may be experiencing housing instability or conditions that make it difficult to acquire an ID. The Commission’s recommendations for improving access have included removing the requirement for a parent or guardian’s consent for youth over the age of 14, expanding accepted forms of supporting identification, and appointing a designated service coordinator for unaccompanied youth. The Commission has also suggested considering unaccompanied youth in community outreach initiatives</w:t>
      </w:r>
      <w:r w:rsidR="008A47DE">
        <w:rPr>
          <w:rFonts w:ascii="Arial" w:hAnsi="Arial" w:cs="Arial"/>
        </w:rPr>
        <w:t>, such as</w:t>
      </w:r>
      <w:r>
        <w:rPr>
          <w:rFonts w:ascii="Arial" w:hAnsi="Arial" w:cs="Arial"/>
        </w:rPr>
        <w:t xml:space="preserve"> by coordinating with other state agencies serving vulnerable young people or participating in youth- or LGBTQ-targeted events. The Commission </w:t>
      </w:r>
      <w:r w:rsidR="000E5A5E">
        <w:rPr>
          <w:rFonts w:ascii="Arial" w:hAnsi="Arial" w:cs="Arial"/>
        </w:rPr>
        <w:t>twice provided testimony</w:t>
      </w:r>
      <w:r>
        <w:rPr>
          <w:rFonts w:ascii="Arial" w:hAnsi="Arial" w:cs="Arial"/>
        </w:rPr>
        <w:t xml:space="preserve"> </w:t>
      </w:r>
      <w:r w:rsidR="000E5A5E">
        <w:rPr>
          <w:rFonts w:ascii="Arial" w:hAnsi="Arial" w:cs="Arial"/>
        </w:rPr>
        <w:t>to</w:t>
      </w:r>
      <w:r>
        <w:rPr>
          <w:rFonts w:ascii="Arial" w:hAnsi="Arial" w:cs="Arial"/>
        </w:rPr>
        <w:t xml:space="preserve"> the Joint Committee on Transportation</w:t>
      </w:r>
      <w:r w:rsidR="000E5A5E">
        <w:rPr>
          <w:rFonts w:ascii="Arial" w:hAnsi="Arial" w:cs="Arial"/>
        </w:rPr>
        <w:t xml:space="preserve"> </w:t>
      </w:r>
      <w:r>
        <w:rPr>
          <w:rFonts w:ascii="Arial" w:hAnsi="Arial" w:cs="Arial"/>
        </w:rPr>
        <w:t>regarding ID access for LGBTQ youth experiencing homelessness,</w:t>
      </w:r>
      <w:r w:rsidR="00417351">
        <w:rPr>
          <w:rStyle w:val="EndnoteReference"/>
          <w:rFonts w:ascii="Arial" w:hAnsi="Arial" w:cs="Arial"/>
        </w:rPr>
        <w:endnoteReference w:id="229"/>
      </w:r>
      <w:r>
        <w:rPr>
          <w:rFonts w:ascii="Arial" w:hAnsi="Arial" w:cs="Arial"/>
        </w:rPr>
        <w:t xml:space="preserve"> and hopes that this discussion can continue with the RMV </w:t>
      </w:r>
      <w:r w:rsidR="000E5A5E">
        <w:rPr>
          <w:rFonts w:ascii="Arial" w:hAnsi="Arial" w:cs="Arial"/>
        </w:rPr>
        <w:t>and</w:t>
      </w:r>
      <w:r w:rsidR="00604271">
        <w:rPr>
          <w:rFonts w:ascii="Arial" w:hAnsi="Arial" w:cs="Arial"/>
        </w:rPr>
        <w:t xml:space="preserve"> the Unaccompanied Homeless Youth Commission </w:t>
      </w:r>
      <w:r w:rsidR="000E5A5E">
        <w:rPr>
          <w:rFonts w:ascii="Arial" w:hAnsi="Arial" w:cs="Arial"/>
        </w:rPr>
        <w:t>in</w:t>
      </w:r>
      <w:r>
        <w:rPr>
          <w:rFonts w:ascii="Arial" w:hAnsi="Arial" w:cs="Arial"/>
        </w:rPr>
        <w:t xml:space="preserve"> </w:t>
      </w:r>
      <w:r w:rsidR="00604271">
        <w:rPr>
          <w:rFonts w:ascii="Arial" w:hAnsi="Arial" w:cs="Arial"/>
        </w:rPr>
        <w:t>the new fiscal year.</w:t>
      </w:r>
    </w:p>
    <w:p w14:paraId="08607F93" w14:textId="77777777" w:rsidR="00604271" w:rsidRPr="008450E3" w:rsidRDefault="00604271" w:rsidP="008450E3">
      <w:pPr>
        <w:spacing w:after="0"/>
        <w:jc w:val="both"/>
        <w:rPr>
          <w:rFonts w:ascii="Arial" w:hAnsi="Arial" w:cs="Arial"/>
        </w:rPr>
      </w:pPr>
    </w:p>
    <w:p w14:paraId="790ACE71" w14:textId="77777777" w:rsidR="008450E3" w:rsidRPr="00961938" w:rsidRDefault="006C71B4" w:rsidP="00961B5D">
      <w:pPr>
        <w:pStyle w:val="ListParagraph"/>
        <w:numPr>
          <w:ilvl w:val="0"/>
          <w:numId w:val="22"/>
        </w:numPr>
        <w:spacing w:after="0"/>
        <w:jc w:val="both"/>
        <w:rPr>
          <w:rFonts w:ascii="Arial" w:hAnsi="Arial" w:cs="Arial"/>
          <w:b/>
          <w:color w:val="365F91" w:themeColor="accent1" w:themeShade="BF"/>
        </w:rPr>
      </w:pPr>
      <w:r w:rsidRPr="00961938">
        <w:rPr>
          <w:rFonts w:ascii="Arial" w:hAnsi="Arial" w:cs="Arial"/>
          <w:b/>
          <w:color w:val="365F91" w:themeColor="accent1" w:themeShade="BF"/>
        </w:rPr>
        <w:t>Create</w:t>
      </w:r>
      <w:r w:rsidR="008450E3" w:rsidRPr="00961938">
        <w:rPr>
          <w:rFonts w:ascii="Arial" w:hAnsi="Arial" w:cs="Arial"/>
          <w:b/>
          <w:color w:val="365F91" w:themeColor="accent1" w:themeShade="BF"/>
        </w:rPr>
        <w:t xml:space="preserve"> and implement a policy</w:t>
      </w:r>
      <w:r w:rsidR="007A61A7" w:rsidRPr="00961938">
        <w:rPr>
          <w:b/>
          <w:color w:val="365F91" w:themeColor="accent1" w:themeShade="BF"/>
        </w:rPr>
        <w:t xml:space="preserve"> </w:t>
      </w:r>
      <w:r w:rsidR="007A61A7" w:rsidRPr="00961938">
        <w:rPr>
          <w:rFonts w:ascii="Arial" w:hAnsi="Arial" w:cs="Arial"/>
          <w:b/>
          <w:color w:val="365F91" w:themeColor="accent1" w:themeShade="BF"/>
        </w:rPr>
        <w:t>to promote nondiscriminatory services for LGBTQ young people</w:t>
      </w:r>
      <w:r w:rsidR="008450E3" w:rsidRPr="00961938">
        <w:rPr>
          <w:rFonts w:ascii="Arial" w:hAnsi="Arial" w:cs="Arial"/>
          <w:b/>
          <w:color w:val="365F91" w:themeColor="accent1" w:themeShade="BF"/>
        </w:rPr>
        <w:t xml:space="preserve">. </w:t>
      </w:r>
    </w:p>
    <w:p w14:paraId="2E9EAD0D" w14:textId="77777777" w:rsidR="00F6279B" w:rsidRPr="00B226ED" w:rsidRDefault="00F6279B" w:rsidP="00B226ED">
      <w:pPr>
        <w:spacing w:after="0"/>
        <w:jc w:val="both"/>
        <w:rPr>
          <w:rFonts w:ascii="Arial" w:hAnsi="Arial" w:cs="Arial"/>
        </w:rPr>
      </w:pPr>
    </w:p>
    <w:p w14:paraId="1861AA0F" w14:textId="77777777" w:rsidR="00A07650" w:rsidRDefault="00EE5094" w:rsidP="000B32B1">
      <w:pPr>
        <w:spacing w:after="0"/>
        <w:jc w:val="both"/>
        <w:rPr>
          <w:rFonts w:ascii="Arial" w:hAnsi="Arial" w:cs="Arial"/>
          <w:b/>
          <w:sz w:val="28"/>
          <w:szCs w:val="28"/>
        </w:rPr>
      </w:pPr>
      <w:r>
        <w:rPr>
          <w:rFonts w:ascii="Arial" w:hAnsi="Arial" w:cs="Arial"/>
        </w:rPr>
        <w:t xml:space="preserve">The Commission has previously worked with the RMV on drafting a policy and guidance to promote nondiscriminatory services for LGBTQ young people. </w:t>
      </w:r>
      <w:r w:rsidR="00F93281">
        <w:rPr>
          <w:rFonts w:ascii="Arial" w:hAnsi="Arial" w:cs="Arial"/>
        </w:rPr>
        <w:t>The Commission</w:t>
      </w:r>
      <w:r>
        <w:rPr>
          <w:rFonts w:ascii="Arial" w:hAnsi="Arial" w:cs="Arial"/>
        </w:rPr>
        <w:t xml:space="preserve"> continue</w:t>
      </w:r>
      <w:r w:rsidR="00F93281">
        <w:rPr>
          <w:rFonts w:ascii="Arial" w:hAnsi="Arial" w:cs="Arial"/>
        </w:rPr>
        <w:t>s</w:t>
      </w:r>
      <w:r>
        <w:rPr>
          <w:rFonts w:ascii="Arial" w:hAnsi="Arial" w:cs="Arial"/>
        </w:rPr>
        <w:t xml:space="preserve"> to recommend that the RMV finalize and implement these documents. Implementing the training described above will improve the likelihood that the policy will effectuate real, positive change. </w:t>
      </w:r>
      <w:r w:rsidR="00A07650">
        <w:rPr>
          <w:rFonts w:ascii="Arial" w:hAnsi="Arial" w:cs="Arial"/>
          <w:b/>
          <w:sz w:val="28"/>
          <w:szCs w:val="28"/>
        </w:rPr>
        <w:br w:type="page"/>
      </w:r>
    </w:p>
    <w:p w14:paraId="75C5CF39" w14:textId="10BCF321" w:rsidR="00F6279B" w:rsidRPr="00F6279B" w:rsidRDefault="00961938" w:rsidP="0068217E">
      <w:pPr>
        <w:pStyle w:val="Heading2"/>
      </w:pPr>
      <w:bookmarkStart w:id="45" w:name="_Toc512947923"/>
      <w:r>
        <w:rPr>
          <w:noProof/>
        </w:rPr>
        <w:lastRenderedPageBreak/>
        <w:drawing>
          <wp:anchor distT="0" distB="0" distL="114300" distR="114300" simplePos="0" relativeHeight="251787264" behindDoc="1" locked="0" layoutInCell="0" allowOverlap="1" wp14:anchorId="6294CD33" wp14:editId="0190FB31">
            <wp:simplePos x="0" y="0"/>
            <wp:positionH relativeFrom="column">
              <wp:posOffset>4445</wp:posOffset>
            </wp:positionH>
            <wp:positionV relativeFrom="paragraph">
              <wp:posOffset>193040</wp:posOffset>
            </wp:positionV>
            <wp:extent cx="5980430" cy="18415"/>
            <wp:effectExtent l="0" t="0" r="1270" b="635"/>
            <wp:wrapNone/>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anchor>
        </w:drawing>
      </w:r>
      <w:r w:rsidR="00F6279B" w:rsidRPr="00F6279B">
        <w:t>Regional Transit Authorities</w:t>
      </w:r>
      <w:bookmarkEnd w:id="45"/>
    </w:p>
    <w:p w14:paraId="40ABAC60" w14:textId="77777777" w:rsidR="00F6279B" w:rsidRPr="00F6279B" w:rsidRDefault="00F6279B" w:rsidP="00F6279B">
      <w:pPr>
        <w:spacing w:after="0"/>
        <w:jc w:val="both"/>
        <w:rPr>
          <w:rFonts w:ascii="Arial" w:hAnsi="Arial" w:cs="Arial"/>
        </w:rPr>
      </w:pPr>
    </w:p>
    <w:p w14:paraId="1500C3A8" w14:textId="77777777" w:rsidR="00961938" w:rsidRDefault="00961938" w:rsidP="00961938">
      <w:pPr>
        <w:spacing w:after="0"/>
        <w:jc w:val="center"/>
        <w:rPr>
          <w:rFonts w:ascii="Arial" w:hAnsi="Arial" w:cs="Arial"/>
          <w:b/>
          <w:u w:val="single"/>
        </w:rPr>
      </w:pPr>
    </w:p>
    <w:p w14:paraId="595EC345" w14:textId="77777777" w:rsidR="000D3720" w:rsidRPr="00961938" w:rsidRDefault="000D3720" w:rsidP="00961938">
      <w:pPr>
        <w:spacing w:after="0"/>
        <w:jc w:val="center"/>
        <w:rPr>
          <w:rFonts w:ascii="Arial" w:hAnsi="Arial" w:cs="Arial"/>
          <w:b/>
          <w:u w:val="single"/>
        </w:rPr>
      </w:pPr>
      <w:r w:rsidRPr="00961938">
        <w:rPr>
          <w:rFonts w:ascii="Arial" w:hAnsi="Arial" w:cs="Arial"/>
          <w:b/>
          <w:u w:val="single"/>
        </w:rPr>
        <w:t>FY19 RECOMMENDATIONS</w:t>
      </w:r>
    </w:p>
    <w:p w14:paraId="23761399" w14:textId="77777777" w:rsidR="000D3720" w:rsidRPr="00806F85" w:rsidRDefault="000D3720" w:rsidP="000D3720">
      <w:pPr>
        <w:spacing w:after="0"/>
        <w:jc w:val="both"/>
        <w:rPr>
          <w:rFonts w:ascii="Arial" w:hAnsi="Arial" w:cs="Arial"/>
        </w:rPr>
      </w:pPr>
    </w:p>
    <w:p w14:paraId="03DA8CC8" w14:textId="77777777" w:rsidR="000D3720" w:rsidRPr="00961938" w:rsidRDefault="000D3720" w:rsidP="00961B5D">
      <w:pPr>
        <w:numPr>
          <w:ilvl w:val="0"/>
          <w:numId w:val="7"/>
        </w:numPr>
        <w:spacing w:after="0"/>
        <w:contextualSpacing/>
        <w:jc w:val="both"/>
        <w:rPr>
          <w:rFonts w:ascii="Arial" w:hAnsi="Arial" w:cs="Arial"/>
          <w:b/>
          <w:color w:val="365F91" w:themeColor="accent1" w:themeShade="BF"/>
        </w:rPr>
      </w:pPr>
      <w:r w:rsidRPr="00961938">
        <w:rPr>
          <w:rFonts w:ascii="Arial" w:hAnsi="Arial" w:cs="Arial"/>
          <w:b/>
          <w:color w:val="365F91" w:themeColor="accent1" w:themeShade="BF"/>
        </w:rPr>
        <w:t xml:space="preserve">Work with the Commission to establish a pilot project to study impediments to and best practices for addressing the mobility needs to connect LGBTQ youth to LGBTQ community groups. </w:t>
      </w:r>
    </w:p>
    <w:p w14:paraId="725790F9" w14:textId="3960223C" w:rsidR="000D3720" w:rsidRPr="00961938" w:rsidRDefault="009619C1" w:rsidP="00961B5D">
      <w:pPr>
        <w:numPr>
          <w:ilvl w:val="0"/>
          <w:numId w:val="7"/>
        </w:numPr>
        <w:spacing w:after="0"/>
        <w:contextualSpacing/>
        <w:jc w:val="both"/>
        <w:rPr>
          <w:rFonts w:ascii="Arial" w:hAnsi="Arial" w:cs="Arial"/>
          <w:b/>
          <w:color w:val="365F91" w:themeColor="accent1" w:themeShade="BF"/>
        </w:rPr>
      </w:pPr>
      <w:r>
        <w:rPr>
          <w:rFonts w:ascii="Arial" w:hAnsi="Arial" w:cs="Arial"/>
          <w:noProof/>
        </w:rPr>
        <mc:AlternateContent>
          <mc:Choice Requires="wps">
            <w:drawing>
              <wp:anchor distT="0" distB="0" distL="114300" distR="114300" simplePos="0" relativeHeight="251837440" behindDoc="0" locked="0" layoutInCell="1" allowOverlap="1" wp14:anchorId="32013C3A" wp14:editId="228F5A09">
                <wp:simplePos x="0" y="0"/>
                <wp:positionH relativeFrom="column">
                  <wp:posOffset>17780</wp:posOffset>
                </wp:positionH>
                <wp:positionV relativeFrom="paragraph">
                  <wp:posOffset>612775</wp:posOffset>
                </wp:positionV>
                <wp:extent cx="5963285" cy="1436370"/>
                <wp:effectExtent l="0" t="0" r="18415" b="11430"/>
                <wp:wrapSquare wrapText="bothSides"/>
                <wp:docPr id="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285" cy="1436370"/>
                        </a:xfrm>
                        <a:prstGeom prst="rect">
                          <a:avLst/>
                        </a:prstGeom>
                        <a:solidFill>
                          <a:srgbClr val="FFFFFF"/>
                        </a:solidFill>
                        <a:ln w="19050">
                          <a:solidFill>
                            <a:srgbClr val="FFBC37"/>
                          </a:solidFill>
                          <a:miter lim="800000"/>
                          <a:headEnd/>
                          <a:tailEnd/>
                        </a:ln>
                      </wps:spPr>
                      <wps:txbx>
                        <w:txbxContent>
                          <w:p w14:paraId="70D3B348" w14:textId="77777777" w:rsidR="00411ECA" w:rsidRDefault="00411ECA" w:rsidP="008B2CED">
                            <w:pPr>
                              <w:jc w:val="both"/>
                              <w:rPr>
                                <w:rFonts w:ascii="Arial" w:hAnsi="Arial" w:cs="Arial"/>
                                <w:i/>
                              </w:rPr>
                            </w:pPr>
                            <w:r>
                              <w:rPr>
                                <w:rFonts w:ascii="Arial" w:hAnsi="Arial" w:cs="Arial"/>
                                <w:i/>
                              </w:rPr>
                              <w:t>“</w:t>
                            </w:r>
                            <w:r w:rsidRPr="008B2CED">
                              <w:rPr>
                                <w:rFonts w:ascii="Arial" w:hAnsi="Arial" w:cs="Arial"/>
                                <w:i/>
                              </w:rPr>
                              <w:t>Growing up in a town so secluded from the city, there were no easily accessible resources for me before I had a driver's license. I felt completely isolated from my LGBTQ peers. I was extremely depressed as a result and, when I was verbally and physically assaulted for my orientation in m</w:t>
                            </w:r>
                            <w:r>
                              <w:rPr>
                                <w:rFonts w:ascii="Arial" w:hAnsi="Arial" w:cs="Arial"/>
                                <w:i/>
                              </w:rPr>
                              <w:t>iddle school, I became suicidal</w:t>
                            </w:r>
                            <w:r w:rsidRPr="008B2CED">
                              <w:rPr>
                                <w:rFonts w:ascii="Arial" w:hAnsi="Arial" w:cs="Arial"/>
                                <w:i/>
                              </w:rPr>
                              <w:t>... I would like to see more opportunities available for LGBTQ youth outside of Bosto</w:t>
                            </w:r>
                            <w:r>
                              <w:rPr>
                                <w:rFonts w:ascii="Arial" w:hAnsi="Arial" w:cs="Arial"/>
                                <w:i/>
                              </w:rPr>
                              <w:t>n to establish support networks.”</w:t>
                            </w:r>
                          </w:p>
                          <w:p w14:paraId="0491B8DC" w14:textId="77777777" w:rsidR="00411ECA" w:rsidRPr="00983FF1" w:rsidRDefault="00411ECA" w:rsidP="008B2CED">
                            <w:pPr>
                              <w:rPr>
                                <w:rFonts w:ascii="Arial" w:hAnsi="Arial" w:cs="Arial"/>
                              </w:rPr>
                            </w:pPr>
                            <w:r w:rsidRPr="00983FF1">
                              <w:rPr>
                                <w:rFonts w:ascii="Arial" w:hAnsi="Arial" w:cs="Arial"/>
                              </w:rPr>
                              <w:t xml:space="preserve">– </w:t>
                            </w:r>
                            <w:r>
                              <w:rPr>
                                <w:rFonts w:ascii="Arial" w:hAnsi="Arial" w:cs="Arial"/>
                              </w:rPr>
                              <w:t>Transgender youth, Southeastern Massachusetts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left:0;text-align:left;margin-left:1.4pt;margin-top:48.25pt;width:469.55pt;height:113.1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" strokecolor="#ffbc37" strokeweight="1.5pt">
                <v:textbox>
                  <w:txbxContent>
                    <w:p w14:paraId="70D3B348" w14:textId="77777777" w:rsidR="00411ECA" w:rsidRDefault="00411ECA" w:rsidP="008B2CED">
                      <w:pPr>
                        <w:jc w:val="both"/>
                        <w:rPr>
                          <w:rFonts w:ascii="Arial" w:hAnsi="Arial" w:cs="Arial"/>
                          <w:i/>
                        </w:rPr>
                      </w:pPr>
                      <w:r>
                        <w:rPr>
                          <w:rFonts w:ascii="Arial" w:hAnsi="Arial" w:cs="Arial"/>
                          <w:i/>
                        </w:rPr>
                        <w:t>“</w:t>
                      </w:r>
                      <w:r w:rsidRPr="008B2CED">
                        <w:rPr>
                          <w:rFonts w:ascii="Arial" w:hAnsi="Arial" w:cs="Arial"/>
                          <w:i/>
                        </w:rPr>
                        <w:t>Growing up in a town so secluded from the city, there were no easily accessible resources for me before I had a driver's license. I felt completely isolated from my LGBTQ peers. I was extremely depressed as a result and, when I was verbally and physically assaulted for my orientation in m</w:t>
                      </w:r>
                      <w:r>
                        <w:rPr>
                          <w:rFonts w:ascii="Arial" w:hAnsi="Arial" w:cs="Arial"/>
                          <w:i/>
                        </w:rPr>
                        <w:t>iddle school, I became suicidal</w:t>
                      </w:r>
                      <w:r w:rsidRPr="008B2CED">
                        <w:rPr>
                          <w:rFonts w:ascii="Arial" w:hAnsi="Arial" w:cs="Arial"/>
                          <w:i/>
                        </w:rPr>
                        <w:t>... I would like to see more opportunities available for LGBTQ youth outside of Bosto</w:t>
                      </w:r>
                      <w:r>
                        <w:rPr>
                          <w:rFonts w:ascii="Arial" w:hAnsi="Arial" w:cs="Arial"/>
                          <w:i/>
                        </w:rPr>
                        <w:t>n to establish support networks.”</w:t>
                      </w:r>
                    </w:p>
                    <w:p w14:paraId="0491B8DC" w14:textId="77777777" w:rsidR="00411ECA" w:rsidRPr="00983FF1" w:rsidRDefault="00411ECA" w:rsidP="008B2CED">
                      <w:pPr>
                        <w:rPr>
                          <w:rFonts w:ascii="Arial" w:hAnsi="Arial" w:cs="Arial"/>
                        </w:rPr>
                      </w:pPr>
                      <w:r w:rsidRPr="00983FF1">
                        <w:rPr>
                          <w:rFonts w:ascii="Arial" w:hAnsi="Arial" w:cs="Arial"/>
                        </w:rPr>
                        <w:t xml:space="preserve">– </w:t>
                      </w:r>
                      <w:r>
                        <w:rPr>
                          <w:rFonts w:ascii="Arial" w:hAnsi="Arial" w:cs="Arial"/>
                        </w:rPr>
                        <w:t>Transgender youth, Southeastern Massachusetts</w:t>
                      </w:r>
                    </w:p>
                  </w:txbxContent>
                </v:textbox>
                <w10:wrap type="square"/>
              </v:shape>
            </w:pict>
          </mc:Fallback>
        </mc:AlternateContent>
      </w:r>
      <w:r w:rsidR="000D3720" w:rsidRPr="00961938">
        <w:rPr>
          <w:rFonts w:ascii="Arial" w:hAnsi="Arial" w:cs="Arial"/>
          <w:b/>
          <w:color w:val="365F91" w:themeColor="accent1" w:themeShade="BF"/>
        </w:rPr>
        <w:t xml:space="preserve">Include </w:t>
      </w:r>
      <w:r w:rsidR="000E5A5E">
        <w:rPr>
          <w:rFonts w:ascii="Arial" w:hAnsi="Arial" w:cs="Arial"/>
          <w:b/>
          <w:color w:val="365F91" w:themeColor="accent1" w:themeShade="BF"/>
        </w:rPr>
        <w:t xml:space="preserve">LGBTQ-serving organizations as transit </w:t>
      </w:r>
      <w:r w:rsidR="000D3720" w:rsidRPr="00961938">
        <w:rPr>
          <w:rFonts w:ascii="Arial" w:hAnsi="Arial" w:cs="Arial"/>
          <w:b/>
          <w:color w:val="365F91" w:themeColor="accent1" w:themeShade="BF"/>
        </w:rPr>
        <w:t>activity</w:t>
      </w:r>
      <w:r w:rsidR="000E5A5E">
        <w:rPr>
          <w:rFonts w:ascii="Arial" w:hAnsi="Arial" w:cs="Arial"/>
          <w:b/>
          <w:color w:val="365F91" w:themeColor="accent1" w:themeShade="BF"/>
        </w:rPr>
        <w:t xml:space="preserve"> </w:t>
      </w:r>
      <w:r w:rsidR="000D3720" w:rsidRPr="00961938">
        <w:rPr>
          <w:rFonts w:ascii="Arial" w:hAnsi="Arial" w:cs="Arial"/>
          <w:b/>
          <w:color w:val="365F91" w:themeColor="accent1" w:themeShade="BF"/>
        </w:rPr>
        <w:t xml:space="preserve">generators and participants in any short- or long-term planning for regional transportation. </w:t>
      </w:r>
    </w:p>
    <w:p w14:paraId="246182C4" w14:textId="77777777" w:rsidR="008B2CED" w:rsidRDefault="008B2CED" w:rsidP="000D3720">
      <w:pPr>
        <w:spacing w:after="0"/>
        <w:jc w:val="both"/>
        <w:rPr>
          <w:rFonts w:ascii="Arial" w:hAnsi="Arial" w:cs="Arial"/>
          <w:b/>
        </w:rPr>
      </w:pPr>
    </w:p>
    <w:p w14:paraId="4BE258AB" w14:textId="77777777" w:rsidR="008B2CED" w:rsidRDefault="008B2CED" w:rsidP="000D3720">
      <w:pPr>
        <w:spacing w:after="0"/>
        <w:jc w:val="both"/>
        <w:rPr>
          <w:rFonts w:ascii="Arial" w:hAnsi="Arial" w:cs="Arial"/>
          <w:b/>
        </w:rPr>
      </w:pPr>
    </w:p>
    <w:p w14:paraId="45706C31" w14:textId="77777777" w:rsidR="008B2CED" w:rsidRDefault="008B2CED" w:rsidP="000D3720">
      <w:pPr>
        <w:spacing w:after="0"/>
        <w:jc w:val="both"/>
        <w:rPr>
          <w:rFonts w:ascii="Arial" w:hAnsi="Arial" w:cs="Arial"/>
          <w:b/>
        </w:rPr>
      </w:pPr>
    </w:p>
    <w:p w14:paraId="04F36600" w14:textId="77777777" w:rsidR="000D3720" w:rsidRPr="00961938" w:rsidRDefault="000D3720" w:rsidP="00961938">
      <w:pPr>
        <w:spacing w:after="0"/>
        <w:jc w:val="center"/>
        <w:rPr>
          <w:rFonts w:ascii="Arial" w:hAnsi="Arial" w:cs="Arial"/>
          <w:b/>
          <w:u w:val="single"/>
        </w:rPr>
      </w:pPr>
      <w:r w:rsidRPr="00961938">
        <w:rPr>
          <w:rFonts w:ascii="Arial" w:hAnsi="Arial" w:cs="Arial"/>
          <w:b/>
          <w:u w:val="single"/>
        </w:rPr>
        <w:t>BACKGROUND &amp; RESEARCH</w:t>
      </w:r>
    </w:p>
    <w:p w14:paraId="089CCB72" w14:textId="77777777" w:rsidR="000D3720" w:rsidRPr="00806F85" w:rsidRDefault="000D3720" w:rsidP="000D3720">
      <w:pPr>
        <w:spacing w:after="0"/>
        <w:jc w:val="both"/>
        <w:rPr>
          <w:rFonts w:ascii="Arial" w:hAnsi="Arial" w:cs="Arial"/>
        </w:rPr>
      </w:pPr>
    </w:p>
    <w:p w14:paraId="023585CC" w14:textId="77777777" w:rsidR="000D3720" w:rsidRPr="00806F85" w:rsidRDefault="000D3720" w:rsidP="000D3720">
      <w:pPr>
        <w:spacing w:after="0"/>
        <w:jc w:val="both"/>
        <w:rPr>
          <w:rFonts w:ascii="Arial" w:hAnsi="Arial" w:cs="Arial"/>
        </w:rPr>
      </w:pPr>
      <w:r w:rsidRPr="00806F85">
        <w:rPr>
          <w:rFonts w:ascii="Arial" w:hAnsi="Arial" w:cs="Arial"/>
        </w:rPr>
        <w:t xml:space="preserve">The MassDOT Rail &amp; Transit Division oversees fifteen Regional Transit Authorities (RTAs) in six regions across the Commonwealth: Boston, Northern, Central, Western, and Cape Cod &amp; Islands. The Commission looks forward to </w:t>
      </w:r>
      <w:r>
        <w:rPr>
          <w:rFonts w:ascii="Arial" w:hAnsi="Arial" w:cs="Arial"/>
        </w:rPr>
        <w:t xml:space="preserve">collaborating with the RTAs of the Commonwealth </w:t>
      </w:r>
      <w:r w:rsidRPr="00806F85">
        <w:rPr>
          <w:rFonts w:ascii="Arial" w:hAnsi="Arial" w:cs="Arial"/>
        </w:rPr>
        <w:t>to highlight</w:t>
      </w:r>
      <w:r>
        <w:rPr>
          <w:rFonts w:ascii="Arial" w:hAnsi="Arial" w:cs="Arial"/>
        </w:rPr>
        <w:t xml:space="preserve"> the need to connect LGBTQ youth, </w:t>
      </w:r>
      <w:r w:rsidRPr="00806F85">
        <w:rPr>
          <w:rFonts w:ascii="Arial" w:hAnsi="Arial" w:cs="Arial"/>
        </w:rPr>
        <w:t>as an underserved population</w:t>
      </w:r>
      <w:r>
        <w:rPr>
          <w:rFonts w:ascii="Arial" w:hAnsi="Arial" w:cs="Arial"/>
        </w:rPr>
        <w:t>, to</w:t>
      </w:r>
      <w:r w:rsidRPr="00806F85">
        <w:rPr>
          <w:rFonts w:ascii="Arial" w:hAnsi="Arial" w:cs="Arial"/>
        </w:rPr>
        <w:t xml:space="preserve"> LGBTQ youth-serving organizations in </w:t>
      </w:r>
      <w:r>
        <w:rPr>
          <w:rFonts w:ascii="Arial" w:hAnsi="Arial" w:cs="Arial"/>
        </w:rPr>
        <w:t xml:space="preserve">suburban and </w:t>
      </w:r>
      <w:r w:rsidRPr="00806F85">
        <w:rPr>
          <w:rFonts w:ascii="Arial" w:hAnsi="Arial" w:cs="Arial"/>
        </w:rPr>
        <w:t>rural parts of the Commonwealth.</w:t>
      </w:r>
    </w:p>
    <w:p w14:paraId="5A5A8B1F" w14:textId="77777777" w:rsidR="000D3720" w:rsidRPr="00806F85" w:rsidRDefault="000D3720" w:rsidP="000D3720">
      <w:pPr>
        <w:spacing w:after="0"/>
        <w:jc w:val="both"/>
        <w:rPr>
          <w:rFonts w:ascii="Arial" w:hAnsi="Arial" w:cs="Arial"/>
        </w:rPr>
      </w:pPr>
    </w:p>
    <w:p w14:paraId="5E97FDF4" w14:textId="12B4E99D" w:rsidR="000D3720" w:rsidRPr="00806F85" w:rsidRDefault="000D3720" w:rsidP="000D3720">
      <w:pPr>
        <w:spacing w:after="0"/>
        <w:jc w:val="both"/>
        <w:rPr>
          <w:rFonts w:ascii="Arial" w:hAnsi="Arial" w:cs="Arial"/>
        </w:rPr>
      </w:pPr>
      <w:r>
        <w:rPr>
          <w:rFonts w:ascii="Arial" w:hAnsi="Arial" w:cs="Arial"/>
        </w:rPr>
        <w:t xml:space="preserve">An analysis of known LGBTQ-specific or </w:t>
      </w:r>
      <w:r w:rsidR="008B2CED">
        <w:rPr>
          <w:rFonts w:ascii="Arial" w:hAnsi="Arial" w:cs="Arial"/>
        </w:rPr>
        <w:t>-</w:t>
      </w:r>
      <w:r>
        <w:rPr>
          <w:rFonts w:ascii="Arial" w:hAnsi="Arial" w:cs="Arial"/>
        </w:rPr>
        <w:t>friendly resources conducted by the</w:t>
      </w:r>
      <w:r w:rsidRPr="00806F85">
        <w:rPr>
          <w:rFonts w:ascii="Arial" w:hAnsi="Arial" w:cs="Arial"/>
        </w:rPr>
        <w:t xml:space="preserve"> Commission found that approximately 90% </w:t>
      </w:r>
      <w:r>
        <w:rPr>
          <w:rFonts w:ascii="Arial" w:hAnsi="Arial" w:cs="Arial"/>
        </w:rPr>
        <w:t>are</w:t>
      </w:r>
      <w:r w:rsidRPr="00806F85">
        <w:rPr>
          <w:rFonts w:ascii="Arial" w:hAnsi="Arial" w:cs="Arial"/>
        </w:rPr>
        <w:t xml:space="preserve"> located in the eastern half of the state, and even there, are concentrated in major population centers.</w:t>
      </w:r>
      <w:r w:rsidRPr="00806F85">
        <w:rPr>
          <w:rFonts w:ascii="Arial" w:hAnsi="Arial" w:cs="Arial"/>
          <w:vertAlign w:val="superscript"/>
        </w:rPr>
        <w:endnoteReference w:id="230"/>
      </w:r>
      <w:r w:rsidRPr="00806F85">
        <w:rPr>
          <w:rFonts w:ascii="Arial" w:hAnsi="Arial" w:cs="Arial"/>
        </w:rPr>
        <w:t xml:space="preserve"> A </w:t>
      </w:r>
      <w:r>
        <w:rPr>
          <w:rFonts w:ascii="Arial" w:hAnsi="Arial" w:cs="Arial"/>
        </w:rPr>
        <w:t xml:space="preserve">national </w:t>
      </w:r>
      <w:r w:rsidRPr="00806F85">
        <w:rPr>
          <w:rFonts w:ascii="Arial" w:hAnsi="Arial" w:cs="Arial"/>
        </w:rPr>
        <w:t xml:space="preserve">report </w:t>
      </w:r>
      <w:r>
        <w:rPr>
          <w:rFonts w:ascii="Arial" w:hAnsi="Arial" w:cs="Arial"/>
        </w:rPr>
        <w:t>found</w:t>
      </w:r>
      <w:r w:rsidRPr="00806F85">
        <w:rPr>
          <w:rFonts w:ascii="Arial" w:hAnsi="Arial" w:cs="Arial"/>
        </w:rPr>
        <w:t xml:space="preserve"> that LGBTQ youth living in rural areas were significantly less likely to have access to </w:t>
      </w:r>
      <w:r w:rsidR="000E5A5E">
        <w:rPr>
          <w:rFonts w:ascii="Arial" w:hAnsi="Arial" w:cs="Arial"/>
        </w:rPr>
        <w:t xml:space="preserve">affirming community groups or programs, with only 30% </w:t>
      </w:r>
      <w:r w:rsidRPr="00806F85">
        <w:rPr>
          <w:rFonts w:ascii="Arial" w:hAnsi="Arial" w:cs="Arial"/>
        </w:rPr>
        <w:t xml:space="preserve">of rural LGBTQ youth reported having access to such a group in their community compared to </w:t>
      </w:r>
      <w:r w:rsidR="000E5A5E">
        <w:rPr>
          <w:rFonts w:ascii="Arial" w:hAnsi="Arial" w:cs="Arial"/>
        </w:rPr>
        <w:t xml:space="preserve">51% </w:t>
      </w:r>
      <w:r w:rsidRPr="00806F85">
        <w:rPr>
          <w:rFonts w:ascii="Arial" w:hAnsi="Arial" w:cs="Arial"/>
        </w:rPr>
        <w:t>of their urban counterparts.</w:t>
      </w:r>
      <w:r w:rsidRPr="00806F85">
        <w:rPr>
          <w:rFonts w:ascii="Arial" w:hAnsi="Arial" w:cs="Arial"/>
          <w:vertAlign w:val="superscript"/>
        </w:rPr>
        <w:endnoteReference w:id="231"/>
      </w:r>
      <w:r w:rsidRPr="00806F85">
        <w:rPr>
          <w:rFonts w:ascii="Arial" w:hAnsi="Arial" w:cs="Arial"/>
        </w:rPr>
        <w:t xml:space="preserve"> </w:t>
      </w:r>
    </w:p>
    <w:p w14:paraId="07F65462" w14:textId="77777777" w:rsidR="000D3720" w:rsidRPr="00806F85" w:rsidRDefault="000D3720" w:rsidP="000D3720">
      <w:pPr>
        <w:spacing w:after="0"/>
        <w:jc w:val="both"/>
        <w:rPr>
          <w:rFonts w:ascii="Arial" w:hAnsi="Arial" w:cs="Arial"/>
        </w:rPr>
      </w:pPr>
    </w:p>
    <w:p w14:paraId="100FE5CF" w14:textId="77777777" w:rsidR="000D3720" w:rsidRPr="00806F85" w:rsidRDefault="000D3720" w:rsidP="000D3720">
      <w:pPr>
        <w:spacing w:after="0"/>
        <w:jc w:val="both"/>
        <w:rPr>
          <w:rFonts w:ascii="Arial" w:hAnsi="Arial" w:cs="Arial"/>
        </w:rPr>
      </w:pPr>
      <w:r w:rsidRPr="00806F85">
        <w:rPr>
          <w:rFonts w:ascii="Arial" w:hAnsi="Arial" w:cs="Arial"/>
        </w:rPr>
        <w:t xml:space="preserve">The Commission looks forward to building stronger connections to the RTAs into the next fiscal year, and </w:t>
      </w:r>
      <w:r w:rsidR="008B2CED">
        <w:rPr>
          <w:rFonts w:ascii="Arial" w:hAnsi="Arial" w:cs="Arial"/>
        </w:rPr>
        <w:t xml:space="preserve">to </w:t>
      </w:r>
      <w:r w:rsidRPr="00806F85">
        <w:rPr>
          <w:rFonts w:ascii="Arial" w:hAnsi="Arial" w:cs="Arial"/>
        </w:rPr>
        <w:t xml:space="preserve">helping facilitate partnerships between the RTAs and community organizations. MassDOT </w:t>
      </w:r>
      <w:r w:rsidR="008B2CED">
        <w:rPr>
          <w:rFonts w:ascii="Arial" w:hAnsi="Arial" w:cs="Arial"/>
        </w:rPr>
        <w:t>has been</w:t>
      </w:r>
      <w:r w:rsidRPr="00806F85">
        <w:rPr>
          <w:rFonts w:ascii="Arial" w:hAnsi="Arial" w:cs="Arial"/>
        </w:rPr>
        <w:t xml:space="preserve"> helpful in providing other ideas for potential collaborations</w:t>
      </w:r>
      <w:r w:rsidR="008B2CED">
        <w:rPr>
          <w:rFonts w:ascii="Arial" w:hAnsi="Arial" w:cs="Arial"/>
        </w:rPr>
        <w:t xml:space="preserve"> with the Commission</w:t>
      </w:r>
      <w:r w:rsidRPr="00806F85">
        <w:rPr>
          <w:rFonts w:ascii="Arial" w:hAnsi="Arial" w:cs="Arial"/>
        </w:rPr>
        <w:t xml:space="preserve">, such as examining partnerships with car sharing services and improving access to </w:t>
      </w:r>
      <w:r>
        <w:rPr>
          <w:rFonts w:ascii="Arial" w:hAnsi="Arial" w:cs="Arial"/>
        </w:rPr>
        <w:t xml:space="preserve">MBTA </w:t>
      </w:r>
      <w:r w:rsidRPr="00806F85">
        <w:rPr>
          <w:rFonts w:ascii="Arial" w:hAnsi="Arial" w:cs="Arial"/>
        </w:rPr>
        <w:t>CharlieCards for Boston-area students. The Commission looks forward to continuing this productive dialogue with MassDOT in the fiscal year ahead.</w:t>
      </w:r>
    </w:p>
    <w:p w14:paraId="4CEFDE23" w14:textId="77777777" w:rsidR="000D3720" w:rsidRPr="00806F85" w:rsidRDefault="000D3720" w:rsidP="000D3720">
      <w:pPr>
        <w:spacing w:after="0"/>
        <w:jc w:val="both"/>
        <w:rPr>
          <w:rFonts w:ascii="Arial" w:hAnsi="Arial" w:cs="Arial"/>
        </w:rPr>
      </w:pPr>
    </w:p>
    <w:p w14:paraId="706E0551" w14:textId="77777777" w:rsidR="000E5A5E" w:rsidRDefault="000E5A5E">
      <w:pPr>
        <w:rPr>
          <w:rFonts w:ascii="Arial" w:hAnsi="Arial" w:cs="Arial"/>
          <w:b/>
          <w:u w:val="single"/>
        </w:rPr>
      </w:pPr>
      <w:r>
        <w:rPr>
          <w:rFonts w:ascii="Arial" w:hAnsi="Arial" w:cs="Arial"/>
          <w:b/>
          <w:u w:val="single"/>
        </w:rPr>
        <w:br w:type="page"/>
      </w:r>
    </w:p>
    <w:p w14:paraId="2929B770" w14:textId="4172E954" w:rsidR="000D3720" w:rsidRPr="00961938" w:rsidRDefault="000D3720" w:rsidP="00961938">
      <w:pPr>
        <w:spacing w:after="0"/>
        <w:jc w:val="center"/>
        <w:rPr>
          <w:rFonts w:ascii="Arial" w:hAnsi="Arial" w:cs="Arial"/>
          <w:b/>
          <w:u w:val="single"/>
        </w:rPr>
      </w:pPr>
      <w:r w:rsidRPr="00961938">
        <w:rPr>
          <w:rFonts w:ascii="Arial" w:hAnsi="Arial" w:cs="Arial"/>
          <w:b/>
          <w:u w:val="single"/>
        </w:rPr>
        <w:lastRenderedPageBreak/>
        <w:t>EXPANDED RECOMMENDATIONS</w:t>
      </w:r>
    </w:p>
    <w:p w14:paraId="406F0B8B" w14:textId="77777777" w:rsidR="000D3720" w:rsidRDefault="000D3720" w:rsidP="000D3720">
      <w:pPr>
        <w:spacing w:after="0"/>
        <w:jc w:val="both"/>
        <w:rPr>
          <w:rFonts w:ascii="Arial" w:hAnsi="Arial" w:cs="Arial"/>
        </w:rPr>
      </w:pPr>
    </w:p>
    <w:p w14:paraId="7F1AB4C0" w14:textId="77777777" w:rsidR="000D3720" w:rsidRPr="00961938" w:rsidRDefault="000D3720" w:rsidP="00961B5D">
      <w:pPr>
        <w:numPr>
          <w:ilvl w:val="0"/>
          <w:numId w:val="34"/>
        </w:numPr>
        <w:spacing w:after="0"/>
        <w:contextualSpacing/>
        <w:jc w:val="both"/>
        <w:rPr>
          <w:rFonts w:ascii="Arial" w:hAnsi="Arial" w:cs="Arial"/>
          <w:b/>
          <w:color w:val="365F91" w:themeColor="accent1" w:themeShade="BF"/>
        </w:rPr>
      </w:pPr>
      <w:r w:rsidRPr="00961938">
        <w:rPr>
          <w:rFonts w:ascii="Arial" w:hAnsi="Arial" w:cs="Arial"/>
          <w:b/>
          <w:color w:val="365F91" w:themeColor="accent1" w:themeShade="BF"/>
        </w:rPr>
        <w:t xml:space="preserve">Work with the Commission to establish a pilot project to study impediments to and best practices for addressing the mobility needs to connect LGBTQ youth to LGBTQ community groups. </w:t>
      </w:r>
    </w:p>
    <w:p w14:paraId="3E95211C" w14:textId="77777777" w:rsidR="000D3720" w:rsidRPr="00806F85" w:rsidRDefault="000D3720" w:rsidP="000D3720">
      <w:pPr>
        <w:spacing w:after="0"/>
        <w:jc w:val="both"/>
        <w:rPr>
          <w:rFonts w:ascii="Arial" w:hAnsi="Arial" w:cs="Arial"/>
        </w:rPr>
      </w:pPr>
    </w:p>
    <w:p w14:paraId="7A2416A5" w14:textId="47CEF168" w:rsidR="000D3720" w:rsidRPr="00806F85" w:rsidRDefault="000D3720" w:rsidP="000D3720">
      <w:pPr>
        <w:spacing w:after="0"/>
        <w:jc w:val="both"/>
        <w:rPr>
          <w:rFonts w:ascii="Arial" w:hAnsi="Arial" w:cs="Arial"/>
        </w:rPr>
      </w:pPr>
      <w:r w:rsidRPr="00806F85">
        <w:rPr>
          <w:rFonts w:ascii="Arial" w:hAnsi="Arial" w:cs="Arial"/>
        </w:rPr>
        <w:t>To date, the Commonwealth has not conducted an explicit assessment of the transportation needs of LGBTQ youth, particularly in rural</w:t>
      </w:r>
      <w:r>
        <w:rPr>
          <w:rFonts w:ascii="Arial" w:hAnsi="Arial" w:cs="Arial"/>
        </w:rPr>
        <w:t xml:space="preserve"> and suburban</w:t>
      </w:r>
      <w:r w:rsidRPr="00806F85">
        <w:rPr>
          <w:rFonts w:ascii="Arial" w:hAnsi="Arial" w:cs="Arial"/>
        </w:rPr>
        <w:t xml:space="preserve"> areas. In order to evaluate whether existing transit infrastructure can meet the demonstrated needs of LGBTQ youth, the Commission recommends that RTAs open dialogues with local LGBTQ organizations and student groups on how to assess their needs and address transportation barriers. LGBTQ youth-serving organizations such as the Massachusetts GSA Student Leadership Council </w:t>
      </w:r>
      <w:r w:rsidR="00615B28">
        <w:rPr>
          <w:rFonts w:ascii="Arial" w:hAnsi="Arial" w:cs="Arial"/>
        </w:rPr>
        <w:t xml:space="preserve">and the AGLY network, which </w:t>
      </w:r>
      <w:r w:rsidR="006F5B08">
        <w:rPr>
          <w:rFonts w:ascii="Arial" w:hAnsi="Arial" w:cs="Arial"/>
        </w:rPr>
        <w:t xml:space="preserve">have </w:t>
      </w:r>
      <w:r w:rsidR="00615B28">
        <w:rPr>
          <w:rFonts w:ascii="Arial" w:hAnsi="Arial" w:cs="Arial"/>
        </w:rPr>
        <w:t xml:space="preserve">member organizations serving LGBTQ youth throughout much of the Commonwealth, </w:t>
      </w:r>
      <w:r w:rsidRPr="00806F85">
        <w:rPr>
          <w:rFonts w:ascii="Arial" w:hAnsi="Arial" w:cs="Arial"/>
        </w:rPr>
        <w:t>might be particularly useful in gathering the information needed to effectively coordinate existing transit options and appropriately direct new resources. The Commission looks forward to beginning a dialogue with the RTAs on this possibility, and appreciates any assistance MassDOT can provide in facilitating connections.</w:t>
      </w:r>
    </w:p>
    <w:p w14:paraId="5585B239" w14:textId="77777777" w:rsidR="000D3720" w:rsidRPr="00806F85" w:rsidRDefault="000D3720" w:rsidP="000D3720">
      <w:pPr>
        <w:spacing w:after="0"/>
        <w:jc w:val="both"/>
        <w:rPr>
          <w:rFonts w:ascii="Arial" w:hAnsi="Arial" w:cs="Arial"/>
        </w:rPr>
      </w:pPr>
    </w:p>
    <w:p w14:paraId="05131F55" w14:textId="0E6D12DD" w:rsidR="000D3720" w:rsidRPr="00961938" w:rsidRDefault="000D3720" w:rsidP="000E5A5E">
      <w:pPr>
        <w:pStyle w:val="ListParagraph"/>
        <w:numPr>
          <w:ilvl w:val="0"/>
          <w:numId w:val="34"/>
        </w:numPr>
        <w:spacing w:after="0"/>
        <w:jc w:val="both"/>
        <w:rPr>
          <w:rFonts w:ascii="Arial" w:hAnsi="Arial" w:cs="Arial"/>
          <w:b/>
          <w:color w:val="365F91" w:themeColor="accent1" w:themeShade="BF"/>
        </w:rPr>
      </w:pPr>
      <w:r w:rsidRPr="00961938">
        <w:rPr>
          <w:rFonts w:ascii="Arial" w:hAnsi="Arial" w:cs="Arial"/>
          <w:b/>
          <w:color w:val="365F91" w:themeColor="accent1" w:themeShade="BF"/>
        </w:rPr>
        <w:t xml:space="preserve">Include </w:t>
      </w:r>
      <w:r w:rsidR="000E5A5E" w:rsidRPr="000E5A5E">
        <w:rPr>
          <w:rFonts w:ascii="Arial" w:hAnsi="Arial" w:cs="Arial"/>
          <w:b/>
          <w:color w:val="365F91" w:themeColor="accent1" w:themeShade="BF"/>
        </w:rPr>
        <w:t>LGBTQ-serving organizations as transit activity generators and participants in any short- or long-term planning for regional transportation</w:t>
      </w:r>
      <w:r w:rsidRPr="00961938">
        <w:rPr>
          <w:rFonts w:ascii="Arial" w:hAnsi="Arial" w:cs="Arial"/>
          <w:b/>
          <w:color w:val="365F91" w:themeColor="accent1" w:themeShade="BF"/>
        </w:rPr>
        <w:t xml:space="preserve">. </w:t>
      </w:r>
    </w:p>
    <w:p w14:paraId="49A5C590" w14:textId="77777777" w:rsidR="000D3720" w:rsidRPr="00806F85" w:rsidRDefault="000D3720" w:rsidP="000D3720">
      <w:pPr>
        <w:spacing w:after="0"/>
        <w:jc w:val="both"/>
        <w:rPr>
          <w:rFonts w:ascii="Arial" w:hAnsi="Arial" w:cs="Arial"/>
        </w:rPr>
      </w:pPr>
    </w:p>
    <w:p w14:paraId="7798FC4D" w14:textId="77777777" w:rsidR="000D3720" w:rsidRPr="00806F85" w:rsidRDefault="000D3720" w:rsidP="000D3720">
      <w:pPr>
        <w:spacing w:after="0"/>
        <w:jc w:val="both"/>
        <w:rPr>
          <w:rFonts w:ascii="Arial" w:hAnsi="Arial" w:cs="Arial"/>
        </w:rPr>
      </w:pPr>
      <w:r w:rsidRPr="00806F85">
        <w:rPr>
          <w:rFonts w:ascii="Arial" w:hAnsi="Arial" w:cs="Arial"/>
        </w:rPr>
        <w:t xml:space="preserve">Given LGBTQ youth’s reliance on public and community-operated transportation when accessing local and regional resources, the Commission recommends </w:t>
      </w:r>
      <w:r>
        <w:rPr>
          <w:rFonts w:ascii="Arial" w:hAnsi="Arial" w:cs="Arial"/>
        </w:rPr>
        <w:t>that RTAs explore ways to factor LGBTQ-serving organizations into any short- and long-term planning that they conduct. This could include ensuring that these organizations are noted as “activity-generators” in the planning of transportation needs, as well as inviting participation from</w:t>
      </w:r>
      <w:r w:rsidRPr="00806F85">
        <w:rPr>
          <w:rFonts w:ascii="Arial" w:hAnsi="Arial" w:cs="Arial"/>
        </w:rPr>
        <w:t xml:space="preserve"> the AGLY Network and the Massachusetts GSA Student Leadership Council</w:t>
      </w:r>
      <w:r>
        <w:rPr>
          <w:rFonts w:ascii="Arial" w:hAnsi="Arial" w:cs="Arial"/>
        </w:rPr>
        <w:t xml:space="preserve"> in planning discussions. </w:t>
      </w:r>
    </w:p>
    <w:p w14:paraId="431411C1" w14:textId="77777777" w:rsidR="00A07650" w:rsidRDefault="00A07650">
      <w:pPr>
        <w:rPr>
          <w:rFonts w:ascii="Arial" w:hAnsi="Arial" w:cs="Arial"/>
          <w:b/>
          <w:sz w:val="28"/>
          <w:szCs w:val="28"/>
        </w:rPr>
      </w:pPr>
      <w:r>
        <w:rPr>
          <w:rFonts w:ascii="Arial" w:hAnsi="Arial" w:cs="Arial"/>
          <w:b/>
          <w:sz w:val="28"/>
          <w:szCs w:val="28"/>
        </w:rPr>
        <w:br w:type="page"/>
      </w:r>
    </w:p>
    <w:p w14:paraId="73F9F5A6" w14:textId="77777777" w:rsidR="00A210E3" w:rsidRPr="00A210E3" w:rsidRDefault="00961938" w:rsidP="000D1070">
      <w:pPr>
        <w:pStyle w:val="Heading2"/>
      </w:pPr>
      <w:bookmarkStart w:id="46" w:name="_Toc512947924"/>
      <w:r>
        <w:rPr>
          <w:noProof/>
        </w:rPr>
        <w:lastRenderedPageBreak/>
        <w:drawing>
          <wp:anchor distT="0" distB="0" distL="114300" distR="114300" simplePos="0" relativeHeight="251789312" behindDoc="1" locked="0" layoutInCell="0" allowOverlap="1" wp14:anchorId="7470441A" wp14:editId="11F18648">
            <wp:simplePos x="0" y="0"/>
            <wp:positionH relativeFrom="column">
              <wp:posOffset>2540</wp:posOffset>
            </wp:positionH>
            <wp:positionV relativeFrom="paragraph">
              <wp:posOffset>212090</wp:posOffset>
            </wp:positionV>
            <wp:extent cx="5980430" cy="18415"/>
            <wp:effectExtent l="0" t="0" r="1270" b="635"/>
            <wp:wrapNone/>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anchor>
        </w:drawing>
      </w:r>
      <w:r w:rsidR="00A210E3" w:rsidRPr="00A210E3">
        <w:t>Massachusetts Board of Library Commissioners</w:t>
      </w:r>
      <w:bookmarkEnd w:id="46"/>
    </w:p>
    <w:p w14:paraId="5751C7A8" w14:textId="77777777" w:rsidR="00A210E3" w:rsidRPr="00A210E3" w:rsidRDefault="00A210E3" w:rsidP="00A210E3">
      <w:pPr>
        <w:spacing w:after="0"/>
        <w:jc w:val="both"/>
        <w:rPr>
          <w:rFonts w:ascii="Arial" w:hAnsi="Arial" w:cs="Arial"/>
        </w:rPr>
      </w:pPr>
    </w:p>
    <w:p w14:paraId="776556AA" w14:textId="77777777" w:rsidR="00961938" w:rsidRDefault="00961938" w:rsidP="00A210E3">
      <w:pPr>
        <w:spacing w:after="0"/>
        <w:jc w:val="both"/>
        <w:rPr>
          <w:rFonts w:ascii="Arial" w:hAnsi="Arial" w:cs="Arial"/>
          <w:b/>
        </w:rPr>
      </w:pPr>
    </w:p>
    <w:p w14:paraId="05BAA169" w14:textId="77777777" w:rsidR="00A210E3" w:rsidRPr="00961938" w:rsidRDefault="000D1070" w:rsidP="00961938">
      <w:pPr>
        <w:spacing w:after="0"/>
        <w:jc w:val="center"/>
        <w:rPr>
          <w:rFonts w:ascii="Arial" w:hAnsi="Arial" w:cs="Arial"/>
          <w:b/>
          <w:u w:val="single"/>
        </w:rPr>
      </w:pPr>
      <w:r w:rsidRPr="00961938">
        <w:rPr>
          <w:rFonts w:ascii="Arial" w:hAnsi="Arial" w:cs="Arial"/>
          <w:b/>
          <w:u w:val="single"/>
        </w:rPr>
        <w:t>FY19</w:t>
      </w:r>
      <w:r w:rsidR="00A210E3" w:rsidRPr="00961938">
        <w:rPr>
          <w:rFonts w:ascii="Arial" w:hAnsi="Arial" w:cs="Arial"/>
          <w:b/>
          <w:u w:val="single"/>
        </w:rPr>
        <w:t xml:space="preserve"> RECOMMENDATIONS</w:t>
      </w:r>
    </w:p>
    <w:p w14:paraId="63CEF11D" w14:textId="77777777" w:rsidR="00A210E3" w:rsidRPr="00A210E3" w:rsidRDefault="00A210E3" w:rsidP="00A210E3">
      <w:pPr>
        <w:spacing w:after="0"/>
        <w:jc w:val="both"/>
        <w:rPr>
          <w:rFonts w:ascii="Arial" w:hAnsi="Arial" w:cs="Arial"/>
        </w:rPr>
      </w:pPr>
    </w:p>
    <w:p w14:paraId="1504D9AD" w14:textId="77777777" w:rsidR="00A210E3" w:rsidRPr="00961938" w:rsidRDefault="00F834D7" w:rsidP="00961B5D">
      <w:pPr>
        <w:pStyle w:val="ListParagraph"/>
        <w:numPr>
          <w:ilvl w:val="0"/>
          <w:numId w:val="8"/>
        </w:numPr>
        <w:spacing w:after="0"/>
        <w:jc w:val="both"/>
        <w:rPr>
          <w:rFonts w:ascii="Arial" w:hAnsi="Arial" w:cs="Arial"/>
          <w:b/>
          <w:color w:val="365F91" w:themeColor="accent1" w:themeShade="BF"/>
        </w:rPr>
      </w:pPr>
      <w:r w:rsidRPr="00961938">
        <w:rPr>
          <w:rFonts w:ascii="Arial" w:hAnsi="Arial" w:cs="Arial"/>
          <w:b/>
          <w:color w:val="365F91" w:themeColor="accent1" w:themeShade="BF"/>
        </w:rPr>
        <w:t>Share resources for LGBTQ youth on the public resource portal.</w:t>
      </w:r>
    </w:p>
    <w:p w14:paraId="761F8A27" w14:textId="1F789287" w:rsidR="00961938" w:rsidRPr="00900A27" w:rsidRDefault="009619C1" w:rsidP="00900A27">
      <w:pPr>
        <w:pStyle w:val="ListParagraph"/>
        <w:numPr>
          <w:ilvl w:val="0"/>
          <w:numId w:val="8"/>
        </w:numPr>
        <w:jc w:val="both"/>
        <w:rPr>
          <w:rFonts w:ascii="Arial" w:hAnsi="Arial" w:cs="Arial"/>
          <w:b/>
          <w:color w:val="365F91" w:themeColor="accent1" w:themeShade="BF"/>
        </w:rPr>
      </w:pPr>
      <w:r>
        <w:rPr>
          <w:rFonts w:ascii="Arial" w:hAnsi="Arial" w:cs="Arial"/>
          <w:b/>
          <w:noProof/>
          <w:color w:val="365F91" w:themeColor="accent1" w:themeShade="BF"/>
        </w:rPr>
        <mc:AlternateContent>
          <mc:Choice Requires="wps">
            <w:drawing>
              <wp:anchor distT="0" distB="0" distL="114300" distR="114300" simplePos="0" relativeHeight="251677696" behindDoc="0" locked="0" layoutInCell="1" allowOverlap="1" wp14:anchorId="79B93884" wp14:editId="5BDBEF4F">
                <wp:simplePos x="0" y="0"/>
                <wp:positionH relativeFrom="column">
                  <wp:posOffset>13335</wp:posOffset>
                </wp:positionH>
                <wp:positionV relativeFrom="paragraph">
                  <wp:posOffset>553085</wp:posOffset>
                </wp:positionV>
                <wp:extent cx="6017895" cy="1569085"/>
                <wp:effectExtent l="0" t="0" r="20955" b="1206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7895" cy="1569085"/>
                        </a:xfrm>
                        <a:prstGeom prst="rect">
                          <a:avLst/>
                        </a:prstGeom>
                        <a:solidFill>
                          <a:srgbClr val="FFFFFF"/>
                        </a:solidFill>
                        <a:ln w="19050">
                          <a:solidFill>
                            <a:srgbClr val="FFBC37"/>
                          </a:solidFill>
                          <a:miter lim="800000"/>
                          <a:headEnd/>
                          <a:tailEnd/>
                        </a:ln>
                      </wps:spPr>
                      <wps:txbx>
                        <w:txbxContent>
                          <w:p w14:paraId="379597DD" w14:textId="77777777" w:rsidR="00411ECA" w:rsidRPr="00983FF1" w:rsidRDefault="00411ECA" w:rsidP="00C84E4E">
                            <w:pPr>
                              <w:jc w:val="both"/>
                              <w:rPr>
                                <w:rFonts w:ascii="Arial" w:hAnsi="Arial" w:cs="Arial"/>
                                <w:i/>
                              </w:rPr>
                            </w:pPr>
                            <w:r w:rsidRPr="00983FF1">
                              <w:rPr>
                                <w:rFonts w:ascii="Arial" w:hAnsi="Arial" w:cs="Arial"/>
                                <w:i/>
                              </w:rPr>
                              <w:t>“The youth librarian at our public library is always happy to help my daughter find LGBTQ books, though she usually has to get them from one of the other libraries in our consortium. I'd love to see more rainbow flags in town; more Safe Space stickers. As a parent I don't need a support group, but I feel pretty isolated as the mother of a gay teen. It would be great to see more thought given to LGBTQ youth by the community center and the library and the parks and rec department.”</w:t>
                            </w:r>
                          </w:p>
                          <w:p w14:paraId="00EFC019" w14:textId="77777777" w:rsidR="00411ECA" w:rsidRPr="00983FF1" w:rsidRDefault="00411ECA" w:rsidP="00B801C0">
                            <w:pPr>
                              <w:rPr>
                                <w:rFonts w:ascii="Arial" w:hAnsi="Arial" w:cs="Arial"/>
                              </w:rPr>
                            </w:pPr>
                            <w:r w:rsidRPr="00983FF1">
                              <w:rPr>
                                <w:rFonts w:ascii="Arial" w:hAnsi="Arial" w:cs="Arial"/>
                              </w:rPr>
                              <w:t>– Parent, North Shore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left:0;text-align:left;margin-left:1.05pt;margin-top:43.55pt;width:473.85pt;height:123.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" strokecolor="#ffbc37" strokeweight="1.5pt">
                <v:textbox>
                  <w:txbxContent>
                    <w:p w14:paraId="379597DD" w14:textId="77777777" w:rsidR="00411ECA" w:rsidRPr="00983FF1" w:rsidRDefault="00411ECA" w:rsidP="00C84E4E">
                      <w:pPr>
                        <w:jc w:val="both"/>
                        <w:rPr>
                          <w:rFonts w:ascii="Arial" w:hAnsi="Arial" w:cs="Arial"/>
                          <w:i/>
                        </w:rPr>
                      </w:pPr>
                      <w:r w:rsidRPr="00983FF1">
                        <w:rPr>
                          <w:rFonts w:ascii="Arial" w:hAnsi="Arial" w:cs="Arial"/>
                          <w:i/>
                        </w:rPr>
                        <w:t>“The youth librarian at our public library is always happy to help my daughter find LGBTQ books, though she usually has to get them from one of the other libraries in our consortium. I'd love to see more rainbow flags in town; more Safe Space stickers. As a parent I don't need a support group, but I feel pretty isolated as the mother of a gay teen. It would be great to see more thought given to LGBTQ youth by the community center and the library and the parks and rec department.”</w:t>
                      </w:r>
                    </w:p>
                    <w:p w14:paraId="00EFC019" w14:textId="77777777" w:rsidR="00411ECA" w:rsidRPr="00983FF1" w:rsidRDefault="00411ECA" w:rsidP="00B801C0">
                      <w:pPr>
                        <w:rPr>
                          <w:rFonts w:ascii="Arial" w:hAnsi="Arial" w:cs="Arial"/>
                        </w:rPr>
                      </w:pPr>
                      <w:r w:rsidRPr="00983FF1">
                        <w:rPr>
                          <w:rFonts w:ascii="Arial" w:hAnsi="Arial" w:cs="Arial"/>
                        </w:rPr>
                        <w:t>– Parent, North Shore</w:t>
                      </w:r>
                    </w:p>
                  </w:txbxContent>
                </v:textbox>
                <w10:wrap type="square"/>
              </v:shape>
            </w:pict>
          </mc:Fallback>
        </mc:AlternateContent>
      </w:r>
      <w:r w:rsidR="00F834D7" w:rsidRPr="00107FF6">
        <w:rPr>
          <w:rFonts w:ascii="Arial" w:hAnsi="Arial" w:cs="Arial"/>
          <w:b/>
          <w:color w:val="365F91" w:themeColor="accent1" w:themeShade="BF"/>
        </w:rPr>
        <w:t>Work</w:t>
      </w:r>
      <w:r w:rsidR="00F834D7" w:rsidRPr="00107FF6">
        <w:rPr>
          <w:rFonts w:ascii="Arial" w:hAnsi="Arial" w:cs="Arial"/>
        </w:rPr>
        <w:t xml:space="preserve"> </w:t>
      </w:r>
      <w:r w:rsidR="00107FF6" w:rsidRPr="00107FF6">
        <w:rPr>
          <w:rFonts w:ascii="Arial" w:hAnsi="Arial" w:cs="Arial"/>
          <w:b/>
          <w:color w:val="365F91" w:themeColor="accent1" w:themeShade="BF"/>
        </w:rPr>
        <w:t xml:space="preserve">with the Commission to explore creating programming opportunities, trainings, and resources for librarians on LGBTQ youth issues. </w:t>
      </w:r>
    </w:p>
    <w:p w14:paraId="3303DEDF" w14:textId="77777777" w:rsidR="008C0E56" w:rsidRDefault="008C0E56" w:rsidP="00A210E3">
      <w:pPr>
        <w:spacing w:after="0"/>
        <w:jc w:val="both"/>
        <w:rPr>
          <w:rFonts w:ascii="Arial" w:hAnsi="Arial" w:cs="Arial"/>
        </w:rPr>
      </w:pPr>
    </w:p>
    <w:p w14:paraId="3689EFA6" w14:textId="77777777" w:rsidR="00A210E3" w:rsidRPr="00961938" w:rsidRDefault="00A210E3" w:rsidP="00961938">
      <w:pPr>
        <w:spacing w:after="0"/>
        <w:jc w:val="center"/>
        <w:rPr>
          <w:rFonts w:ascii="Arial" w:hAnsi="Arial" w:cs="Arial"/>
          <w:b/>
          <w:u w:val="single"/>
        </w:rPr>
      </w:pPr>
      <w:r w:rsidRPr="00961938">
        <w:rPr>
          <w:rFonts w:ascii="Arial" w:hAnsi="Arial" w:cs="Arial"/>
          <w:b/>
          <w:u w:val="single"/>
        </w:rPr>
        <w:t>BACKGROUND &amp; RESEARCH</w:t>
      </w:r>
    </w:p>
    <w:p w14:paraId="64BB7697" w14:textId="77777777" w:rsidR="00A210E3" w:rsidRPr="00A210E3" w:rsidRDefault="00A210E3" w:rsidP="00A210E3">
      <w:pPr>
        <w:spacing w:after="0"/>
        <w:jc w:val="both"/>
        <w:rPr>
          <w:rFonts w:ascii="Arial" w:hAnsi="Arial" w:cs="Arial"/>
        </w:rPr>
      </w:pPr>
    </w:p>
    <w:p w14:paraId="06C15D0B" w14:textId="77777777" w:rsidR="008C0E56" w:rsidRDefault="008C0E56" w:rsidP="008C0E56">
      <w:pPr>
        <w:spacing w:after="0"/>
        <w:jc w:val="both"/>
        <w:rPr>
          <w:rFonts w:ascii="Arial" w:hAnsi="Arial" w:cs="Arial"/>
        </w:rPr>
      </w:pPr>
      <w:r w:rsidRPr="008C0E56">
        <w:rPr>
          <w:rFonts w:ascii="Arial" w:hAnsi="Arial" w:cs="Arial"/>
        </w:rPr>
        <w:t xml:space="preserve">The Massachusetts Board of Library Commissioners (MBLC) is the agency of state government with the statutory authority and responsibility to organize, develop, coordinate, and improve library services throughout the Commonwealth. </w:t>
      </w:r>
      <w:r w:rsidR="00B801C0" w:rsidRPr="00A210E3">
        <w:rPr>
          <w:rFonts w:ascii="Arial" w:hAnsi="Arial" w:cs="Arial"/>
        </w:rPr>
        <w:t xml:space="preserve">Libraries are a vital resource for LGBTQ youth and their supporters, including, increasingly, access to information technology. </w:t>
      </w:r>
    </w:p>
    <w:p w14:paraId="431B2ED6" w14:textId="77777777" w:rsidR="00F532D2" w:rsidRDefault="00F532D2" w:rsidP="008C0E56">
      <w:pPr>
        <w:spacing w:after="0"/>
        <w:jc w:val="both"/>
        <w:rPr>
          <w:rFonts w:ascii="Arial" w:hAnsi="Arial" w:cs="Arial"/>
        </w:rPr>
      </w:pPr>
    </w:p>
    <w:p w14:paraId="04E0984B" w14:textId="77777777" w:rsidR="00F532D2" w:rsidRPr="00B801C0" w:rsidRDefault="00F532D2" w:rsidP="00F532D2">
      <w:pPr>
        <w:spacing w:after="0"/>
        <w:jc w:val="both"/>
        <w:rPr>
          <w:rFonts w:ascii="Arial" w:hAnsi="Arial" w:cs="Arial"/>
          <w:b/>
        </w:rPr>
      </w:pPr>
      <w:r w:rsidRPr="00B801C0">
        <w:rPr>
          <w:rFonts w:ascii="Arial" w:hAnsi="Arial" w:cs="Arial"/>
        </w:rPr>
        <w:t xml:space="preserve">The Commission is pleased to have established a partnership </w:t>
      </w:r>
      <w:r w:rsidR="000D1070">
        <w:rPr>
          <w:rFonts w:ascii="Arial" w:hAnsi="Arial" w:cs="Arial"/>
        </w:rPr>
        <w:t xml:space="preserve">with MBLC </w:t>
      </w:r>
      <w:r w:rsidRPr="00B801C0">
        <w:rPr>
          <w:rFonts w:ascii="Arial" w:hAnsi="Arial" w:cs="Arial"/>
        </w:rPr>
        <w:t xml:space="preserve">that </w:t>
      </w:r>
      <w:r w:rsidR="000D1070">
        <w:rPr>
          <w:rFonts w:ascii="Arial" w:hAnsi="Arial" w:cs="Arial"/>
        </w:rPr>
        <w:t>engages</w:t>
      </w:r>
      <w:r w:rsidRPr="00B801C0">
        <w:rPr>
          <w:rFonts w:ascii="Arial" w:hAnsi="Arial" w:cs="Arial"/>
        </w:rPr>
        <w:t xml:space="preserve"> librarians around issues impacting LGBTQ youth. </w:t>
      </w:r>
      <w:r w:rsidR="002D194E">
        <w:rPr>
          <w:rFonts w:ascii="Arial" w:hAnsi="Arial" w:cs="Arial"/>
        </w:rPr>
        <w:t>The Commission</w:t>
      </w:r>
      <w:r w:rsidRPr="00B801C0">
        <w:rPr>
          <w:rFonts w:ascii="Arial" w:hAnsi="Arial" w:cs="Arial"/>
        </w:rPr>
        <w:t xml:space="preserve"> congratulate</w:t>
      </w:r>
      <w:r w:rsidR="002D194E">
        <w:rPr>
          <w:rFonts w:ascii="Arial" w:hAnsi="Arial" w:cs="Arial"/>
        </w:rPr>
        <w:t>s</w:t>
      </w:r>
      <w:r w:rsidRPr="00B801C0">
        <w:rPr>
          <w:rFonts w:ascii="Arial" w:hAnsi="Arial" w:cs="Arial"/>
        </w:rPr>
        <w:t xml:space="preserve"> MBLC on starting to assess the availability of single-stall, gender-neutral bathrooms among libraries in the Commonwealth</w:t>
      </w:r>
      <w:r>
        <w:rPr>
          <w:rFonts w:ascii="Arial" w:hAnsi="Arial" w:cs="Arial"/>
        </w:rPr>
        <w:t xml:space="preserve">, and explaining to librarians why this is important. </w:t>
      </w:r>
      <w:r w:rsidR="000D1070">
        <w:rPr>
          <w:rFonts w:ascii="Arial" w:hAnsi="Arial" w:cs="Arial"/>
        </w:rPr>
        <w:t>An MBLC</w:t>
      </w:r>
      <w:r>
        <w:rPr>
          <w:rFonts w:ascii="Arial" w:hAnsi="Arial" w:cs="Arial"/>
        </w:rPr>
        <w:t xml:space="preserve"> </w:t>
      </w:r>
      <w:r w:rsidR="000D1070">
        <w:rPr>
          <w:rFonts w:ascii="Arial" w:hAnsi="Arial" w:cs="Arial"/>
        </w:rPr>
        <w:t>staff person</w:t>
      </w:r>
      <w:r w:rsidRPr="00B801C0">
        <w:rPr>
          <w:rFonts w:ascii="Arial" w:hAnsi="Arial" w:cs="Arial"/>
        </w:rPr>
        <w:t xml:space="preserve"> also gave a presentation on how librari</w:t>
      </w:r>
      <w:r>
        <w:rPr>
          <w:rFonts w:ascii="Arial" w:hAnsi="Arial" w:cs="Arial"/>
        </w:rPr>
        <w:t>es can better serve LGBTQ youth, in keeping with a past recommendation of the Commission.</w:t>
      </w:r>
    </w:p>
    <w:p w14:paraId="373F32D7" w14:textId="77777777" w:rsidR="00A210E3" w:rsidRPr="00A210E3" w:rsidRDefault="00A210E3" w:rsidP="00A210E3">
      <w:pPr>
        <w:spacing w:after="0"/>
        <w:jc w:val="both"/>
        <w:rPr>
          <w:rFonts w:ascii="Arial" w:hAnsi="Arial" w:cs="Arial"/>
        </w:rPr>
      </w:pPr>
    </w:p>
    <w:p w14:paraId="0E8E216C" w14:textId="77777777" w:rsidR="00F532D2" w:rsidRDefault="00A210E3" w:rsidP="00A210E3">
      <w:pPr>
        <w:spacing w:after="0"/>
        <w:jc w:val="both"/>
        <w:rPr>
          <w:rFonts w:ascii="Arial" w:hAnsi="Arial" w:cs="Arial"/>
        </w:rPr>
      </w:pPr>
      <w:r w:rsidRPr="00A210E3">
        <w:rPr>
          <w:rFonts w:ascii="Arial" w:hAnsi="Arial" w:cs="Arial"/>
        </w:rPr>
        <w:t xml:space="preserve">For privacy reasons, libraries do not generally collect demographic data on their users, so the number of LGBTQ youth accessing library services is unknown. Libraries can nonetheless take steps to be welcoming for LGBTQ youth by providing programming and materials relevant to their concerns and helping them access information technology. </w:t>
      </w:r>
      <w:r w:rsidR="00F532D2">
        <w:rPr>
          <w:rFonts w:ascii="Arial" w:hAnsi="Arial" w:cs="Arial"/>
        </w:rPr>
        <w:t>While resources</w:t>
      </w:r>
      <w:r w:rsidR="00F532D2" w:rsidRPr="00A210E3">
        <w:rPr>
          <w:rFonts w:ascii="Arial" w:hAnsi="Arial" w:cs="Arial"/>
        </w:rPr>
        <w:t xml:space="preserve"> such as the American Library Association’s Rainbow P</w:t>
      </w:r>
      <w:r w:rsidR="00F532D2">
        <w:rPr>
          <w:rFonts w:ascii="Arial" w:hAnsi="Arial" w:cs="Arial"/>
        </w:rPr>
        <w:t>roject Book List</w:t>
      </w:r>
      <w:r w:rsidR="00F532D2" w:rsidRPr="00A210E3">
        <w:rPr>
          <w:rFonts w:ascii="Arial" w:hAnsi="Arial" w:cs="Arial"/>
        </w:rPr>
        <w:t xml:space="preserve"> are easily accessed and widely used, </w:t>
      </w:r>
      <w:r w:rsidR="00F532D2">
        <w:rPr>
          <w:rFonts w:ascii="Arial" w:hAnsi="Arial" w:cs="Arial"/>
        </w:rPr>
        <w:t>many</w:t>
      </w:r>
      <w:r w:rsidR="00F532D2" w:rsidRPr="00A210E3">
        <w:rPr>
          <w:rFonts w:ascii="Arial" w:hAnsi="Arial" w:cs="Arial"/>
        </w:rPr>
        <w:t xml:space="preserve"> library pat</w:t>
      </w:r>
      <w:r w:rsidR="00F532D2">
        <w:rPr>
          <w:rFonts w:ascii="Arial" w:hAnsi="Arial" w:cs="Arial"/>
        </w:rPr>
        <w:t>rons may be unaware of them.</w:t>
      </w:r>
      <w:r w:rsidR="00F532D2">
        <w:rPr>
          <w:rStyle w:val="EndnoteReference"/>
          <w:rFonts w:ascii="Arial" w:hAnsi="Arial" w:cs="Arial"/>
        </w:rPr>
        <w:endnoteReference w:id="232"/>
      </w:r>
    </w:p>
    <w:p w14:paraId="7DA4F25D" w14:textId="77777777" w:rsidR="00F532D2" w:rsidRDefault="00F532D2" w:rsidP="00A210E3">
      <w:pPr>
        <w:spacing w:after="0"/>
        <w:jc w:val="both"/>
        <w:rPr>
          <w:rFonts w:ascii="Arial" w:hAnsi="Arial" w:cs="Arial"/>
        </w:rPr>
      </w:pPr>
    </w:p>
    <w:p w14:paraId="3BF2DA96" w14:textId="2538B2FD" w:rsidR="00B801C0" w:rsidRDefault="00F532D2" w:rsidP="00A210E3">
      <w:pPr>
        <w:spacing w:after="0"/>
        <w:jc w:val="both"/>
        <w:rPr>
          <w:rFonts w:ascii="Arial" w:hAnsi="Arial" w:cs="Arial"/>
        </w:rPr>
      </w:pPr>
      <w:r>
        <w:rPr>
          <w:rFonts w:ascii="Arial" w:hAnsi="Arial" w:cs="Arial"/>
        </w:rPr>
        <w:t>MLBC’s work touches on at least two of the three focus areas identified by the Commission</w:t>
      </w:r>
      <w:r w:rsidR="00107FF6">
        <w:rPr>
          <w:rFonts w:ascii="Arial" w:hAnsi="Arial" w:cs="Arial"/>
        </w:rPr>
        <w:t xml:space="preserve">. The first, LGBTQ youth homelessness, is one on which the </w:t>
      </w:r>
      <w:r>
        <w:rPr>
          <w:rFonts w:ascii="Arial" w:hAnsi="Arial" w:cs="Arial"/>
        </w:rPr>
        <w:t>Commission and MLBC have alr</w:t>
      </w:r>
      <w:r w:rsidR="00107FF6">
        <w:rPr>
          <w:rFonts w:ascii="Arial" w:hAnsi="Arial" w:cs="Arial"/>
        </w:rPr>
        <w:t>eady shared ideas and resource</w:t>
      </w:r>
      <w:r>
        <w:rPr>
          <w:rFonts w:ascii="Arial" w:hAnsi="Arial" w:cs="Arial"/>
        </w:rPr>
        <w:t>s. O</w:t>
      </w:r>
      <w:r w:rsidR="00A210E3" w:rsidRPr="00A210E3">
        <w:rPr>
          <w:rFonts w:ascii="Arial" w:hAnsi="Arial" w:cs="Arial"/>
        </w:rPr>
        <w:t xml:space="preserve">ne study found that 47 percent of the homeless youth reported public libraries were the main sites granting them access to the internet, which permits </w:t>
      </w:r>
      <w:r w:rsidR="00A210E3" w:rsidRPr="00A210E3">
        <w:rPr>
          <w:rFonts w:ascii="Arial" w:hAnsi="Arial" w:cs="Arial"/>
        </w:rPr>
        <w:lastRenderedPageBreak/>
        <w:t>communication with family, friends, caseworke</w:t>
      </w:r>
      <w:r w:rsidR="00A210E3">
        <w:rPr>
          <w:rFonts w:ascii="Arial" w:hAnsi="Arial" w:cs="Arial"/>
        </w:rPr>
        <w:t>rs, and prospective employers.</w:t>
      </w:r>
      <w:r w:rsidR="00A210E3">
        <w:rPr>
          <w:rStyle w:val="EndnoteReference"/>
          <w:rFonts w:ascii="Arial" w:hAnsi="Arial" w:cs="Arial"/>
        </w:rPr>
        <w:endnoteReference w:id="233"/>
      </w:r>
      <w:r>
        <w:rPr>
          <w:rFonts w:ascii="Arial" w:hAnsi="Arial" w:cs="Arial"/>
        </w:rPr>
        <w:t xml:space="preserve"> </w:t>
      </w:r>
      <w:r w:rsidR="00421ECC">
        <w:rPr>
          <w:rFonts w:ascii="Arial" w:hAnsi="Arial" w:cs="Arial"/>
        </w:rPr>
        <w:t xml:space="preserve">Libraries are likely also a key resource for LGBTQ youth experiencing homelessness because they are open during the day when shelters are closed and often provide programming for underserved populations. </w:t>
      </w:r>
      <w:r>
        <w:rPr>
          <w:rFonts w:ascii="Arial" w:hAnsi="Arial" w:cs="Arial"/>
        </w:rPr>
        <w:t>The American Library Association has issued a policy statement on homelessness that MBLC has made available for its librarians.</w:t>
      </w:r>
      <w:r>
        <w:rPr>
          <w:rStyle w:val="EndnoteReference"/>
          <w:rFonts w:ascii="Arial" w:hAnsi="Arial" w:cs="Arial"/>
        </w:rPr>
        <w:endnoteReference w:id="234"/>
      </w:r>
      <w:r>
        <w:rPr>
          <w:rFonts w:ascii="Arial" w:hAnsi="Arial" w:cs="Arial"/>
        </w:rPr>
        <w:t xml:space="preserve"> </w:t>
      </w:r>
      <w:r w:rsidR="00107FF6">
        <w:rPr>
          <w:rFonts w:ascii="Arial" w:hAnsi="Arial" w:cs="Arial"/>
        </w:rPr>
        <w:t xml:space="preserve">The second of the Commission’s focus areas in which MBLC also works is criminal justice, </w:t>
      </w:r>
      <w:r w:rsidR="00E179E0">
        <w:rPr>
          <w:rFonts w:ascii="Arial" w:hAnsi="Arial" w:cs="Arial"/>
        </w:rPr>
        <w:t>as</w:t>
      </w:r>
      <w:r w:rsidR="00107FF6">
        <w:rPr>
          <w:rFonts w:ascii="Arial" w:hAnsi="Arial" w:cs="Arial"/>
        </w:rPr>
        <w:t xml:space="preserve"> </w:t>
      </w:r>
      <w:r>
        <w:rPr>
          <w:rFonts w:ascii="Arial" w:hAnsi="Arial" w:cs="Arial"/>
        </w:rPr>
        <w:t xml:space="preserve">MBLC </w:t>
      </w:r>
      <w:r w:rsidR="00E179E0">
        <w:rPr>
          <w:rFonts w:ascii="Arial" w:hAnsi="Arial" w:cs="Arial"/>
        </w:rPr>
        <w:t>provides</w:t>
      </w:r>
      <w:r>
        <w:rPr>
          <w:rFonts w:ascii="Arial" w:hAnsi="Arial" w:cs="Arial"/>
        </w:rPr>
        <w:t xml:space="preserve"> library services </w:t>
      </w:r>
      <w:r w:rsidR="00107FF6">
        <w:rPr>
          <w:rFonts w:ascii="Arial" w:hAnsi="Arial" w:cs="Arial"/>
        </w:rPr>
        <w:t>to</w:t>
      </w:r>
      <w:r>
        <w:rPr>
          <w:rFonts w:ascii="Arial" w:hAnsi="Arial" w:cs="Arial"/>
        </w:rPr>
        <w:t xml:space="preserve"> incarcerated persons. The Commission </w:t>
      </w:r>
      <w:r w:rsidR="00A210E3" w:rsidRPr="00A210E3">
        <w:rPr>
          <w:rFonts w:ascii="Arial" w:hAnsi="Arial" w:cs="Arial"/>
        </w:rPr>
        <w:t>look</w:t>
      </w:r>
      <w:r>
        <w:rPr>
          <w:rFonts w:ascii="Arial" w:hAnsi="Arial" w:cs="Arial"/>
        </w:rPr>
        <w:t>s</w:t>
      </w:r>
      <w:r w:rsidR="00A210E3" w:rsidRPr="00A210E3">
        <w:rPr>
          <w:rFonts w:ascii="Arial" w:hAnsi="Arial" w:cs="Arial"/>
        </w:rPr>
        <w:t xml:space="preserve"> forward to working with MBLC </w:t>
      </w:r>
      <w:r>
        <w:rPr>
          <w:rFonts w:ascii="Arial" w:hAnsi="Arial" w:cs="Arial"/>
        </w:rPr>
        <w:t>on these and other issues facing LGBTQ youth.</w:t>
      </w:r>
    </w:p>
    <w:p w14:paraId="6EB88F9F" w14:textId="77777777" w:rsidR="00A210E3" w:rsidRPr="00A210E3" w:rsidRDefault="00A210E3" w:rsidP="00A210E3">
      <w:pPr>
        <w:spacing w:after="0"/>
        <w:jc w:val="both"/>
        <w:rPr>
          <w:rFonts w:ascii="Arial" w:hAnsi="Arial" w:cs="Arial"/>
        </w:rPr>
      </w:pPr>
    </w:p>
    <w:p w14:paraId="396AAC84" w14:textId="77777777" w:rsidR="00A210E3" w:rsidRPr="00961938" w:rsidRDefault="00A210E3" w:rsidP="00961938">
      <w:pPr>
        <w:spacing w:after="0"/>
        <w:jc w:val="center"/>
        <w:rPr>
          <w:rFonts w:ascii="Arial" w:hAnsi="Arial" w:cs="Arial"/>
          <w:b/>
          <w:u w:val="single"/>
        </w:rPr>
      </w:pPr>
      <w:r w:rsidRPr="00961938">
        <w:rPr>
          <w:rFonts w:ascii="Arial" w:hAnsi="Arial" w:cs="Arial"/>
          <w:b/>
          <w:u w:val="single"/>
        </w:rPr>
        <w:t>EXPANDED RECOMMENDATIONS</w:t>
      </w:r>
    </w:p>
    <w:p w14:paraId="4C691134" w14:textId="77777777" w:rsidR="00F6279B" w:rsidRDefault="00F6279B" w:rsidP="00F37FB7">
      <w:pPr>
        <w:spacing w:after="0"/>
        <w:jc w:val="both"/>
        <w:rPr>
          <w:rFonts w:ascii="Arial" w:hAnsi="Arial" w:cs="Arial"/>
        </w:rPr>
      </w:pPr>
    </w:p>
    <w:p w14:paraId="75C5DC24" w14:textId="77777777" w:rsidR="008C0E56" w:rsidRPr="00961938" w:rsidRDefault="008C0E56" w:rsidP="00961B5D">
      <w:pPr>
        <w:pStyle w:val="ListParagraph"/>
        <w:numPr>
          <w:ilvl w:val="0"/>
          <w:numId w:val="27"/>
        </w:numPr>
        <w:spacing w:after="0"/>
        <w:jc w:val="both"/>
        <w:rPr>
          <w:rFonts w:ascii="Arial" w:hAnsi="Arial" w:cs="Arial"/>
          <w:b/>
          <w:color w:val="365F91" w:themeColor="accent1" w:themeShade="BF"/>
        </w:rPr>
      </w:pPr>
      <w:r w:rsidRPr="00961938">
        <w:rPr>
          <w:rFonts w:ascii="Arial" w:hAnsi="Arial" w:cs="Arial"/>
          <w:b/>
          <w:color w:val="365F91" w:themeColor="accent1" w:themeShade="BF"/>
        </w:rPr>
        <w:t>Share resources for LGBTQ youth on the public resource portal.</w:t>
      </w:r>
    </w:p>
    <w:p w14:paraId="429B52A1" w14:textId="77777777" w:rsidR="008C0E56" w:rsidRDefault="008C0E56" w:rsidP="008C0E56">
      <w:pPr>
        <w:spacing w:after="0"/>
        <w:jc w:val="both"/>
        <w:rPr>
          <w:rFonts w:ascii="Arial" w:hAnsi="Arial" w:cs="Arial"/>
        </w:rPr>
      </w:pPr>
    </w:p>
    <w:p w14:paraId="5BBDC693" w14:textId="77777777" w:rsidR="008C0E56" w:rsidRDefault="008C0E56" w:rsidP="008C0E56">
      <w:pPr>
        <w:spacing w:after="0"/>
        <w:jc w:val="both"/>
        <w:rPr>
          <w:rFonts w:ascii="Arial" w:hAnsi="Arial" w:cs="Arial"/>
        </w:rPr>
      </w:pPr>
      <w:r>
        <w:rPr>
          <w:rFonts w:ascii="Arial" w:hAnsi="Arial" w:cs="Arial"/>
        </w:rPr>
        <w:t>MBLC maintains a public portal of resources for consumers, and the Commission thanks them for offering to add LGBTQ youth resources to this portal. The Commission looks forward to working with MBLC to identify which resources might be most useful to include.</w:t>
      </w:r>
    </w:p>
    <w:p w14:paraId="1A77D84F" w14:textId="77777777" w:rsidR="008C0E56" w:rsidRPr="008C0E56" w:rsidRDefault="008C0E56" w:rsidP="008C0E56">
      <w:pPr>
        <w:spacing w:after="0"/>
        <w:jc w:val="both"/>
        <w:rPr>
          <w:rFonts w:ascii="Arial" w:hAnsi="Arial" w:cs="Arial"/>
        </w:rPr>
      </w:pPr>
    </w:p>
    <w:p w14:paraId="02B21F8D" w14:textId="77777777" w:rsidR="00A210E3" w:rsidRPr="00961938" w:rsidRDefault="008C0E56" w:rsidP="00107FF6">
      <w:pPr>
        <w:pStyle w:val="ListParagraph"/>
        <w:numPr>
          <w:ilvl w:val="0"/>
          <w:numId w:val="27"/>
        </w:numPr>
        <w:spacing w:after="0"/>
        <w:jc w:val="both"/>
        <w:rPr>
          <w:rFonts w:ascii="Arial" w:hAnsi="Arial" w:cs="Arial"/>
          <w:b/>
          <w:color w:val="365F91" w:themeColor="accent1" w:themeShade="BF"/>
        </w:rPr>
      </w:pPr>
      <w:r w:rsidRPr="00961938">
        <w:rPr>
          <w:rFonts w:ascii="Arial" w:hAnsi="Arial" w:cs="Arial"/>
          <w:b/>
          <w:color w:val="365F91" w:themeColor="accent1" w:themeShade="BF"/>
        </w:rPr>
        <w:t xml:space="preserve">Work with the Commission to explore creating </w:t>
      </w:r>
      <w:r w:rsidR="00107FF6" w:rsidRPr="00961938">
        <w:rPr>
          <w:rFonts w:ascii="Arial" w:hAnsi="Arial" w:cs="Arial"/>
          <w:b/>
          <w:color w:val="365F91" w:themeColor="accent1" w:themeShade="BF"/>
        </w:rPr>
        <w:t>programming opportunities</w:t>
      </w:r>
      <w:r w:rsidR="00107FF6">
        <w:rPr>
          <w:rFonts w:ascii="Arial" w:hAnsi="Arial" w:cs="Arial"/>
          <w:b/>
          <w:color w:val="365F91" w:themeColor="accent1" w:themeShade="BF"/>
        </w:rPr>
        <w:t>,</w:t>
      </w:r>
      <w:r w:rsidR="00107FF6" w:rsidRPr="00961938">
        <w:rPr>
          <w:rFonts w:ascii="Arial" w:hAnsi="Arial" w:cs="Arial"/>
          <w:b/>
          <w:color w:val="365F91" w:themeColor="accent1" w:themeShade="BF"/>
        </w:rPr>
        <w:t xml:space="preserve"> </w:t>
      </w:r>
      <w:r w:rsidRPr="00961938">
        <w:rPr>
          <w:rFonts w:ascii="Arial" w:hAnsi="Arial" w:cs="Arial"/>
          <w:b/>
          <w:color w:val="365F91" w:themeColor="accent1" w:themeShade="BF"/>
        </w:rPr>
        <w:t xml:space="preserve">trainings, </w:t>
      </w:r>
      <w:r w:rsidR="00107FF6">
        <w:rPr>
          <w:rFonts w:ascii="Arial" w:hAnsi="Arial" w:cs="Arial"/>
          <w:b/>
          <w:color w:val="365F91" w:themeColor="accent1" w:themeShade="BF"/>
        </w:rPr>
        <w:t xml:space="preserve">and </w:t>
      </w:r>
      <w:r w:rsidRPr="00961938">
        <w:rPr>
          <w:rFonts w:ascii="Arial" w:hAnsi="Arial" w:cs="Arial"/>
          <w:b/>
          <w:color w:val="365F91" w:themeColor="accent1" w:themeShade="BF"/>
        </w:rPr>
        <w:t xml:space="preserve">resources for librarians on LGBTQ youth issues. </w:t>
      </w:r>
    </w:p>
    <w:p w14:paraId="06711754" w14:textId="77777777" w:rsidR="008C0E56" w:rsidRPr="008C0E56" w:rsidRDefault="008C0E56" w:rsidP="008C0E56">
      <w:pPr>
        <w:spacing w:after="0"/>
        <w:rPr>
          <w:rFonts w:ascii="Arial" w:hAnsi="Arial" w:cs="Arial"/>
        </w:rPr>
      </w:pPr>
    </w:p>
    <w:p w14:paraId="3B98A059" w14:textId="1945E1EC" w:rsidR="00A210E3" w:rsidRDefault="008C0E56" w:rsidP="008C0E56">
      <w:pPr>
        <w:spacing w:after="0"/>
        <w:jc w:val="both"/>
        <w:rPr>
          <w:rFonts w:ascii="Arial" w:hAnsi="Arial" w:cs="Arial"/>
        </w:rPr>
      </w:pPr>
      <w:r>
        <w:rPr>
          <w:rFonts w:ascii="Arial" w:hAnsi="Arial" w:cs="Arial"/>
        </w:rPr>
        <w:t xml:space="preserve">MBLC provides resources to librarians and also provides funding and support for the Massachusetts Library System, which conducts training for library staff. MBLC has expressed interest in working with the Commission to identify resources that might be especially useful for librarians that are either preexisting or that could be developed to increase their knowledge of issues facing LGBTQ youth, ways libraries can support them, relevant literature exploring LGBTQ themes, </w:t>
      </w:r>
      <w:r w:rsidR="00107FF6">
        <w:rPr>
          <w:rFonts w:ascii="Arial" w:hAnsi="Arial" w:cs="Arial"/>
        </w:rPr>
        <w:t>and more</w:t>
      </w:r>
      <w:r>
        <w:rPr>
          <w:rFonts w:ascii="Arial" w:hAnsi="Arial" w:cs="Arial"/>
        </w:rPr>
        <w:t xml:space="preserve">. The Commission and MBLC also expressed a mutual interest in the topic of family acceptance of LGBTQ youth, and how libraries could be a space for pilot programming to take place. </w:t>
      </w:r>
      <w:r w:rsidRPr="008C0E56">
        <w:rPr>
          <w:rFonts w:ascii="Arial" w:hAnsi="Arial" w:cs="Arial"/>
        </w:rPr>
        <w:t>The Commission looks forward to exploring options together and potentially funding the creation of resources</w:t>
      </w:r>
      <w:r>
        <w:rPr>
          <w:rFonts w:ascii="Arial" w:hAnsi="Arial" w:cs="Arial"/>
        </w:rPr>
        <w:t>,</w:t>
      </w:r>
      <w:r w:rsidRPr="008C0E56">
        <w:rPr>
          <w:rFonts w:ascii="Arial" w:hAnsi="Arial" w:cs="Arial"/>
        </w:rPr>
        <w:t xml:space="preserve"> trainings</w:t>
      </w:r>
      <w:r>
        <w:rPr>
          <w:rFonts w:ascii="Arial" w:hAnsi="Arial" w:cs="Arial"/>
        </w:rPr>
        <w:t>, and</w:t>
      </w:r>
      <w:r w:rsidRPr="008C0E56">
        <w:rPr>
          <w:rFonts w:ascii="Arial" w:hAnsi="Arial" w:cs="Arial"/>
        </w:rPr>
        <w:t xml:space="preserve"> programs.</w:t>
      </w:r>
    </w:p>
    <w:p w14:paraId="694C54F4" w14:textId="77777777" w:rsidR="00A07650" w:rsidRDefault="00A07650">
      <w:pPr>
        <w:rPr>
          <w:rFonts w:ascii="Arial" w:hAnsi="Arial" w:cs="Arial"/>
          <w:b/>
          <w:sz w:val="28"/>
          <w:szCs w:val="28"/>
        </w:rPr>
      </w:pPr>
      <w:r>
        <w:rPr>
          <w:rFonts w:ascii="Arial" w:hAnsi="Arial" w:cs="Arial"/>
          <w:b/>
          <w:sz w:val="28"/>
          <w:szCs w:val="28"/>
        </w:rPr>
        <w:br w:type="page"/>
      </w:r>
    </w:p>
    <w:p w14:paraId="3064155E" w14:textId="77777777" w:rsidR="00A210E3" w:rsidRPr="00A210E3" w:rsidRDefault="00A210E3" w:rsidP="002A4291">
      <w:pPr>
        <w:pStyle w:val="Heading2"/>
      </w:pPr>
      <w:bookmarkStart w:id="47" w:name="_Toc512947925"/>
      <w:r w:rsidRPr="00A210E3">
        <w:lastRenderedPageBreak/>
        <w:t>Department of Housing and Community Development</w:t>
      </w:r>
      <w:bookmarkEnd w:id="47"/>
    </w:p>
    <w:p w14:paraId="0A94933D" w14:textId="77777777" w:rsidR="00A210E3" w:rsidRPr="00A210E3" w:rsidRDefault="00961938" w:rsidP="00A210E3">
      <w:pPr>
        <w:spacing w:after="0"/>
        <w:jc w:val="both"/>
        <w:rPr>
          <w:rFonts w:ascii="Arial" w:hAnsi="Arial" w:cs="Arial"/>
        </w:rPr>
      </w:pPr>
      <w:r>
        <w:rPr>
          <w:noProof/>
        </w:rPr>
        <w:drawing>
          <wp:anchor distT="0" distB="0" distL="114300" distR="114300" simplePos="0" relativeHeight="251791360" behindDoc="1" locked="0" layoutInCell="0" allowOverlap="1" wp14:anchorId="51BA2147" wp14:editId="6C9B8E69">
            <wp:simplePos x="0" y="0"/>
            <wp:positionH relativeFrom="column">
              <wp:posOffset>-5080</wp:posOffset>
            </wp:positionH>
            <wp:positionV relativeFrom="paragraph">
              <wp:posOffset>3175</wp:posOffset>
            </wp:positionV>
            <wp:extent cx="5980430" cy="18415"/>
            <wp:effectExtent l="0" t="0" r="1270" b="635"/>
            <wp:wrapNone/>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anchor>
        </w:drawing>
      </w:r>
    </w:p>
    <w:p w14:paraId="00E147B5" w14:textId="77777777" w:rsidR="00961938" w:rsidRDefault="00961938" w:rsidP="00961938">
      <w:pPr>
        <w:spacing w:after="0"/>
        <w:jc w:val="center"/>
        <w:rPr>
          <w:rFonts w:ascii="Arial" w:hAnsi="Arial" w:cs="Arial"/>
          <w:b/>
          <w:u w:val="single"/>
        </w:rPr>
      </w:pPr>
    </w:p>
    <w:p w14:paraId="5D88953D" w14:textId="77777777" w:rsidR="00A210E3" w:rsidRPr="00961938" w:rsidRDefault="00F50C50" w:rsidP="00961938">
      <w:pPr>
        <w:spacing w:after="0"/>
        <w:jc w:val="center"/>
        <w:rPr>
          <w:rFonts w:ascii="Arial" w:hAnsi="Arial" w:cs="Arial"/>
          <w:b/>
          <w:u w:val="single"/>
        </w:rPr>
      </w:pPr>
      <w:r w:rsidRPr="00961938">
        <w:rPr>
          <w:rFonts w:ascii="Arial" w:hAnsi="Arial" w:cs="Arial"/>
          <w:b/>
          <w:u w:val="single"/>
        </w:rPr>
        <w:t>FY2019</w:t>
      </w:r>
      <w:r w:rsidR="00A210E3" w:rsidRPr="00961938">
        <w:rPr>
          <w:rFonts w:ascii="Arial" w:hAnsi="Arial" w:cs="Arial"/>
          <w:b/>
          <w:u w:val="single"/>
        </w:rPr>
        <w:t xml:space="preserve"> RECOMMENDATIONS</w:t>
      </w:r>
    </w:p>
    <w:p w14:paraId="5BD21EA0" w14:textId="77777777" w:rsidR="00A210E3" w:rsidRPr="00A210E3" w:rsidRDefault="00A210E3" w:rsidP="00A210E3">
      <w:pPr>
        <w:spacing w:after="0"/>
        <w:jc w:val="both"/>
        <w:rPr>
          <w:rFonts w:ascii="Arial" w:hAnsi="Arial" w:cs="Arial"/>
        </w:rPr>
      </w:pPr>
    </w:p>
    <w:p w14:paraId="26EDC0C9" w14:textId="77777777" w:rsidR="00F50C50" w:rsidRPr="00961938" w:rsidRDefault="00F50C50" w:rsidP="00961B5D">
      <w:pPr>
        <w:pStyle w:val="ListParagraph"/>
        <w:numPr>
          <w:ilvl w:val="0"/>
          <w:numId w:val="9"/>
        </w:numPr>
        <w:spacing w:after="0"/>
        <w:jc w:val="both"/>
        <w:rPr>
          <w:rFonts w:ascii="Arial" w:hAnsi="Arial" w:cs="Arial"/>
          <w:b/>
          <w:color w:val="365F91" w:themeColor="accent1" w:themeShade="BF"/>
        </w:rPr>
      </w:pPr>
      <w:r w:rsidRPr="00961938">
        <w:rPr>
          <w:rFonts w:ascii="Arial" w:hAnsi="Arial" w:cs="Arial"/>
          <w:b/>
          <w:color w:val="365F91" w:themeColor="accent1" w:themeShade="BF"/>
        </w:rPr>
        <w:t>Establish a coordinated plan within DHCD for addressing the need</w:t>
      </w:r>
      <w:r w:rsidR="00627420">
        <w:rPr>
          <w:rFonts w:ascii="Arial" w:hAnsi="Arial" w:cs="Arial"/>
          <w:b/>
          <w:color w:val="365F91" w:themeColor="accent1" w:themeShade="BF"/>
        </w:rPr>
        <w:t>s</w:t>
      </w:r>
      <w:r w:rsidRPr="00961938">
        <w:rPr>
          <w:rFonts w:ascii="Arial" w:hAnsi="Arial" w:cs="Arial"/>
          <w:b/>
          <w:color w:val="365F91" w:themeColor="accent1" w:themeShade="BF"/>
        </w:rPr>
        <w:t xml:space="preserve"> of LGBTQ youth served.</w:t>
      </w:r>
    </w:p>
    <w:p w14:paraId="0A099EA3" w14:textId="77777777" w:rsidR="00F50C50" w:rsidRPr="00961938" w:rsidRDefault="00F50C50" w:rsidP="00961B5D">
      <w:pPr>
        <w:pStyle w:val="ListParagraph"/>
        <w:numPr>
          <w:ilvl w:val="0"/>
          <w:numId w:val="9"/>
        </w:numPr>
        <w:spacing w:after="0"/>
        <w:jc w:val="both"/>
        <w:rPr>
          <w:rFonts w:ascii="Arial" w:hAnsi="Arial" w:cs="Arial"/>
          <w:b/>
          <w:color w:val="365F91" w:themeColor="accent1" w:themeShade="BF"/>
        </w:rPr>
      </w:pPr>
      <w:r w:rsidRPr="00961938">
        <w:rPr>
          <w:rFonts w:ascii="Arial" w:hAnsi="Arial" w:cs="Arial"/>
          <w:b/>
          <w:color w:val="365F91" w:themeColor="accent1" w:themeShade="BF"/>
        </w:rPr>
        <w:t xml:space="preserve">Provide LGBTQ cultural competency training to staff and providers to improve access to and quality of shelter and housing for LGBTQ youth. </w:t>
      </w:r>
    </w:p>
    <w:p w14:paraId="2E178EDC" w14:textId="77777777" w:rsidR="00A210E3" w:rsidRPr="00961938" w:rsidRDefault="00F50C50" w:rsidP="00961B5D">
      <w:pPr>
        <w:pStyle w:val="ListParagraph"/>
        <w:numPr>
          <w:ilvl w:val="0"/>
          <w:numId w:val="9"/>
        </w:numPr>
        <w:spacing w:after="0"/>
        <w:jc w:val="both"/>
        <w:rPr>
          <w:rFonts w:ascii="Arial" w:hAnsi="Arial" w:cs="Arial"/>
          <w:b/>
          <w:color w:val="365F91" w:themeColor="accent1" w:themeShade="BF"/>
        </w:rPr>
      </w:pPr>
      <w:r w:rsidRPr="00961938">
        <w:rPr>
          <w:rFonts w:ascii="Arial" w:hAnsi="Arial" w:cs="Arial"/>
          <w:b/>
          <w:color w:val="365F91" w:themeColor="accent1" w:themeShade="BF"/>
        </w:rPr>
        <w:t>Finalize, adopt, and distribute a policy and guidelines to promote safety and privacy of LGBTQ youth and/or those transitioning genders in shelters.</w:t>
      </w:r>
    </w:p>
    <w:p w14:paraId="58D057E0" w14:textId="77777777" w:rsidR="00F50C50" w:rsidRPr="00961938" w:rsidRDefault="001A4A42" w:rsidP="00961B5D">
      <w:pPr>
        <w:pStyle w:val="ListParagraph"/>
        <w:numPr>
          <w:ilvl w:val="0"/>
          <w:numId w:val="9"/>
        </w:numPr>
        <w:spacing w:after="0"/>
        <w:jc w:val="both"/>
        <w:rPr>
          <w:rFonts w:ascii="Arial" w:hAnsi="Arial" w:cs="Arial"/>
          <w:b/>
          <w:color w:val="365F91" w:themeColor="accent1" w:themeShade="BF"/>
        </w:rPr>
      </w:pPr>
      <w:r w:rsidRPr="00961938">
        <w:rPr>
          <w:rFonts w:ascii="Arial" w:hAnsi="Arial" w:cs="Arial"/>
          <w:b/>
          <w:color w:val="365F91" w:themeColor="accent1" w:themeShade="BF"/>
        </w:rPr>
        <w:t>Identify</w:t>
      </w:r>
      <w:r w:rsidR="00F50C50" w:rsidRPr="00961938">
        <w:rPr>
          <w:rFonts w:ascii="Arial" w:hAnsi="Arial" w:cs="Arial"/>
          <w:b/>
          <w:color w:val="365F91" w:themeColor="accent1" w:themeShade="BF"/>
        </w:rPr>
        <w:t xml:space="preserve"> intake documents </w:t>
      </w:r>
      <w:r w:rsidRPr="00961938">
        <w:rPr>
          <w:rFonts w:ascii="Arial" w:hAnsi="Arial" w:cs="Arial"/>
          <w:b/>
          <w:color w:val="365F91" w:themeColor="accent1" w:themeShade="BF"/>
        </w:rPr>
        <w:t>for which revisions could help</w:t>
      </w:r>
      <w:r w:rsidR="00F50C50" w:rsidRPr="00961938">
        <w:rPr>
          <w:rFonts w:ascii="Arial" w:hAnsi="Arial" w:cs="Arial"/>
          <w:b/>
          <w:color w:val="365F91" w:themeColor="accent1" w:themeShade="BF"/>
        </w:rPr>
        <w:t xml:space="preserve"> a</w:t>
      </w:r>
      <w:r w:rsidRPr="00961938">
        <w:rPr>
          <w:rFonts w:ascii="Arial" w:hAnsi="Arial" w:cs="Arial"/>
          <w:b/>
          <w:color w:val="365F91" w:themeColor="accent1" w:themeShade="BF"/>
        </w:rPr>
        <w:t>ddress the needs of LGBTQ youth, and initiate planning for making updates as appropriate.</w:t>
      </w:r>
    </w:p>
    <w:p w14:paraId="4BC810EE" w14:textId="77777777" w:rsidR="00F50C50" w:rsidRPr="00F50C50" w:rsidRDefault="00F50C50" w:rsidP="00F50C50">
      <w:pPr>
        <w:spacing w:after="0"/>
        <w:jc w:val="both"/>
        <w:rPr>
          <w:rFonts w:ascii="Arial" w:hAnsi="Arial" w:cs="Arial"/>
        </w:rPr>
      </w:pPr>
    </w:p>
    <w:p w14:paraId="553E4B28" w14:textId="77777777" w:rsidR="00A210E3" w:rsidRPr="00961938" w:rsidRDefault="00A210E3" w:rsidP="00961938">
      <w:pPr>
        <w:spacing w:after="0"/>
        <w:jc w:val="center"/>
        <w:rPr>
          <w:rFonts w:ascii="Arial" w:hAnsi="Arial" w:cs="Arial"/>
          <w:b/>
          <w:u w:val="single"/>
        </w:rPr>
      </w:pPr>
      <w:r w:rsidRPr="00961938">
        <w:rPr>
          <w:rFonts w:ascii="Arial" w:hAnsi="Arial" w:cs="Arial"/>
          <w:b/>
          <w:u w:val="single"/>
        </w:rPr>
        <w:t>BACKGROUND &amp; RESEARCH</w:t>
      </w:r>
    </w:p>
    <w:p w14:paraId="51D62F6C" w14:textId="77777777" w:rsidR="00A210E3" w:rsidRPr="00A210E3" w:rsidRDefault="00A210E3" w:rsidP="00A210E3">
      <w:pPr>
        <w:spacing w:after="0"/>
        <w:jc w:val="both"/>
        <w:rPr>
          <w:rFonts w:ascii="Arial" w:hAnsi="Arial" w:cs="Arial"/>
        </w:rPr>
      </w:pPr>
    </w:p>
    <w:p w14:paraId="20E61FAC" w14:textId="77777777" w:rsidR="00F50C50" w:rsidRDefault="00F50C50" w:rsidP="00A210E3">
      <w:pPr>
        <w:spacing w:after="0"/>
        <w:jc w:val="both"/>
        <w:rPr>
          <w:rFonts w:ascii="Arial" w:hAnsi="Arial" w:cs="Arial"/>
        </w:rPr>
      </w:pPr>
      <w:r w:rsidRPr="00F50C50">
        <w:rPr>
          <w:rFonts w:ascii="Arial" w:hAnsi="Arial" w:cs="Arial"/>
        </w:rPr>
        <w:t xml:space="preserve">The Department of Housing and Community Development (DHCD) is responsible for providing safe and affordable housing options for Massachusetts residents, including oversight of regional networks of shelter agencies and partners and housing stabilization and emergency assistance programs. Numerous constituencies within and outside state government have raised the issue of the critical housing needs of LGBTQ youth and young adults. </w:t>
      </w:r>
    </w:p>
    <w:p w14:paraId="3759D05E" w14:textId="77777777" w:rsidR="00F50C50" w:rsidRDefault="00F50C50" w:rsidP="00A210E3">
      <w:pPr>
        <w:spacing w:after="0"/>
        <w:jc w:val="both"/>
        <w:rPr>
          <w:rFonts w:ascii="Arial" w:hAnsi="Arial" w:cs="Arial"/>
        </w:rPr>
      </w:pPr>
    </w:p>
    <w:p w14:paraId="0B9B798C" w14:textId="71A76A50" w:rsidR="00A210E3" w:rsidRPr="00A210E3" w:rsidRDefault="00A210E3" w:rsidP="00A210E3">
      <w:pPr>
        <w:spacing w:after="0"/>
        <w:jc w:val="both"/>
        <w:rPr>
          <w:rFonts w:ascii="Arial" w:hAnsi="Arial" w:cs="Arial"/>
        </w:rPr>
      </w:pPr>
      <w:r w:rsidRPr="00A210E3">
        <w:rPr>
          <w:rFonts w:ascii="Arial" w:hAnsi="Arial" w:cs="Arial"/>
        </w:rPr>
        <w:t>Reports indicate that youth who are LGBTQ are at higher risk for homelessness th</w:t>
      </w:r>
      <w:r>
        <w:rPr>
          <w:rFonts w:ascii="Arial" w:hAnsi="Arial" w:cs="Arial"/>
        </w:rPr>
        <w:t>an the general youth population</w:t>
      </w:r>
      <w:r w:rsidRPr="00A210E3">
        <w:rPr>
          <w:rFonts w:ascii="Arial" w:hAnsi="Arial" w:cs="Arial"/>
        </w:rPr>
        <w:t xml:space="preserve"> and are </w:t>
      </w:r>
      <w:r w:rsidRPr="005A49CA">
        <w:rPr>
          <w:rFonts w:ascii="Arial" w:hAnsi="Arial" w:cs="Arial"/>
        </w:rPr>
        <w:t>often subject to stigma and discrimination</w:t>
      </w:r>
      <w:r w:rsidR="00EC50AC" w:rsidRPr="005A49CA">
        <w:rPr>
          <w:rFonts w:ascii="Arial" w:hAnsi="Arial" w:cs="Arial"/>
        </w:rPr>
        <w:t xml:space="preserve">, as detailed in depth in the research on homelessness at page </w:t>
      </w:r>
      <w:r w:rsidR="005A49CA" w:rsidRPr="005A49CA">
        <w:rPr>
          <w:rFonts w:ascii="Arial" w:hAnsi="Arial" w:cs="Arial"/>
        </w:rPr>
        <w:t>16</w:t>
      </w:r>
      <w:r w:rsidR="00EC50AC" w:rsidRPr="005A49CA">
        <w:rPr>
          <w:rFonts w:ascii="Arial" w:hAnsi="Arial" w:cs="Arial"/>
        </w:rPr>
        <w:t xml:space="preserve"> above</w:t>
      </w:r>
      <w:r w:rsidRPr="005A49CA">
        <w:rPr>
          <w:rFonts w:ascii="Arial" w:hAnsi="Arial" w:cs="Arial"/>
        </w:rPr>
        <w:t xml:space="preserve">. </w:t>
      </w:r>
      <w:r w:rsidR="00F50C50" w:rsidRPr="005A49CA">
        <w:rPr>
          <w:rFonts w:ascii="Arial" w:hAnsi="Arial" w:cs="Arial"/>
        </w:rPr>
        <w:t>The Commission convened community members and experts to discuss the issue of</w:t>
      </w:r>
      <w:r w:rsidR="00F50C50">
        <w:rPr>
          <w:rFonts w:ascii="Arial" w:hAnsi="Arial" w:cs="Arial"/>
        </w:rPr>
        <w:t xml:space="preserve"> LGBTQ youth homelessness in December 2017, and held a legislative briefing and formal Commission meeting discussion on the topic of out-of-home youth that same month. The overwhelming consensus of those conversations, which has</w:t>
      </w:r>
      <w:r w:rsidR="00952F0F">
        <w:rPr>
          <w:rFonts w:ascii="Arial" w:hAnsi="Arial" w:cs="Arial"/>
        </w:rPr>
        <w:t xml:space="preserve"> also</w:t>
      </w:r>
      <w:r w:rsidR="00F50C50">
        <w:rPr>
          <w:rFonts w:ascii="Arial" w:hAnsi="Arial" w:cs="Arial"/>
        </w:rPr>
        <w:t xml:space="preserve"> been confirmed by </w:t>
      </w:r>
      <w:r w:rsidR="000E5A5E">
        <w:rPr>
          <w:rFonts w:ascii="Arial" w:hAnsi="Arial" w:cs="Arial"/>
        </w:rPr>
        <w:t xml:space="preserve">the 2017 </w:t>
      </w:r>
      <w:r w:rsidR="00F50C50">
        <w:rPr>
          <w:rFonts w:ascii="Arial" w:hAnsi="Arial" w:cs="Arial"/>
        </w:rPr>
        <w:t xml:space="preserve">Youth Count </w:t>
      </w:r>
      <w:r w:rsidR="000E5A5E">
        <w:rPr>
          <w:rFonts w:ascii="Arial" w:hAnsi="Arial" w:cs="Arial"/>
        </w:rPr>
        <w:t>report</w:t>
      </w:r>
      <w:r w:rsidR="00F50C50">
        <w:rPr>
          <w:rFonts w:ascii="Arial" w:hAnsi="Arial" w:cs="Arial"/>
        </w:rPr>
        <w:t>, is that LGBTQ youth face unique barriers in accessing services and often feel unsafe using existing shelters</w:t>
      </w:r>
      <w:r w:rsidRPr="00A210E3">
        <w:rPr>
          <w:rFonts w:ascii="Arial" w:hAnsi="Arial" w:cs="Arial"/>
        </w:rPr>
        <w:t>.</w:t>
      </w:r>
      <w:r w:rsidR="00A20EC7">
        <w:rPr>
          <w:rStyle w:val="EndnoteReference"/>
          <w:rFonts w:ascii="Arial" w:hAnsi="Arial" w:cs="Arial"/>
        </w:rPr>
        <w:endnoteReference w:id="235"/>
      </w:r>
      <w:r w:rsidRPr="00A210E3">
        <w:rPr>
          <w:rFonts w:ascii="Arial" w:hAnsi="Arial" w:cs="Arial"/>
        </w:rPr>
        <w:t xml:space="preserve"> As a result, homeless LGBTQ youth experience violence and victimization on a more fr</w:t>
      </w:r>
      <w:r>
        <w:rPr>
          <w:rFonts w:ascii="Arial" w:hAnsi="Arial" w:cs="Arial"/>
        </w:rPr>
        <w:t xml:space="preserve">equent basis, and may engage in </w:t>
      </w:r>
      <w:r w:rsidRPr="00A210E3">
        <w:rPr>
          <w:rFonts w:ascii="Arial" w:hAnsi="Arial" w:cs="Arial"/>
        </w:rPr>
        <w:t xml:space="preserve">survival behaviors that put them at increased risk </w:t>
      </w:r>
      <w:r w:rsidR="000E5A5E">
        <w:rPr>
          <w:rFonts w:ascii="Arial" w:hAnsi="Arial" w:cs="Arial"/>
        </w:rPr>
        <w:t>of negative health outcomes and involvement in the criminal justice system</w:t>
      </w:r>
      <w:r w:rsidRPr="00A210E3">
        <w:rPr>
          <w:rFonts w:ascii="Arial" w:hAnsi="Arial" w:cs="Arial"/>
        </w:rPr>
        <w:t>.</w:t>
      </w:r>
      <w:r w:rsidR="00F50C50">
        <w:rPr>
          <w:rFonts w:ascii="Arial" w:hAnsi="Arial" w:cs="Arial"/>
        </w:rPr>
        <w:t xml:space="preserve"> The 2017 Youth Count, for example, showed that LGBTQ youth were twice as likely to trade sexual acts for money, shelter, or food </w:t>
      </w:r>
      <w:r w:rsidR="000E5A5E">
        <w:rPr>
          <w:rFonts w:ascii="Arial" w:hAnsi="Arial" w:cs="Arial"/>
        </w:rPr>
        <w:t>as</w:t>
      </w:r>
      <w:r w:rsidR="00F50C50">
        <w:rPr>
          <w:rFonts w:ascii="Arial" w:hAnsi="Arial" w:cs="Arial"/>
        </w:rPr>
        <w:t xml:space="preserve"> were non-LGBTQ youth experiencing homelessness</w:t>
      </w:r>
      <w:r w:rsidR="006404BB">
        <w:rPr>
          <w:rFonts w:ascii="Arial" w:hAnsi="Arial" w:cs="Arial"/>
        </w:rPr>
        <w:t>.</w:t>
      </w:r>
      <w:r w:rsidR="00F50C50">
        <w:rPr>
          <w:rStyle w:val="EndnoteReference"/>
          <w:rFonts w:ascii="Arial" w:hAnsi="Arial" w:cs="Arial"/>
        </w:rPr>
        <w:endnoteReference w:id="236"/>
      </w:r>
      <w:r w:rsidR="005B1EF6">
        <w:rPr>
          <w:rFonts w:ascii="Arial" w:hAnsi="Arial" w:cs="Arial"/>
        </w:rPr>
        <w:t xml:space="preserve"> </w:t>
      </w:r>
      <w:r w:rsidR="000E5A5E">
        <w:rPr>
          <w:rFonts w:ascii="Arial" w:hAnsi="Arial" w:cs="Arial"/>
        </w:rPr>
        <w:t>Additionally, s</w:t>
      </w:r>
      <w:r w:rsidR="006404BB">
        <w:rPr>
          <w:rFonts w:ascii="Arial" w:hAnsi="Arial" w:cs="Arial"/>
        </w:rPr>
        <w:t>tate</w:t>
      </w:r>
      <w:r w:rsidR="005B1EF6" w:rsidRPr="00A210E3">
        <w:rPr>
          <w:rFonts w:ascii="Arial" w:hAnsi="Arial" w:cs="Arial"/>
        </w:rPr>
        <w:t xml:space="preserve"> data indicates significantly higher rates of substance use, bullying, suicide attempts, and sexual violence among homeless LGB youth than among housed LGB youth or </w:t>
      </w:r>
      <w:r w:rsidR="005B1EF6">
        <w:rPr>
          <w:rFonts w:ascii="Arial" w:hAnsi="Arial" w:cs="Arial"/>
        </w:rPr>
        <w:t xml:space="preserve">housed or homeless heterosexual </w:t>
      </w:r>
      <w:r w:rsidR="005B1EF6" w:rsidRPr="00A210E3">
        <w:rPr>
          <w:rFonts w:ascii="Arial" w:hAnsi="Arial" w:cs="Arial"/>
        </w:rPr>
        <w:t>youth</w:t>
      </w:r>
      <w:r w:rsidR="005B1EF6">
        <w:rPr>
          <w:rFonts w:ascii="Arial" w:hAnsi="Arial" w:cs="Arial"/>
        </w:rPr>
        <w:t>.</w:t>
      </w:r>
      <w:r w:rsidR="005B1EF6">
        <w:rPr>
          <w:rStyle w:val="EndnoteReference"/>
          <w:rFonts w:ascii="Arial" w:hAnsi="Arial" w:cs="Arial"/>
        </w:rPr>
        <w:endnoteReference w:id="237"/>
      </w:r>
    </w:p>
    <w:p w14:paraId="6692A9B4" w14:textId="77777777" w:rsidR="00A210E3" w:rsidRPr="00A210E3" w:rsidRDefault="00A210E3" w:rsidP="00A210E3">
      <w:pPr>
        <w:spacing w:after="0"/>
        <w:jc w:val="both"/>
        <w:rPr>
          <w:rFonts w:ascii="Arial" w:hAnsi="Arial" w:cs="Arial"/>
        </w:rPr>
      </w:pPr>
    </w:p>
    <w:p w14:paraId="238540EC" w14:textId="77777777" w:rsidR="00A20EC7" w:rsidRDefault="00A210E3" w:rsidP="00A210E3">
      <w:pPr>
        <w:spacing w:after="0"/>
        <w:jc w:val="both"/>
        <w:rPr>
          <w:rFonts w:ascii="Arial" w:hAnsi="Arial" w:cs="Arial"/>
        </w:rPr>
      </w:pPr>
      <w:r w:rsidRPr="00A210E3">
        <w:rPr>
          <w:rFonts w:ascii="Arial" w:hAnsi="Arial" w:cs="Arial"/>
        </w:rPr>
        <w:t>Homelessness impacts not only homeless LGBTQ youth who are unaccompanied, but also those who are living with their families in unstable or unsheltered situations. In a national survey of providers serving LGBTQ homeless youth, family service providers estimated that of their total youth served, an average of 22 percent identified as LGBTQ and 3 perc</w:t>
      </w:r>
      <w:r>
        <w:rPr>
          <w:rFonts w:ascii="Arial" w:hAnsi="Arial" w:cs="Arial"/>
        </w:rPr>
        <w:t xml:space="preserve">ent identified as </w:t>
      </w:r>
    </w:p>
    <w:p w14:paraId="4A18721A" w14:textId="77777777" w:rsidR="00A20EC7" w:rsidRDefault="00A20EC7">
      <w:pPr>
        <w:rPr>
          <w:rFonts w:ascii="Arial" w:hAnsi="Arial" w:cs="Arial"/>
        </w:rPr>
      </w:pPr>
      <w:r>
        <w:rPr>
          <w:rFonts w:ascii="Arial" w:hAnsi="Arial" w:cs="Arial"/>
        </w:rPr>
        <w:br w:type="page"/>
      </w:r>
    </w:p>
    <w:p w14:paraId="26DE3D84" w14:textId="3EA66C75" w:rsidR="00A210E3" w:rsidRPr="00A210E3" w:rsidRDefault="00A210E3" w:rsidP="00A210E3">
      <w:pPr>
        <w:spacing w:after="0"/>
        <w:jc w:val="both"/>
        <w:rPr>
          <w:rFonts w:ascii="Arial" w:hAnsi="Arial" w:cs="Arial"/>
        </w:rPr>
      </w:pPr>
      <w:r>
        <w:rPr>
          <w:rFonts w:ascii="Arial" w:hAnsi="Arial" w:cs="Arial"/>
        </w:rPr>
        <w:lastRenderedPageBreak/>
        <w:t>transgender.</w:t>
      </w:r>
      <w:r>
        <w:rPr>
          <w:rStyle w:val="EndnoteReference"/>
          <w:rFonts w:ascii="Arial" w:hAnsi="Arial" w:cs="Arial"/>
        </w:rPr>
        <w:endnoteReference w:id="238"/>
      </w:r>
      <w:r w:rsidRPr="00A210E3">
        <w:rPr>
          <w:rFonts w:ascii="Arial" w:hAnsi="Arial" w:cs="Arial"/>
        </w:rPr>
        <w:t xml:space="preserve"> Parents who are struggling to navigate homelessness may be </w:t>
      </w:r>
      <w:r w:rsidR="006404BB">
        <w:rPr>
          <w:rFonts w:ascii="Arial" w:hAnsi="Arial" w:cs="Arial"/>
        </w:rPr>
        <w:t>particularly in</w:t>
      </w:r>
      <w:r w:rsidRPr="00A210E3">
        <w:rPr>
          <w:rFonts w:ascii="Arial" w:hAnsi="Arial" w:cs="Arial"/>
        </w:rPr>
        <w:t xml:space="preserve"> need of assistance from state agencies or providers in supporting and locating resources for their LGBTQ children.</w:t>
      </w:r>
    </w:p>
    <w:p w14:paraId="36EAC446" w14:textId="77777777" w:rsidR="00A210E3" w:rsidRPr="00A210E3" w:rsidRDefault="00A210E3" w:rsidP="00A210E3">
      <w:pPr>
        <w:spacing w:after="0"/>
        <w:jc w:val="both"/>
        <w:rPr>
          <w:rFonts w:ascii="Arial" w:hAnsi="Arial" w:cs="Arial"/>
        </w:rPr>
      </w:pPr>
    </w:p>
    <w:p w14:paraId="67788AAB" w14:textId="77777777" w:rsidR="00A210E3" w:rsidRPr="00961938" w:rsidRDefault="00A210E3" w:rsidP="00961938">
      <w:pPr>
        <w:spacing w:after="0"/>
        <w:jc w:val="center"/>
        <w:rPr>
          <w:rFonts w:ascii="Arial" w:hAnsi="Arial" w:cs="Arial"/>
          <w:b/>
          <w:u w:val="single"/>
        </w:rPr>
      </w:pPr>
      <w:r w:rsidRPr="00961938">
        <w:rPr>
          <w:rFonts w:ascii="Arial" w:hAnsi="Arial" w:cs="Arial"/>
          <w:b/>
          <w:u w:val="single"/>
        </w:rPr>
        <w:t>EXPANDED RECOMMENDATIONS</w:t>
      </w:r>
    </w:p>
    <w:p w14:paraId="166CA8C7" w14:textId="77777777" w:rsidR="00A210E3" w:rsidRDefault="00A210E3" w:rsidP="00A210E3">
      <w:pPr>
        <w:spacing w:after="0"/>
        <w:jc w:val="both"/>
        <w:rPr>
          <w:rFonts w:ascii="Arial" w:hAnsi="Arial" w:cs="Arial"/>
        </w:rPr>
      </w:pPr>
    </w:p>
    <w:p w14:paraId="619387EC" w14:textId="77777777" w:rsidR="005B1EF6" w:rsidRPr="00961938" w:rsidRDefault="005B1EF6" w:rsidP="00961B5D">
      <w:pPr>
        <w:pStyle w:val="ListParagraph"/>
        <w:numPr>
          <w:ilvl w:val="0"/>
          <w:numId w:val="28"/>
        </w:numPr>
        <w:spacing w:after="0"/>
        <w:jc w:val="both"/>
        <w:rPr>
          <w:rFonts w:ascii="Arial" w:hAnsi="Arial" w:cs="Arial"/>
          <w:b/>
          <w:color w:val="365F91" w:themeColor="accent1" w:themeShade="BF"/>
        </w:rPr>
      </w:pPr>
      <w:r w:rsidRPr="00961938">
        <w:rPr>
          <w:rFonts w:ascii="Arial" w:hAnsi="Arial" w:cs="Arial"/>
          <w:b/>
          <w:color w:val="365F91" w:themeColor="accent1" w:themeShade="BF"/>
        </w:rPr>
        <w:t>Establish a coordinated plan within DHCD for addressing the need</w:t>
      </w:r>
      <w:r w:rsidR="00627420">
        <w:rPr>
          <w:rFonts w:ascii="Arial" w:hAnsi="Arial" w:cs="Arial"/>
          <w:b/>
          <w:color w:val="365F91" w:themeColor="accent1" w:themeShade="BF"/>
        </w:rPr>
        <w:t>s</w:t>
      </w:r>
      <w:r w:rsidRPr="00961938">
        <w:rPr>
          <w:rFonts w:ascii="Arial" w:hAnsi="Arial" w:cs="Arial"/>
          <w:b/>
          <w:color w:val="365F91" w:themeColor="accent1" w:themeShade="BF"/>
        </w:rPr>
        <w:t xml:space="preserve"> of LGBTQ youth served.</w:t>
      </w:r>
    </w:p>
    <w:p w14:paraId="73D25A53" w14:textId="77777777" w:rsidR="00E40F27" w:rsidRDefault="00E40F27" w:rsidP="00E40F27">
      <w:pPr>
        <w:spacing w:after="0"/>
        <w:jc w:val="both"/>
        <w:rPr>
          <w:rFonts w:ascii="Arial" w:hAnsi="Arial" w:cs="Arial"/>
        </w:rPr>
      </w:pPr>
    </w:p>
    <w:p w14:paraId="67E00A13" w14:textId="77777777" w:rsidR="00E40F27" w:rsidRDefault="00E40F27" w:rsidP="00E40F27">
      <w:pPr>
        <w:spacing w:after="0"/>
        <w:jc w:val="both"/>
        <w:rPr>
          <w:rFonts w:ascii="Arial" w:hAnsi="Arial" w:cs="Arial"/>
        </w:rPr>
      </w:pPr>
      <w:r>
        <w:rPr>
          <w:rFonts w:ascii="Arial" w:hAnsi="Arial" w:cs="Arial"/>
        </w:rPr>
        <w:t xml:space="preserve">DHCD </w:t>
      </w:r>
      <w:r w:rsidR="00604271">
        <w:rPr>
          <w:rFonts w:ascii="Arial" w:hAnsi="Arial" w:cs="Arial"/>
        </w:rPr>
        <w:t>is involved in and impacted</w:t>
      </w:r>
      <w:r w:rsidRPr="00E40F27">
        <w:rPr>
          <w:rFonts w:ascii="Arial" w:hAnsi="Arial" w:cs="Arial"/>
        </w:rPr>
        <w:t xml:space="preserve"> by the LGBTQ youth</w:t>
      </w:r>
      <w:r>
        <w:rPr>
          <w:rFonts w:ascii="Arial" w:hAnsi="Arial" w:cs="Arial"/>
        </w:rPr>
        <w:t>-related work happening</w:t>
      </w:r>
      <w:r w:rsidRPr="00E40F27">
        <w:rPr>
          <w:rFonts w:ascii="Arial" w:hAnsi="Arial" w:cs="Arial"/>
        </w:rPr>
        <w:t xml:space="preserve"> elsewhere in state government, such as the Commission on Unaccompanied Homeless Youth and the State Plan to End Youth and Young Adult Homelessness. The agency is aware that these entities are considering the needs of LGBTQ youth, and the Commission recommends that they </w:t>
      </w:r>
      <w:r w:rsidR="00604271">
        <w:rPr>
          <w:rFonts w:ascii="Arial" w:hAnsi="Arial" w:cs="Arial"/>
        </w:rPr>
        <w:t>incorporate</w:t>
      </w:r>
      <w:r w:rsidRPr="00E40F27">
        <w:rPr>
          <w:rFonts w:ascii="Arial" w:hAnsi="Arial" w:cs="Arial"/>
        </w:rPr>
        <w:t xml:space="preserve"> the work being conducted and create their own plan to support LGBTQ youth who are served by their programs and contractors. Additionally, DHCD has noted that some of its contractors have done work relevant to LGBTQ youth and that </w:t>
      </w:r>
      <w:r w:rsidR="001A4A42">
        <w:rPr>
          <w:rFonts w:ascii="Arial" w:hAnsi="Arial" w:cs="Arial"/>
        </w:rPr>
        <w:t>gathering information about contractor practices</w:t>
      </w:r>
      <w:r w:rsidRPr="00E40F27">
        <w:rPr>
          <w:rFonts w:ascii="Arial" w:hAnsi="Arial" w:cs="Arial"/>
        </w:rPr>
        <w:t xml:space="preserve"> might be useful.</w:t>
      </w:r>
    </w:p>
    <w:p w14:paraId="18EF78B6" w14:textId="77777777" w:rsidR="00E40F27" w:rsidRPr="00E40F27" w:rsidRDefault="00E40F27" w:rsidP="00E40F27">
      <w:pPr>
        <w:spacing w:after="0"/>
        <w:jc w:val="both"/>
        <w:rPr>
          <w:rFonts w:ascii="Arial" w:hAnsi="Arial" w:cs="Arial"/>
        </w:rPr>
      </w:pPr>
    </w:p>
    <w:p w14:paraId="35F6909F" w14:textId="77777777" w:rsidR="005B1EF6" w:rsidRPr="00961938" w:rsidRDefault="005B1EF6" w:rsidP="00961B5D">
      <w:pPr>
        <w:pStyle w:val="ListParagraph"/>
        <w:numPr>
          <w:ilvl w:val="0"/>
          <w:numId w:val="28"/>
        </w:numPr>
        <w:spacing w:after="0"/>
        <w:jc w:val="both"/>
        <w:rPr>
          <w:rFonts w:ascii="Arial" w:hAnsi="Arial" w:cs="Arial"/>
          <w:b/>
          <w:color w:val="365F91" w:themeColor="accent1" w:themeShade="BF"/>
        </w:rPr>
      </w:pPr>
      <w:r w:rsidRPr="00961938">
        <w:rPr>
          <w:rFonts w:ascii="Arial" w:hAnsi="Arial" w:cs="Arial"/>
          <w:b/>
          <w:color w:val="365F91" w:themeColor="accent1" w:themeShade="BF"/>
        </w:rPr>
        <w:t xml:space="preserve">Provide LGBTQ cultural competency training to staff and providers to improve access to and quality of shelter and housing for LGBTQ youth. </w:t>
      </w:r>
    </w:p>
    <w:p w14:paraId="4F16E792" w14:textId="77777777" w:rsidR="00E40F27" w:rsidRDefault="00E40F27" w:rsidP="00E40F27">
      <w:pPr>
        <w:spacing w:after="0"/>
        <w:jc w:val="both"/>
        <w:rPr>
          <w:rFonts w:ascii="Arial" w:hAnsi="Arial" w:cs="Arial"/>
        </w:rPr>
      </w:pPr>
    </w:p>
    <w:p w14:paraId="3CBEB4A4" w14:textId="67DCBA21" w:rsidR="00E40F27" w:rsidRDefault="00E40F27" w:rsidP="00E40F27">
      <w:pPr>
        <w:spacing w:after="0"/>
        <w:jc w:val="both"/>
        <w:rPr>
          <w:rFonts w:ascii="Arial" w:hAnsi="Arial" w:cs="Arial"/>
        </w:rPr>
      </w:pPr>
      <w:r w:rsidRPr="00E40F27">
        <w:rPr>
          <w:rFonts w:ascii="Arial" w:hAnsi="Arial" w:cs="Arial"/>
        </w:rPr>
        <w:t xml:space="preserve">The Commission </w:t>
      </w:r>
      <w:r>
        <w:rPr>
          <w:rFonts w:ascii="Arial" w:hAnsi="Arial" w:cs="Arial"/>
        </w:rPr>
        <w:t>recommends that DHCD implements</w:t>
      </w:r>
      <w:r w:rsidRPr="00E40F27">
        <w:rPr>
          <w:rFonts w:ascii="Arial" w:hAnsi="Arial" w:cs="Arial"/>
        </w:rPr>
        <w:t xml:space="preserve"> trainings on LGBTQ competency for its staff and contractors, especially for those in services in which the Commission has heard the greatest concern, such as domestic violence services. DHCD has noted that it does not having funding for this in the 2019 fiscal year. DHCD is interested, however, in working with the Commission's support t</w:t>
      </w:r>
      <w:r>
        <w:rPr>
          <w:rFonts w:ascii="Arial" w:hAnsi="Arial" w:cs="Arial"/>
        </w:rPr>
        <w:t xml:space="preserve">o explore a pilot training or </w:t>
      </w:r>
      <w:r w:rsidRPr="00E40F27">
        <w:rPr>
          <w:rFonts w:ascii="Arial" w:hAnsi="Arial" w:cs="Arial"/>
        </w:rPr>
        <w:t>training-of-trainers during FY2019 as a starting point. They are also interested in the prospect of a statewide, online training, should one be made available as a result of the Commission's current work and core recommendation to state government on this topic. The Commission looks forward to working with DHCD to achieve this training goal through a combination of means, and encourages DHCD to continue working together and to explore possible sources of funding for the future.</w:t>
      </w:r>
    </w:p>
    <w:p w14:paraId="7B24C0EE" w14:textId="77777777" w:rsidR="00E40F27" w:rsidRPr="00961938" w:rsidRDefault="00E40F27" w:rsidP="00E40F27">
      <w:pPr>
        <w:spacing w:after="0"/>
        <w:jc w:val="both"/>
        <w:rPr>
          <w:rFonts w:ascii="Arial" w:hAnsi="Arial" w:cs="Arial"/>
          <w:b/>
          <w:color w:val="365F91" w:themeColor="accent1" w:themeShade="BF"/>
        </w:rPr>
      </w:pPr>
    </w:p>
    <w:p w14:paraId="4C0A63FF" w14:textId="77777777" w:rsidR="005B1EF6" w:rsidRPr="00961938" w:rsidRDefault="005B1EF6" w:rsidP="00961B5D">
      <w:pPr>
        <w:pStyle w:val="ListParagraph"/>
        <w:numPr>
          <w:ilvl w:val="0"/>
          <w:numId w:val="28"/>
        </w:numPr>
        <w:spacing w:after="0"/>
        <w:jc w:val="both"/>
        <w:rPr>
          <w:rFonts w:ascii="Arial" w:hAnsi="Arial" w:cs="Arial"/>
          <w:b/>
          <w:color w:val="365F91" w:themeColor="accent1" w:themeShade="BF"/>
        </w:rPr>
      </w:pPr>
      <w:r w:rsidRPr="00961938">
        <w:rPr>
          <w:rFonts w:ascii="Arial" w:hAnsi="Arial" w:cs="Arial"/>
          <w:b/>
          <w:color w:val="365F91" w:themeColor="accent1" w:themeShade="BF"/>
        </w:rPr>
        <w:t>Finalize, adopt, and distribute a policy and guidelines to promote safety and privacy of LGBTQ youth and/or those transitioning genders in shelters.</w:t>
      </w:r>
    </w:p>
    <w:p w14:paraId="45AAF917" w14:textId="77777777" w:rsidR="00E40F27" w:rsidRDefault="00E40F27" w:rsidP="00E40F27">
      <w:pPr>
        <w:spacing w:after="0"/>
        <w:jc w:val="both"/>
        <w:rPr>
          <w:rFonts w:ascii="Arial" w:hAnsi="Arial" w:cs="Arial"/>
        </w:rPr>
      </w:pPr>
    </w:p>
    <w:p w14:paraId="4B22BDD3" w14:textId="471211F0" w:rsidR="001A4A42" w:rsidRDefault="001A4A42" w:rsidP="001A4A42">
      <w:pPr>
        <w:spacing w:after="0"/>
        <w:jc w:val="both"/>
        <w:rPr>
          <w:rFonts w:ascii="Arial" w:hAnsi="Arial" w:cs="Arial"/>
        </w:rPr>
      </w:pPr>
      <w:r w:rsidRPr="001A4A42">
        <w:rPr>
          <w:rFonts w:ascii="Arial" w:hAnsi="Arial" w:cs="Arial"/>
        </w:rPr>
        <w:t xml:space="preserve">DHCD is engaged in drafting a policy </w:t>
      </w:r>
      <w:r w:rsidR="002667C6">
        <w:rPr>
          <w:rFonts w:ascii="Arial" w:hAnsi="Arial" w:cs="Arial"/>
        </w:rPr>
        <w:t>relating</w:t>
      </w:r>
      <w:r w:rsidRPr="001A4A42">
        <w:rPr>
          <w:rFonts w:ascii="Arial" w:hAnsi="Arial" w:cs="Arial"/>
        </w:rPr>
        <w:t xml:space="preserve"> to the needs of LGBTQ youth wh</w:t>
      </w:r>
      <w:r>
        <w:rPr>
          <w:rFonts w:ascii="Arial" w:hAnsi="Arial" w:cs="Arial"/>
        </w:rPr>
        <w:t xml:space="preserve">o are impacted by its services. </w:t>
      </w:r>
      <w:r w:rsidRPr="001A4A42">
        <w:rPr>
          <w:rFonts w:ascii="Arial" w:hAnsi="Arial" w:cs="Arial"/>
        </w:rPr>
        <w:t xml:space="preserve">The Commission encourages DHCD to finalize and implement this policy. </w:t>
      </w:r>
      <w:r w:rsidR="00E40F27" w:rsidRPr="00E40F27">
        <w:rPr>
          <w:rFonts w:ascii="Arial" w:hAnsi="Arial" w:cs="Arial"/>
        </w:rPr>
        <w:t>Questions of placement of LGBTQ (and especially transgender and gender-nonconforming youth) as well as their treatment and safety while in public housing or a shelter are critical to the health and safety of these youth</w:t>
      </w:r>
      <w:r w:rsidR="00C946D2">
        <w:rPr>
          <w:rFonts w:ascii="Arial" w:hAnsi="Arial" w:cs="Arial"/>
        </w:rPr>
        <w:t>s</w:t>
      </w:r>
      <w:r w:rsidR="00E40F27" w:rsidRPr="00E40F27">
        <w:rPr>
          <w:rFonts w:ascii="Arial" w:hAnsi="Arial" w:cs="Arial"/>
        </w:rPr>
        <w:t xml:space="preserve">, and the Commission believes that these needs are best addressed through a formal policy. </w:t>
      </w:r>
      <w:r w:rsidR="002D194E">
        <w:rPr>
          <w:rFonts w:ascii="Arial" w:hAnsi="Arial" w:cs="Arial"/>
        </w:rPr>
        <w:t>The Commission</w:t>
      </w:r>
      <w:r w:rsidR="00E40F27" w:rsidRPr="00E40F27">
        <w:rPr>
          <w:rFonts w:ascii="Arial" w:hAnsi="Arial" w:cs="Arial"/>
        </w:rPr>
        <w:t xml:space="preserve"> look</w:t>
      </w:r>
      <w:r w:rsidR="002D194E">
        <w:rPr>
          <w:rFonts w:ascii="Arial" w:hAnsi="Arial" w:cs="Arial"/>
        </w:rPr>
        <w:t>s</w:t>
      </w:r>
      <w:r w:rsidR="00E40F27" w:rsidRPr="00E40F27">
        <w:rPr>
          <w:rFonts w:ascii="Arial" w:hAnsi="Arial" w:cs="Arial"/>
        </w:rPr>
        <w:t xml:space="preserve"> forward to supporting DHCD in this process.</w:t>
      </w:r>
    </w:p>
    <w:p w14:paraId="0ED912A9" w14:textId="77777777" w:rsidR="001A4A42" w:rsidRDefault="001A4A42" w:rsidP="001A4A42">
      <w:pPr>
        <w:spacing w:after="0"/>
        <w:jc w:val="both"/>
        <w:rPr>
          <w:rFonts w:ascii="Arial" w:hAnsi="Arial" w:cs="Arial"/>
        </w:rPr>
      </w:pPr>
    </w:p>
    <w:p w14:paraId="38AD8A0D" w14:textId="77777777" w:rsidR="00A20EC7" w:rsidRDefault="00A20EC7">
      <w:pPr>
        <w:rPr>
          <w:rFonts w:ascii="Arial" w:hAnsi="Arial" w:cs="Arial"/>
          <w:b/>
          <w:color w:val="365F91" w:themeColor="accent1" w:themeShade="BF"/>
        </w:rPr>
      </w:pPr>
      <w:r>
        <w:rPr>
          <w:rFonts w:ascii="Arial" w:hAnsi="Arial" w:cs="Arial"/>
          <w:b/>
          <w:color w:val="365F91" w:themeColor="accent1" w:themeShade="BF"/>
        </w:rPr>
        <w:br w:type="page"/>
      </w:r>
    </w:p>
    <w:p w14:paraId="7495F873" w14:textId="77777777" w:rsidR="001A4A42" w:rsidRPr="00961938" w:rsidRDefault="001A4A42" w:rsidP="00961B5D">
      <w:pPr>
        <w:pStyle w:val="ListParagraph"/>
        <w:numPr>
          <w:ilvl w:val="0"/>
          <w:numId w:val="28"/>
        </w:numPr>
        <w:spacing w:after="0"/>
        <w:jc w:val="both"/>
        <w:rPr>
          <w:rFonts w:ascii="Arial" w:hAnsi="Arial" w:cs="Arial"/>
          <w:b/>
          <w:color w:val="365F91" w:themeColor="accent1" w:themeShade="BF"/>
        </w:rPr>
      </w:pPr>
      <w:r w:rsidRPr="00961938">
        <w:rPr>
          <w:rFonts w:ascii="Arial" w:hAnsi="Arial" w:cs="Arial"/>
          <w:b/>
          <w:color w:val="365F91" w:themeColor="accent1" w:themeShade="BF"/>
        </w:rPr>
        <w:lastRenderedPageBreak/>
        <w:t>Identify intake documents for which revisions could help address the needs of LGBTQ youth, and initiate planning for making updates as appropriate.</w:t>
      </w:r>
    </w:p>
    <w:p w14:paraId="38694AEA" w14:textId="77777777" w:rsidR="00E40F27" w:rsidRDefault="00E40F27" w:rsidP="00E40F27">
      <w:pPr>
        <w:spacing w:after="0"/>
        <w:jc w:val="both"/>
        <w:rPr>
          <w:rFonts w:ascii="Arial" w:hAnsi="Arial" w:cs="Arial"/>
        </w:rPr>
      </w:pPr>
    </w:p>
    <w:p w14:paraId="3A6BC5A8" w14:textId="6E177E2A" w:rsidR="00A210E3" w:rsidRPr="00A210E3" w:rsidRDefault="00A02DF6" w:rsidP="00A210E3">
      <w:pPr>
        <w:spacing w:after="0"/>
        <w:jc w:val="both"/>
        <w:rPr>
          <w:rFonts w:ascii="Arial" w:hAnsi="Arial" w:cs="Arial"/>
        </w:rPr>
      </w:pPr>
      <w:r w:rsidRPr="00A02DF6">
        <w:rPr>
          <w:rFonts w:ascii="Arial" w:hAnsi="Arial" w:cs="Arial"/>
        </w:rPr>
        <w:t xml:space="preserve">The Commission thanks DHCD for reviewing </w:t>
      </w:r>
      <w:r w:rsidRPr="00C946D2">
        <w:rPr>
          <w:rFonts w:ascii="Arial" w:hAnsi="Arial" w:cs="Arial"/>
        </w:rPr>
        <w:t>its</w:t>
      </w:r>
      <w:r w:rsidRPr="00A02DF6">
        <w:rPr>
          <w:rFonts w:ascii="Arial" w:hAnsi="Arial" w:cs="Arial"/>
        </w:rPr>
        <w:t xml:space="preserve"> data collection practices with respect to transgender and gender-nonconforming youth, and for </w:t>
      </w:r>
      <w:r w:rsidR="00C946D2">
        <w:rPr>
          <w:rFonts w:ascii="Arial" w:hAnsi="Arial" w:cs="Arial"/>
        </w:rPr>
        <w:t>thoughtfully considering</w:t>
      </w:r>
      <w:r w:rsidRPr="00A02DF6">
        <w:rPr>
          <w:rFonts w:ascii="Arial" w:hAnsi="Arial" w:cs="Arial"/>
        </w:rPr>
        <w:t xml:space="preserve"> how the intake process involving this data impacts the lives of LGBTQ youth and their families. The Commission encourages </w:t>
      </w:r>
      <w:r w:rsidR="001A4A42">
        <w:rPr>
          <w:rFonts w:ascii="Arial" w:hAnsi="Arial" w:cs="Arial"/>
        </w:rPr>
        <w:t>DHCD</w:t>
      </w:r>
      <w:r w:rsidRPr="00A02DF6">
        <w:rPr>
          <w:rFonts w:ascii="Arial" w:hAnsi="Arial" w:cs="Arial"/>
        </w:rPr>
        <w:t xml:space="preserve"> to continue this internal discussion and that which has begun with the Commission, and to </w:t>
      </w:r>
      <w:r w:rsidR="001A4A42">
        <w:rPr>
          <w:rFonts w:ascii="Arial" w:hAnsi="Arial" w:cs="Arial"/>
        </w:rPr>
        <w:t xml:space="preserve">begin exploring how </w:t>
      </w:r>
      <w:r w:rsidR="001A4A42" w:rsidRPr="00C946D2">
        <w:rPr>
          <w:rFonts w:ascii="Arial" w:hAnsi="Arial" w:cs="Arial"/>
        </w:rPr>
        <w:t>it</w:t>
      </w:r>
      <w:r w:rsidR="001A4A42">
        <w:rPr>
          <w:rFonts w:ascii="Arial" w:hAnsi="Arial" w:cs="Arial"/>
        </w:rPr>
        <w:t xml:space="preserve"> can </w:t>
      </w:r>
      <w:r w:rsidRPr="00A02DF6">
        <w:rPr>
          <w:rFonts w:ascii="Arial" w:hAnsi="Arial" w:cs="Arial"/>
        </w:rPr>
        <w:t xml:space="preserve">revise </w:t>
      </w:r>
      <w:r w:rsidRPr="00C946D2">
        <w:rPr>
          <w:rFonts w:ascii="Arial" w:hAnsi="Arial" w:cs="Arial"/>
        </w:rPr>
        <w:t>its</w:t>
      </w:r>
      <w:r w:rsidRPr="00A02DF6">
        <w:rPr>
          <w:rFonts w:ascii="Arial" w:hAnsi="Arial" w:cs="Arial"/>
        </w:rPr>
        <w:t xml:space="preserve"> data collection and intake practices to be LGBTQ-inclusive and to allow self-determination of gender identity to the greatest possible extent under the law. </w:t>
      </w:r>
      <w:r w:rsidR="0094008B" w:rsidRPr="0094008B">
        <w:rPr>
          <w:rFonts w:ascii="Arial" w:hAnsi="Arial" w:cs="Arial"/>
        </w:rPr>
        <w:t>DHCD notes that this process will likely be dependent on availability of resources, particularly with respect to modification of documents that would require translation in accordance with DHCD’s Language Access Plan</w:t>
      </w:r>
      <w:r w:rsidR="001A4A42">
        <w:rPr>
          <w:rFonts w:ascii="Arial" w:hAnsi="Arial" w:cs="Arial"/>
        </w:rPr>
        <w:t xml:space="preserve">; as such, the Commission requests that DHCD periodically update it on the progress of its analysis and planning, and offers to assist DHCD whenever possible throughout the process. </w:t>
      </w:r>
    </w:p>
    <w:p w14:paraId="538A7EEB" w14:textId="77777777" w:rsidR="00A210E3" w:rsidRDefault="00A210E3" w:rsidP="00A210E3">
      <w:pPr>
        <w:spacing w:after="0"/>
        <w:jc w:val="both"/>
        <w:rPr>
          <w:rFonts w:ascii="Arial" w:hAnsi="Arial" w:cs="Arial"/>
        </w:rPr>
      </w:pPr>
    </w:p>
    <w:p w14:paraId="0333E2C1" w14:textId="77777777" w:rsidR="00A07650" w:rsidRDefault="00A07650">
      <w:pPr>
        <w:rPr>
          <w:rFonts w:ascii="Arial" w:hAnsi="Arial" w:cs="Arial"/>
          <w:b/>
          <w:sz w:val="28"/>
          <w:szCs w:val="28"/>
        </w:rPr>
      </w:pPr>
      <w:r>
        <w:rPr>
          <w:rFonts w:ascii="Arial" w:hAnsi="Arial" w:cs="Arial"/>
          <w:b/>
          <w:sz w:val="28"/>
          <w:szCs w:val="28"/>
        </w:rPr>
        <w:br w:type="page"/>
      </w:r>
    </w:p>
    <w:p w14:paraId="788EB05F" w14:textId="77777777" w:rsidR="00A210E3" w:rsidRPr="00A210E3" w:rsidRDefault="00A210E3" w:rsidP="00E45684">
      <w:pPr>
        <w:pStyle w:val="Heading2"/>
      </w:pPr>
      <w:bookmarkStart w:id="48" w:name="_Toc512947926"/>
      <w:r w:rsidRPr="00A210E3">
        <w:lastRenderedPageBreak/>
        <w:t>Department of Career Services</w:t>
      </w:r>
      <w:bookmarkEnd w:id="48"/>
    </w:p>
    <w:p w14:paraId="15111771" w14:textId="77777777" w:rsidR="00D738B4" w:rsidRPr="00D738B4" w:rsidRDefault="00961938" w:rsidP="00D738B4">
      <w:pPr>
        <w:spacing w:after="0"/>
        <w:jc w:val="both"/>
        <w:rPr>
          <w:rFonts w:ascii="Arial" w:hAnsi="Arial" w:cs="Arial"/>
        </w:rPr>
      </w:pPr>
      <w:r>
        <w:rPr>
          <w:noProof/>
        </w:rPr>
        <w:drawing>
          <wp:anchor distT="0" distB="0" distL="114300" distR="114300" simplePos="0" relativeHeight="251793408" behindDoc="0" locked="0" layoutInCell="0" allowOverlap="1" wp14:anchorId="26B34862" wp14:editId="46ECA35B">
            <wp:simplePos x="0" y="0"/>
            <wp:positionH relativeFrom="column">
              <wp:posOffset>0</wp:posOffset>
            </wp:positionH>
            <wp:positionV relativeFrom="paragraph">
              <wp:posOffset>-76</wp:posOffset>
            </wp:positionV>
            <wp:extent cx="5980430" cy="18415"/>
            <wp:effectExtent l="0" t="0" r="1270" b="635"/>
            <wp:wrapNone/>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anchor>
        </w:drawing>
      </w:r>
    </w:p>
    <w:p w14:paraId="4BBCF5E2" w14:textId="77777777" w:rsidR="00961938" w:rsidRDefault="00961938" w:rsidP="00961938">
      <w:pPr>
        <w:spacing w:after="0"/>
        <w:jc w:val="center"/>
        <w:rPr>
          <w:rFonts w:ascii="Arial" w:hAnsi="Arial" w:cs="Arial"/>
          <w:b/>
          <w:u w:val="single"/>
        </w:rPr>
      </w:pPr>
    </w:p>
    <w:p w14:paraId="2B31C2E8" w14:textId="77777777" w:rsidR="00D738B4" w:rsidRPr="00961938" w:rsidRDefault="00D738B4" w:rsidP="00961938">
      <w:pPr>
        <w:spacing w:after="0"/>
        <w:jc w:val="center"/>
        <w:rPr>
          <w:rFonts w:ascii="Arial" w:hAnsi="Arial" w:cs="Arial"/>
          <w:b/>
          <w:u w:val="single"/>
        </w:rPr>
      </w:pPr>
      <w:r w:rsidRPr="00961938">
        <w:rPr>
          <w:rFonts w:ascii="Arial" w:hAnsi="Arial" w:cs="Arial"/>
          <w:b/>
          <w:u w:val="single"/>
        </w:rPr>
        <w:t>FY2019 RECOMMENDATIONS</w:t>
      </w:r>
    </w:p>
    <w:p w14:paraId="2F0F1606" w14:textId="77777777" w:rsidR="00D738B4" w:rsidRPr="00D738B4" w:rsidRDefault="00D738B4" w:rsidP="00D738B4">
      <w:pPr>
        <w:spacing w:after="0"/>
        <w:jc w:val="both"/>
        <w:rPr>
          <w:rFonts w:ascii="Arial" w:hAnsi="Arial" w:cs="Arial"/>
        </w:rPr>
      </w:pPr>
    </w:p>
    <w:p w14:paraId="70CCB28D" w14:textId="77777777" w:rsidR="00D738B4" w:rsidRPr="00961938" w:rsidRDefault="00D738B4" w:rsidP="00C84E4E">
      <w:pPr>
        <w:numPr>
          <w:ilvl w:val="0"/>
          <w:numId w:val="15"/>
        </w:numPr>
        <w:spacing w:after="0" w:line="240" w:lineRule="auto"/>
        <w:contextualSpacing/>
        <w:jc w:val="both"/>
        <w:rPr>
          <w:rFonts w:ascii="Times New Roman" w:eastAsia="Times New Roman" w:hAnsi="Times New Roman" w:cs="Times New Roman"/>
          <w:b/>
          <w:color w:val="365F91" w:themeColor="accent1" w:themeShade="BF"/>
        </w:rPr>
      </w:pPr>
      <w:r w:rsidRPr="00961938">
        <w:rPr>
          <w:rFonts w:ascii="Arial" w:eastAsia="Times New Roman" w:hAnsi="Arial" w:cs="Arial"/>
          <w:b/>
          <w:color w:val="365F91" w:themeColor="accent1" w:themeShade="BF"/>
          <w:shd w:val="clear" w:color="auto" w:fill="FFFFFF"/>
        </w:rPr>
        <w:t xml:space="preserve">Continue to partner with the Commission and social service providers to offer career readiness resources for LGBTQ youth who face barriers to employment, such as career fairs targeting LGBTQ </w:t>
      </w:r>
      <w:r w:rsidR="006D6D40" w:rsidRPr="00961938">
        <w:rPr>
          <w:rFonts w:ascii="Arial" w:eastAsia="Times New Roman" w:hAnsi="Arial" w:cs="Arial"/>
          <w:b/>
          <w:color w:val="365F91" w:themeColor="accent1" w:themeShade="BF"/>
          <w:shd w:val="clear" w:color="auto" w:fill="FFFFFF"/>
        </w:rPr>
        <w:t>y</w:t>
      </w:r>
      <w:r w:rsidRPr="00961938">
        <w:rPr>
          <w:rFonts w:ascii="Arial" w:eastAsia="Times New Roman" w:hAnsi="Arial" w:cs="Arial"/>
          <w:b/>
          <w:color w:val="365F91" w:themeColor="accent1" w:themeShade="BF"/>
          <w:shd w:val="clear" w:color="auto" w:fill="FFFFFF"/>
        </w:rPr>
        <w:t xml:space="preserve">outh around the </w:t>
      </w:r>
      <w:r w:rsidR="006D6D40" w:rsidRPr="00961938">
        <w:rPr>
          <w:rFonts w:ascii="Arial" w:eastAsia="Times New Roman" w:hAnsi="Arial" w:cs="Arial"/>
          <w:b/>
          <w:color w:val="365F91" w:themeColor="accent1" w:themeShade="BF"/>
          <w:shd w:val="clear" w:color="auto" w:fill="FFFFFF"/>
        </w:rPr>
        <w:t>C</w:t>
      </w:r>
      <w:r w:rsidRPr="00961938">
        <w:rPr>
          <w:rFonts w:ascii="Arial" w:eastAsia="Times New Roman" w:hAnsi="Arial" w:cs="Arial"/>
          <w:b/>
          <w:color w:val="365F91" w:themeColor="accent1" w:themeShade="BF"/>
          <w:shd w:val="clear" w:color="auto" w:fill="FFFFFF"/>
        </w:rPr>
        <w:t>ommonwealth.</w:t>
      </w:r>
    </w:p>
    <w:p w14:paraId="77EACB46" w14:textId="77777777" w:rsidR="00D738B4" w:rsidRPr="00961938" w:rsidRDefault="00D738B4" w:rsidP="00C84E4E">
      <w:pPr>
        <w:numPr>
          <w:ilvl w:val="0"/>
          <w:numId w:val="15"/>
        </w:numPr>
        <w:spacing w:after="0" w:line="240" w:lineRule="auto"/>
        <w:contextualSpacing/>
        <w:jc w:val="both"/>
        <w:rPr>
          <w:rFonts w:ascii="Times New Roman" w:eastAsia="Times New Roman" w:hAnsi="Times New Roman" w:cs="Times New Roman"/>
          <w:b/>
          <w:color w:val="365F91" w:themeColor="accent1" w:themeShade="BF"/>
        </w:rPr>
      </w:pPr>
      <w:r w:rsidRPr="00961938">
        <w:rPr>
          <w:rFonts w:ascii="Arial" w:eastAsia="Times New Roman" w:hAnsi="Arial" w:cs="Arial"/>
          <w:b/>
          <w:color w:val="365F91" w:themeColor="accent1" w:themeShade="BF"/>
          <w:shd w:val="clear" w:color="auto" w:fill="FFFFFF"/>
        </w:rPr>
        <w:t>Create and distribute model intake forms for DCS programs in line with best practices on LGBTQ data collection.</w:t>
      </w:r>
    </w:p>
    <w:p w14:paraId="0585269B" w14:textId="77777777" w:rsidR="00A210E3" w:rsidRDefault="00A210E3" w:rsidP="00A210E3">
      <w:pPr>
        <w:spacing w:after="0"/>
        <w:jc w:val="both"/>
        <w:rPr>
          <w:rFonts w:ascii="Arial" w:hAnsi="Arial" w:cs="Arial"/>
        </w:rPr>
      </w:pPr>
    </w:p>
    <w:p w14:paraId="6026CA9E" w14:textId="77777777" w:rsidR="00D738B4" w:rsidRPr="00961938" w:rsidRDefault="00D738B4" w:rsidP="00961938">
      <w:pPr>
        <w:spacing w:after="0"/>
        <w:jc w:val="center"/>
        <w:rPr>
          <w:rFonts w:ascii="Arial" w:hAnsi="Arial" w:cs="Arial"/>
          <w:u w:val="single"/>
        </w:rPr>
      </w:pPr>
      <w:r w:rsidRPr="00961938">
        <w:rPr>
          <w:rFonts w:ascii="Arial" w:hAnsi="Arial" w:cs="Arial"/>
          <w:b/>
          <w:u w:val="single"/>
        </w:rPr>
        <w:t>BACKGROUND &amp; RESEARCH</w:t>
      </w:r>
    </w:p>
    <w:p w14:paraId="4B380616" w14:textId="77777777" w:rsidR="00D738B4" w:rsidRPr="00A210E3" w:rsidRDefault="00D738B4" w:rsidP="00A210E3">
      <w:pPr>
        <w:spacing w:after="0"/>
        <w:jc w:val="both"/>
        <w:rPr>
          <w:rFonts w:ascii="Arial" w:hAnsi="Arial" w:cs="Arial"/>
        </w:rPr>
      </w:pPr>
    </w:p>
    <w:p w14:paraId="3F4E490B" w14:textId="3ED7DA35" w:rsidR="00BE73E5" w:rsidRPr="00A210E3" w:rsidRDefault="00A210E3" w:rsidP="00A210E3">
      <w:pPr>
        <w:spacing w:after="0"/>
        <w:jc w:val="both"/>
        <w:rPr>
          <w:rFonts w:ascii="Arial" w:hAnsi="Arial" w:cs="Arial"/>
        </w:rPr>
      </w:pPr>
      <w:r w:rsidRPr="00A210E3">
        <w:rPr>
          <w:rFonts w:ascii="Arial" w:hAnsi="Arial" w:cs="Arial"/>
        </w:rPr>
        <w:t xml:space="preserve">The Department of Career Services (DCS) oversees the state’s network of One-Stop Career Centers that assist businesses in finding qualified workers and provide job seekers with career guidance </w:t>
      </w:r>
      <w:r w:rsidR="009A6CC8">
        <w:rPr>
          <w:rFonts w:ascii="Arial" w:hAnsi="Arial" w:cs="Arial"/>
        </w:rPr>
        <w:t>and</w:t>
      </w:r>
      <w:r w:rsidRPr="00A210E3">
        <w:rPr>
          <w:rFonts w:ascii="Arial" w:hAnsi="Arial" w:cs="Arial"/>
        </w:rPr>
        <w:t xml:space="preserve"> referrals to jobs and training. The Commission </w:t>
      </w:r>
      <w:r w:rsidR="006D6D40">
        <w:rPr>
          <w:rFonts w:ascii="Arial" w:hAnsi="Arial" w:cs="Arial"/>
        </w:rPr>
        <w:t xml:space="preserve">had previously </w:t>
      </w:r>
      <w:r w:rsidRPr="00A210E3">
        <w:rPr>
          <w:rFonts w:ascii="Arial" w:hAnsi="Arial" w:cs="Arial"/>
        </w:rPr>
        <w:t>worked with DCS to update and revise its nondiscriminati</w:t>
      </w:r>
      <w:r w:rsidR="006D6D40">
        <w:rPr>
          <w:rFonts w:ascii="Arial" w:hAnsi="Arial" w:cs="Arial"/>
        </w:rPr>
        <w:t xml:space="preserve">on policy to be LGBTQ-inclusive, and </w:t>
      </w:r>
      <w:r w:rsidR="00DD27E1">
        <w:rPr>
          <w:rFonts w:ascii="Arial" w:hAnsi="Arial" w:cs="Arial"/>
        </w:rPr>
        <w:t xml:space="preserve">nondiscrimination and best practice guidelines </w:t>
      </w:r>
      <w:r w:rsidR="006D6D40">
        <w:rPr>
          <w:rFonts w:ascii="Arial" w:hAnsi="Arial" w:cs="Arial"/>
        </w:rPr>
        <w:t>were</w:t>
      </w:r>
      <w:r w:rsidR="00DD27E1">
        <w:rPr>
          <w:rFonts w:ascii="Arial" w:hAnsi="Arial" w:cs="Arial"/>
        </w:rPr>
        <w:t xml:space="preserve"> </w:t>
      </w:r>
      <w:r w:rsidR="00392519">
        <w:rPr>
          <w:rFonts w:ascii="Arial" w:hAnsi="Arial" w:cs="Arial"/>
        </w:rPr>
        <w:t>released to all DCS staff and career centers as of June 2017. DCS has begun conversations about changing intake forms to become more inclusive and will continue working toward this goal. Additionally, the DCS liaison is working towards planning career fairs targeting LGBTQ youth around the commonwealth. The Commission looks forward to working closely with DCS to continue increasing LGBTQ</w:t>
      </w:r>
      <w:r w:rsidR="006D6D40">
        <w:rPr>
          <w:rFonts w:ascii="Arial" w:hAnsi="Arial" w:cs="Arial"/>
        </w:rPr>
        <w:t>-</w:t>
      </w:r>
      <w:r w:rsidR="00392519">
        <w:rPr>
          <w:rFonts w:ascii="Arial" w:hAnsi="Arial" w:cs="Arial"/>
        </w:rPr>
        <w:t xml:space="preserve">inclusive resources and trainings. </w:t>
      </w:r>
    </w:p>
    <w:p w14:paraId="3954F6AD" w14:textId="77777777" w:rsidR="00A210E3" w:rsidRPr="00A210E3" w:rsidRDefault="00A210E3" w:rsidP="00A210E3">
      <w:pPr>
        <w:spacing w:after="0"/>
        <w:jc w:val="both"/>
        <w:rPr>
          <w:rFonts w:ascii="Arial" w:hAnsi="Arial" w:cs="Arial"/>
        </w:rPr>
      </w:pPr>
    </w:p>
    <w:p w14:paraId="0B880FDC" w14:textId="629744D1" w:rsidR="00A210E3" w:rsidRPr="00A210E3" w:rsidRDefault="00A210E3" w:rsidP="00A210E3">
      <w:pPr>
        <w:spacing w:after="0"/>
        <w:jc w:val="both"/>
        <w:rPr>
          <w:rFonts w:ascii="Arial" w:hAnsi="Arial" w:cs="Arial"/>
        </w:rPr>
      </w:pPr>
      <w:r w:rsidRPr="00A210E3">
        <w:rPr>
          <w:rFonts w:ascii="Arial" w:hAnsi="Arial" w:cs="Arial"/>
        </w:rPr>
        <w:t xml:space="preserve">LGBTQ youth are more likely to experience </w:t>
      </w:r>
      <w:r w:rsidR="00024DBF" w:rsidRPr="00A210E3">
        <w:rPr>
          <w:rFonts w:ascii="Arial" w:hAnsi="Arial" w:cs="Arial"/>
        </w:rPr>
        <w:t>several</w:t>
      </w:r>
      <w:r w:rsidRPr="00A210E3">
        <w:rPr>
          <w:rFonts w:ascii="Arial" w:hAnsi="Arial" w:cs="Arial"/>
        </w:rPr>
        <w:t xml:space="preserve"> risk factors </w:t>
      </w:r>
      <w:r w:rsidR="00B46ECE" w:rsidRPr="00A210E3">
        <w:rPr>
          <w:rFonts w:ascii="Arial" w:hAnsi="Arial" w:cs="Arial"/>
        </w:rPr>
        <w:t>that make obtaining employment more difficult</w:t>
      </w:r>
      <w:r w:rsidR="00B46ECE">
        <w:rPr>
          <w:rFonts w:ascii="Arial" w:hAnsi="Arial" w:cs="Arial"/>
        </w:rPr>
        <w:t xml:space="preserve">, </w:t>
      </w:r>
      <w:r w:rsidRPr="00A210E3">
        <w:rPr>
          <w:rFonts w:ascii="Arial" w:hAnsi="Arial" w:cs="Arial"/>
        </w:rPr>
        <w:t>such as homelessness, unsafe educational environments,</w:t>
      </w:r>
      <w:r w:rsidR="00962711">
        <w:rPr>
          <w:rFonts w:ascii="Arial" w:hAnsi="Arial" w:cs="Arial"/>
        </w:rPr>
        <w:t xml:space="preserve"> lacking proper ID,</w:t>
      </w:r>
      <w:r w:rsidRPr="00A210E3">
        <w:rPr>
          <w:rFonts w:ascii="Arial" w:hAnsi="Arial" w:cs="Arial"/>
        </w:rPr>
        <w:t xml:space="preserve"> </w:t>
      </w:r>
      <w:r w:rsidR="00B46ECE">
        <w:rPr>
          <w:rFonts w:ascii="Arial" w:hAnsi="Arial" w:cs="Arial"/>
        </w:rPr>
        <w:t xml:space="preserve">and </w:t>
      </w:r>
      <w:r w:rsidR="00B46ECE" w:rsidRPr="00B46ECE">
        <w:rPr>
          <w:rFonts w:ascii="Arial" w:hAnsi="Arial" w:cs="Arial"/>
        </w:rPr>
        <w:t xml:space="preserve">involvement </w:t>
      </w:r>
      <w:r w:rsidR="00B46ECE">
        <w:rPr>
          <w:rFonts w:ascii="Arial" w:hAnsi="Arial" w:cs="Arial"/>
        </w:rPr>
        <w:t>in the criminal justice system</w:t>
      </w:r>
      <w:r w:rsidRPr="00A210E3">
        <w:rPr>
          <w:rFonts w:ascii="Arial" w:hAnsi="Arial" w:cs="Arial"/>
        </w:rPr>
        <w:t>. Unsafe or under-resourced schools and disproportionate rates of school suspensions and arre</w:t>
      </w:r>
      <w:r w:rsidR="00B46ECE">
        <w:rPr>
          <w:rFonts w:ascii="Arial" w:hAnsi="Arial" w:cs="Arial"/>
        </w:rPr>
        <w:t xml:space="preserve">sts put LGBTQ youth of color </w:t>
      </w:r>
      <w:r w:rsidRPr="00A210E3">
        <w:rPr>
          <w:rFonts w:ascii="Arial" w:hAnsi="Arial" w:cs="Arial"/>
        </w:rPr>
        <w:t xml:space="preserve">at a </w:t>
      </w:r>
      <w:r w:rsidR="00B46ECE">
        <w:rPr>
          <w:rFonts w:ascii="Arial" w:hAnsi="Arial" w:cs="Arial"/>
        </w:rPr>
        <w:t xml:space="preserve">particular </w:t>
      </w:r>
      <w:r w:rsidRPr="00A210E3">
        <w:rPr>
          <w:rFonts w:ascii="Arial" w:hAnsi="Arial" w:cs="Arial"/>
        </w:rPr>
        <w:t xml:space="preserve">disadvantage when entering the workforce. </w:t>
      </w:r>
      <w:r w:rsidR="00B46ECE">
        <w:rPr>
          <w:rFonts w:ascii="Arial" w:hAnsi="Arial" w:cs="Arial"/>
        </w:rPr>
        <w:t>T</w:t>
      </w:r>
      <w:r w:rsidR="00B46ECE" w:rsidRPr="00A210E3">
        <w:rPr>
          <w:rFonts w:ascii="Arial" w:hAnsi="Arial" w:cs="Arial"/>
        </w:rPr>
        <w:t>ransgender adults and L</w:t>
      </w:r>
      <w:r w:rsidR="00B46ECE">
        <w:rPr>
          <w:rFonts w:ascii="Arial" w:hAnsi="Arial" w:cs="Arial"/>
        </w:rPr>
        <w:t xml:space="preserve">GBTQ adults of color have significantly higher </w:t>
      </w:r>
      <w:r w:rsidR="00B46ECE" w:rsidRPr="00A210E3">
        <w:rPr>
          <w:rFonts w:ascii="Arial" w:hAnsi="Arial" w:cs="Arial"/>
        </w:rPr>
        <w:t xml:space="preserve">unemployment rates </w:t>
      </w:r>
      <w:r w:rsidR="00B46ECE">
        <w:rPr>
          <w:rFonts w:ascii="Arial" w:hAnsi="Arial" w:cs="Arial"/>
        </w:rPr>
        <w:t>than the national average, suggesting that that the</w:t>
      </w:r>
      <w:r w:rsidRPr="00A210E3">
        <w:rPr>
          <w:rFonts w:ascii="Arial" w:hAnsi="Arial" w:cs="Arial"/>
        </w:rPr>
        <w:t xml:space="preserve"> obstacles</w:t>
      </w:r>
      <w:r w:rsidR="00B46ECE">
        <w:rPr>
          <w:rFonts w:ascii="Arial" w:hAnsi="Arial" w:cs="Arial"/>
        </w:rPr>
        <w:t xml:space="preserve"> that LGBTQ youth face in</w:t>
      </w:r>
      <w:r w:rsidRPr="00A210E3">
        <w:rPr>
          <w:rFonts w:ascii="Arial" w:hAnsi="Arial" w:cs="Arial"/>
        </w:rPr>
        <w:t xml:space="preserve"> obtaining employment</w:t>
      </w:r>
      <w:r w:rsidR="00B46ECE">
        <w:rPr>
          <w:rFonts w:ascii="Arial" w:hAnsi="Arial" w:cs="Arial"/>
        </w:rPr>
        <w:t xml:space="preserve"> often</w:t>
      </w:r>
      <w:r w:rsidRPr="00A210E3">
        <w:rPr>
          <w:rFonts w:ascii="Arial" w:hAnsi="Arial" w:cs="Arial"/>
        </w:rPr>
        <w:t xml:space="preserve"> </w:t>
      </w:r>
      <w:r w:rsidR="00B46ECE">
        <w:rPr>
          <w:rFonts w:ascii="Arial" w:hAnsi="Arial" w:cs="Arial"/>
        </w:rPr>
        <w:t>follow them throughout their lifespans</w:t>
      </w:r>
      <w:r>
        <w:rPr>
          <w:rFonts w:ascii="Arial" w:hAnsi="Arial" w:cs="Arial"/>
        </w:rPr>
        <w:t>.</w:t>
      </w:r>
      <w:r>
        <w:rPr>
          <w:rStyle w:val="EndnoteReference"/>
          <w:rFonts w:ascii="Arial" w:hAnsi="Arial" w:cs="Arial"/>
        </w:rPr>
        <w:endnoteReference w:id="239"/>
      </w:r>
    </w:p>
    <w:p w14:paraId="7DD5298F" w14:textId="77777777" w:rsidR="00A210E3" w:rsidRPr="00A210E3" w:rsidRDefault="00A210E3" w:rsidP="00A210E3">
      <w:pPr>
        <w:spacing w:after="0"/>
        <w:jc w:val="both"/>
        <w:rPr>
          <w:rFonts w:ascii="Arial" w:hAnsi="Arial" w:cs="Arial"/>
        </w:rPr>
      </w:pPr>
    </w:p>
    <w:p w14:paraId="75A84D74" w14:textId="77777777" w:rsidR="00A210E3" w:rsidRDefault="00A210E3" w:rsidP="00A210E3">
      <w:pPr>
        <w:spacing w:after="0"/>
        <w:jc w:val="both"/>
        <w:rPr>
          <w:rFonts w:ascii="Arial" w:hAnsi="Arial" w:cs="Arial"/>
        </w:rPr>
      </w:pPr>
      <w:r w:rsidRPr="00A210E3">
        <w:rPr>
          <w:rFonts w:ascii="Arial" w:hAnsi="Arial" w:cs="Arial"/>
        </w:rPr>
        <w:t xml:space="preserve">A survey of LGBTQ youth of color who live, work, or spend time in Boston found that while significant numbers </w:t>
      </w:r>
      <w:r w:rsidR="00B46ECE">
        <w:rPr>
          <w:rFonts w:ascii="Arial" w:hAnsi="Arial" w:cs="Arial"/>
        </w:rPr>
        <w:t>had</w:t>
      </w:r>
      <w:r w:rsidRPr="00A210E3">
        <w:rPr>
          <w:rFonts w:ascii="Arial" w:hAnsi="Arial" w:cs="Arial"/>
        </w:rPr>
        <w:t xml:space="preserve"> access to leadership development and skill-building opportunities, </w:t>
      </w:r>
      <w:r>
        <w:rPr>
          <w:rFonts w:ascii="Arial" w:hAnsi="Arial" w:cs="Arial"/>
        </w:rPr>
        <w:t xml:space="preserve">only 57 percent </w:t>
      </w:r>
      <w:r w:rsidR="00B46ECE">
        <w:rPr>
          <w:rFonts w:ascii="Arial" w:hAnsi="Arial" w:cs="Arial"/>
        </w:rPr>
        <w:t>had</w:t>
      </w:r>
      <w:r w:rsidRPr="00A210E3">
        <w:rPr>
          <w:rFonts w:ascii="Arial" w:hAnsi="Arial" w:cs="Arial"/>
        </w:rPr>
        <w:t xml:space="preserve"> a paid job or internship</w:t>
      </w:r>
      <w:r w:rsidR="00B46ECE">
        <w:rPr>
          <w:rFonts w:ascii="Arial" w:hAnsi="Arial" w:cs="Arial"/>
        </w:rPr>
        <w:t>, with many wanting but lacking such opportunities</w:t>
      </w:r>
      <w:r>
        <w:rPr>
          <w:rFonts w:ascii="Arial" w:hAnsi="Arial" w:cs="Arial"/>
        </w:rPr>
        <w:t>.</w:t>
      </w:r>
      <w:r>
        <w:rPr>
          <w:rStyle w:val="EndnoteReference"/>
          <w:rFonts w:ascii="Arial" w:hAnsi="Arial" w:cs="Arial"/>
        </w:rPr>
        <w:endnoteReference w:id="240"/>
      </w:r>
      <w:r w:rsidRPr="00A210E3">
        <w:rPr>
          <w:rFonts w:ascii="Arial" w:hAnsi="Arial" w:cs="Arial"/>
        </w:rPr>
        <w:t xml:space="preserve"> Approximately one in five respondents felt there was no more than a </w:t>
      </w:r>
      <w:r w:rsidR="00B46ECE">
        <w:rPr>
          <w:rFonts w:ascii="Arial" w:hAnsi="Arial" w:cs="Arial"/>
        </w:rPr>
        <w:t>50% chance</w:t>
      </w:r>
      <w:r w:rsidRPr="00A210E3">
        <w:rPr>
          <w:rFonts w:ascii="Arial" w:hAnsi="Arial" w:cs="Arial"/>
        </w:rPr>
        <w:t xml:space="preserve"> that they wo</w:t>
      </w:r>
      <w:r>
        <w:rPr>
          <w:rFonts w:ascii="Arial" w:hAnsi="Arial" w:cs="Arial"/>
        </w:rPr>
        <w:t xml:space="preserve">uld have a good job by </w:t>
      </w:r>
      <w:r w:rsidR="00B46ECE">
        <w:rPr>
          <w:rFonts w:ascii="Arial" w:hAnsi="Arial" w:cs="Arial"/>
        </w:rPr>
        <w:t xml:space="preserve">the </w:t>
      </w:r>
      <w:r>
        <w:rPr>
          <w:rFonts w:ascii="Arial" w:hAnsi="Arial" w:cs="Arial"/>
        </w:rPr>
        <w:t>age</w:t>
      </w:r>
      <w:r w:rsidR="00B46ECE">
        <w:rPr>
          <w:rFonts w:ascii="Arial" w:hAnsi="Arial" w:cs="Arial"/>
        </w:rPr>
        <w:t xml:space="preserve"> of</w:t>
      </w:r>
      <w:r>
        <w:rPr>
          <w:rFonts w:ascii="Arial" w:hAnsi="Arial" w:cs="Arial"/>
        </w:rPr>
        <w:t xml:space="preserve"> 30.</w:t>
      </w:r>
      <w:r>
        <w:rPr>
          <w:rStyle w:val="EndnoteReference"/>
          <w:rFonts w:ascii="Arial" w:hAnsi="Arial" w:cs="Arial"/>
        </w:rPr>
        <w:endnoteReference w:id="241"/>
      </w:r>
      <w:r w:rsidRPr="00A210E3">
        <w:rPr>
          <w:rFonts w:ascii="Arial" w:hAnsi="Arial" w:cs="Arial"/>
        </w:rPr>
        <w:t xml:space="preserve"> To secure stable and meaningful employment, LGBTQ young people need access to quality career development programs that address the specific challenges they face, as well as employers who are willing to hire them.</w:t>
      </w:r>
    </w:p>
    <w:p w14:paraId="54B05ABE" w14:textId="77777777" w:rsidR="00076216" w:rsidRDefault="00076216" w:rsidP="00A210E3">
      <w:pPr>
        <w:spacing w:after="0"/>
        <w:jc w:val="both"/>
        <w:rPr>
          <w:rFonts w:ascii="Arial" w:hAnsi="Arial" w:cs="Arial"/>
        </w:rPr>
      </w:pPr>
    </w:p>
    <w:p w14:paraId="0C9611C1" w14:textId="77777777" w:rsidR="00076216" w:rsidRPr="00A210E3" w:rsidRDefault="00076216" w:rsidP="00A210E3">
      <w:pPr>
        <w:spacing w:after="0"/>
        <w:jc w:val="both"/>
        <w:rPr>
          <w:rFonts w:ascii="Arial" w:hAnsi="Arial" w:cs="Arial"/>
        </w:rPr>
      </w:pPr>
      <w:r>
        <w:rPr>
          <w:rFonts w:ascii="Arial" w:hAnsi="Arial" w:cs="Arial"/>
        </w:rPr>
        <w:t xml:space="preserve">One way to address LGBTQ inclusive career services is through </w:t>
      </w:r>
      <w:r w:rsidR="00AA121F">
        <w:rPr>
          <w:rFonts w:ascii="Arial" w:hAnsi="Arial" w:cs="Arial"/>
        </w:rPr>
        <w:t xml:space="preserve">planning and </w:t>
      </w:r>
      <w:r>
        <w:rPr>
          <w:rFonts w:ascii="Arial" w:hAnsi="Arial" w:cs="Arial"/>
        </w:rPr>
        <w:t xml:space="preserve">creating career fairs that are specifically targeted towards LGBTQ youth. </w:t>
      </w:r>
      <w:r w:rsidR="00B46ECE">
        <w:rPr>
          <w:rFonts w:ascii="Arial" w:hAnsi="Arial" w:cs="Arial"/>
        </w:rPr>
        <w:t>Several organizations</w:t>
      </w:r>
      <w:r>
        <w:rPr>
          <w:rFonts w:ascii="Arial" w:hAnsi="Arial" w:cs="Arial"/>
        </w:rPr>
        <w:t xml:space="preserve"> offer LGBTQ specific career and college fairs</w:t>
      </w:r>
      <w:r w:rsidR="00B46ECE">
        <w:rPr>
          <w:rFonts w:ascii="Arial" w:hAnsi="Arial" w:cs="Arial"/>
        </w:rPr>
        <w:t>, but these are few in number and spread throughout the country</w:t>
      </w:r>
      <w:r>
        <w:rPr>
          <w:rFonts w:ascii="Arial" w:hAnsi="Arial" w:cs="Arial"/>
        </w:rPr>
        <w:t>.</w:t>
      </w:r>
      <w:r w:rsidR="0018546E">
        <w:rPr>
          <w:rStyle w:val="EndnoteReference"/>
          <w:rFonts w:ascii="Arial" w:hAnsi="Arial" w:cs="Arial"/>
        </w:rPr>
        <w:endnoteReference w:id="242"/>
      </w:r>
      <w:r>
        <w:rPr>
          <w:rFonts w:ascii="Arial" w:hAnsi="Arial" w:cs="Arial"/>
        </w:rPr>
        <w:t xml:space="preserve"> The support of DCS in establishing an LGBTQ youth</w:t>
      </w:r>
      <w:r w:rsidR="00B46ECE">
        <w:rPr>
          <w:rFonts w:ascii="Arial" w:hAnsi="Arial" w:cs="Arial"/>
        </w:rPr>
        <w:t>-</w:t>
      </w:r>
      <w:r>
        <w:rPr>
          <w:rFonts w:ascii="Arial" w:hAnsi="Arial" w:cs="Arial"/>
        </w:rPr>
        <w:t xml:space="preserve">focused career fair </w:t>
      </w:r>
      <w:r w:rsidR="00B46ECE">
        <w:rPr>
          <w:rFonts w:ascii="Arial" w:hAnsi="Arial" w:cs="Arial"/>
        </w:rPr>
        <w:t>might</w:t>
      </w:r>
      <w:r>
        <w:rPr>
          <w:rFonts w:ascii="Arial" w:hAnsi="Arial" w:cs="Arial"/>
        </w:rPr>
        <w:t xml:space="preserve"> provide inclusive career options for many Massachusetts youth in need</w:t>
      </w:r>
      <w:r w:rsidR="00B46ECE">
        <w:rPr>
          <w:rFonts w:ascii="Arial" w:hAnsi="Arial" w:cs="Arial"/>
        </w:rPr>
        <w:t xml:space="preserve"> of them</w:t>
      </w:r>
      <w:r>
        <w:rPr>
          <w:rFonts w:ascii="Arial" w:hAnsi="Arial" w:cs="Arial"/>
        </w:rPr>
        <w:t xml:space="preserve">. </w:t>
      </w:r>
    </w:p>
    <w:p w14:paraId="0267AC97" w14:textId="77777777" w:rsidR="00A210E3" w:rsidRPr="00961938" w:rsidRDefault="00A210E3" w:rsidP="00961938">
      <w:pPr>
        <w:spacing w:after="0"/>
        <w:jc w:val="center"/>
        <w:rPr>
          <w:rFonts w:ascii="Arial" w:hAnsi="Arial" w:cs="Arial"/>
          <w:b/>
          <w:u w:val="single"/>
        </w:rPr>
      </w:pPr>
      <w:r w:rsidRPr="00961938">
        <w:rPr>
          <w:rFonts w:ascii="Arial" w:hAnsi="Arial" w:cs="Arial"/>
          <w:b/>
          <w:u w:val="single"/>
        </w:rPr>
        <w:lastRenderedPageBreak/>
        <w:t>EXPANDED RECOMMENDATIONS</w:t>
      </w:r>
    </w:p>
    <w:p w14:paraId="5E54DEDE" w14:textId="77777777" w:rsidR="00A210E3" w:rsidRPr="00370452" w:rsidRDefault="00A210E3" w:rsidP="00A210E3">
      <w:pPr>
        <w:spacing w:after="0"/>
        <w:jc w:val="both"/>
        <w:rPr>
          <w:rFonts w:ascii="Arial" w:hAnsi="Arial" w:cs="Arial"/>
        </w:rPr>
      </w:pPr>
    </w:p>
    <w:p w14:paraId="78F6C576" w14:textId="77777777" w:rsidR="00370452" w:rsidRPr="00961938" w:rsidRDefault="00370452" w:rsidP="00C84E4E">
      <w:pPr>
        <w:numPr>
          <w:ilvl w:val="0"/>
          <w:numId w:val="30"/>
        </w:numPr>
        <w:spacing w:after="0" w:line="240" w:lineRule="auto"/>
        <w:contextualSpacing/>
        <w:jc w:val="both"/>
        <w:rPr>
          <w:rFonts w:ascii="Arial" w:eastAsia="Times New Roman" w:hAnsi="Arial" w:cs="Arial"/>
          <w:b/>
          <w:color w:val="365F91" w:themeColor="accent1" w:themeShade="BF"/>
        </w:rPr>
      </w:pPr>
      <w:r w:rsidRPr="00961938">
        <w:rPr>
          <w:rFonts w:ascii="Arial" w:eastAsia="Times New Roman" w:hAnsi="Arial" w:cs="Arial"/>
          <w:b/>
          <w:color w:val="365F91" w:themeColor="accent1" w:themeShade="BF"/>
          <w:shd w:val="clear" w:color="auto" w:fill="FFFFFF"/>
        </w:rPr>
        <w:t>Continue to partner with the Commission and social service providers to offer career readiness resources for LGBTQ youth who face barriers to employment, such as career fairs targeting LGBTQ youth around the Commonwealth.</w:t>
      </w:r>
    </w:p>
    <w:p w14:paraId="2E023668" w14:textId="77777777" w:rsidR="00370452" w:rsidRPr="00370452" w:rsidRDefault="00370452" w:rsidP="00370452">
      <w:pPr>
        <w:spacing w:after="0" w:line="240" w:lineRule="auto"/>
        <w:contextualSpacing/>
        <w:rPr>
          <w:rFonts w:ascii="Arial" w:eastAsia="Times New Roman" w:hAnsi="Arial" w:cs="Arial"/>
        </w:rPr>
      </w:pPr>
    </w:p>
    <w:p w14:paraId="25EDF50C" w14:textId="77777777" w:rsidR="00BA7E86" w:rsidRDefault="00370452" w:rsidP="00983FF1">
      <w:pPr>
        <w:spacing w:after="0"/>
        <w:contextualSpacing/>
        <w:jc w:val="both"/>
        <w:rPr>
          <w:rFonts w:ascii="Arial" w:eastAsia="Times New Roman" w:hAnsi="Arial" w:cs="Arial"/>
        </w:rPr>
      </w:pPr>
      <w:r>
        <w:rPr>
          <w:rFonts w:ascii="Arial" w:eastAsia="Times New Roman" w:hAnsi="Arial" w:cs="Arial"/>
        </w:rPr>
        <w:t>The Commission</w:t>
      </w:r>
      <w:r w:rsidRPr="00370452">
        <w:rPr>
          <w:rFonts w:ascii="Arial" w:eastAsia="Times New Roman" w:hAnsi="Arial" w:cs="Arial"/>
        </w:rPr>
        <w:t xml:space="preserve"> encourage</w:t>
      </w:r>
      <w:r>
        <w:rPr>
          <w:rFonts w:ascii="Arial" w:eastAsia="Times New Roman" w:hAnsi="Arial" w:cs="Arial"/>
        </w:rPr>
        <w:t>s</w:t>
      </w:r>
      <w:r w:rsidRPr="00370452">
        <w:rPr>
          <w:rFonts w:ascii="Arial" w:eastAsia="Times New Roman" w:hAnsi="Arial" w:cs="Arial"/>
        </w:rPr>
        <w:t xml:space="preserve"> DCS to </w:t>
      </w:r>
      <w:r>
        <w:rPr>
          <w:rFonts w:ascii="Arial" w:eastAsia="Times New Roman" w:hAnsi="Arial" w:cs="Arial"/>
        </w:rPr>
        <w:t xml:space="preserve">continue expanding its </w:t>
      </w:r>
      <w:r w:rsidRPr="00370452">
        <w:rPr>
          <w:rFonts w:ascii="Arial" w:eastAsia="Times New Roman" w:hAnsi="Arial" w:cs="Arial"/>
        </w:rPr>
        <w:t>partner</w:t>
      </w:r>
      <w:r>
        <w:rPr>
          <w:rFonts w:ascii="Arial" w:eastAsia="Times New Roman" w:hAnsi="Arial" w:cs="Arial"/>
        </w:rPr>
        <w:t>ships</w:t>
      </w:r>
      <w:r w:rsidRPr="00370452">
        <w:rPr>
          <w:rFonts w:ascii="Arial" w:eastAsia="Times New Roman" w:hAnsi="Arial" w:cs="Arial"/>
        </w:rPr>
        <w:t xml:space="preserve"> with social service providers, local businesses, and other state agencies to offer resources aimed at addressing the career readiness needs of LGBTQ young people. The Commission is eager to collaborate with DCS to host a</w:t>
      </w:r>
      <w:r w:rsidR="00BA7E86">
        <w:rPr>
          <w:rFonts w:ascii="Arial" w:eastAsia="Times New Roman" w:hAnsi="Arial" w:cs="Arial"/>
        </w:rPr>
        <w:t xml:space="preserve"> career fair aimed at</w:t>
      </w:r>
      <w:r w:rsidRPr="00370452">
        <w:rPr>
          <w:rFonts w:ascii="Arial" w:eastAsia="Times New Roman" w:hAnsi="Arial" w:cs="Arial"/>
        </w:rPr>
        <w:t xml:space="preserve"> LGBTQ </w:t>
      </w:r>
      <w:r w:rsidR="00BA7E86">
        <w:rPr>
          <w:rFonts w:ascii="Arial" w:eastAsia="Times New Roman" w:hAnsi="Arial" w:cs="Arial"/>
        </w:rPr>
        <w:t>youth</w:t>
      </w:r>
      <w:r w:rsidRPr="00370452">
        <w:rPr>
          <w:rFonts w:ascii="Arial" w:eastAsia="Times New Roman" w:hAnsi="Arial" w:cs="Arial"/>
        </w:rPr>
        <w:t xml:space="preserve"> in order to link LGBTQ young people with employment opportunities and career development resources. Coordination with other youth-serving state agencies would maximize the impact of such an event for LGBTQ young people. </w:t>
      </w:r>
    </w:p>
    <w:p w14:paraId="34DE88DA" w14:textId="77777777" w:rsidR="00BA7E86" w:rsidRDefault="00BA7E86" w:rsidP="00983FF1">
      <w:pPr>
        <w:spacing w:after="0"/>
        <w:contextualSpacing/>
        <w:jc w:val="both"/>
        <w:rPr>
          <w:rFonts w:ascii="Arial" w:eastAsia="Times New Roman" w:hAnsi="Arial" w:cs="Arial"/>
        </w:rPr>
      </w:pPr>
    </w:p>
    <w:p w14:paraId="5834F593" w14:textId="77777777" w:rsidR="00BA7E86" w:rsidRDefault="00370452" w:rsidP="00983FF1">
      <w:pPr>
        <w:spacing w:after="0"/>
        <w:contextualSpacing/>
        <w:jc w:val="both"/>
        <w:rPr>
          <w:rFonts w:ascii="Arial" w:eastAsia="Times New Roman" w:hAnsi="Arial" w:cs="Arial"/>
        </w:rPr>
      </w:pPr>
      <w:r>
        <w:rPr>
          <w:rFonts w:ascii="Arial" w:eastAsia="Times New Roman" w:hAnsi="Arial" w:cs="Arial"/>
        </w:rPr>
        <w:t>The Commission also</w:t>
      </w:r>
      <w:r w:rsidRPr="00370452">
        <w:rPr>
          <w:rFonts w:ascii="Arial" w:eastAsia="Times New Roman" w:hAnsi="Arial" w:cs="Arial"/>
        </w:rPr>
        <w:t xml:space="preserve"> recommend</w:t>
      </w:r>
      <w:r>
        <w:rPr>
          <w:rFonts w:ascii="Arial" w:eastAsia="Times New Roman" w:hAnsi="Arial" w:cs="Arial"/>
        </w:rPr>
        <w:t>s</w:t>
      </w:r>
      <w:r w:rsidRPr="00370452">
        <w:rPr>
          <w:rFonts w:ascii="Arial" w:eastAsia="Times New Roman" w:hAnsi="Arial" w:cs="Arial"/>
        </w:rPr>
        <w:t xml:space="preserve"> that DCS make LGBTQ resource lists available to youth-serving career centers to ensure that program staff are able to make appropriate referrals to LGBTQ-affirming services. The New York State Department of Labor has been active in partnering with LGBTQ youth homeless shelters and other providers to improve access to employment opportunities for LGBTQ youth, and </w:t>
      </w:r>
      <w:r w:rsidR="002D194E">
        <w:rPr>
          <w:rFonts w:ascii="Arial" w:eastAsia="Times New Roman" w:hAnsi="Arial" w:cs="Arial"/>
        </w:rPr>
        <w:t>the Commission</w:t>
      </w:r>
      <w:r w:rsidRPr="00370452">
        <w:rPr>
          <w:rFonts w:ascii="Arial" w:eastAsia="Times New Roman" w:hAnsi="Arial" w:cs="Arial"/>
        </w:rPr>
        <w:t xml:space="preserve"> encourage</w:t>
      </w:r>
      <w:r w:rsidR="002D194E">
        <w:rPr>
          <w:rFonts w:ascii="Arial" w:eastAsia="Times New Roman" w:hAnsi="Arial" w:cs="Arial"/>
        </w:rPr>
        <w:t>s</w:t>
      </w:r>
      <w:r w:rsidRPr="00370452">
        <w:rPr>
          <w:rFonts w:ascii="Arial" w:eastAsia="Times New Roman" w:hAnsi="Arial" w:cs="Arial"/>
        </w:rPr>
        <w:t xml:space="preserve"> DCS to rely on New York State as a model.</w:t>
      </w:r>
      <w:r w:rsidRPr="00370452">
        <w:rPr>
          <w:rStyle w:val="EndnoteReference"/>
          <w:rFonts w:ascii="Arial" w:eastAsia="Times New Roman" w:hAnsi="Arial" w:cs="Arial"/>
        </w:rPr>
        <w:endnoteReference w:id="243"/>
      </w:r>
      <w:r>
        <w:rPr>
          <w:rFonts w:ascii="Arial" w:eastAsia="Times New Roman" w:hAnsi="Arial" w:cs="Arial"/>
        </w:rPr>
        <w:t xml:space="preserve"> </w:t>
      </w:r>
    </w:p>
    <w:p w14:paraId="02BDF534" w14:textId="77777777" w:rsidR="00BA7E86" w:rsidRDefault="00BA7E86" w:rsidP="00983FF1">
      <w:pPr>
        <w:spacing w:after="0"/>
        <w:contextualSpacing/>
        <w:jc w:val="both"/>
        <w:rPr>
          <w:rFonts w:ascii="Arial" w:eastAsia="Times New Roman" w:hAnsi="Arial" w:cs="Arial"/>
        </w:rPr>
      </w:pPr>
    </w:p>
    <w:p w14:paraId="4C74757A" w14:textId="77777777" w:rsidR="00370452" w:rsidRPr="00370452" w:rsidRDefault="00BA7E86" w:rsidP="00983FF1">
      <w:pPr>
        <w:spacing w:after="0"/>
        <w:contextualSpacing/>
        <w:jc w:val="both"/>
        <w:rPr>
          <w:rFonts w:ascii="Arial" w:eastAsia="Times New Roman" w:hAnsi="Arial" w:cs="Arial"/>
        </w:rPr>
      </w:pPr>
      <w:r>
        <w:rPr>
          <w:rFonts w:ascii="Arial" w:eastAsia="Times New Roman" w:hAnsi="Arial" w:cs="Arial"/>
        </w:rPr>
        <w:t>Finally, t</w:t>
      </w:r>
      <w:r w:rsidR="00370452">
        <w:rPr>
          <w:rFonts w:ascii="Arial" w:eastAsia="Times New Roman" w:hAnsi="Arial" w:cs="Arial"/>
        </w:rPr>
        <w:t xml:space="preserve">he Commission thanks DCS for sharing with </w:t>
      </w:r>
      <w:r w:rsidR="00370452" w:rsidRPr="00962711">
        <w:rPr>
          <w:rFonts w:ascii="Arial" w:eastAsia="Times New Roman" w:hAnsi="Arial" w:cs="Arial"/>
        </w:rPr>
        <w:t>its</w:t>
      </w:r>
      <w:r w:rsidR="00370452">
        <w:rPr>
          <w:rFonts w:ascii="Arial" w:eastAsia="Times New Roman" w:hAnsi="Arial" w:cs="Arial"/>
        </w:rPr>
        <w:t xml:space="preserve"> staff the guidance the Commission issued in recognizing gender identity diversity in state workplaces, and believes that such practices can also improve the inclusiveness of services provided by DCS to LGBTQ youth.</w:t>
      </w:r>
    </w:p>
    <w:p w14:paraId="2ACB9BE5" w14:textId="77777777" w:rsidR="00370452" w:rsidRPr="00370452" w:rsidRDefault="00370452" w:rsidP="00370452">
      <w:pPr>
        <w:spacing w:after="0" w:line="240" w:lineRule="auto"/>
        <w:contextualSpacing/>
        <w:rPr>
          <w:rFonts w:ascii="Arial" w:eastAsia="Times New Roman" w:hAnsi="Arial" w:cs="Arial"/>
        </w:rPr>
      </w:pPr>
    </w:p>
    <w:p w14:paraId="6028711D" w14:textId="77777777" w:rsidR="00370452" w:rsidRPr="00961938" w:rsidRDefault="00370452" w:rsidP="00C84E4E">
      <w:pPr>
        <w:numPr>
          <w:ilvl w:val="0"/>
          <w:numId w:val="30"/>
        </w:numPr>
        <w:spacing w:after="0" w:line="240" w:lineRule="auto"/>
        <w:contextualSpacing/>
        <w:jc w:val="both"/>
        <w:rPr>
          <w:rFonts w:ascii="Arial" w:eastAsia="Times New Roman" w:hAnsi="Arial" w:cs="Arial"/>
          <w:b/>
          <w:color w:val="365F91" w:themeColor="accent1" w:themeShade="BF"/>
        </w:rPr>
      </w:pPr>
      <w:r w:rsidRPr="00961938">
        <w:rPr>
          <w:rFonts w:ascii="Arial" w:eastAsia="Times New Roman" w:hAnsi="Arial" w:cs="Arial"/>
          <w:b/>
          <w:color w:val="365F91" w:themeColor="accent1" w:themeShade="BF"/>
          <w:shd w:val="clear" w:color="auto" w:fill="FFFFFF"/>
        </w:rPr>
        <w:t>Create and distribute model intake forms for DCS programs in line with best practices on LGBTQ data collection.</w:t>
      </w:r>
    </w:p>
    <w:p w14:paraId="0A8845F9" w14:textId="77777777" w:rsidR="00A210E3" w:rsidRPr="00370452" w:rsidRDefault="00A210E3" w:rsidP="00A210E3">
      <w:pPr>
        <w:spacing w:after="0"/>
        <w:jc w:val="both"/>
        <w:rPr>
          <w:rFonts w:ascii="Arial" w:hAnsi="Arial" w:cs="Arial"/>
        </w:rPr>
      </w:pPr>
    </w:p>
    <w:p w14:paraId="28F10C2B" w14:textId="1E11DBB4" w:rsidR="00370452" w:rsidRPr="00370452" w:rsidRDefault="00370452" w:rsidP="00370452">
      <w:pPr>
        <w:spacing w:after="0"/>
        <w:jc w:val="both"/>
        <w:rPr>
          <w:rFonts w:ascii="Arial" w:hAnsi="Arial" w:cs="Arial"/>
        </w:rPr>
      </w:pPr>
      <w:r w:rsidRPr="00370452">
        <w:rPr>
          <w:rFonts w:ascii="Arial" w:hAnsi="Arial" w:cs="Arial"/>
        </w:rPr>
        <w:t xml:space="preserve">Ensuring that young people feel that their identities are accurately reflected on paper is an important aspect of creating a welcoming environment. </w:t>
      </w:r>
      <w:r w:rsidR="002D194E">
        <w:rPr>
          <w:rFonts w:ascii="Arial" w:hAnsi="Arial" w:cs="Arial"/>
        </w:rPr>
        <w:t>The Commission</w:t>
      </w:r>
      <w:r w:rsidRPr="00370452">
        <w:rPr>
          <w:rFonts w:ascii="Arial" w:hAnsi="Arial" w:cs="Arial"/>
        </w:rPr>
        <w:t xml:space="preserve"> recommend</w:t>
      </w:r>
      <w:r w:rsidR="002D194E">
        <w:rPr>
          <w:rFonts w:ascii="Arial" w:hAnsi="Arial" w:cs="Arial"/>
        </w:rPr>
        <w:t>s</w:t>
      </w:r>
      <w:r w:rsidRPr="00370452">
        <w:rPr>
          <w:rFonts w:ascii="Arial" w:hAnsi="Arial" w:cs="Arial"/>
        </w:rPr>
        <w:t xml:space="preserve"> that DCS provide a model for program intake forms that include response op</w:t>
      </w:r>
      <w:r>
        <w:rPr>
          <w:rFonts w:ascii="Arial" w:hAnsi="Arial" w:cs="Arial"/>
        </w:rPr>
        <w:t>tions beyond “male” and “female,</w:t>
      </w:r>
      <w:r w:rsidRPr="00370452">
        <w:rPr>
          <w:rFonts w:ascii="Arial" w:hAnsi="Arial" w:cs="Arial"/>
        </w:rPr>
        <w:t>”</w:t>
      </w:r>
      <w:r>
        <w:rPr>
          <w:rFonts w:ascii="Arial" w:hAnsi="Arial" w:cs="Arial"/>
        </w:rPr>
        <w:t xml:space="preserve"> a step that is particularly salient now that public school students can elect</w:t>
      </w:r>
      <w:r w:rsidR="00AB41C1">
        <w:rPr>
          <w:rFonts w:ascii="Arial" w:hAnsi="Arial" w:cs="Arial"/>
        </w:rPr>
        <w:t xml:space="preserve"> to use</w:t>
      </w:r>
      <w:r>
        <w:rPr>
          <w:rFonts w:ascii="Arial" w:hAnsi="Arial" w:cs="Arial"/>
        </w:rPr>
        <w:t xml:space="preserve"> a nonbinary gender marker</w:t>
      </w:r>
      <w:r w:rsidR="00DC0294">
        <w:rPr>
          <w:rFonts w:ascii="Arial" w:hAnsi="Arial" w:cs="Arial"/>
        </w:rPr>
        <w:t xml:space="preserve">, and </w:t>
      </w:r>
      <w:r>
        <w:rPr>
          <w:rFonts w:ascii="Arial" w:hAnsi="Arial" w:cs="Arial"/>
        </w:rPr>
        <w:t xml:space="preserve">that the RMV is </w:t>
      </w:r>
      <w:r w:rsidR="00E730EF">
        <w:rPr>
          <w:rFonts w:ascii="Arial" w:hAnsi="Arial" w:cs="Arial"/>
        </w:rPr>
        <w:t xml:space="preserve">also </w:t>
      </w:r>
      <w:r>
        <w:rPr>
          <w:rFonts w:ascii="Arial" w:hAnsi="Arial" w:cs="Arial"/>
        </w:rPr>
        <w:t>approaching readiness to offer</w:t>
      </w:r>
      <w:r w:rsidR="00DC0294">
        <w:rPr>
          <w:rFonts w:ascii="Arial" w:hAnsi="Arial" w:cs="Arial"/>
        </w:rPr>
        <w:t xml:space="preserve"> such an option</w:t>
      </w:r>
      <w:r w:rsidR="00E730EF">
        <w:rPr>
          <w:rFonts w:ascii="Arial" w:hAnsi="Arial" w:cs="Arial"/>
        </w:rPr>
        <w:t xml:space="preserve">. </w:t>
      </w:r>
      <w:r>
        <w:rPr>
          <w:rFonts w:ascii="Arial" w:hAnsi="Arial" w:cs="Arial"/>
        </w:rPr>
        <w:t>The Commission</w:t>
      </w:r>
      <w:r w:rsidRPr="00370452">
        <w:rPr>
          <w:rFonts w:ascii="Arial" w:hAnsi="Arial" w:cs="Arial"/>
        </w:rPr>
        <w:t xml:space="preserve"> also suggest</w:t>
      </w:r>
      <w:r>
        <w:rPr>
          <w:rFonts w:ascii="Arial" w:hAnsi="Arial" w:cs="Arial"/>
        </w:rPr>
        <w:t>s</w:t>
      </w:r>
      <w:r w:rsidRPr="00370452">
        <w:rPr>
          <w:rFonts w:ascii="Arial" w:hAnsi="Arial" w:cs="Arial"/>
        </w:rPr>
        <w:t xml:space="preserve"> that DCS explore whether there are ways to collect optional demographic information related to sexual orientation and gender identity from youth clients in order to better assess the employment needs of LGBTQ youth and how existing services are meeting them.</w:t>
      </w:r>
    </w:p>
    <w:p w14:paraId="426C95A1" w14:textId="77777777" w:rsidR="00370452" w:rsidRPr="00370452" w:rsidRDefault="00370452" w:rsidP="00370452">
      <w:pPr>
        <w:spacing w:after="0"/>
        <w:jc w:val="both"/>
        <w:rPr>
          <w:rFonts w:ascii="Arial" w:hAnsi="Arial" w:cs="Arial"/>
        </w:rPr>
      </w:pPr>
      <w:r w:rsidRPr="00370452">
        <w:rPr>
          <w:rFonts w:ascii="Arial" w:hAnsi="Arial" w:cs="Arial"/>
        </w:rPr>
        <w:t xml:space="preserve"> </w:t>
      </w:r>
    </w:p>
    <w:p w14:paraId="5AB50A51" w14:textId="77777777" w:rsidR="002156C7" w:rsidRPr="00370452" w:rsidRDefault="002156C7" w:rsidP="00A210E3">
      <w:pPr>
        <w:spacing w:after="0"/>
        <w:jc w:val="both"/>
        <w:rPr>
          <w:rFonts w:ascii="Arial" w:hAnsi="Arial" w:cs="Arial"/>
        </w:rPr>
      </w:pPr>
    </w:p>
    <w:p w14:paraId="6E59B48B" w14:textId="77777777" w:rsidR="00A07650" w:rsidRPr="00370452" w:rsidRDefault="00A07650">
      <w:pPr>
        <w:rPr>
          <w:rFonts w:ascii="Arial" w:hAnsi="Arial" w:cs="Arial"/>
          <w:b/>
        </w:rPr>
      </w:pPr>
      <w:r w:rsidRPr="00370452">
        <w:rPr>
          <w:rFonts w:ascii="Arial" w:hAnsi="Arial" w:cs="Arial"/>
          <w:b/>
        </w:rPr>
        <w:br w:type="page"/>
      </w:r>
    </w:p>
    <w:p w14:paraId="027020A7" w14:textId="77777777" w:rsidR="002156C7" w:rsidRPr="00A07650" w:rsidRDefault="00961938" w:rsidP="00E45684">
      <w:pPr>
        <w:pStyle w:val="Heading1"/>
      </w:pPr>
      <w:bookmarkStart w:id="49" w:name="_Toc512947927"/>
      <w:r>
        <w:rPr>
          <w:noProof/>
        </w:rPr>
        <w:lastRenderedPageBreak/>
        <w:drawing>
          <wp:anchor distT="0" distB="0" distL="114300" distR="114300" simplePos="0" relativeHeight="251795456" behindDoc="1" locked="0" layoutInCell="0" allowOverlap="1" wp14:anchorId="7F43A608" wp14:editId="61458826">
            <wp:simplePos x="0" y="0"/>
            <wp:positionH relativeFrom="column">
              <wp:posOffset>-5080</wp:posOffset>
            </wp:positionH>
            <wp:positionV relativeFrom="paragraph">
              <wp:posOffset>264795</wp:posOffset>
            </wp:positionV>
            <wp:extent cx="5980430" cy="27305"/>
            <wp:effectExtent l="0" t="0" r="1270" b="0"/>
            <wp:wrapNone/>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80430" cy="27305"/>
                    </a:xfrm>
                    <a:prstGeom prst="rect">
                      <a:avLst/>
                    </a:prstGeom>
                    <a:noFill/>
                  </pic:spPr>
                </pic:pic>
              </a:graphicData>
            </a:graphic>
          </wp:anchor>
        </w:drawing>
      </w:r>
      <w:r w:rsidR="00A07650">
        <w:t xml:space="preserve">Appendix A: </w:t>
      </w:r>
      <w:r w:rsidR="002156C7" w:rsidRPr="00A07650">
        <w:t>G</w:t>
      </w:r>
      <w:r w:rsidR="00A07650">
        <w:t>lossary of Terms</w:t>
      </w:r>
      <w:bookmarkEnd w:id="49"/>
    </w:p>
    <w:p w14:paraId="22A1465D" w14:textId="77777777" w:rsidR="002156C7" w:rsidRPr="00A07650" w:rsidRDefault="002156C7" w:rsidP="002156C7">
      <w:pPr>
        <w:spacing w:after="0"/>
        <w:jc w:val="both"/>
        <w:rPr>
          <w:rFonts w:ascii="Arial" w:hAnsi="Arial" w:cs="Arial"/>
          <w:sz w:val="28"/>
          <w:szCs w:val="28"/>
        </w:rPr>
      </w:pPr>
    </w:p>
    <w:p w14:paraId="20153143" w14:textId="77777777" w:rsidR="002156C7" w:rsidRPr="002156C7" w:rsidRDefault="002156C7" w:rsidP="002156C7">
      <w:pPr>
        <w:spacing w:after="0"/>
        <w:jc w:val="both"/>
        <w:rPr>
          <w:rFonts w:ascii="Arial" w:hAnsi="Arial" w:cs="Arial"/>
        </w:rPr>
      </w:pPr>
      <w:r w:rsidRPr="002156C7">
        <w:rPr>
          <w:rFonts w:ascii="Arial" w:hAnsi="Arial" w:cs="Arial"/>
          <w:b/>
        </w:rPr>
        <w:t>Assigned sex:</w:t>
      </w:r>
      <w:r w:rsidRPr="002156C7">
        <w:rPr>
          <w:rFonts w:ascii="Arial" w:hAnsi="Arial" w:cs="Arial"/>
        </w:rPr>
        <w:t xml:space="preserve"> the sex (</w:t>
      </w:r>
      <w:r w:rsidR="00BA7E86">
        <w:rPr>
          <w:rFonts w:ascii="Arial" w:hAnsi="Arial" w:cs="Arial"/>
        </w:rPr>
        <w:t>e.g. “</w:t>
      </w:r>
      <w:r w:rsidRPr="002156C7">
        <w:rPr>
          <w:rFonts w:ascii="Arial" w:hAnsi="Arial" w:cs="Arial"/>
        </w:rPr>
        <w:t>male</w:t>
      </w:r>
      <w:r w:rsidR="00BA7E86">
        <w:rPr>
          <w:rFonts w:ascii="Arial" w:hAnsi="Arial" w:cs="Arial"/>
        </w:rPr>
        <w:t>”</w:t>
      </w:r>
      <w:r w:rsidRPr="002156C7">
        <w:rPr>
          <w:rFonts w:ascii="Arial" w:hAnsi="Arial" w:cs="Arial"/>
        </w:rPr>
        <w:t xml:space="preserve"> or </w:t>
      </w:r>
      <w:r w:rsidR="00BA7E86">
        <w:rPr>
          <w:rFonts w:ascii="Arial" w:hAnsi="Arial" w:cs="Arial"/>
        </w:rPr>
        <w:t>“</w:t>
      </w:r>
      <w:r w:rsidRPr="002156C7">
        <w:rPr>
          <w:rFonts w:ascii="Arial" w:hAnsi="Arial" w:cs="Arial"/>
        </w:rPr>
        <w:t>female</w:t>
      </w:r>
      <w:r w:rsidR="00BA7E86">
        <w:rPr>
          <w:rFonts w:ascii="Arial" w:hAnsi="Arial" w:cs="Arial"/>
        </w:rPr>
        <w:t>”</w:t>
      </w:r>
      <w:r w:rsidRPr="002156C7">
        <w:rPr>
          <w:rFonts w:ascii="Arial" w:hAnsi="Arial" w:cs="Arial"/>
        </w:rPr>
        <w:t>) that is noted on an individual's birt</w:t>
      </w:r>
      <w:r w:rsidR="00BA7E86">
        <w:rPr>
          <w:rFonts w:ascii="Arial" w:hAnsi="Arial" w:cs="Arial"/>
        </w:rPr>
        <w:t>h certificate issued at birth. This is a</w:t>
      </w:r>
      <w:r w:rsidRPr="002156C7">
        <w:rPr>
          <w:rFonts w:ascii="Arial" w:hAnsi="Arial" w:cs="Arial"/>
        </w:rPr>
        <w:t xml:space="preserve">lso referred to as sex assigned at birth, birth sex, and/or sex recorded at birth. </w:t>
      </w:r>
      <w:r w:rsidR="00BA7E86">
        <w:rPr>
          <w:rFonts w:ascii="Arial" w:hAnsi="Arial" w:cs="Arial"/>
        </w:rPr>
        <w:t xml:space="preserve">Some individuals may opt to change the sex assigned to them on their birth certificate to better reflect their gender identity. </w:t>
      </w:r>
    </w:p>
    <w:p w14:paraId="680F88CA" w14:textId="77777777" w:rsidR="002156C7" w:rsidRPr="002156C7" w:rsidRDefault="002156C7" w:rsidP="002156C7">
      <w:pPr>
        <w:spacing w:after="0"/>
        <w:jc w:val="both"/>
        <w:rPr>
          <w:rFonts w:ascii="Arial" w:hAnsi="Arial" w:cs="Arial"/>
        </w:rPr>
      </w:pPr>
    </w:p>
    <w:p w14:paraId="36FFA917" w14:textId="0DB38FBA" w:rsidR="002156C7" w:rsidRPr="002156C7" w:rsidRDefault="002156C7" w:rsidP="002156C7">
      <w:pPr>
        <w:spacing w:after="0"/>
        <w:jc w:val="both"/>
        <w:rPr>
          <w:rFonts w:ascii="Arial" w:hAnsi="Arial" w:cs="Arial"/>
        </w:rPr>
      </w:pPr>
      <w:r w:rsidRPr="002156C7">
        <w:rPr>
          <w:rFonts w:ascii="Arial" w:hAnsi="Arial" w:cs="Arial"/>
          <w:b/>
        </w:rPr>
        <w:t>Bisexual:</w:t>
      </w:r>
      <w:r w:rsidRPr="002156C7">
        <w:rPr>
          <w:rFonts w:ascii="Arial" w:hAnsi="Arial" w:cs="Arial"/>
        </w:rPr>
        <w:t xml:space="preserve"> a person who identifies as having an emotional, sexual, spiritual, and/or relational attraction to people of their same or differ</w:t>
      </w:r>
      <w:r w:rsidR="00BA7E86">
        <w:rPr>
          <w:rFonts w:ascii="Arial" w:hAnsi="Arial" w:cs="Arial"/>
        </w:rPr>
        <w:t>ent gender.</w:t>
      </w:r>
    </w:p>
    <w:p w14:paraId="0906ACED" w14:textId="77777777" w:rsidR="002156C7" w:rsidRPr="002156C7" w:rsidRDefault="002156C7" w:rsidP="002156C7">
      <w:pPr>
        <w:spacing w:after="0"/>
        <w:jc w:val="both"/>
        <w:rPr>
          <w:rFonts w:ascii="Arial" w:hAnsi="Arial" w:cs="Arial"/>
        </w:rPr>
      </w:pPr>
    </w:p>
    <w:p w14:paraId="6024C435" w14:textId="74520EE7" w:rsidR="002156C7" w:rsidRPr="002156C7" w:rsidRDefault="002156C7" w:rsidP="002156C7">
      <w:pPr>
        <w:spacing w:after="0"/>
        <w:jc w:val="both"/>
        <w:rPr>
          <w:rFonts w:ascii="Arial" w:hAnsi="Arial" w:cs="Arial"/>
        </w:rPr>
      </w:pPr>
      <w:r w:rsidRPr="002156C7">
        <w:rPr>
          <w:rFonts w:ascii="Arial" w:hAnsi="Arial" w:cs="Arial"/>
          <w:b/>
        </w:rPr>
        <w:t>Cisgender:</w:t>
      </w:r>
      <w:r w:rsidRPr="002156C7">
        <w:rPr>
          <w:rFonts w:ascii="Arial" w:hAnsi="Arial" w:cs="Arial"/>
        </w:rPr>
        <w:t xml:space="preserve"> a term used for someone whose gender identity matches their sex assigned at birth</w:t>
      </w:r>
      <w:r w:rsidR="00962711">
        <w:rPr>
          <w:rFonts w:ascii="Arial" w:hAnsi="Arial" w:cs="Arial"/>
        </w:rPr>
        <w:t xml:space="preserve">, i.e. who is not transgender or gender-nonconforming. </w:t>
      </w:r>
    </w:p>
    <w:p w14:paraId="7D88035C" w14:textId="77777777" w:rsidR="002156C7" w:rsidRPr="002156C7" w:rsidRDefault="002156C7" w:rsidP="002156C7">
      <w:pPr>
        <w:spacing w:after="0"/>
        <w:jc w:val="both"/>
        <w:rPr>
          <w:rFonts w:ascii="Arial" w:hAnsi="Arial" w:cs="Arial"/>
        </w:rPr>
      </w:pPr>
    </w:p>
    <w:p w14:paraId="61B85418" w14:textId="7AC013C9" w:rsidR="006E1972" w:rsidRPr="006E1972" w:rsidRDefault="006E1972" w:rsidP="002156C7">
      <w:pPr>
        <w:spacing w:after="0"/>
        <w:jc w:val="both"/>
        <w:rPr>
          <w:rFonts w:ascii="Arial" w:hAnsi="Arial" w:cs="Arial"/>
        </w:rPr>
      </w:pPr>
      <w:r>
        <w:rPr>
          <w:rFonts w:ascii="Arial" w:hAnsi="Arial" w:cs="Arial"/>
          <w:b/>
        </w:rPr>
        <w:t>Conversion therapy:</w:t>
      </w:r>
      <w:r>
        <w:rPr>
          <w:rFonts w:ascii="Arial" w:hAnsi="Arial" w:cs="Arial"/>
        </w:rPr>
        <w:t xml:space="preserve"> a harmful and discredited practice that seeks to change another person’s sexual orientation and/or gender identity.</w:t>
      </w:r>
    </w:p>
    <w:p w14:paraId="777F059E" w14:textId="77777777" w:rsidR="006E1972" w:rsidRDefault="006E1972" w:rsidP="002156C7">
      <w:pPr>
        <w:spacing w:after="0"/>
        <w:jc w:val="both"/>
        <w:rPr>
          <w:rFonts w:ascii="Arial" w:hAnsi="Arial" w:cs="Arial"/>
          <w:b/>
        </w:rPr>
      </w:pPr>
    </w:p>
    <w:p w14:paraId="65F5E604" w14:textId="77777777" w:rsidR="002156C7" w:rsidRPr="002156C7" w:rsidRDefault="002156C7" w:rsidP="002156C7">
      <w:pPr>
        <w:spacing w:after="0"/>
        <w:jc w:val="both"/>
        <w:rPr>
          <w:rFonts w:ascii="Arial" w:hAnsi="Arial" w:cs="Arial"/>
        </w:rPr>
      </w:pPr>
      <w:r w:rsidRPr="002156C7">
        <w:rPr>
          <w:rFonts w:ascii="Arial" w:hAnsi="Arial" w:cs="Arial"/>
          <w:b/>
        </w:rPr>
        <w:t>Coming out:</w:t>
      </w:r>
      <w:r w:rsidRPr="002156C7">
        <w:rPr>
          <w:rFonts w:ascii="Arial" w:hAnsi="Arial" w:cs="Arial"/>
        </w:rPr>
        <w:t xml:space="preserve"> the process of self-disclosing one's sexual orientation </w:t>
      </w:r>
      <w:r w:rsidR="00BA7E86">
        <w:rPr>
          <w:rFonts w:ascii="Arial" w:hAnsi="Arial" w:cs="Arial"/>
        </w:rPr>
        <w:t>and/</w:t>
      </w:r>
      <w:r w:rsidRPr="002156C7">
        <w:rPr>
          <w:rFonts w:ascii="Arial" w:hAnsi="Arial" w:cs="Arial"/>
        </w:rPr>
        <w:t>or gender identity to themselves and other</w:t>
      </w:r>
      <w:r w:rsidR="00BA7E86">
        <w:rPr>
          <w:rFonts w:ascii="Arial" w:hAnsi="Arial" w:cs="Arial"/>
        </w:rPr>
        <w:t>s</w:t>
      </w:r>
      <w:r w:rsidRPr="002156C7">
        <w:rPr>
          <w:rFonts w:ascii="Arial" w:hAnsi="Arial" w:cs="Arial"/>
        </w:rPr>
        <w:t>. Coming out is often a lifelong process, as there may be many different instances a person may choose to come out. It is important that an individual be given the autonomy to choose if they want to come out, how they will come out, and when they will come out, as this choice is often influenced by a sense of safety and/or acceptance.</w:t>
      </w:r>
    </w:p>
    <w:p w14:paraId="25862290" w14:textId="77777777" w:rsidR="002156C7" w:rsidRPr="002156C7" w:rsidRDefault="002156C7" w:rsidP="002156C7">
      <w:pPr>
        <w:spacing w:after="0"/>
        <w:jc w:val="both"/>
        <w:rPr>
          <w:rFonts w:ascii="Arial" w:hAnsi="Arial" w:cs="Arial"/>
        </w:rPr>
      </w:pPr>
    </w:p>
    <w:p w14:paraId="25E8B280" w14:textId="77777777" w:rsidR="002156C7" w:rsidRPr="002156C7" w:rsidRDefault="002156C7" w:rsidP="002156C7">
      <w:pPr>
        <w:spacing w:after="0"/>
        <w:jc w:val="both"/>
        <w:rPr>
          <w:rFonts w:ascii="Arial" w:hAnsi="Arial" w:cs="Arial"/>
        </w:rPr>
      </w:pPr>
      <w:r w:rsidRPr="002156C7">
        <w:rPr>
          <w:rFonts w:ascii="Arial" w:hAnsi="Arial" w:cs="Arial"/>
          <w:b/>
        </w:rPr>
        <w:t>Gay:</w:t>
      </w:r>
      <w:r w:rsidRPr="002156C7">
        <w:rPr>
          <w:rFonts w:ascii="Arial" w:hAnsi="Arial" w:cs="Arial"/>
        </w:rPr>
        <w:t xml:space="preserve"> </w:t>
      </w:r>
      <w:r w:rsidR="00BA7E86">
        <w:rPr>
          <w:rFonts w:ascii="Arial" w:hAnsi="Arial" w:cs="Arial"/>
        </w:rPr>
        <w:t xml:space="preserve">most commonly, </w:t>
      </w:r>
      <w:r w:rsidRPr="002156C7">
        <w:rPr>
          <w:rFonts w:ascii="Arial" w:hAnsi="Arial" w:cs="Arial"/>
        </w:rPr>
        <w:t xml:space="preserve">a man who self-identifies as having an emotional, sexual, spiritual, and/or relational attraction to other men. </w:t>
      </w:r>
      <w:r w:rsidR="00BA7E86">
        <w:rPr>
          <w:rFonts w:ascii="Arial" w:hAnsi="Arial" w:cs="Arial"/>
        </w:rPr>
        <w:t>This term is preferable to “homosexual,”</w:t>
      </w:r>
      <w:r w:rsidRPr="002156C7">
        <w:rPr>
          <w:rFonts w:ascii="Arial" w:hAnsi="Arial" w:cs="Arial"/>
        </w:rPr>
        <w:t xml:space="preserve"> which has clinical overtones that some find offensive. The term gay is sometimes used by women who prefer it to the term lesbian, or as an overarching term to refer to a broad array of sexual orientation identities other than heterosexual.</w:t>
      </w:r>
    </w:p>
    <w:p w14:paraId="6B149736" w14:textId="77777777" w:rsidR="002156C7" w:rsidRPr="002156C7" w:rsidRDefault="002156C7" w:rsidP="002156C7">
      <w:pPr>
        <w:spacing w:after="0"/>
        <w:jc w:val="both"/>
        <w:rPr>
          <w:rFonts w:ascii="Arial" w:hAnsi="Arial" w:cs="Arial"/>
        </w:rPr>
      </w:pPr>
    </w:p>
    <w:p w14:paraId="0FF9F419" w14:textId="6738DF25" w:rsidR="002156C7" w:rsidRPr="002156C7" w:rsidRDefault="002156C7" w:rsidP="002156C7">
      <w:pPr>
        <w:spacing w:after="0"/>
        <w:jc w:val="both"/>
        <w:rPr>
          <w:rFonts w:ascii="Arial" w:hAnsi="Arial" w:cs="Arial"/>
        </w:rPr>
      </w:pPr>
      <w:r w:rsidRPr="002156C7">
        <w:rPr>
          <w:rFonts w:ascii="Arial" w:hAnsi="Arial" w:cs="Arial"/>
          <w:b/>
        </w:rPr>
        <w:t xml:space="preserve">Gender </w:t>
      </w:r>
      <w:r w:rsidR="005F6CF5">
        <w:rPr>
          <w:rFonts w:ascii="Arial" w:hAnsi="Arial" w:cs="Arial"/>
          <w:b/>
        </w:rPr>
        <w:t>i</w:t>
      </w:r>
      <w:r w:rsidRPr="002156C7">
        <w:rPr>
          <w:rFonts w:ascii="Arial" w:hAnsi="Arial" w:cs="Arial"/>
          <w:b/>
        </w:rPr>
        <w:t>dentity:</w:t>
      </w:r>
      <w:r w:rsidRPr="002156C7">
        <w:rPr>
          <w:rFonts w:ascii="Arial" w:hAnsi="Arial" w:cs="Arial"/>
        </w:rPr>
        <w:t xml:space="preserve"> a person's internal and individual experience of gender, whether that be a man, woman, both, neither, or </w:t>
      </w:r>
      <w:r w:rsidR="004A47C9">
        <w:rPr>
          <w:rFonts w:ascii="Arial" w:hAnsi="Arial" w:cs="Arial"/>
        </w:rPr>
        <w:t>an identity</w:t>
      </w:r>
      <w:r w:rsidR="004A47C9" w:rsidRPr="002156C7">
        <w:rPr>
          <w:rFonts w:ascii="Arial" w:hAnsi="Arial" w:cs="Arial"/>
        </w:rPr>
        <w:t xml:space="preserve"> </w:t>
      </w:r>
      <w:r w:rsidRPr="002156C7">
        <w:rPr>
          <w:rFonts w:ascii="Arial" w:hAnsi="Arial" w:cs="Arial"/>
        </w:rPr>
        <w:t>entirely different. Gender identity is separate from sexual orientation.</w:t>
      </w:r>
    </w:p>
    <w:p w14:paraId="031611C4" w14:textId="77777777" w:rsidR="002156C7" w:rsidRPr="002156C7" w:rsidRDefault="002156C7" w:rsidP="002156C7">
      <w:pPr>
        <w:spacing w:after="0"/>
        <w:jc w:val="both"/>
        <w:rPr>
          <w:rFonts w:ascii="Arial" w:hAnsi="Arial" w:cs="Arial"/>
        </w:rPr>
      </w:pPr>
    </w:p>
    <w:p w14:paraId="00B445E7" w14:textId="7A75DA15" w:rsidR="002156C7" w:rsidRPr="002156C7" w:rsidRDefault="002156C7" w:rsidP="002156C7">
      <w:pPr>
        <w:spacing w:after="0"/>
        <w:jc w:val="both"/>
        <w:rPr>
          <w:rFonts w:ascii="Arial" w:hAnsi="Arial" w:cs="Arial"/>
        </w:rPr>
      </w:pPr>
      <w:r w:rsidRPr="002156C7">
        <w:rPr>
          <w:rFonts w:ascii="Arial" w:hAnsi="Arial" w:cs="Arial"/>
          <w:b/>
        </w:rPr>
        <w:t xml:space="preserve">Gender </w:t>
      </w:r>
      <w:r w:rsidR="005F6CF5">
        <w:rPr>
          <w:rFonts w:ascii="Arial" w:hAnsi="Arial" w:cs="Arial"/>
          <w:b/>
        </w:rPr>
        <w:t>e</w:t>
      </w:r>
      <w:r w:rsidRPr="002156C7">
        <w:rPr>
          <w:rFonts w:ascii="Arial" w:hAnsi="Arial" w:cs="Arial"/>
          <w:b/>
        </w:rPr>
        <w:t>xpression:</w:t>
      </w:r>
      <w:r w:rsidRPr="002156C7">
        <w:rPr>
          <w:rFonts w:ascii="Arial" w:hAnsi="Arial" w:cs="Arial"/>
        </w:rPr>
        <w:t xml:space="preserve"> how a person publicly represents or expresses their gender identity to others. Every person has a gender identity, and makes choices </w:t>
      </w:r>
      <w:r w:rsidR="00962711">
        <w:rPr>
          <w:rFonts w:ascii="Arial" w:hAnsi="Arial" w:cs="Arial"/>
        </w:rPr>
        <w:t>on</w:t>
      </w:r>
      <w:r w:rsidRPr="002156C7">
        <w:rPr>
          <w:rFonts w:ascii="Arial" w:hAnsi="Arial" w:cs="Arial"/>
        </w:rPr>
        <w:t xml:space="preserve"> how they express this identity </w:t>
      </w:r>
      <w:r w:rsidR="00962711">
        <w:rPr>
          <w:rFonts w:ascii="Arial" w:hAnsi="Arial" w:cs="Arial"/>
        </w:rPr>
        <w:t>with how</w:t>
      </w:r>
      <w:r w:rsidRPr="002156C7">
        <w:rPr>
          <w:rFonts w:ascii="Arial" w:hAnsi="Arial" w:cs="Arial"/>
        </w:rPr>
        <w:t xml:space="preserve"> they speak or act, wear their hair, </w:t>
      </w:r>
      <w:r w:rsidR="00962711">
        <w:rPr>
          <w:rFonts w:ascii="Arial" w:hAnsi="Arial" w:cs="Arial"/>
        </w:rPr>
        <w:t>dress, and otherwise present themselves to the world</w:t>
      </w:r>
      <w:r w:rsidRPr="002156C7">
        <w:rPr>
          <w:rFonts w:ascii="Arial" w:hAnsi="Arial" w:cs="Arial"/>
        </w:rPr>
        <w:t xml:space="preserve">. A person's gender expression may be different from the gender norms that are generally associated with that person's sex </w:t>
      </w:r>
      <w:r w:rsidR="00750B2F">
        <w:rPr>
          <w:rFonts w:ascii="Arial" w:hAnsi="Arial" w:cs="Arial"/>
        </w:rPr>
        <w:t>assigned at birth.</w:t>
      </w:r>
    </w:p>
    <w:p w14:paraId="1EEA5D27" w14:textId="77777777" w:rsidR="002156C7" w:rsidRPr="002156C7" w:rsidRDefault="002156C7" w:rsidP="002156C7">
      <w:pPr>
        <w:spacing w:after="0"/>
        <w:jc w:val="both"/>
        <w:rPr>
          <w:rFonts w:ascii="Arial" w:hAnsi="Arial" w:cs="Arial"/>
        </w:rPr>
      </w:pPr>
    </w:p>
    <w:p w14:paraId="20046E6A" w14:textId="163C41E1" w:rsidR="002156C7" w:rsidRPr="002156C7" w:rsidRDefault="002156C7" w:rsidP="002156C7">
      <w:pPr>
        <w:spacing w:after="0"/>
        <w:jc w:val="both"/>
        <w:rPr>
          <w:rFonts w:ascii="Arial" w:hAnsi="Arial" w:cs="Arial"/>
        </w:rPr>
      </w:pPr>
      <w:r w:rsidRPr="002156C7">
        <w:rPr>
          <w:rFonts w:ascii="Arial" w:hAnsi="Arial" w:cs="Arial"/>
          <w:b/>
        </w:rPr>
        <w:t xml:space="preserve">Gender </w:t>
      </w:r>
      <w:r w:rsidR="005F6CF5">
        <w:rPr>
          <w:rFonts w:ascii="Arial" w:hAnsi="Arial" w:cs="Arial"/>
          <w:b/>
        </w:rPr>
        <w:t>b</w:t>
      </w:r>
      <w:r w:rsidRPr="002156C7">
        <w:rPr>
          <w:rFonts w:ascii="Arial" w:hAnsi="Arial" w:cs="Arial"/>
          <w:b/>
        </w:rPr>
        <w:t>inary:</w:t>
      </w:r>
      <w:r w:rsidRPr="002156C7">
        <w:rPr>
          <w:rFonts w:ascii="Arial" w:hAnsi="Arial" w:cs="Arial"/>
        </w:rPr>
        <w:t xml:space="preserve"> the </w:t>
      </w:r>
      <w:r w:rsidR="003E6AA1">
        <w:rPr>
          <w:rFonts w:ascii="Arial" w:hAnsi="Arial" w:cs="Arial"/>
        </w:rPr>
        <w:t>idea</w:t>
      </w:r>
      <w:r w:rsidRPr="002156C7">
        <w:rPr>
          <w:rFonts w:ascii="Arial" w:hAnsi="Arial" w:cs="Arial"/>
        </w:rPr>
        <w:t xml:space="preserve"> that there are only two</w:t>
      </w:r>
      <w:r w:rsidR="00750B2F">
        <w:rPr>
          <w:rFonts w:ascii="Arial" w:hAnsi="Arial" w:cs="Arial"/>
        </w:rPr>
        <w:t xml:space="preserve"> sexes/genders (male and female, or </w:t>
      </w:r>
      <w:r w:rsidRPr="002156C7">
        <w:rPr>
          <w:rFonts w:ascii="Arial" w:hAnsi="Arial" w:cs="Arial"/>
        </w:rPr>
        <w:t>masculine and feminine) and that they are distinct, opposite forms of each other.</w:t>
      </w:r>
    </w:p>
    <w:p w14:paraId="650CA99E" w14:textId="77777777" w:rsidR="002156C7" w:rsidRPr="002156C7" w:rsidRDefault="002156C7" w:rsidP="002156C7">
      <w:pPr>
        <w:spacing w:after="0"/>
        <w:jc w:val="both"/>
        <w:rPr>
          <w:rFonts w:ascii="Arial" w:hAnsi="Arial" w:cs="Arial"/>
        </w:rPr>
      </w:pPr>
      <w:r>
        <w:rPr>
          <w:rFonts w:ascii="Arial" w:hAnsi="Arial" w:cs="Arial"/>
        </w:rPr>
        <w:t xml:space="preserve"> </w:t>
      </w:r>
    </w:p>
    <w:p w14:paraId="31D3F112" w14:textId="60B6B2B7" w:rsidR="002156C7" w:rsidRPr="002156C7" w:rsidRDefault="00750B2F" w:rsidP="002156C7">
      <w:pPr>
        <w:spacing w:after="0"/>
        <w:jc w:val="both"/>
        <w:rPr>
          <w:rFonts w:ascii="Arial" w:hAnsi="Arial" w:cs="Arial"/>
        </w:rPr>
      </w:pPr>
      <w:r>
        <w:rPr>
          <w:rFonts w:ascii="Arial" w:hAnsi="Arial" w:cs="Arial"/>
          <w:b/>
        </w:rPr>
        <w:t>Gender dysphoria:</w:t>
      </w:r>
      <w:r w:rsidR="002156C7" w:rsidRPr="002156C7">
        <w:rPr>
          <w:rFonts w:ascii="Arial" w:hAnsi="Arial" w:cs="Arial"/>
          <w:b/>
        </w:rPr>
        <w:t xml:space="preserve"> </w:t>
      </w:r>
      <w:r w:rsidR="005F6CF5" w:rsidRPr="00750B2F">
        <w:rPr>
          <w:rFonts w:ascii="Arial" w:hAnsi="Arial" w:cs="Arial"/>
        </w:rPr>
        <w:t>f</w:t>
      </w:r>
      <w:r w:rsidR="002156C7" w:rsidRPr="00750B2F">
        <w:rPr>
          <w:rFonts w:ascii="Arial" w:hAnsi="Arial" w:cs="Arial"/>
        </w:rPr>
        <w:t>ormerly known as</w:t>
      </w:r>
      <w:r>
        <w:rPr>
          <w:rFonts w:ascii="Arial" w:hAnsi="Arial" w:cs="Arial"/>
        </w:rPr>
        <w:t xml:space="preserve"> Gender Identity Disorder (GID), and </w:t>
      </w:r>
      <w:r w:rsidR="002156C7" w:rsidRPr="002156C7">
        <w:rPr>
          <w:rFonts w:ascii="Arial" w:hAnsi="Arial" w:cs="Arial"/>
        </w:rPr>
        <w:t>described as the extreme discomfort or distress resulting from a mismatch between one's sex</w:t>
      </w:r>
      <w:r w:rsidR="00962711">
        <w:rPr>
          <w:rFonts w:ascii="Arial" w:hAnsi="Arial" w:cs="Arial"/>
        </w:rPr>
        <w:t xml:space="preserve"> assigned at birth</w:t>
      </w:r>
      <w:r w:rsidR="002156C7" w:rsidRPr="002156C7">
        <w:rPr>
          <w:rFonts w:ascii="Arial" w:hAnsi="Arial" w:cs="Arial"/>
        </w:rPr>
        <w:t xml:space="preserve"> </w:t>
      </w:r>
      <w:r w:rsidR="002156C7" w:rsidRPr="002156C7">
        <w:rPr>
          <w:rFonts w:ascii="Arial" w:hAnsi="Arial" w:cs="Arial"/>
        </w:rPr>
        <w:lastRenderedPageBreak/>
        <w:t xml:space="preserve">and </w:t>
      </w:r>
      <w:r w:rsidR="00962711">
        <w:rPr>
          <w:rFonts w:ascii="Arial" w:hAnsi="Arial" w:cs="Arial"/>
        </w:rPr>
        <w:t xml:space="preserve">one’s </w:t>
      </w:r>
      <w:r w:rsidR="002156C7" w:rsidRPr="002156C7">
        <w:rPr>
          <w:rFonts w:ascii="Arial" w:hAnsi="Arial" w:cs="Arial"/>
        </w:rPr>
        <w:t xml:space="preserve">gender identity. Gender </w:t>
      </w:r>
      <w:r>
        <w:rPr>
          <w:rFonts w:ascii="Arial" w:hAnsi="Arial" w:cs="Arial"/>
        </w:rPr>
        <w:t>d</w:t>
      </w:r>
      <w:r w:rsidR="002156C7" w:rsidRPr="002156C7">
        <w:rPr>
          <w:rFonts w:ascii="Arial" w:hAnsi="Arial" w:cs="Arial"/>
        </w:rPr>
        <w:t xml:space="preserve">ysphoria is also the formal diagnosis for transgender identity in the Diagnostic and Statistical Manual, fifth edition, (DSM 5). In order to be diagnosed with </w:t>
      </w:r>
      <w:r>
        <w:rPr>
          <w:rFonts w:ascii="Arial" w:hAnsi="Arial" w:cs="Arial"/>
        </w:rPr>
        <w:t>gender dysphoria</w:t>
      </w:r>
      <w:r w:rsidR="002156C7" w:rsidRPr="002156C7">
        <w:rPr>
          <w:rFonts w:ascii="Arial" w:hAnsi="Arial" w:cs="Arial"/>
        </w:rPr>
        <w:t>, one must have a marked incongruence between one's experienced/expressed gender and assigned gender for at least six months. In children, the desire to be another gender must be present and verbalized. The condition is associated with clinically significant distress or impairment in social, school, occupational, or other important areas of functioning. Not all members of the transgender community choose to take on the formal diagnosis, as there is still some stigma associated with a formal diagnosis.</w:t>
      </w:r>
    </w:p>
    <w:p w14:paraId="2AD41974" w14:textId="77777777" w:rsidR="002156C7" w:rsidRPr="002156C7" w:rsidRDefault="002156C7" w:rsidP="002156C7">
      <w:pPr>
        <w:spacing w:after="0"/>
        <w:jc w:val="both"/>
        <w:rPr>
          <w:rFonts w:ascii="Arial" w:hAnsi="Arial" w:cs="Arial"/>
        </w:rPr>
      </w:pPr>
    </w:p>
    <w:p w14:paraId="25E14FC8" w14:textId="77777777" w:rsidR="002156C7" w:rsidRPr="002156C7" w:rsidRDefault="002156C7" w:rsidP="002156C7">
      <w:pPr>
        <w:spacing w:after="0"/>
        <w:jc w:val="both"/>
        <w:rPr>
          <w:rFonts w:ascii="Arial" w:hAnsi="Arial" w:cs="Arial"/>
        </w:rPr>
      </w:pPr>
      <w:r w:rsidRPr="002156C7">
        <w:rPr>
          <w:rFonts w:ascii="Arial" w:hAnsi="Arial" w:cs="Arial"/>
          <w:b/>
        </w:rPr>
        <w:t>Gender</w:t>
      </w:r>
      <w:r w:rsidR="00750B2F">
        <w:rPr>
          <w:rFonts w:ascii="Arial" w:hAnsi="Arial" w:cs="Arial"/>
          <w:b/>
        </w:rPr>
        <w:t>-</w:t>
      </w:r>
      <w:r w:rsidRPr="002156C7">
        <w:rPr>
          <w:rFonts w:ascii="Arial" w:hAnsi="Arial" w:cs="Arial"/>
          <w:b/>
        </w:rPr>
        <w:t>neutral:</w:t>
      </w:r>
      <w:r w:rsidRPr="002156C7">
        <w:rPr>
          <w:rFonts w:ascii="Arial" w:hAnsi="Arial" w:cs="Arial"/>
        </w:rPr>
        <w:t xml:space="preserve"> a term that describes something, many times a space (like a bathroom) or a thing (such as clothing), that is not segregated by sex or gender.</w:t>
      </w:r>
    </w:p>
    <w:p w14:paraId="4FBE80ED" w14:textId="77777777" w:rsidR="002156C7" w:rsidRPr="002156C7" w:rsidRDefault="002156C7" w:rsidP="002156C7">
      <w:pPr>
        <w:spacing w:after="0"/>
        <w:jc w:val="both"/>
        <w:rPr>
          <w:rFonts w:ascii="Arial" w:hAnsi="Arial" w:cs="Arial"/>
        </w:rPr>
      </w:pPr>
    </w:p>
    <w:p w14:paraId="5A64D2B2" w14:textId="4243E730" w:rsidR="002156C7" w:rsidRPr="002156C7" w:rsidRDefault="005F6CF5" w:rsidP="002156C7">
      <w:pPr>
        <w:spacing w:after="0"/>
        <w:jc w:val="both"/>
        <w:rPr>
          <w:rFonts w:ascii="Arial" w:hAnsi="Arial" w:cs="Arial"/>
        </w:rPr>
      </w:pPr>
      <w:r>
        <w:rPr>
          <w:rFonts w:ascii="Arial" w:hAnsi="Arial" w:cs="Arial"/>
          <w:b/>
        </w:rPr>
        <w:t>Gender-nonc</w:t>
      </w:r>
      <w:r w:rsidR="002156C7" w:rsidRPr="002156C7">
        <w:rPr>
          <w:rFonts w:ascii="Arial" w:hAnsi="Arial" w:cs="Arial"/>
          <w:b/>
        </w:rPr>
        <w:t>onforming (GNC):</w:t>
      </w:r>
      <w:r w:rsidR="002156C7" w:rsidRPr="002156C7">
        <w:rPr>
          <w:rFonts w:ascii="Arial" w:hAnsi="Arial" w:cs="Arial"/>
        </w:rPr>
        <w:t xml:space="preserve"> a term used to describe people whose gender expression differs from stereotypic</w:t>
      </w:r>
      <w:r w:rsidR="004963CC">
        <w:rPr>
          <w:rFonts w:ascii="Arial" w:hAnsi="Arial" w:cs="Arial"/>
        </w:rPr>
        <w:t>al</w:t>
      </w:r>
      <w:r w:rsidR="002156C7" w:rsidRPr="002156C7">
        <w:rPr>
          <w:rFonts w:ascii="Arial" w:hAnsi="Arial" w:cs="Arial"/>
        </w:rPr>
        <w:t xml:space="preserve"> expectations of gender appropriate behavior or ways men and women are expected to act. Not all gender non-conforming people identify as LGBTQ. </w:t>
      </w:r>
      <w:r w:rsidR="00750B2F">
        <w:rPr>
          <w:rFonts w:ascii="Arial" w:hAnsi="Arial" w:cs="Arial"/>
        </w:rPr>
        <w:t>This m</w:t>
      </w:r>
      <w:r w:rsidR="002156C7" w:rsidRPr="002156C7">
        <w:rPr>
          <w:rFonts w:ascii="Arial" w:hAnsi="Arial" w:cs="Arial"/>
        </w:rPr>
        <w:t>ay also be referred to as gender variance.</w:t>
      </w:r>
    </w:p>
    <w:p w14:paraId="68F3E542" w14:textId="77777777" w:rsidR="002156C7" w:rsidRPr="002156C7" w:rsidRDefault="002156C7" w:rsidP="002156C7">
      <w:pPr>
        <w:spacing w:after="0"/>
        <w:jc w:val="both"/>
        <w:rPr>
          <w:rFonts w:ascii="Arial" w:hAnsi="Arial" w:cs="Arial"/>
        </w:rPr>
      </w:pPr>
    </w:p>
    <w:p w14:paraId="6FAEF2B6" w14:textId="77777777" w:rsidR="002156C7" w:rsidRPr="002156C7" w:rsidRDefault="002156C7" w:rsidP="002156C7">
      <w:pPr>
        <w:spacing w:after="0"/>
        <w:jc w:val="both"/>
        <w:rPr>
          <w:rFonts w:ascii="Arial" w:hAnsi="Arial" w:cs="Arial"/>
        </w:rPr>
      </w:pPr>
      <w:r w:rsidRPr="002156C7">
        <w:rPr>
          <w:rFonts w:ascii="Arial" w:hAnsi="Arial" w:cs="Arial"/>
          <w:b/>
        </w:rPr>
        <w:t>Gender roles:</w:t>
      </w:r>
      <w:r w:rsidRPr="002156C7">
        <w:rPr>
          <w:rFonts w:ascii="Arial" w:hAnsi="Arial" w:cs="Arial"/>
        </w:rPr>
        <w:t xml:space="preserve"> social and cultural beliefs about what is considered gender appropriate behavior, or the ways men and women are expected to act.</w:t>
      </w:r>
    </w:p>
    <w:p w14:paraId="25A212E0" w14:textId="77777777" w:rsidR="002156C7" w:rsidRPr="002156C7" w:rsidRDefault="002156C7" w:rsidP="002156C7">
      <w:pPr>
        <w:spacing w:after="0"/>
        <w:jc w:val="both"/>
        <w:rPr>
          <w:rFonts w:ascii="Arial" w:hAnsi="Arial" w:cs="Arial"/>
        </w:rPr>
      </w:pPr>
    </w:p>
    <w:p w14:paraId="55BADE6F" w14:textId="77777777" w:rsidR="002156C7" w:rsidRPr="002156C7" w:rsidRDefault="002156C7" w:rsidP="002156C7">
      <w:pPr>
        <w:spacing w:after="0"/>
        <w:jc w:val="both"/>
        <w:rPr>
          <w:rFonts w:ascii="Arial" w:hAnsi="Arial" w:cs="Arial"/>
        </w:rPr>
      </w:pPr>
      <w:r w:rsidRPr="002156C7">
        <w:rPr>
          <w:rFonts w:ascii="Arial" w:hAnsi="Arial" w:cs="Arial"/>
          <w:b/>
        </w:rPr>
        <w:t xml:space="preserve">Genderqueer: </w:t>
      </w:r>
      <w:r w:rsidRPr="002156C7">
        <w:rPr>
          <w:rFonts w:ascii="Arial" w:hAnsi="Arial" w:cs="Arial"/>
        </w:rPr>
        <w:t>a term for people who identify outside the confines of the binary definition of gender (male/female). Genderqueer people may consider themselves to be two or more genders, without a gender, a third gender, and/or fluid.</w:t>
      </w:r>
    </w:p>
    <w:p w14:paraId="7CF437F7" w14:textId="77777777" w:rsidR="002156C7" w:rsidRPr="002156C7" w:rsidRDefault="002156C7" w:rsidP="002156C7">
      <w:pPr>
        <w:spacing w:after="0"/>
        <w:jc w:val="both"/>
        <w:rPr>
          <w:rFonts w:ascii="Arial" w:hAnsi="Arial" w:cs="Arial"/>
        </w:rPr>
      </w:pPr>
    </w:p>
    <w:p w14:paraId="4013F14C" w14:textId="77777777" w:rsidR="002156C7" w:rsidRPr="002156C7" w:rsidRDefault="002156C7" w:rsidP="002156C7">
      <w:pPr>
        <w:spacing w:after="0"/>
        <w:jc w:val="both"/>
        <w:rPr>
          <w:rFonts w:ascii="Arial" w:hAnsi="Arial" w:cs="Arial"/>
        </w:rPr>
      </w:pPr>
      <w:r w:rsidRPr="002156C7">
        <w:rPr>
          <w:rFonts w:ascii="Arial" w:hAnsi="Arial" w:cs="Arial"/>
          <w:b/>
        </w:rPr>
        <w:t xml:space="preserve">Homophobia: </w:t>
      </w:r>
      <w:r w:rsidRPr="002156C7">
        <w:rPr>
          <w:rFonts w:ascii="Arial" w:hAnsi="Arial" w:cs="Arial"/>
        </w:rPr>
        <w:t>fear, hatred or discriminatory response to a person who is or is perceived to be lesbian, gay, bisexual</w:t>
      </w:r>
      <w:r w:rsidR="00750B2F">
        <w:rPr>
          <w:rFonts w:ascii="Arial" w:hAnsi="Arial" w:cs="Arial"/>
        </w:rPr>
        <w:t>,</w:t>
      </w:r>
      <w:r w:rsidRPr="002156C7">
        <w:rPr>
          <w:rFonts w:ascii="Arial" w:hAnsi="Arial" w:cs="Arial"/>
        </w:rPr>
        <w:t xml:space="preserve"> or queer.</w:t>
      </w:r>
    </w:p>
    <w:p w14:paraId="581CC01B" w14:textId="77777777" w:rsidR="002156C7" w:rsidRPr="002156C7" w:rsidRDefault="002156C7" w:rsidP="002156C7">
      <w:pPr>
        <w:spacing w:after="0"/>
        <w:jc w:val="both"/>
        <w:rPr>
          <w:rFonts w:ascii="Arial" w:hAnsi="Arial" w:cs="Arial"/>
        </w:rPr>
      </w:pPr>
    </w:p>
    <w:p w14:paraId="6202C14B" w14:textId="77777777" w:rsidR="002156C7" w:rsidRPr="002156C7" w:rsidRDefault="002156C7" w:rsidP="002156C7">
      <w:pPr>
        <w:spacing w:after="0"/>
        <w:jc w:val="both"/>
        <w:rPr>
          <w:rFonts w:ascii="Arial" w:hAnsi="Arial" w:cs="Arial"/>
        </w:rPr>
      </w:pPr>
      <w:r w:rsidRPr="002156C7">
        <w:rPr>
          <w:rFonts w:ascii="Arial" w:hAnsi="Arial" w:cs="Arial"/>
          <w:b/>
        </w:rPr>
        <w:t>Intersex:</w:t>
      </w:r>
      <w:r w:rsidRPr="002156C7">
        <w:rPr>
          <w:rFonts w:ascii="Arial" w:hAnsi="Arial" w:cs="Arial"/>
        </w:rPr>
        <w:t xml:space="preserve"> label used to describe a person whose combination of chromosomes, hormones, </w:t>
      </w:r>
      <w:r w:rsidR="00750B2F">
        <w:rPr>
          <w:rFonts w:ascii="Arial" w:hAnsi="Arial" w:cs="Arial"/>
        </w:rPr>
        <w:t xml:space="preserve">and </w:t>
      </w:r>
      <w:r w:rsidRPr="002156C7">
        <w:rPr>
          <w:rFonts w:ascii="Arial" w:hAnsi="Arial" w:cs="Arial"/>
        </w:rPr>
        <w:t>primary and secondary sex characteristics differs from one of the two expected patterns of male or female. This term replaces "hermaphrodite</w:t>
      </w:r>
      <w:r w:rsidR="00750B2F">
        <w:rPr>
          <w:rFonts w:ascii="Arial" w:hAnsi="Arial" w:cs="Arial"/>
        </w:rPr>
        <w:t>,</w:t>
      </w:r>
      <w:r w:rsidRPr="002156C7">
        <w:rPr>
          <w:rFonts w:ascii="Arial" w:hAnsi="Arial" w:cs="Arial"/>
        </w:rPr>
        <w:t xml:space="preserve">" which is considered </w:t>
      </w:r>
      <w:r w:rsidR="0019793C">
        <w:rPr>
          <w:rFonts w:ascii="Arial" w:hAnsi="Arial" w:cs="Arial"/>
        </w:rPr>
        <w:t xml:space="preserve">highly </w:t>
      </w:r>
      <w:r w:rsidRPr="002156C7">
        <w:rPr>
          <w:rFonts w:ascii="Arial" w:hAnsi="Arial" w:cs="Arial"/>
        </w:rPr>
        <w:t>offensive</w:t>
      </w:r>
      <w:r w:rsidR="00750B2F">
        <w:rPr>
          <w:rFonts w:ascii="Arial" w:hAnsi="Arial" w:cs="Arial"/>
        </w:rPr>
        <w:t>.</w:t>
      </w:r>
    </w:p>
    <w:p w14:paraId="1EBE5342" w14:textId="77777777" w:rsidR="002156C7" w:rsidRPr="002156C7" w:rsidRDefault="002156C7" w:rsidP="002156C7">
      <w:pPr>
        <w:spacing w:after="0"/>
        <w:jc w:val="both"/>
        <w:rPr>
          <w:rFonts w:ascii="Arial" w:hAnsi="Arial" w:cs="Arial"/>
        </w:rPr>
      </w:pPr>
    </w:p>
    <w:p w14:paraId="068CCBDE" w14:textId="77777777" w:rsidR="002156C7" w:rsidRPr="002156C7" w:rsidRDefault="002156C7" w:rsidP="002156C7">
      <w:pPr>
        <w:spacing w:after="0"/>
        <w:jc w:val="both"/>
        <w:rPr>
          <w:rFonts w:ascii="Arial" w:hAnsi="Arial" w:cs="Arial"/>
        </w:rPr>
      </w:pPr>
      <w:r w:rsidRPr="002156C7">
        <w:rPr>
          <w:rFonts w:ascii="Arial" w:hAnsi="Arial" w:cs="Arial"/>
          <w:b/>
        </w:rPr>
        <w:t>Latinx:</w:t>
      </w:r>
      <w:r w:rsidRPr="002156C7">
        <w:rPr>
          <w:rFonts w:ascii="Arial" w:hAnsi="Arial" w:cs="Arial"/>
        </w:rPr>
        <w:t xml:space="preserve"> </w:t>
      </w:r>
      <w:r w:rsidR="00335E15">
        <w:rPr>
          <w:rFonts w:ascii="Arial" w:hAnsi="Arial" w:cs="Arial"/>
        </w:rPr>
        <w:t>a</w:t>
      </w:r>
      <w:r w:rsidRPr="002156C7">
        <w:rPr>
          <w:rFonts w:ascii="Arial" w:hAnsi="Arial" w:cs="Arial"/>
        </w:rPr>
        <w:t xml:space="preserve"> person of La</w:t>
      </w:r>
      <w:r w:rsidR="00750B2F">
        <w:rPr>
          <w:rFonts w:ascii="Arial" w:hAnsi="Arial" w:cs="Arial"/>
        </w:rPr>
        <w:t>tin American origin or descent. This term is used as a gender-neutral or non</w:t>
      </w:r>
      <w:r w:rsidRPr="002156C7">
        <w:rPr>
          <w:rFonts w:ascii="Arial" w:hAnsi="Arial" w:cs="Arial"/>
        </w:rPr>
        <w:t xml:space="preserve">binary </w:t>
      </w:r>
      <w:r w:rsidR="00750B2F">
        <w:rPr>
          <w:rFonts w:ascii="Arial" w:hAnsi="Arial" w:cs="Arial"/>
        </w:rPr>
        <w:t>alternative to the masculine Latino or feminine Latina.</w:t>
      </w:r>
    </w:p>
    <w:p w14:paraId="6275C2A9" w14:textId="77777777" w:rsidR="002156C7" w:rsidRPr="002156C7" w:rsidRDefault="002156C7" w:rsidP="002156C7">
      <w:pPr>
        <w:spacing w:after="0"/>
        <w:jc w:val="both"/>
        <w:rPr>
          <w:rFonts w:ascii="Arial" w:hAnsi="Arial" w:cs="Arial"/>
        </w:rPr>
      </w:pPr>
    </w:p>
    <w:p w14:paraId="5AB9C461" w14:textId="77777777" w:rsidR="002156C7" w:rsidRPr="002156C7" w:rsidRDefault="002156C7" w:rsidP="002156C7">
      <w:pPr>
        <w:spacing w:after="0"/>
        <w:jc w:val="both"/>
        <w:rPr>
          <w:rFonts w:ascii="Arial" w:hAnsi="Arial" w:cs="Arial"/>
        </w:rPr>
      </w:pPr>
      <w:r w:rsidRPr="002156C7">
        <w:rPr>
          <w:rFonts w:ascii="Arial" w:hAnsi="Arial" w:cs="Arial"/>
          <w:b/>
        </w:rPr>
        <w:t>Lesbian:</w:t>
      </w:r>
      <w:r w:rsidRPr="002156C7">
        <w:rPr>
          <w:rFonts w:ascii="Arial" w:hAnsi="Arial" w:cs="Arial"/>
        </w:rPr>
        <w:t xml:space="preserve"> a woman who self-identifies as having an emotional, sexual, spiritual, and/or relational attraction to other women.</w:t>
      </w:r>
    </w:p>
    <w:p w14:paraId="23AFA82A" w14:textId="77777777" w:rsidR="002156C7" w:rsidRPr="002156C7" w:rsidRDefault="002156C7" w:rsidP="002156C7">
      <w:pPr>
        <w:spacing w:after="0"/>
        <w:jc w:val="both"/>
        <w:rPr>
          <w:rFonts w:ascii="Arial" w:hAnsi="Arial" w:cs="Arial"/>
        </w:rPr>
      </w:pPr>
    </w:p>
    <w:p w14:paraId="24D30E74" w14:textId="0E86115F" w:rsidR="00335E15" w:rsidRPr="00335E15" w:rsidRDefault="00335E15" w:rsidP="002156C7">
      <w:pPr>
        <w:spacing w:after="0"/>
        <w:jc w:val="both"/>
        <w:rPr>
          <w:rFonts w:ascii="Arial" w:hAnsi="Arial" w:cs="Arial"/>
        </w:rPr>
      </w:pPr>
      <w:r>
        <w:rPr>
          <w:rFonts w:ascii="Arial" w:hAnsi="Arial" w:cs="Arial"/>
          <w:b/>
        </w:rPr>
        <w:t xml:space="preserve">Men who have sex with men (MSM): </w:t>
      </w:r>
      <w:r>
        <w:rPr>
          <w:rFonts w:ascii="Arial" w:hAnsi="Arial" w:cs="Arial"/>
        </w:rPr>
        <w:t xml:space="preserve">a term commonly used in scientific literature, particularly that relating to HIV, </w:t>
      </w:r>
      <w:r w:rsidR="00962711">
        <w:rPr>
          <w:rFonts w:ascii="Arial" w:hAnsi="Arial" w:cs="Arial"/>
        </w:rPr>
        <w:t>to refer to men who engage in sex with other men. However, the use of this term is often not precise and may not honor people’s identities</w:t>
      </w:r>
      <w:r>
        <w:rPr>
          <w:rFonts w:ascii="Arial" w:hAnsi="Arial" w:cs="Arial"/>
        </w:rPr>
        <w:t xml:space="preserve">. For example, it </w:t>
      </w:r>
      <w:r w:rsidR="005F6CF5">
        <w:rPr>
          <w:rFonts w:ascii="Arial" w:hAnsi="Arial" w:cs="Arial"/>
        </w:rPr>
        <w:t>sometimes</w:t>
      </w:r>
      <w:r>
        <w:rPr>
          <w:rFonts w:ascii="Arial" w:hAnsi="Arial" w:cs="Arial"/>
        </w:rPr>
        <w:t xml:space="preserve"> </w:t>
      </w:r>
      <w:r w:rsidR="005F6CF5">
        <w:rPr>
          <w:rFonts w:ascii="Arial" w:hAnsi="Arial" w:cs="Arial"/>
        </w:rPr>
        <w:t xml:space="preserve">but not always </w:t>
      </w:r>
      <w:r>
        <w:rPr>
          <w:rFonts w:ascii="Arial" w:hAnsi="Arial" w:cs="Arial"/>
        </w:rPr>
        <w:t xml:space="preserve">includes transgender women and </w:t>
      </w:r>
      <w:r w:rsidR="005F6CF5">
        <w:rPr>
          <w:rFonts w:ascii="Arial" w:hAnsi="Arial" w:cs="Arial"/>
        </w:rPr>
        <w:t xml:space="preserve">nonbinary individuals, even though these individuals </w:t>
      </w:r>
      <w:r>
        <w:rPr>
          <w:rFonts w:ascii="Arial" w:hAnsi="Arial" w:cs="Arial"/>
        </w:rPr>
        <w:t>do not self-identify as “</w:t>
      </w:r>
      <w:r w:rsidR="005F6CF5">
        <w:rPr>
          <w:rFonts w:ascii="Arial" w:hAnsi="Arial" w:cs="Arial"/>
        </w:rPr>
        <w:t>men,</w:t>
      </w:r>
      <w:r>
        <w:rPr>
          <w:rFonts w:ascii="Arial" w:hAnsi="Arial" w:cs="Arial"/>
        </w:rPr>
        <w:t>”</w:t>
      </w:r>
      <w:r w:rsidR="005F6CF5">
        <w:rPr>
          <w:rFonts w:ascii="Arial" w:hAnsi="Arial" w:cs="Arial"/>
        </w:rPr>
        <w:t xml:space="preserve"> and often excludes transgender men.</w:t>
      </w:r>
      <w:r>
        <w:rPr>
          <w:rFonts w:ascii="Arial" w:hAnsi="Arial" w:cs="Arial"/>
        </w:rPr>
        <w:t xml:space="preserve"> This report avoids use of the term MSM, </w:t>
      </w:r>
      <w:r w:rsidR="005F6CF5">
        <w:rPr>
          <w:rFonts w:ascii="Arial" w:hAnsi="Arial" w:cs="Arial"/>
        </w:rPr>
        <w:t xml:space="preserve">but it can be found in some of the research that the report cites. </w:t>
      </w:r>
    </w:p>
    <w:p w14:paraId="4FDE3EA6" w14:textId="77777777" w:rsidR="00335E15" w:rsidRDefault="00335E15" w:rsidP="002156C7">
      <w:pPr>
        <w:spacing w:after="0"/>
        <w:jc w:val="both"/>
        <w:rPr>
          <w:rFonts w:ascii="Arial" w:hAnsi="Arial" w:cs="Arial"/>
          <w:b/>
        </w:rPr>
      </w:pPr>
    </w:p>
    <w:p w14:paraId="1C163D39" w14:textId="77777777" w:rsidR="002156C7" w:rsidRDefault="002156C7" w:rsidP="002156C7">
      <w:pPr>
        <w:spacing w:after="0"/>
        <w:jc w:val="both"/>
        <w:rPr>
          <w:rFonts w:ascii="Arial" w:hAnsi="Arial" w:cs="Arial"/>
        </w:rPr>
      </w:pPr>
      <w:r w:rsidRPr="002156C7">
        <w:rPr>
          <w:rFonts w:ascii="Arial" w:hAnsi="Arial" w:cs="Arial"/>
          <w:b/>
        </w:rPr>
        <w:lastRenderedPageBreak/>
        <w:t>Medical transition:</w:t>
      </w:r>
      <w:r w:rsidRPr="002156C7">
        <w:rPr>
          <w:rFonts w:ascii="Arial" w:hAnsi="Arial" w:cs="Arial"/>
        </w:rPr>
        <w:t xml:space="preserve"> a process that utilizes hormonal treatments and/or affirming surgical interventions to bring a person's body into alliance with that person's gender identity. Not all transgender people desire to transition medically, due to various medical, social, financial, and/or safety reasons.</w:t>
      </w:r>
    </w:p>
    <w:p w14:paraId="1C378229" w14:textId="77777777" w:rsidR="005F6CF5" w:rsidRDefault="005F6CF5" w:rsidP="002156C7">
      <w:pPr>
        <w:spacing w:after="0"/>
        <w:jc w:val="both"/>
        <w:rPr>
          <w:rFonts w:ascii="Arial" w:hAnsi="Arial" w:cs="Arial"/>
        </w:rPr>
      </w:pPr>
    </w:p>
    <w:p w14:paraId="18891931" w14:textId="485510C6" w:rsidR="005F6CF5" w:rsidRPr="005F6CF5" w:rsidRDefault="005F6CF5" w:rsidP="002156C7">
      <w:pPr>
        <w:spacing w:after="0"/>
        <w:jc w:val="both"/>
        <w:rPr>
          <w:rFonts w:ascii="Arial" w:hAnsi="Arial" w:cs="Arial"/>
        </w:rPr>
      </w:pPr>
      <w:r>
        <w:rPr>
          <w:rFonts w:ascii="Arial" w:hAnsi="Arial" w:cs="Arial"/>
          <w:b/>
        </w:rPr>
        <w:t>Nonbinary:</w:t>
      </w:r>
      <w:r>
        <w:rPr>
          <w:rFonts w:ascii="Arial" w:hAnsi="Arial" w:cs="Arial"/>
        </w:rPr>
        <w:t xml:space="preserve"> something that is not composed of two parts, and a word often used in discussing gender. For example, a person who identifies as gender nonbinary does not identify as male or female, and may reject this binary construct altogether. A nonbinary gender marker on an ID would be one that is neither male nor female, but instead might be represented by an X or an N.</w:t>
      </w:r>
    </w:p>
    <w:p w14:paraId="5E982C6A" w14:textId="77777777" w:rsidR="002156C7" w:rsidRPr="002156C7" w:rsidRDefault="002156C7" w:rsidP="002156C7">
      <w:pPr>
        <w:spacing w:after="0"/>
        <w:jc w:val="both"/>
        <w:rPr>
          <w:rFonts w:ascii="Arial" w:hAnsi="Arial" w:cs="Arial"/>
        </w:rPr>
      </w:pPr>
      <w:r w:rsidRPr="002156C7">
        <w:rPr>
          <w:rFonts w:ascii="Arial" w:hAnsi="Arial" w:cs="Arial"/>
        </w:rPr>
        <w:t xml:space="preserve"> </w:t>
      </w:r>
    </w:p>
    <w:p w14:paraId="0EECC084" w14:textId="77777777" w:rsidR="002156C7" w:rsidRPr="002156C7" w:rsidRDefault="002156C7" w:rsidP="002156C7">
      <w:pPr>
        <w:spacing w:after="0"/>
        <w:jc w:val="both"/>
        <w:rPr>
          <w:rFonts w:ascii="Arial" w:hAnsi="Arial" w:cs="Arial"/>
        </w:rPr>
      </w:pPr>
      <w:r w:rsidRPr="002156C7">
        <w:rPr>
          <w:rFonts w:ascii="Arial" w:hAnsi="Arial" w:cs="Arial"/>
          <w:b/>
        </w:rPr>
        <w:t>Pansexual:</w:t>
      </w:r>
      <w:r w:rsidRPr="002156C7">
        <w:rPr>
          <w:rFonts w:ascii="Arial" w:hAnsi="Arial" w:cs="Arial"/>
        </w:rPr>
        <w:t xml:space="preserve"> a person who has an emotional, sexual, spiritual, and/or relational attraction to other people</w:t>
      </w:r>
      <w:r w:rsidR="0019793C">
        <w:rPr>
          <w:rFonts w:ascii="Arial" w:hAnsi="Arial" w:cs="Arial"/>
        </w:rPr>
        <w:t xml:space="preserve"> generally</w:t>
      </w:r>
      <w:r w:rsidRPr="002156C7">
        <w:rPr>
          <w:rFonts w:ascii="Arial" w:hAnsi="Arial" w:cs="Arial"/>
        </w:rPr>
        <w:t>, rather than</w:t>
      </w:r>
      <w:r w:rsidR="0019793C">
        <w:rPr>
          <w:rFonts w:ascii="Arial" w:hAnsi="Arial" w:cs="Arial"/>
        </w:rPr>
        <w:t xml:space="preserve"> people of</w:t>
      </w:r>
      <w:r w:rsidRPr="002156C7">
        <w:rPr>
          <w:rFonts w:ascii="Arial" w:hAnsi="Arial" w:cs="Arial"/>
        </w:rPr>
        <w:t xml:space="preserve"> a specific sex or gender.</w:t>
      </w:r>
    </w:p>
    <w:p w14:paraId="2BA251E9" w14:textId="77777777" w:rsidR="002156C7" w:rsidRPr="002156C7" w:rsidRDefault="002156C7" w:rsidP="002156C7">
      <w:pPr>
        <w:spacing w:after="0"/>
        <w:jc w:val="both"/>
        <w:rPr>
          <w:rFonts w:ascii="Arial" w:hAnsi="Arial" w:cs="Arial"/>
        </w:rPr>
      </w:pPr>
    </w:p>
    <w:p w14:paraId="0D2D15D7" w14:textId="77777777" w:rsidR="002156C7" w:rsidRPr="002156C7" w:rsidRDefault="002156C7" w:rsidP="002156C7">
      <w:pPr>
        <w:spacing w:after="0"/>
        <w:jc w:val="both"/>
        <w:rPr>
          <w:rFonts w:ascii="Arial" w:hAnsi="Arial" w:cs="Arial"/>
        </w:rPr>
      </w:pPr>
      <w:r w:rsidRPr="002156C7">
        <w:rPr>
          <w:rFonts w:ascii="Arial" w:hAnsi="Arial" w:cs="Arial"/>
          <w:b/>
        </w:rPr>
        <w:t xml:space="preserve">Preferred </w:t>
      </w:r>
      <w:r w:rsidR="005F6CF5">
        <w:rPr>
          <w:rFonts w:ascii="Arial" w:hAnsi="Arial" w:cs="Arial"/>
          <w:b/>
        </w:rPr>
        <w:t>g</w:t>
      </w:r>
      <w:r w:rsidRPr="002156C7">
        <w:rPr>
          <w:rFonts w:ascii="Arial" w:hAnsi="Arial" w:cs="Arial"/>
          <w:b/>
        </w:rPr>
        <w:t xml:space="preserve">ender </w:t>
      </w:r>
      <w:r w:rsidR="005F6CF5">
        <w:rPr>
          <w:rFonts w:ascii="Arial" w:hAnsi="Arial" w:cs="Arial"/>
          <w:b/>
        </w:rPr>
        <w:t>p</w:t>
      </w:r>
      <w:r w:rsidRPr="002156C7">
        <w:rPr>
          <w:rFonts w:ascii="Arial" w:hAnsi="Arial" w:cs="Arial"/>
          <w:b/>
        </w:rPr>
        <w:t>ronouns:</w:t>
      </w:r>
      <w:r w:rsidRPr="002156C7">
        <w:rPr>
          <w:rFonts w:ascii="Arial" w:hAnsi="Arial" w:cs="Arial"/>
        </w:rPr>
        <w:t xml:space="preserve"> the way people refer to themselves and how they prefer to be ad-dressed in terms of gender. If you are unsure of what pronoun a person may use, it is best to ask rather than assuming. Some common preferred gender pronouns are: she/her/hers, he/him/his, they/them/theirs (</w:t>
      </w:r>
      <w:r w:rsidR="00950824">
        <w:rPr>
          <w:rFonts w:ascii="Arial" w:hAnsi="Arial" w:cs="Arial"/>
        </w:rPr>
        <w:t xml:space="preserve">used in the </w:t>
      </w:r>
      <w:r w:rsidRPr="002156C7">
        <w:rPr>
          <w:rFonts w:ascii="Arial" w:hAnsi="Arial" w:cs="Arial"/>
        </w:rPr>
        <w:t>singular),</w:t>
      </w:r>
      <w:r w:rsidR="00950824">
        <w:rPr>
          <w:rFonts w:ascii="Arial" w:hAnsi="Arial" w:cs="Arial"/>
        </w:rPr>
        <w:t xml:space="preserve"> and</w:t>
      </w:r>
      <w:r w:rsidRPr="002156C7">
        <w:rPr>
          <w:rFonts w:ascii="Arial" w:hAnsi="Arial" w:cs="Arial"/>
        </w:rPr>
        <w:t xml:space="preserve"> ze/hir/hirs.</w:t>
      </w:r>
    </w:p>
    <w:p w14:paraId="15AB8371" w14:textId="77777777" w:rsidR="002156C7" w:rsidRPr="002156C7" w:rsidRDefault="002156C7" w:rsidP="002156C7">
      <w:pPr>
        <w:spacing w:after="0"/>
        <w:jc w:val="both"/>
        <w:rPr>
          <w:rFonts w:ascii="Arial" w:hAnsi="Arial" w:cs="Arial"/>
        </w:rPr>
      </w:pPr>
    </w:p>
    <w:p w14:paraId="6FDE5193" w14:textId="77777777" w:rsidR="002156C7" w:rsidRPr="002156C7" w:rsidRDefault="002156C7" w:rsidP="002156C7">
      <w:pPr>
        <w:spacing w:after="0"/>
        <w:jc w:val="both"/>
        <w:rPr>
          <w:rFonts w:ascii="Arial" w:hAnsi="Arial" w:cs="Arial"/>
        </w:rPr>
      </w:pPr>
      <w:r w:rsidRPr="002156C7">
        <w:rPr>
          <w:rFonts w:ascii="Arial" w:hAnsi="Arial" w:cs="Arial"/>
          <w:b/>
        </w:rPr>
        <w:t>PrEP:</w:t>
      </w:r>
      <w:r w:rsidRPr="002156C7">
        <w:rPr>
          <w:rFonts w:ascii="Arial" w:hAnsi="Arial" w:cs="Arial"/>
        </w:rPr>
        <w:t xml:space="preserve"> pre-exp</w:t>
      </w:r>
      <w:r w:rsidR="00950824">
        <w:rPr>
          <w:rFonts w:ascii="Arial" w:hAnsi="Arial" w:cs="Arial"/>
        </w:rPr>
        <w:t>osure prophylaxis</w:t>
      </w:r>
      <w:r w:rsidR="00604271">
        <w:rPr>
          <w:rFonts w:ascii="Arial" w:hAnsi="Arial" w:cs="Arial"/>
        </w:rPr>
        <w:t xml:space="preserve">, or a medication taken daily to reduce one’s risk of being infected with HIV. </w:t>
      </w:r>
    </w:p>
    <w:p w14:paraId="3EEC7834" w14:textId="77777777" w:rsidR="002156C7" w:rsidRPr="002156C7" w:rsidRDefault="002156C7" w:rsidP="002156C7">
      <w:pPr>
        <w:spacing w:after="0"/>
        <w:jc w:val="both"/>
        <w:rPr>
          <w:rFonts w:ascii="Arial" w:hAnsi="Arial" w:cs="Arial"/>
        </w:rPr>
      </w:pPr>
    </w:p>
    <w:p w14:paraId="10CC29DA" w14:textId="77777777" w:rsidR="002156C7" w:rsidRPr="002156C7" w:rsidRDefault="002156C7" w:rsidP="002156C7">
      <w:pPr>
        <w:spacing w:after="0"/>
        <w:jc w:val="both"/>
        <w:rPr>
          <w:rFonts w:ascii="Arial" w:hAnsi="Arial" w:cs="Arial"/>
        </w:rPr>
      </w:pPr>
      <w:r w:rsidRPr="002156C7">
        <w:rPr>
          <w:rFonts w:ascii="Arial" w:hAnsi="Arial" w:cs="Arial"/>
          <w:b/>
        </w:rPr>
        <w:t xml:space="preserve">Pubertal </w:t>
      </w:r>
      <w:r w:rsidR="005F6CF5">
        <w:rPr>
          <w:rFonts w:ascii="Arial" w:hAnsi="Arial" w:cs="Arial"/>
          <w:b/>
        </w:rPr>
        <w:t>s</w:t>
      </w:r>
      <w:r w:rsidRPr="002156C7">
        <w:rPr>
          <w:rFonts w:ascii="Arial" w:hAnsi="Arial" w:cs="Arial"/>
          <w:b/>
        </w:rPr>
        <w:t>uppression:</w:t>
      </w:r>
      <w:r w:rsidRPr="002156C7">
        <w:rPr>
          <w:rFonts w:ascii="Arial" w:hAnsi="Arial" w:cs="Arial"/>
        </w:rPr>
        <w:t xml:space="preserve"> a medical process that pauses hormonal changes that initiate puberty in adolescents, resulting in a purposeful delay in the development of secondary sex characteristics (</w:t>
      </w:r>
      <w:r w:rsidR="00950824" w:rsidRPr="002156C7">
        <w:rPr>
          <w:rFonts w:ascii="Arial" w:hAnsi="Arial" w:cs="Arial"/>
        </w:rPr>
        <w:t>e.g.</w:t>
      </w:r>
      <w:r w:rsidRPr="002156C7">
        <w:rPr>
          <w:rFonts w:ascii="Arial" w:hAnsi="Arial" w:cs="Arial"/>
        </w:rPr>
        <w:t xml:space="preserve"> breast growth, facial hair, body fast redistribution, voice changes, etc</w:t>
      </w:r>
      <w:r w:rsidR="00950824">
        <w:rPr>
          <w:rFonts w:ascii="Arial" w:hAnsi="Arial" w:cs="Arial"/>
        </w:rPr>
        <w:t>.</w:t>
      </w:r>
      <w:r w:rsidRPr="002156C7">
        <w:rPr>
          <w:rFonts w:ascii="Arial" w:hAnsi="Arial" w:cs="Arial"/>
        </w:rPr>
        <w:t>). Suppression can prevent gender dysphoria that often accompanies puberty for trans</w:t>
      </w:r>
      <w:r w:rsidR="00950824">
        <w:rPr>
          <w:rFonts w:ascii="Arial" w:hAnsi="Arial" w:cs="Arial"/>
        </w:rPr>
        <w:t>gender</w:t>
      </w:r>
      <w:r w:rsidRPr="002156C7">
        <w:rPr>
          <w:rFonts w:ascii="Arial" w:hAnsi="Arial" w:cs="Arial"/>
        </w:rPr>
        <w:t xml:space="preserve"> or gender</w:t>
      </w:r>
      <w:r w:rsidR="00950824">
        <w:rPr>
          <w:rFonts w:ascii="Arial" w:hAnsi="Arial" w:cs="Arial"/>
        </w:rPr>
        <w:t>-</w:t>
      </w:r>
      <w:r w:rsidRPr="002156C7">
        <w:rPr>
          <w:rFonts w:ascii="Arial" w:hAnsi="Arial" w:cs="Arial"/>
        </w:rPr>
        <w:t>nonconforming youth, and is not permanent.</w:t>
      </w:r>
    </w:p>
    <w:p w14:paraId="036E4433" w14:textId="77777777" w:rsidR="002156C7" w:rsidRPr="002156C7" w:rsidRDefault="002156C7" w:rsidP="002156C7">
      <w:pPr>
        <w:spacing w:after="0"/>
        <w:jc w:val="both"/>
        <w:rPr>
          <w:rFonts w:ascii="Arial" w:hAnsi="Arial" w:cs="Arial"/>
        </w:rPr>
      </w:pPr>
    </w:p>
    <w:p w14:paraId="383B0E40" w14:textId="02715CAB" w:rsidR="002156C7" w:rsidRPr="002156C7" w:rsidRDefault="002156C7" w:rsidP="002156C7">
      <w:pPr>
        <w:spacing w:after="0"/>
        <w:jc w:val="both"/>
        <w:rPr>
          <w:rFonts w:ascii="Arial" w:hAnsi="Arial" w:cs="Arial"/>
        </w:rPr>
      </w:pPr>
      <w:r w:rsidRPr="002156C7">
        <w:rPr>
          <w:rFonts w:ascii="Arial" w:hAnsi="Arial" w:cs="Arial"/>
          <w:b/>
        </w:rPr>
        <w:t>Queer:</w:t>
      </w:r>
      <w:r w:rsidRPr="002156C7">
        <w:rPr>
          <w:rFonts w:ascii="Arial" w:hAnsi="Arial" w:cs="Arial"/>
        </w:rPr>
        <w:t xml:space="preserve"> an umbrella term that includes anyone who wants to identify as queer and who feels outside the societal norms in regards to gender identity, sexual orientation, and sexual/romantic behaviors. The term may also serve as a political statement that advocates breaking gender and sexual binaries. </w:t>
      </w:r>
      <w:r w:rsidR="00495D9F">
        <w:rPr>
          <w:rFonts w:ascii="Arial" w:hAnsi="Arial" w:cs="Arial"/>
        </w:rPr>
        <w:t>This was</w:t>
      </w:r>
      <w:r w:rsidRPr="002156C7">
        <w:rPr>
          <w:rFonts w:ascii="Arial" w:hAnsi="Arial" w:cs="Arial"/>
        </w:rPr>
        <w:t xml:space="preserve"> formerly used as a derogatory term,</w:t>
      </w:r>
      <w:r w:rsidR="00495D9F">
        <w:rPr>
          <w:rFonts w:ascii="Arial" w:hAnsi="Arial" w:cs="Arial"/>
        </w:rPr>
        <w:t xml:space="preserve"> and is still considered offensive by some,</w:t>
      </w:r>
      <w:r w:rsidRPr="002156C7">
        <w:rPr>
          <w:rFonts w:ascii="Arial" w:hAnsi="Arial" w:cs="Arial"/>
        </w:rPr>
        <w:t xml:space="preserve"> but has been reclaimed in recent decades.</w:t>
      </w:r>
    </w:p>
    <w:p w14:paraId="4C9E9028" w14:textId="77777777" w:rsidR="002156C7" w:rsidRPr="002156C7" w:rsidRDefault="002156C7" w:rsidP="002156C7">
      <w:pPr>
        <w:spacing w:after="0"/>
        <w:jc w:val="both"/>
        <w:rPr>
          <w:rFonts w:ascii="Arial" w:hAnsi="Arial" w:cs="Arial"/>
        </w:rPr>
      </w:pPr>
    </w:p>
    <w:p w14:paraId="7A0D1F60" w14:textId="77777777" w:rsidR="002156C7" w:rsidRPr="002156C7" w:rsidRDefault="002156C7" w:rsidP="002156C7">
      <w:pPr>
        <w:spacing w:after="0"/>
        <w:jc w:val="both"/>
        <w:rPr>
          <w:rFonts w:ascii="Arial" w:hAnsi="Arial" w:cs="Arial"/>
        </w:rPr>
      </w:pPr>
      <w:r w:rsidRPr="002156C7">
        <w:rPr>
          <w:rFonts w:ascii="Arial" w:hAnsi="Arial" w:cs="Arial"/>
          <w:b/>
        </w:rPr>
        <w:t>Questioning:</w:t>
      </w:r>
      <w:r w:rsidRPr="002156C7">
        <w:rPr>
          <w:rFonts w:ascii="Arial" w:hAnsi="Arial" w:cs="Arial"/>
        </w:rPr>
        <w:t xml:space="preserve"> a term used to describe a person who is exploring their sexual orientation and/or gender identity and does not necessarily self-identify as LGBTQ. Not all people who question their identities may come out and/or identify as LGBTQ.</w:t>
      </w:r>
      <w:r w:rsidR="00495D9F">
        <w:rPr>
          <w:rFonts w:ascii="Arial" w:hAnsi="Arial" w:cs="Arial"/>
        </w:rPr>
        <w:t xml:space="preserve"> In research, “sexual orientation incongruence,” e.g. stating that one is heterosexual but exhibiting same-sex attraction or behavior, may indicate that an individual is “questioning” their orientation. </w:t>
      </w:r>
    </w:p>
    <w:p w14:paraId="6479A5B3" w14:textId="77777777" w:rsidR="002156C7" w:rsidRPr="002156C7" w:rsidRDefault="002156C7" w:rsidP="002156C7">
      <w:pPr>
        <w:spacing w:after="0"/>
        <w:jc w:val="both"/>
        <w:rPr>
          <w:rFonts w:ascii="Arial" w:hAnsi="Arial" w:cs="Arial"/>
        </w:rPr>
      </w:pPr>
    </w:p>
    <w:p w14:paraId="29D6BFBC" w14:textId="77777777" w:rsidR="002156C7" w:rsidRPr="002156C7" w:rsidRDefault="002156C7" w:rsidP="002156C7">
      <w:pPr>
        <w:spacing w:after="0"/>
        <w:jc w:val="both"/>
        <w:rPr>
          <w:rFonts w:ascii="Arial" w:hAnsi="Arial" w:cs="Arial"/>
        </w:rPr>
      </w:pPr>
      <w:r w:rsidRPr="002156C7">
        <w:rPr>
          <w:rFonts w:ascii="Arial" w:hAnsi="Arial" w:cs="Arial"/>
          <w:b/>
        </w:rPr>
        <w:t xml:space="preserve">Secondary </w:t>
      </w:r>
      <w:r w:rsidR="005F6CF5">
        <w:rPr>
          <w:rFonts w:ascii="Arial" w:hAnsi="Arial" w:cs="Arial"/>
          <w:b/>
        </w:rPr>
        <w:t>s</w:t>
      </w:r>
      <w:r w:rsidRPr="002156C7">
        <w:rPr>
          <w:rFonts w:ascii="Arial" w:hAnsi="Arial" w:cs="Arial"/>
          <w:b/>
        </w:rPr>
        <w:t xml:space="preserve">ex </w:t>
      </w:r>
      <w:r w:rsidR="005F6CF5">
        <w:rPr>
          <w:rFonts w:ascii="Arial" w:hAnsi="Arial" w:cs="Arial"/>
          <w:b/>
        </w:rPr>
        <w:t>ch</w:t>
      </w:r>
      <w:r w:rsidRPr="002156C7">
        <w:rPr>
          <w:rFonts w:ascii="Arial" w:hAnsi="Arial" w:cs="Arial"/>
          <w:b/>
        </w:rPr>
        <w:t>aracteristics:</w:t>
      </w:r>
      <w:r w:rsidRPr="002156C7">
        <w:rPr>
          <w:rFonts w:ascii="Arial" w:hAnsi="Arial" w:cs="Arial"/>
        </w:rPr>
        <w:t xml:space="preserve"> features that appear during puberty that distinguish sex, which may include breast development, facial hair, voice changes, redistribution of body fat, etc.</w:t>
      </w:r>
    </w:p>
    <w:p w14:paraId="2E8664DE" w14:textId="77777777" w:rsidR="002156C7" w:rsidRPr="002156C7" w:rsidRDefault="002156C7" w:rsidP="002156C7">
      <w:pPr>
        <w:spacing w:after="0"/>
        <w:jc w:val="both"/>
        <w:rPr>
          <w:rFonts w:ascii="Arial" w:hAnsi="Arial" w:cs="Arial"/>
        </w:rPr>
      </w:pPr>
    </w:p>
    <w:p w14:paraId="74D85CC1" w14:textId="77777777" w:rsidR="002156C7" w:rsidRPr="002156C7" w:rsidRDefault="002156C7" w:rsidP="002156C7">
      <w:pPr>
        <w:spacing w:after="0"/>
        <w:jc w:val="both"/>
        <w:rPr>
          <w:rFonts w:ascii="Arial" w:hAnsi="Arial" w:cs="Arial"/>
        </w:rPr>
      </w:pPr>
      <w:r w:rsidRPr="002156C7">
        <w:rPr>
          <w:rFonts w:ascii="Arial" w:hAnsi="Arial" w:cs="Arial"/>
          <w:b/>
        </w:rPr>
        <w:t xml:space="preserve">Sexual </w:t>
      </w:r>
      <w:r w:rsidR="005F6CF5">
        <w:rPr>
          <w:rFonts w:ascii="Arial" w:hAnsi="Arial" w:cs="Arial"/>
          <w:b/>
        </w:rPr>
        <w:t>m</w:t>
      </w:r>
      <w:r w:rsidRPr="002156C7">
        <w:rPr>
          <w:rFonts w:ascii="Arial" w:hAnsi="Arial" w:cs="Arial"/>
          <w:b/>
        </w:rPr>
        <w:t xml:space="preserve">inority </w:t>
      </w:r>
      <w:r w:rsidR="005F6CF5">
        <w:rPr>
          <w:rFonts w:ascii="Arial" w:hAnsi="Arial" w:cs="Arial"/>
          <w:b/>
        </w:rPr>
        <w:t>y</w:t>
      </w:r>
      <w:r w:rsidRPr="002156C7">
        <w:rPr>
          <w:rFonts w:ascii="Arial" w:hAnsi="Arial" w:cs="Arial"/>
          <w:b/>
        </w:rPr>
        <w:t>outh:</w:t>
      </w:r>
      <w:r w:rsidRPr="002156C7">
        <w:rPr>
          <w:rFonts w:ascii="Arial" w:hAnsi="Arial" w:cs="Arial"/>
        </w:rPr>
        <w:t xml:space="preserve"> consists of young people who identify themselves as gay or lesbian (e.g. individuals whose primary sexual/emotional connections are to people of the same gender) </w:t>
      </w:r>
      <w:r w:rsidRPr="002156C7">
        <w:rPr>
          <w:rFonts w:ascii="Arial" w:hAnsi="Arial" w:cs="Arial"/>
        </w:rPr>
        <w:lastRenderedPageBreak/>
        <w:t>or bisexual (e.g. individuals whose sexual/emotional attraction and connections are not limited to one gender or the other), as well as youth who do not ascribe to these identity labels, but engage in same-gender sexual or romantic behavior.</w:t>
      </w:r>
    </w:p>
    <w:p w14:paraId="2B6B5C97" w14:textId="77777777" w:rsidR="002156C7" w:rsidRPr="002156C7" w:rsidRDefault="002156C7" w:rsidP="002156C7">
      <w:pPr>
        <w:spacing w:after="0"/>
        <w:jc w:val="both"/>
        <w:rPr>
          <w:rFonts w:ascii="Arial" w:hAnsi="Arial" w:cs="Arial"/>
        </w:rPr>
      </w:pPr>
    </w:p>
    <w:p w14:paraId="50CBC5BA" w14:textId="77777777" w:rsidR="002156C7" w:rsidRPr="002156C7" w:rsidRDefault="002156C7" w:rsidP="002156C7">
      <w:pPr>
        <w:spacing w:after="0"/>
        <w:jc w:val="both"/>
        <w:rPr>
          <w:rFonts w:ascii="Arial" w:hAnsi="Arial" w:cs="Arial"/>
        </w:rPr>
      </w:pPr>
      <w:r w:rsidRPr="002156C7">
        <w:rPr>
          <w:rFonts w:ascii="Arial" w:hAnsi="Arial" w:cs="Arial"/>
          <w:b/>
        </w:rPr>
        <w:t xml:space="preserve">Sexual </w:t>
      </w:r>
      <w:r w:rsidR="005F6CF5">
        <w:rPr>
          <w:rFonts w:ascii="Arial" w:hAnsi="Arial" w:cs="Arial"/>
          <w:b/>
        </w:rPr>
        <w:t>o</w:t>
      </w:r>
      <w:r w:rsidRPr="002156C7">
        <w:rPr>
          <w:rFonts w:ascii="Arial" w:hAnsi="Arial" w:cs="Arial"/>
          <w:b/>
        </w:rPr>
        <w:t>rientation:</w:t>
      </w:r>
      <w:r w:rsidRPr="002156C7">
        <w:rPr>
          <w:rFonts w:ascii="Arial" w:hAnsi="Arial" w:cs="Arial"/>
        </w:rPr>
        <w:t xml:space="preserve"> refers to a person's emotional, sexual, spiritual, and/or relational attraction towards other people of the same or different gender. Some common sexual orientations include lesbian, gay, bisexual, heterosexual, queer, pansexual, and asexual. There are many other terms that people may use to identify their sexual orientation.</w:t>
      </w:r>
    </w:p>
    <w:p w14:paraId="346D453E" w14:textId="77777777" w:rsidR="002156C7" w:rsidRPr="002156C7" w:rsidRDefault="002156C7" w:rsidP="002156C7">
      <w:pPr>
        <w:spacing w:after="0"/>
        <w:jc w:val="both"/>
        <w:rPr>
          <w:rFonts w:ascii="Arial" w:hAnsi="Arial" w:cs="Arial"/>
        </w:rPr>
      </w:pPr>
    </w:p>
    <w:p w14:paraId="5F0618BD" w14:textId="77777777" w:rsidR="002156C7" w:rsidRPr="002156C7" w:rsidRDefault="002156C7" w:rsidP="002156C7">
      <w:pPr>
        <w:spacing w:after="0"/>
        <w:jc w:val="both"/>
        <w:rPr>
          <w:rFonts w:ascii="Arial" w:hAnsi="Arial" w:cs="Arial"/>
        </w:rPr>
      </w:pPr>
      <w:r w:rsidRPr="002156C7">
        <w:rPr>
          <w:rFonts w:ascii="Arial" w:hAnsi="Arial" w:cs="Arial"/>
          <w:b/>
        </w:rPr>
        <w:t xml:space="preserve">Social </w:t>
      </w:r>
      <w:r w:rsidR="005F6CF5">
        <w:rPr>
          <w:rFonts w:ascii="Arial" w:hAnsi="Arial" w:cs="Arial"/>
          <w:b/>
        </w:rPr>
        <w:t>t</w:t>
      </w:r>
      <w:r w:rsidRPr="002156C7">
        <w:rPr>
          <w:rFonts w:ascii="Arial" w:hAnsi="Arial" w:cs="Arial"/>
          <w:b/>
        </w:rPr>
        <w:t>ransition:</w:t>
      </w:r>
      <w:r w:rsidRPr="002156C7">
        <w:rPr>
          <w:rFonts w:ascii="Arial" w:hAnsi="Arial" w:cs="Arial"/>
        </w:rPr>
        <w:t xml:space="preserve"> the process of disclosing oneself as transgender to friends, family, co-workers, and/or classmates. This often includes asking that others use a name, pronoun, or gender that reflects that person's gender identity. Additionally, this person may begin to use facilities such as bathrooms, locker rooms, or dormitories associated with their gender identity.</w:t>
      </w:r>
    </w:p>
    <w:p w14:paraId="07EFF3DD" w14:textId="77777777" w:rsidR="002156C7" w:rsidRPr="002156C7" w:rsidRDefault="002156C7" w:rsidP="002156C7">
      <w:pPr>
        <w:spacing w:after="0"/>
        <w:jc w:val="both"/>
        <w:rPr>
          <w:rFonts w:ascii="Arial" w:hAnsi="Arial" w:cs="Arial"/>
        </w:rPr>
      </w:pPr>
      <w:r w:rsidRPr="002156C7">
        <w:rPr>
          <w:rFonts w:ascii="Arial" w:hAnsi="Arial" w:cs="Arial"/>
        </w:rPr>
        <w:t xml:space="preserve"> </w:t>
      </w:r>
    </w:p>
    <w:p w14:paraId="1B6B19AA" w14:textId="77777777" w:rsidR="002156C7" w:rsidRPr="002156C7" w:rsidRDefault="002156C7" w:rsidP="002156C7">
      <w:pPr>
        <w:spacing w:after="0"/>
        <w:jc w:val="both"/>
        <w:rPr>
          <w:rFonts w:ascii="Arial" w:hAnsi="Arial" w:cs="Arial"/>
        </w:rPr>
      </w:pPr>
      <w:r w:rsidRPr="002156C7">
        <w:rPr>
          <w:rFonts w:ascii="Arial" w:hAnsi="Arial" w:cs="Arial"/>
          <w:b/>
        </w:rPr>
        <w:t xml:space="preserve">Transgender: </w:t>
      </w:r>
      <w:r w:rsidRPr="002156C7">
        <w:rPr>
          <w:rFonts w:ascii="Arial" w:hAnsi="Arial" w:cs="Arial"/>
        </w:rPr>
        <w:t>an umbrella term used to describe a person whose gender identity or gender expression is different from that traditionally associated with the assigned sex at birth. A transgender person may identify as heterosexual, lesbian, gay, bisexual, queer, questioning, pansexual</w:t>
      </w:r>
      <w:r w:rsidR="00FD0682">
        <w:rPr>
          <w:rFonts w:ascii="Arial" w:hAnsi="Arial" w:cs="Arial"/>
        </w:rPr>
        <w:t>,</w:t>
      </w:r>
      <w:r w:rsidRPr="002156C7">
        <w:rPr>
          <w:rFonts w:ascii="Arial" w:hAnsi="Arial" w:cs="Arial"/>
        </w:rPr>
        <w:t xml:space="preserve"> or something else.</w:t>
      </w:r>
      <w:r w:rsidR="00FD0682">
        <w:rPr>
          <w:rFonts w:ascii="Arial" w:hAnsi="Arial" w:cs="Arial"/>
        </w:rPr>
        <w:t xml:space="preserve"> </w:t>
      </w:r>
    </w:p>
    <w:p w14:paraId="76C440F5" w14:textId="77777777" w:rsidR="002156C7" w:rsidRPr="002156C7" w:rsidRDefault="002156C7" w:rsidP="002156C7">
      <w:pPr>
        <w:spacing w:after="0"/>
        <w:jc w:val="both"/>
        <w:rPr>
          <w:rFonts w:ascii="Arial" w:hAnsi="Arial" w:cs="Arial"/>
        </w:rPr>
      </w:pPr>
    </w:p>
    <w:p w14:paraId="61FCEBAA" w14:textId="77777777" w:rsidR="002156C7" w:rsidRPr="002156C7" w:rsidRDefault="002156C7" w:rsidP="002156C7">
      <w:pPr>
        <w:spacing w:after="0"/>
        <w:jc w:val="both"/>
        <w:rPr>
          <w:rFonts w:ascii="Arial" w:hAnsi="Arial" w:cs="Arial"/>
        </w:rPr>
      </w:pPr>
      <w:r w:rsidRPr="002156C7">
        <w:rPr>
          <w:rFonts w:ascii="Arial" w:hAnsi="Arial" w:cs="Arial"/>
          <w:b/>
        </w:rPr>
        <w:t xml:space="preserve">Transgender </w:t>
      </w:r>
      <w:r w:rsidR="005F6CF5">
        <w:rPr>
          <w:rFonts w:ascii="Arial" w:hAnsi="Arial" w:cs="Arial"/>
          <w:b/>
        </w:rPr>
        <w:t>h</w:t>
      </w:r>
      <w:r w:rsidRPr="002156C7">
        <w:rPr>
          <w:rFonts w:ascii="Arial" w:hAnsi="Arial" w:cs="Arial"/>
          <w:b/>
        </w:rPr>
        <w:t>ealthcare:</w:t>
      </w:r>
      <w:r w:rsidRPr="002156C7">
        <w:rPr>
          <w:rFonts w:ascii="Arial" w:hAnsi="Arial" w:cs="Arial"/>
        </w:rPr>
        <w:t xml:space="preserve"> broadly describes the medical or behavior health care that some transgender or gender</w:t>
      </w:r>
      <w:r w:rsidR="00FD0682">
        <w:rPr>
          <w:rFonts w:ascii="Arial" w:hAnsi="Arial" w:cs="Arial"/>
        </w:rPr>
        <w:t>-</w:t>
      </w:r>
      <w:r w:rsidRPr="002156C7">
        <w:rPr>
          <w:rFonts w:ascii="Arial" w:hAnsi="Arial" w:cs="Arial"/>
        </w:rPr>
        <w:t>nonconforming people may seek in relation to their gender identity. Some of this includes transition related health care, such as supportive psychotherapy, hormone therapy, surgical procedures, voice therapy, and/or electrolysis. Transgender Healthcare also includes general healthcare that may be anxiety provoking due to its ties to gender, such as pap smears, chest exams, birth control, and prostate exams. Many transgender people have difficulty accessing general or transition related health care that is culturally competent.</w:t>
      </w:r>
    </w:p>
    <w:p w14:paraId="3EE9D1EB" w14:textId="77777777" w:rsidR="002156C7" w:rsidRPr="002156C7" w:rsidRDefault="002156C7" w:rsidP="002156C7">
      <w:pPr>
        <w:spacing w:after="0"/>
        <w:jc w:val="both"/>
        <w:rPr>
          <w:rFonts w:ascii="Arial" w:hAnsi="Arial" w:cs="Arial"/>
        </w:rPr>
      </w:pPr>
    </w:p>
    <w:p w14:paraId="2B26F332" w14:textId="77777777" w:rsidR="002156C7" w:rsidRPr="002156C7" w:rsidRDefault="002156C7" w:rsidP="002156C7">
      <w:pPr>
        <w:spacing w:after="0"/>
        <w:jc w:val="both"/>
        <w:rPr>
          <w:rFonts w:ascii="Arial" w:hAnsi="Arial" w:cs="Arial"/>
        </w:rPr>
      </w:pPr>
      <w:r w:rsidRPr="002156C7">
        <w:rPr>
          <w:rFonts w:ascii="Arial" w:hAnsi="Arial" w:cs="Arial"/>
          <w:b/>
        </w:rPr>
        <w:t xml:space="preserve">Transgender </w:t>
      </w:r>
      <w:r w:rsidR="005F6CF5">
        <w:rPr>
          <w:rFonts w:ascii="Arial" w:hAnsi="Arial" w:cs="Arial"/>
          <w:b/>
        </w:rPr>
        <w:t>m</w:t>
      </w:r>
      <w:r w:rsidRPr="002156C7">
        <w:rPr>
          <w:rFonts w:ascii="Arial" w:hAnsi="Arial" w:cs="Arial"/>
          <w:b/>
        </w:rPr>
        <w:t>an/FTM/</w:t>
      </w:r>
      <w:r w:rsidR="005F6CF5">
        <w:rPr>
          <w:rFonts w:ascii="Arial" w:hAnsi="Arial" w:cs="Arial"/>
          <w:b/>
        </w:rPr>
        <w:t>F</w:t>
      </w:r>
      <w:r w:rsidRPr="002156C7">
        <w:rPr>
          <w:rFonts w:ascii="Arial" w:hAnsi="Arial" w:cs="Arial"/>
          <w:b/>
        </w:rPr>
        <w:t>emale-to-</w:t>
      </w:r>
      <w:r w:rsidR="005F6CF5">
        <w:rPr>
          <w:rFonts w:ascii="Arial" w:hAnsi="Arial" w:cs="Arial"/>
          <w:b/>
        </w:rPr>
        <w:t>m</w:t>
      </w:r>
      <w:r w:rsidRPr="002156C7">
        <w:rPr>
          <w:rFonts w:ascii="Arial" w:hAnsi="Arial" w:cs="Arial"/>
          <w:b/>
        </w:rPr>
        <w:t>ale:</w:t>
      </w:r>
      <w:r w:rsidRPr="002156C7">
        <w:rPr>
          <w:rFonts w:ascii="Arial" w:hAnsi="Arial" w:cs="Arial"/>
        </w:rPr>
        <w:t xml:space="preserve"> a person who identifies as male, but was assigned female at birth.</w:t>
      </w:r>
      <w:r w:rsidR="005F6CF5">
        <w:rPr>
          <w:rFonts w:ascii="Arial" w:hAnsi="Arial" w:cs="Arial"/>
        </w:rPr>
        <w:t xml:space="preserve"> Note that the terms FTM and female-to-male are often used in lite</w:t>
      </w:r>
      <w:r w:rsidR="00FD0682">
        <w:rPr>
          <w:rFonts w:ascii="Arial" w:hAnsi="Arial" w:cs="Arial"/>
        </w:rPr>
        <w:t xml:space="preserve">rature and sometimes used as a </w:t>
      </w:r>
      <w:r w:rsidR="005F6CF5">
        <w:rPr>
          <w:rFonts w:ascii="Arial" w:hAnsi="Arial" w:cs="Arial"/>
        </w:rPr>
        <w:t xml:space="preserve">self-identification, but should be generally avoided as it can be interpreted as not respecting the validity of someone’s gender identity. </w:t>
      </w:r>
      <w:r w:rsidR="00FD0682">
        <w:rPr>
          <w:rFonts w:ascii="Arial" w:hAnsi="Arial" w:cs="Arial"/>
        </w:rPr>
        <w:t xml:space="preserve">A “transgender man,” or simply “man,” is generally the preferable way to refer to such an individual. </w:t>
      </w:r>
    </w:p>
    <w:p w14:paraId="104CA24E" w14:textId="77777777" w:rsidR="002156C7" w:rsidRPr="002156C7" w:rsidRDefault="002156C7" w:rsidP="002156C7">
      <w:pPr>
        <w:spacing w:after="0"/>
        <w:jc w:val="both"/>
        <w:rPr>
          <w:rFonts w:ascii="Arial" w:hAnsi="Arial" w:cs="Arial"/>
        </w:rPr>
      </w:pPr>
    </w:p>
    <w:p w14:paraId="66FB3558" w14:textId="77777777" w:rsidR="002156C7" w:rsidRPr="002156C7" w:rsidRDefault="002156C7" w:rsidP="002156C7">
      <w:pPr>
        <w:spacing w:after="0"/>
        <w:jc w:val="both"/>
        <w:rPr>
          <w:rFonts w:ascii="Arial" w:hAnsi="Arial" w:cs="Arial"/>
        </w:rPr>
      </w:pPr>
      <w:r w:rsidRPr="002156C7">
        <w:rPr>
          <w:rFonts w:ascii="Arial" w:hAnsi="Arial" w:cs="Arial"/>
          <w:b/>
        </w:rPr>
        <w:t xml:space="preserve">Transgender </w:t>
      </w:r>
      <w:r w:rsidR="005F6CF5">
        <w:rPr>
          <w:rFonts w:ascii="Arial" w:hAnsi="Arial" w:cs="Arial"/>
          <w:b/>
        </w:rPr>
        <w:t>w</w:t>
      </w:r>
      <w:r w:rsidRPr="002156C7">
        <w:rPr>
          <w:rFonts w:ascii="Arial" w:hAnsi="Arial" w:cs="Arial"/>
          <w:b/>
        </w:rPr>
        <w:t>oman/MTF/Male-to-</w:t>
      </w:r>
      <w:r w:rsidR="005F6CF5">
        <w:rPr>
          <w:rFonts w:ascii="Arial" w:hAnsi="Arial" w:cs="Arial"/>
          <w:b/>
        </w:rPr>
        <w:t>fe</w:t>
      </w:r>
      <w:r w:rsidRPr="002156C7">
        <w:rPr>
          <w:rFonts w:ascii="Arial" w:hAnsi="Arial" w:cs="Arial"/>
          <w:b/>
        </w:rPr>
        <w:t>male:</w:t>
      </w:r>
      <w:r w:rsidRPr="002156C7">
        <w:rPr>
          <w:rFonts w:ascii="Arial" w:hAnsi="Arial" w:cs="Arial"/>
        </w:rPr>
        <w:t xml:space="preserve"> a person who identifies as female, but was assigned male at birth.</w:t>
      </w:r>
      <w:r w:rsidR="005F6CF5" w:rsidRPr="005F6CF5">
        <w:t xml:space="preserve"> </w:t>
      </w:r>
      <w:r w:rsidR="005F6CF5" w:rsidRPr="005F6CF5">
        <w:rPr>
          <w:rFonts w:ascii="Arial" w:hAnsi="Arial" w:cs="Arial"/>
        </w:rPr>
        <w:t xml:space="preserve">Note that the terms </w:t>
      </w:r>
      <w:r w:rsidR="005F6CF5">
        <w:rPr>
          <w:rFonts w:ascii="Arial" w:hAnsi="Arial" w:cs="Arial"/>
        </w:rPr>
        <w:t>MTF</w:t>
      </w:r>
      <w:r w:rsidR="005F6CF5" w:rsidRPr="005F6CF5">
        <w:rPr>
          <w:rFonts w:ascii="Arial" w:hAnsi="Arial" w:cs="Arial"/>
        </w:rPr>
        <w:t xml:space="preserve"> and </w:t>
      </w:r>
      <w:r w:rsidR="005F6CF5">
        <w:rPr>
          <w:rFonts w:ascii="Arial" w:hAnsi="Arial" w:cs="Arial"/>
        </w:rPr>
        <w:t>male-to-female</w:t>
      </w:r>
      <w:r w:rsidR="005F6CF5" w:rsidRPr="005F6CF5">
        <w:rPr>
          <w:rFonts w:ascii="Arial" w:hAnsi="Arial" w:cs="Arial"/>
        </w:rPr>
        <w:t xml:space="preserve"> are often used in lite</w:t>
      </w:r>
      <w:r w:rsidR="00FD0682">
        <w:rPr>
          <w:rFonts w:ascii="Arial" w:hAnsi="Arial" w:cs="Arial"/>
        </w:rPr>
        <w:t xml:space="preserve">rature and sometimes used as </w:t>
      </w:r>
      <w:r w:rsidR="005F6CF5" w:rsidRPr="005F6CF5">
        <w:rPr>
          <w:rFonts w:ascii="Arial" w:hAnsi="Arial" w:cs="Arial"/>
        </w:rPr>
        <w:t>self-identification, but should be generally avoided as it can be interpreted as not respecting the validity of someone’s gender identity.</w:t>
      </w:r>
      <w:r w:rsidR="00FD0682">
        <w:rPr>
          <w:rFonts w:ascii="Arial" w:hAnsi="Arial" w:cs="Arial"/>
        </w:rPr>
        <w:t xml:space="preserve"> A “transgender woman,” or simply “woman,” is generally the preferable way to refer to such an individual. </w:t>
      </w:r>
    </w:p>
    <w:p w14:paraId="4E3A54D9" w14:textId="77777777" w:rsidR="002156C7" w:rsidRPr="002156C7" w:rsidRDefault="002156C7" w:rsidP="002156C7">
      <w:pPr>
        <w:spacing w:after="0"/>
        <w:jc w:val="both"/>
        <w:rPr>
          <w:rFonts w:ascii="Arial" w:hAnsi="Arial" w:cs="Arial"/>
        </w:rPr>
      </w:pPr>
    </w:p>
    <w:p w14:paraId="2ED5E78B" w14:textId="77777777" w:rsidR="002156C7" w:rsidRPr="002156C7" w:rsidRDefault="002156C7" w:rsidP="002156C7">
      <w:pPr>
        <w:spacing w:after="0"/>
        <w:jc w:val="both"/>
        <w:rPr>
          <w:rFonts w:ascii="Arial" w:hAnsi="Arial" w:cs="Arial"/>
        </w:rPr>
      </w:pPr>
      <w:r w:rsidRPr="002156C7">
        <w:rPr>
          <w:rFonts w:ascii="Arial" w:hAnsi="Arial" w:cs="Arial"/>
          <w:b/>
        </w:rPr>
        <w:t xml:space="preserve">Transphobia: </w:t>
      </w:r>
      <w:r w:rsidRPr="002156C7">
        <w:rPr>
          <w:rFonts w:ascii="Arial" w:hAnsi="Arial" w:cs="Arial"/>
        </w:rPr>
        <w:t>fear, hatred</w:t>
      </w:r>
      <w:r w:rsidR="00FD0682">
        <w:rPr>
          <w:rFonts w:ascii="Arial" w:hAnsi="Arial" w:cs="Arial"/>
        </w:rPr>
        <w:t>,</w:t>
      </w:r>
      <w:r w:rsidRPr="002156C7">
        <w:rPr>
          <w:rFonts w:ascii="Arial" w:hAnsi="Arial" w:cs="Arial"/>
        </w:rPr>
        <w:t xml:space="preserve"> or discriminatory response to a person who is or is perceived to be transgender or gender</w:t>
      </w:r>
      <w:r w:rsidR="00FD0682">
        <w:rPr>
          <w:rFonts w:ascii="Arial" w:hAnsi="Arial" w:cs="Arial"/>
        </w:rPr>
        <w:t>-</w:t>
      </w:r>
      <w:r w:rsidRPr="002156C7">
        <w:rPr>
          <w:rFonts w:ascii="Arial" w:hAnsi="Arial" w:cs="Arial"/>
        </w:rPr>
        <w:t>nonconforming.</w:t>
      </w:r>
    </w:p>
    <w:p w14:paraId="5F2089C0" w14:textId="77777777" w:rsidR="00A07650" w:rsidRDefault="00A07650">
      <w:pPr>
        <w:rPr>
          <w:rFonts w:ascii="Arial" w:hAnsi="Arial" w:cs="Arial"/>
        </w:rPr>
      </w:pPr>
      <w:r>
        <w:rPr>
          <w:rFonts w:ascii="Arial" w:hAnsi="Arial" w:cs="Arial"/>
        </w:rPr>
        <w:br w:type="page"/>
      </w:r>
    </w:p>
    <w:p w14:paraId="7E5164CF" w14:textId="77777777" w:rsidR="00A07650" w:rsidRPr="00A07650" w:rsidRDefault="00961938" w:rsidP="00E05DE6">
      <w:pPr>
        <w:pStyle w:val="Heading1"/>
      </w:pPr>
      <w:bookmarkStart w:id="50" w:name="_Toc512947928"/>
      <w:r>
        <w:rPr>
          <w:noProof/>
        </w:rPr>
        <w:lastRenderedPageBreak/>
        <w:drawing>
          <wp:anchor distT="0" distB="0" distL="114300" distR="114300" simplePos="0" relativeHeight="251797504" behindDoc="1" locked="0" layoutInCell="0" allowOverlap="1" wp14:anchorId="438514C3" wp14:editId="637A5973">
            <wp:simplePos x="0" y="0"/>
            <wp:positionH relativeFrom="column">
              <wp:posOffset>-24130</wp:posOffset>
            </wp:positionH>
            <wp:positionV relativeFrom="paragraph">
              <wp:posOffset>245745</wp:posOffset>
            </wp:positionV>
            <wp:extent cx="5980430" cy="27305"/>
            <wp:effectExtent l="0" t="0" r="1270" b="0"/>
            <wp:wrapNone/>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80430" cy="27305"/>
                    </a:xfrm>
                    <a:prstGeom prst="rect">
                      <a:avLst/>
                    </a:prstGeom>
                    <a:noFill/>
                  </pic:spPr>
                </pic:pic>
              </a:graphicData>
            </a:graphic>
          </wp:anchor>
        </w:drawing>
      </w:r>
      <w:r w:rsidR="00A07650">
        <w:t>Appendix B: LGBTQ Youth Resources</w:t>
      </w:r>
      <w:bookmarkEnd w:id="50"/>
    </w:p>
    <w:p w14:paraId="13956624" w14:textId="77777777" w:rsidR="00A07650" w:rsidRPr="00A07650" w:rsidRDefault="00A07650" w:rsidP="00A07650">
      <w:pPr>
        <w:spacing w:after="0"/>
        <w:jc w:val="both"/>
        <w:rPr>
          <w:rFonts w:ascii="Arial" w:hAnsi="Arial" w:cs="Arial"/>
          <w:sz w:val="28"/>
          <w:szCs w:val="28"/>
        </w:rPr>
      </w:pPr>
    </w:p>
    <w:p w14:paraId="657C402D" w14:textId="77777777" w:rsidR="00EB09DD" w:rsidRPr="00EB09DD" w:rsidRDefault="00EB09DD" w:rsidP="00EB09DD">
      <w:pPr>
        <w:keepNext/>
        <w:keepLines/>
        <w:spacing w:before="200" w:after="0"/>
        <w:outlineLvl w:val="1"/>
        <w:rPr>
          <w:rFonts w:ascii="Arial" w:eastAsiaTheme="majorEastAsia" w:hAnsi="Arial" w:cstheme="majorBidi"/>
          <w:b/>
          <w:bCs/>
          <w:color w:val="000000" w:themeColor="text1"/>
          <w:sz w:val="26"/>
          <w:szCs w:val="26"/>
        </w:rPr>
      </w:pPr>
      <w:bookmarkStart w:id="51" w:name="_Toc512947929"/>
      <w:r>
        <w:rPr>
          <w:rFonts w:ascii="Arial" w:eastAsiaTheme="majorEastAsia" w:hAnsi="Arial" w:cstheme="majorBidi"/>
          <w:b/>
          <w:bCs/>
          <w:color w:val="000000" w:themeColor="text1"/>
          <w:sz w:val="26"/>
          <w:szCs w:val="26"/>
        </w:rPr>
        <w:t>Massachusetts Commission on LGBTQ Youth</w:t>
      </w:r>
      <w:bookmarkEnd w:id="51"/>
    </w:p>
    <w:p w14:paraId="6AB6FB07" w14:textId="77777777" w:rsidR="00EB09DD" w:rsidRPr="00EB09DD" w:rsidRDefault="00EB09DD" w:rsidP="00EB09DD">
      <w:pPr>
        <w:spacing w:after="0"/>
        <w:jc w:val="both"/>
        <w:rPr>
          <w:rFonts w:ascii="Arial" w:hAnsi="Arial" w:cs="Arial"/>
        </w:rPr>
      </w:pPr>
      <w:r w:rsidRPr="00EB09DD">
        <w:rPr>
          <w:noProof/>
        </w:rPr>
        <w:drawing>
          <wp:anchor distT="0" distB="0" distL="114300" distR="114300" simplePos="0" relativeHeight="251823104" behindDoc="0" locked="0" layoutInCell="0" allowOverlap="1" wp14:anchorId="67C67E18" wp14:editId="44E05F72">
            <wp:simplePos x="0" y="0"/>
            <wp:positionH relativeFrom="column">
              <wp:posOffset>0</wp:posOffset>
            </wp:positionH>
            <wp:positionV relativeFrom="paragraph">
              <wp:posOffset>-76</wp:posOffset>
            </wp:positionV>
            <wp:extent cx="5980430" cy="18415"/>
            <wp:effectExtent l="0" t="0" r="1270" b="63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anchor>
        </w:drawing>
      </w:r>
    </w:p>
    <w:p w14:paraId="08C91EFA" w14:textId="77777777" w:rsidR="002156C7" w:rsidRDefault="00EB09DD" w:rsidP="00F37FB7">
      <w:pPr>
        <w:spacing w:after="0"/>
        <w:jc w:val="both"/>
        <w:rPr>
          <w:rFonts w:ascii="Arial" w:hAnsi="Arial" w:cs="Arial"/>
        </w:rPr>
      </w:pPr>
      <w:r>
        <w:rPr>
          <w:rFonts w:ascii="Arial" w:hAnsi="Arial" w:cs="Arial"/>
        </w:rPr>
        <w:t>The Commission</w:t>
      </w:r>
      <w:r w:rsidR="008528EE">
        <w:rPr>
          <w:rFonts w:ascii="Arial" w:hAnsi="Arial" w:cs="Arial"/>
        </w:rPr>
        <w:t>’s website</w:t>
      </w:r>
      <w:r>
        <w:rPr>
          <w:rFonts w:ascii="Arial" w:hAnsi="Arial" w:cs="Arial"/>
        </w:rPr>
        <w:t xml:space="preserve"> </w:t>
      </w:r>
      <w:r w:rsidR="00FD0682">
        <w:rPr>
          <w:rFonts w:ascii="Arial" w:hAnsi="Arial" w:cs="Arial"/>
        </w:rPr>
        <w:t>hosts lists of both governmental and nongovernmental resources, as well as resources of particular interest to educators</w:t>
      </w:r>
      <w:r w:rsidR="008528EE">
        <w:rPr>
          <w:rFonts w:ascii="Arial" w:hAnsi="Arial" w:cs="Arial"/>
        </w:rPr>
        <w:t xml:space="preserve">, and also </w:t>
      </w:r>
      <w:r w:rsidR="00FD0682">
        <w:rPr>
          <w:rFonts w:ascii="Arial" w:hAnsi="Arial" w:cs="Arial"/>
        </w:rPr>
        <w:t>contains</w:t>
      </w:r>
      <w:r>
        <w:rPr>
          <w:rFonts w:ascii="Arial" w:hAnsi="Arial" w:cs="Arial"/>
        </w:rPr>
        <w:t xml:space="preserve"> </w:t>
      </w:r>
      <w:r w:rsidR="008528EE">
        <w:rPr>
          <w:rFonts w:ascii="Arial" w:hAnsi="Arial" w:cs="Arial"/>
        </w:rPr>
        <w:t>policy documents for use by</w:t>
      </w:r>
      <w:r>
        <w:rPr>
          <w:rFonts w:ascii="Arial" w:hAnsi="Arial" w:cs="Arial"/>
        </w:rPr>
        <w:t xml:space="preserve"> </w:t>
      </w:r>
      <w:r w:rsidR="008528EE">
        <w:rPr>
          <w:rFonts w:ascii="Arial" w:hAnsi="Arial" w:cs="Arial"/>
        </w:rPr>
        <w:t>government agencies and others interested in LGBTQ youth policy</w:t>
      </w:r>
      <w:r>
        <w:rPr>
          <w:rFonts w:ascii="Arial" w:hAnsi="Arial" w:cs="Arial"/>
        </w:rPr>
        <w:t>. Its regular meetings are open to the public, and half of its 50 members are elected from the public at large, with applications typically open in August-September of each year.</w:t>
      </w:r>
      <w:r w:rsidR="008528EE">
        <w:rPr>
          <w:rFonts w:ascii="Arial" w:hAnsi="Arial" w:cs="Arial"/>
        </w:rPr>
        <w:t xml:space="preserve"> The Commission provides training and technical assistance to government agencies in the Commonwealth, and also has programs and events for community organizations. </w:t>
      </w:r>
      <w:r>
        <w:rPr>
          <w:rFonts w:ascii="Arial" w:hAnsi="Arial" w:cs="Arial"/>
        </w:rPr>
        <w:t xml:space="preserve"> </w:t>
      </w:r>
    </w:p>
    <w:p w14:paraId="26B611B9" w14:textId="77777777" w:rsidR="00EB09DD" w:rsidRPr="00EB09DD" w:rsidRDefault="00AD3491" w:rsidP="00F37FB7">
      <w:pPr>
        <w:spacing w:after="0"/>
        <w:jc w:val="both"/>
        <w:rPr>
          <w:rFonts w:ascii="Arial" w:hAnsi="Arial" w:cs="Arial"/>
        </w:rPr>
      </w:pPr>
      <w:hyperlink r:id="rId17" w:history="1">
        <w:r w:rsidR="00EB09DD" w:rsidRPr="00EB09DD">
          <w:rPr>
            <w:rStyle w:val="Hyperlink"/>
            <w:rFonts w:ascii="Arial" w:hAnsi="Arial" w:cs="Arial"/>
          </w:rPr>
          <w:t>http://mass.gov/cgly</w:t>
        </w:r>
      </w:hyperlink>
      <w:r w:rsidR="00EB09DD" w:rsidRPr="00EB09DD">
        <w:rPr>
          <w:rFonts w:ascii="Arial" w:hAnsi="Arial" w:cs="Arial"/>
        </w:rPr>
        <w:tab/>
      </w:r>
      <w:r w:rsidR="00EB09DD" w:rsidRPr="00EB09DD">
        <w:rPr>
          <w:rFonts w:ascii="Arial" w:hAnsi="Arial" w:cs="Arial"/>
        </w:rPr>
        <w:tab/>
      </w:r>
    </w:p>
    <w:p w14:paraId="31D2A2D3" w14:textId="77777777" w:rsidR="002156C7" w:rsidRDefault="00EB09DD" w:rsidP="00F37FB7">
      <w:pPr>
        <w:spacing w:after="0"/>
        <w:jc w:val="both"/>
        <w:rPr>
          <w:rFonts w:ascii="Arial" w:hAnsi="Arial" w:cs="Arial"/>
        </w:rPr>
      </w:pPr>
      <w:r w:rsidRPr="00EB09DD">
        <w:rPr>
          <w:rFonts w:ascii="Arial" w:hAnsi="Arial" w:cs="Arial"/>
        </w:rPr>
        <w:t>(617) 624-5495</w:t>
      </w:r>
    </w:p>
    <w:p w14:paraId="78BD5077" w14:textId="77777777" w:rsidR="00EB09DD" w:rsidRDefault="00EB09DD" w:rsidP="00F37FB7">
      <w:pPr>
        <w:spacing w:after="0"/>
        <w:jc w:val="both"/>
        <w:rPr>
          <w:rFonts w:ascii="Arial" w:hAnsi="Arial" w:cs="Arial"/>
        </w:rPr>
      </w:pPr>
    </w:p>
    <w:p w14:paraId="11C4E0F1" w14:textId="77777777" w:rsidR="00EB09DD" w:rsidRPr="00EB09DD" w:rsidRDefault="00EB09DD" w:rsidP="00EB09DD">
      <w:pPr>
        <w:keepNext/>
        <w:keepLines/>
        <w:spacing w:before="200" w:after="0"/>
        <w:outlineLvl w:val="1"/>
        <w:rPr>
          <w:rFonts w:ascii="Arial" w:eastAsiaTheme="majorEastAsia" w:hAnsi="Arial" w:cstheme="majorBidi"/>
          <w:b/>
          <w:bCs/>
          <w:color w:val="000000" w:themeColor="text1"/>
          <w:sz w:val="26"/>
          <w:szCs w:val="26"/>
        </w:rPr>
      </w:pPr>
      <w:bookmarkStart w:id="52" w:name="_Toc512947930"/>
      <w:r>
        <w:rPr>
          <w:rFonts w:ascii="Arial" w:eastAsiaTheme="majorEastAsia" w:hAnsi="Arial" w:cstheme="majorBidi"/>
          <w:b/>
          <w:bCs/>
          <w:color w:val="000000" w:themeColor="text1"/>
          <w:sz w:val="26"/>
          <w:szCs w:val="26"/>
        </w:rPr>
        <w:t>Safe Schools Program for LGBTQ Youth</w:t>
      </w:r>
      <w:bookmarkEnd w:id="52"/>
    </w:p>
    <w:p w14:paraId="48F62CD5" w14:textId="77777777" w:rsidR="00EB09DD" w:rsidRPr="00EB09DD" w:rsidRDefault="00EB09DD" w:rsidP="00EB09DD">
      <w:pPr>
        <w:spacing w:after="0"/>
        <w:jc w:val="both"/>
        <w:rPr>
          <w:rFonts w:ascii="Arial" w:hAnsi="Arial" w:cs="Arial"/>
        </w:rPr>
      </w:pPr>
      <w:r w:rsidRPr="00EB09DD">
        <w:rPr>
          <w:noProof/>
        </w:rPr>
        <w:drawing>
          <wp:anchor distT="0" distB="0" distL="114300" distR="114300" simplePos="0" relativeHeight="251825152" behindDoc="0" locked="0" layoutInCell="0" allowOverlap="1" wp14:anchorId="6EBA7480" wp14:editId="02143569">
            <wp:simplePos x="0" y="0"/>
            <wp:positionH relativeFrom="column">
              <wp:posOffset>0</wp:posOffset>
            </wp:positionH>
            <wp:positionV relativeFrom="paragraph">
              <wp:posOffset>-76</wp:posOffset>
            </wp:positionV>
            <wp:extent cx="5980430" cy="18415"/>
            <wp:effectExtent l="0" t="0" r="1270" b="635"/>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anchor>
        </w:drawing>
      </w:r>
    </w:p>
    <w:p w14:paraId="2722B275" w14:textId="77777777" w:rsidR="00EB09DD" w:rsidRDefault="00EB09DD" w:rsidP="00EB09DD">
      <w:pPr>
        <w:spacing w:after="0"/>
        <w:jc w:val="both"/>
        <w:rPr>
          <w:rFonts w:ascii="Arial" w:hAnsi="Arial" w:cs="Arial"/>
        </w:rPr>
      </w:pPr>
      <w:r>
        <w:rPr>
          <w:rFonts w:ascii="Arial" w:hAnsi="Arial" w:cs="Arial"/>
        </w:rPr>
        <w:t>The Safe Schools Program is co-sponsored by the Commission on LGBTQ Youth and the Department of Elementary and Secondary Education. It provides training and technical assistance to public schools across the Commonwealth.</w:t>
      </w:r>
    </w:p>
    <w:p w14:paraId="79250C7D" w14:textId="77777777" w:rsidR="00EB09DD" w:rsidRDefault="00AD3491" w:rsidP="00EB09DD">
      <w:pPr>
        <w:spacing w:after="0"/>
        <w:jc w:val="both"/>
        <w:rPr>
          <w:rFonts w:ascii="Arial" w:hAnsi="Arial" w:cs="Arial"/>
        </w:rPr>
      </w:pPr>
      <w:hyperlink r:id="rId18" w:history="1">
        <w:r w:rsidR="00EB09DD" w:rsidRPr="003E795A">
          <w:rPr>
            <w:rStyle w:val="Hyperlink"/>
            <w:rFonts w:ascii="Arial" w:hAnsi="Arial" w:cs="Arial"/>
          </w:rPr>
          <w:t>http://www.doe.mass.edu/sfs/lgbtq/</w:t>
        </w:r>
      </w:hyperlink>
    </w:p>
    <w:p w14:paraId="1D5D1D62" w14:textId="77777777" w:rsidR="00EB09DD" w:rsidRDefault="00EB09DD" w:rsidP="00EB09DD">
      <w:pPr>
        <w:spacing w:after="0"/>
        <w:jc w:val="both"/>
        <w:rPr>
          <w:rFonts w:ascii="Arial" w:hAnsi="Arial" w:cs="Arial"/>
        </w:rPr>
      </w:pPr>
      <w:r>
        <w:rPr>
          <w:rFonts w:ascii="Arial" w:hAnsi="Arial" w:cs="Arial"/>
        </w:rPr>
        <w:t>(</w:t>
      </w:r>
      <w:r w:rsidRPr="00EB09DD">
        <w:rPr>
          <w:rFonts w:ascii="Arial" w:hAnsi="Arial" w:cs="Arial"/>
        </w:rPr>
        <w:t>781</w:t>
      </w:r>
      <w:r>
        <w:rPr>
          <w:rFonts w:ascii="Arial" w:hAnsi="Arial" w:cs="Arial"/>
        </w:rPr>
        <w:t xml:space="preserve">) </w:t>
      </w:r>
      <w:r w:rsidRPr="00EB09DD">
        <w:rPr>
          <w:rFonts w:ascii="Arial" w:hAnsi="Arial" w:cs="Arial"/>
        </w:rPr>
        <w:t>338-6319</w:t>
      </w:r>
    </w:p>
    <w:p w14:paraId="183D09C0" w14:textId="77777777" w:rsidR="00EB09DD" w:rsidRDefault="00EB09DD" w:rsidP="00EB09DD">
      <w:pPr>
        <w:spacing w:after="0"/>
        <w:jc w:val="both"/>
        <w:rPr>
          <w:rFonts w:ascii="Arial" w:hAnsi="Arial" w:cs="Arial"/>
        </w:rPr>
      </w:pPr>
    </w:p>
    <w:p w14:paraId="78ABD9B9" w14:textId="77777777" w:rsidR="00EB09DD" w:rsidRPr="00EB09DD" w:rsidRDefault="00EB09DD" w:rsidP="00EB09DD">
      <w:pPr>
        <w:keepNext/>
        <w:keepLines/>
        <w:spacing w:before="200" w:after="0"/>
        <w:outlineLvl w:val="1"/>
        <w:rPr>
          <w:rFonts w:ascii="Arial" w:eastAsiaTheme="majorEastAsia" w:hAnsi="Arial" w:cstheme="majorBidi"/>
          <w:b/>
          <w:bCs/>
          <w:color w:val="000000" w:themeColor="text1"/>
          <w:sz w:val="26"/>
          <w:szCs w:val="26"/>
        </w:rPr>
      </w:pPr>
      <w:bookmarkStart w:id="53" w:name="_Toc512947931"/>
      <w:r>
        <w:rPr>
          <w:rFonts w:ascii="Arial" w:eastAsiaTheme="majorEastAsia" w:hAnsi="Arial" w:cstheme="majorBidi"/>
          <w:b/>
          <w:bCs/>
          <w:color w:val="000000" w:themeColor="text1"/>
          <w:sz w:val="26"/>
          <w:szCs w:val="26"/>
        </w:rPr>
        <w:t>LGBTQ Youth Resource Map</w:t>
      </w:r>
      <w:bookmarkEnd w:id="53"/>
    </w:p>
    <w:p w14:paraId="73CC7947" w14:textId="77777777" w:rsidR="00EB09DD" w:rsidRPr="00EB09DD" w:rsidRDefault="00EB09DD" w:rsidP="00EB09DD">
      <w:pPr>
        <w:spacing w:after="0"/>
        <w:jc w:val="both"/>
        <w:rPr>
          <w:rFonts w:ascii="Arial" w:hAnsi="Arial" w:cs="Arial"/>
        </w:rPr>
      </w:pPr>
      <w:r w:rsidRPr="00EB09DD">
        <w:rPr>
          <w:noProof/>
        </w:rPr>
        <w:drawing>
          <wp:anchor distT="0" distB="0" distL="114300" distR="114300" simplePos="0" relativeHeight="251827200" behindDoc="0" locked="0" layoutInCell="0" allowOverlap="1" wp14:anchorId="5C51A7A1" wp14:editId="4398A4F5">
            <wp:simplePos x="0" y="0"/>
            <wp:positionH relativeFrom="column">
              <wp:posOffset>0</wp:posOffset>
            </wp:positionH>
            <wp:positionV relativeFrom="paragraph">
              <wp:posOffset>-76</wp:posOffset>
            </wp:positionV>
            <wp:extent cx="5980430" cy="18415"/>
            <wp:effectExtent l="0" t="0" r="1270" b="635"/>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anchor>
        </w:drawing>
      </w:r>
    </w:p>
    <w:p w14:paraId="0655885D" w14:textId="77777777" w:rsidR="00EB09DD" w:rsidRDefault="00EB09DD" w:rsidP="00EB09DD">
      <w:pPr>
        <w:spacing w:after="0"/>
        <w:jc w:val="both"/>
        <w:rPr>
          <w:rFonts w:ascii="Arial" w:hAnsi="Arial" w:cs="Arial"/>
        </w:rPr>
      </w:pPr>
      <w:r>
        <w:rPr>
          <w:rFonts w:ascii="Arial" w:hAnsi="Arial" w:cs="Arial"/>
        </w:rPr>
        <w:t xml:space="preserve">The LGBTQ Youth Resource Map is a new venture of the Commission on LGBTQ Youth that is launching </w:t>
      </w:r>
      <w:r w:rsidR="00FD0682">
        <w:rPr>
          <w:rFonts w:ascii="Arial" w:hAnsi="Arial" w:cs="Arial"/>
        </w:rPr>
        <w:t>summer</w:t>
      </w:r>
      <w:r>
        <w:rPr>
          <w:rFonts w:ascii="Arial" w:hAnsi="Arial" w:cs="Arial"/>
        </w:rPr>
        <w:t xml:space="preserve"> 2018. This map includes entities that have self-identified as being LGBTQ-serving or that have programs specifically for LGBTQ youth. Join the Commission’s newsletter on </w:t>
      </w:r>
      <w:r w:rsidR="00FD0682">
        <w:rPr>
          <w:rFonts w:ascii="Arial" w:hAnsi="Arial" w:cs="Arial"/>
        </w:rPr>
        <w:t>its</w:t>
      </w:r>
      <w:r>
        <w:rPr>
          <w:rFonts w:ascii="Arial" w:hAnsi="Arial" w:cs="Arial"/>
        </w:rPr>
        <w:t xml:space="preserve"> website (above) to be notified when this map is launched, or visit </w:t>
      </w:r>
      <w:r w:rsidR="00FD0682">
        <w:rPr>
          <w:rFonts w:ascii="Arial" w:hAnsi="Arial" w:cs="Arial"/>
        </w:rPr>
        <w:t>the</w:t>
      </w:r>
      <w:r>
        <w:rPr>
          <w:rFonts w:ascii="Arial" w:hAnsi="Arial" w:cs="Arial"/>
        </w:rPr>
        <w:t xml:space="preserve"> site below. </w:t>
      </w:r>
    </w:p>
    <w:p w14:paraId="1A5D1D19" w14:textId="77777777" w:rsidR="00EB09DD" w:rsidRDefault="00AD3491" w:rsidP="00EB09DD">
      <w:pPr>
        <w:spacing w:after="0"/>
        <w:jc w:val="both"/>
        <w:rPr>
          <w:rFonts w:ascii="Arial" w:hAnsi="Arial" w:cs="Arial"/>
        </w:rPr>
      </w:pPr>
      <w:hyperlink r:id="rId19" w:history="1">
        <w:r w:rsidR="00EB09DD" w:rsidRPr="003E795A">
          <w:rPr>
            <w:rStyle w:val="Hyperlink"/>
            <w:rFonts w:ascii="Arial" w:hAnsi="Arial" w:cs="Arial"/>
          </w:rPr>
          <w:t>http://ma-lgbtq.org</w:t>
        </w:r>
      </w:hyperlink>
      <w:r w:rsidR="00EB09DD">
        <w:rPr>
          <w:rFonts w:ascii="Arial" w:hAnsi="Arial" w:cs="Arial"/>
        </w:rPr>
        <w:t xml:space="preserve"> </w:t>
      </w:r>
    </w:p>
    <w:p w14:paraId="0131FC3C" w14:textId="77777777" w:rsidR="00EB09DD" w:rsidRDefault="00EB09DD" w:rsidP="00EB09DD">
      <w:pPr>
        <w:spacing w:after="0"/>
        <w:jc w:val="both"/>
        <w:rPr>
          <w:rFonts w:ascii="Arial" w:hAnsi="Arial" w:cs="Arial"/>
        </w:rPr>
      </w:pPr>
      <w:r w:rsidRPr="00EB09DD">
        <w:rPr>
          <w:rFonts w:ascii="Arial" w:hAnsi="Arial" w:cs="Arial"/>
        </w:rPr>
        <w:t>(617) 624-5495</w:t>
      </w:r>
    </w:p>
    <w:p w14:paraId="75A64D74" w14:textId="77777777" w:rsidR="00EB09DD" w:rsidRDefault="00EB09DD" w:rsidP="00EB09DD">
      <w:pPr>
        <w:spacing w:after="0"/>
        <w:jc w:val="both"/>
        <w:rPr>
          <w:rFonts w:ascii="Arial" w:hAnsi="Arial" w:cs="Arial"/>
        </w:rPr>
      </w:pPr>
    </w:p>
    <w:p w14:paraId="07F65C2C" w14:textId="77777777" w:rsidR="00EB09DD" w:rsidRPr="00EB09DD" w:rsidRDefault="00EB09DD" w:rsidP="00EB09DD">
      <w:pPr>
        <w:keepNext/>
        <w:keepLines/>
        <w:spacing w:before="200" w:after="0"/>
        <w:outlineLvl w:val="1"/>
        <w:rPr>
          <w:rFonts w:ascii="Arial" w:eastAsiaTheme="majorEastAsia" w:hAnsi="Arial" w:cstheme="majorBidi"/>
          <w:b/>
          <w:bCs/>
          <w:color w:val="000000" w:themeColor="text1"/>
          <w:sz w:val="26"/>
          <w:szCs w:val="26"/>
        </w:rPr>
      </w:pPr>
      <w:bookmarkStart w:id="54" w:name="_Toc512947932"/>
      <w:r>
        <w:rPr>
          <w:rFonts w:ascii="Arial" w:eastAsiaTheme="majorEastAsia" w:hAnsi="Arial" w:cstheme="majorBidi"/>
          <w:b/>
          <w:bCs/>
          <w:color w:val="000000" w:themeColor="text1"/>
          <w:sz w:val="26"/>
          <w:szCs w:val="26"/>
        </w:rPr>
        <w:t>Office of the Child Advocate</w:t>
      </w:r>
      <w:bookmarkEnd w:id="54"/>
    </w:p>
    <w:p w14:paraId="113ABAC3" w14:textId="77777777" w:rsidR="00EB09DD" w:rsidRPr="00EB09DD" w:rsidRDefault="00EB09DD" w:rsidP="00EB09DD">
      <w:pPr>
        <w:spacing w:after="0"/>
        <w:jc w:val="both"/>
        <w:rPr>
          <w:rFonts w:ascii="Arial" w:hAnsi="Arial" w:cs="Arial"/>
        </w:rPr>
      </w:pPr>
      <w:r w:rsidRPr="00EB09DD">
        <w:rPr>
          <w:noProof/>
        </w:rPr>
        <w:drawing>
          <wp:anchor distT="0" distB="0" distL="114300" distR="114300" simplePos="0" relativeHeight="251829248" behindDoc="0" locked="0" layoutInCell="0" allowOverlap="1" wp14:anchorId="51FD10D6" wp14:editId="747BC6AB">
            <wp:simplePos x="0" y="0"/>
            <wp:positionH relativeFrom="column">
              <wp:posOffset>-27305</wp:posOffset>
            </wp:positionH>
            <wp:positionV relativeFrom="paragraph">
              <wp:posOffset>6985</wp:posOffset>
            </wp:positionV>
            <wp:extent cx="5980430" cy="18415"/>
            <wp:effectExtent l="0" t="0" r="1270" b="635"/>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anchor>
        </w:drawing>
      </w:r>
    </w:p>
    <w:p w14:paraId="151B75DA" w14:textId="77777777" w:rsidR="005F6CF5" w:rsidRDefault="00EB09DD" w:rsidP="00EB09DD">
      <w:pPr>
        <w:spacing w:after="0"/>
        <w:jc w:val="both"/>
        <w:rPr>
          <w:rFonts w:ascii="Arial" w:hAnsi="Arial" w:cs="Arial"/>
        </w:rPr>
      </w:pPr>
      <w:r>
        <w:rPr>
          <w:rFonts w:ascii="Arial" w:hAnsi="Arial" w:cs="Arial"/>
        </w:rPr>
        <w:t xml:space="preserve">The Office of the Child Advocate </w:t>
      </w:r>
      <w:r w:rsidR="005F6CF5" w:rsidRPr="005F6CF5">
        <w:rPr>
          <w:rFonts w:ascii="Arial" w:hAnsi="Arial" w:cs="Arial"/>
        </w:rPr>
        <w:t xml:space="preserve">works to improve state services for children and families, and maintains an online complaint form </w:t>
      </w:r>
      <w:r w:rsidR="005F6CF5">
        <w:rPr>
          <w:rFonts w:ascii="Arial" w:hAnsi="Arial" w:cs="Arial"/>
        </w:rPr>
        <w:t xml:space="preserve">and a telephone complaint line that can be used to file grievances about negative experiences </w:t>
      </w:r>
      <w:r w:rsidR="00FD0682">
        <w:rPr>
          <w:rFonts w:ascii="Arial" w:hAnsi="Arial" w:cs="Arial"/>
        </w:rPr>
        <w:t>in seeking services</w:t>
      </w:r>
      <w:r w:rsidR="005F6CF5">
        <w:rPr>
          <w:rFonts w:ascii="Arial" w:hAnsi="Arial" w:cs="Arial"/>
        </w:rPr>
        <w:t xml:space="preserve">. </w:t>
      </w:r>
    </w:p>
    <w:p w14:paraId="5984E9B6" w14:textId="77777777" w:rsidR="005F6CF5" w:rsidRDefault="00AD3491" w:rsidP="00EB09DD">
      <w:pPr>
        <w:spacing w:after="0"/>
        <w:jc w:val="both"/>
        <w:rPr>
          <w:rFonts w:ascii="Arial" w:hAnsi="Arial" w:cs="Arial"/>
        </w:rPr>
      </w:pPr>
      <w:hyperlink r:id="rId20" w:history="1">
        <w:r w:rsidR="005F6CF5" w:rsidRPr="003E795A">
          <w:rPr>
            <w:rStyle w:val="Hyperlink"/>
            <w:rFonts w:ascii="Arial" w:hAnsi="Arial" w:cs="Arial"/>
          </w:rPr>
          <w:t>http://mass.gov/childadvocate</w:t>
        </w:r>
      </w:hyperlink>
      <w:r w:rsidR="005F6CF5">
        <w:rPr>
          <w:rFonts w:ascii="Arial" w:hAnsi="Arial" w:cs="Arial"/>
        </w:rPr>
        <w:t xml:space="preserve"> </w:t>
      </w:r>
    </w:p>
    <w:p w14:paraId="5B06C9D3" w14:textId="77777777" w:rsidR="005F6CF5" w:rsidRPr="005F6CF5" w:rsidRDefault="005F6CF5" w:rsidP="005F6CF5">
      <w:pPr>
        <w:spacing w:after="0"/>
        <w:jc w:val="both"/>
        <w:rPr>
          <w:rFonts w:ascii="Arial" w:hAnsi="Arial" w:cs="Arial"/>
        </w:rPr>
      </w:pPr>
      <w:r>
        <w:rPr>
          <w:rFonts w:ascii="Arial" w:hAnsi="Arial" w:cs="Arial"/>
        </w:rPr>
        <w:t>(</w:t>
      </w:r>
      <w:r w:rsidRPr="005F6CF5">
        <w:rPr>
          <w:rFonts w:ascii="Arial" w:hAnsi="Arial" w:cs="Arial"/>
        </w:rPr>
        <w:t>617) 979-8374</w:t>
      </w:r>
      <w:r>
        <w:rPr>
          <w:rFonts w:ascii="Arial" w:hAnsi="Arial" w:cs="Arial"/>
        </w:rPr>
        <w:t xml:space="preserve"> [Main]</w:t>
      </w:r>
    </w:p>
    <w:p w14:paraId="2E799445" w14:textId="77777777" w:rsidR="00A07650" w:rsidRPr="00EB09DD" w:rsidRDefault="005F6CF5" w:rsidP="005F6CF5">
      <w:pPr>
        <w:spacing w:after="0"/>
        <w:jc w:val="both"/>
        <w:rPr>
          <w:rFonts w:ascii="Arial" w:hAnsi="Arial" w:cs="Arial"/>
        </w:rPr>
      </w:pPr>
      <w:r w:rsidRPr="005F6CF5">
        <w:rPr>
          <w:rFonts w:ascii="Arial" w:hAnsi="Arial" w:cs="Arial"/>
        </w:rPr>
        <w:t>(617) 979-8360</w:t>
      </w:r>
      <w:r>
        <w:rPr>
          <w:rFonts w:ascii="Arial" w:hAnsi="Arial" w:cs="Arial"/>
        </w:rPr>
        <w:t xml:space="preserve"> [Complaint line]</w:t>
      </w:r>
      <w:r w:rsidR="00A07650">
        <w:rPr>
          <w:rFonts w:ascii="Arial" w:hAnsi="Arial" w:cs="Arial"/>
          <w:b/>
          <w:sz w:val="28"/>
          <w:szCs w:val="28"/>
        </w:rPr>
        <w:br w:type="page"/>
      </w:r>
    </w:p>
    <w:p w14:paraId="0939F522" w14:textId="77777777" w:rsidR="002156C7" w:rsidRPr="00A07650" w:rsidRDefault="00335E15" w:rsidP="00E05DE6">
      <w:pPr>
        <w:pStyle w:val="Heading1"/>
      </w:pPr>
      <w:bookmarkStart w:id="55" w:name="_Toc512947933"/>
      <w:r>
        <w:rPr>
          <w:noProof/>
        </w:rPr>
        <w:lastRenderedPageBreak/>
        <w:drawing>
          <wp:anchor distT="0" distB="0" distL="114300" distR="114300" simplePos="0" relativeHeight="251831296" behindDoc="0" locked="0" layoutInCell="0" allowOverlap="1" wp14:anchorId="4B8181A9" wp14:editId="42580DD5">
            <wp:simplePos x="0" y="0"/>
            <wp:positionH relativeFrom="column">
              <wp:posOffset>0</wp:posOffset>
            </wp:positionH>
            <wp:positionV relativeFrom="paragraph">
              <wp:posOffset>395643</wp:posOffset>
            </wp:positionV>
            <wp:extent cx="5980430" cy="27305"/>
            <wp:effectExtent l="0" t="0" r="127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80430" cy="27305"/>
                    </a:xfrm>
                    <a:prstGeom prst="rect">
                      <a:avLst/>
                    </a:prstGeom>
                    <a:noFill/>
                  </pic:spPr>
                </pic:pic>
              </a:graphicData>
            </a:graphic>
          </wp:anchor>
        </w:drawing>
      </w:r>
      <w:r w:rsidR="00A07650">
        <w:t>Endnotes</w:t>
      </w:r>
      <w:bookmarkEnd w:id="55"/>
    </w:p>
    <w:sectPr w:rsidR="002156C7" w:rsidRPr="00A07650" w:rsidSect="005463A9">
      <w:endnotePr>
        <w:numFmt w:val="decimal"/>
      </w:endnotePr>
      <w:type w:val="continuous"/>
      <w:pgSz w:w="12240" w:h="15840"/>
      <w:pgMar w:top="1440" w:right="1440" w:bottom="1440" w:left="1440" w:header="720" w:footer="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15:commentEx w15:paraId="47176B43" w15:done="0"/>
  <w15:commentEx w15:paraId="687ABCBC" w15:done="0"/>
  <w15:commentEx w15:paraId="47A75881" w15:done="0"/>
  <w15:commentEx w15:paraId="79FB2F64" w15:done="0"/>
  <w15:commentEx w15:paraId="1DD81928" w15:paraIdParent="79FB2F64" w15:done="0"/>
  <w15:commentEx w15:paraId="212B8766" w15:done="0"/>
  <w15:commentEx w15:paraId="34560A10" w15:done="0"/>
  <w15:commentEx w15:paraId="63CCCFAB" w15:done="0"/>
  <w15:commentEx w15:paraId="4347B461" w15:done="0"/>
  <w15:commentEx w15:paraId="41FD29C1" w15:done="0"/>
  <w15:commentEx w15:paraId="30DFBE3D" w15:done="0"/>
  <w15:commentEx w15:paraId="1291EB33" w15:done="0"/>
  <w15:commentEx w15:paraId="02F8D07C" w15:done="0"/>
  <w15:commentEx w15:paraId="4E4CEBD2" w15:done="0"/>
  <w15:commentEx w15:paraId="3F2F8147" w15:done="0"/>
  <w15:commentEx w15:paraId="5B9FBEBF" w15:done="0"/>
  <w15:commentEx w15:paraId="1E62C711" w15:done="0"/>
  <w15:commentEx w15:paraId="4E7B9C7C" w15:done="0"/>
  <w15:commentEx w15:paraId="772F328F" w15:done="0"/>
  <w15:commentEx w15:paraId="1D5ECA1A" w15:done="0"/>
  <w15:commentEx w15:paraId="68B39F44" w15:done="0"/>
  <w15:commentEx w15:paraId="5E9E7F69" w15:paraIdParent="68B39F44" w15:done="0"/>
  <w15:commentEx w15:paraId="4DF1F5B4" w15:done="0"/>
  <w15:commentEx w15:paraId="661B5F07" w15:done="0"/>
  <w15:commentEx w15:paraId="566BD9D9" w15:done="0"/>
  <w15:commentEx w15:paraId="02914369" w15:done="0"/>
  <w15:commentEx w15:paraId="19D3C400" w15:done="0"/>
  <w15:commentEx w15:paraId="6C12F7F6" w15:done="0"/>
  <w15:commentEx w15:paraId="2EBF7F8B" w15:done="0"/>
  <w15:commentEx w15:paraId="038CD5FC" w15:done="0"/>
  <w15:commentEx w15:paraId="1B1E62DF" w15:paraIdParent="038CD5FC" w15:done="0"/>
  <w15:commentEx w15:paraId="71BE35DC" w15:done="0"/>
  <w15:commentEx w15:paraId="0A3FDE85" w15:done="0"/>
  <w15:commentEx w15:paraId="4CF9D9E5" w15:done="0"/>
  <w15:commentEx w15:paraId="12EAECB1" w15:done="0"/>
  <w15:commentEx w15:paraId="02F0907D" w15:done="0"/>
  <w15:commentEx w15:paraId="2163708D" w15:done="0"/>
  <w15:commentEx w15:paraId="28290C9F" w15:done="0"/>
  <w15:commentEx w15:paraId="49D5EEDA" w15:done="0"/>
  <w15:commentEx w15:paraId="3AE48562" w15:done="0"/>
  <w15:commentEx w15:paraId="2F38F8CA" w15:done="0"/>
  <w15:commentEx w15:paraId="37AD1DD2" w15:done="0"/>
  <w15:commentEx w15:paraId="37E2C4B2" w15:done="0"/>
  <w15:commentEx w15:paraId="11A0A2FB" w15:done="0"/>
  <w15:commentEx w15:paraId="18341C1F" w15:done="0"/>
  <w15:commentEx w15:paraId="6CA6AF47" w15:done="0"/>
  <w15:commentEx w15:paraId="5A992124" w15:done="0"/>
  <w15:commentEx w15:paraId="39A17FF3" w15:done="0"/>
  <w15:commentEx w15:paraId="56516012" w15:paraIdParent="39A17FF3" w15:done="0"/>
  <w15:commentEx w15:paraId="3F99577E" w15:done="0"/>
  <w15:commentEx w15:paraId="78BE4873" w15:done="0"/>
  <w15:commentEx w15:paraId="36EE4F27" w15:done="0"/>
  <w15:commentEx w15:paraId="6F5F49E1" w15:done="0"/>
  <w15:commentEx w15:paraId="44B98EC7" w15:paraIdParent="6F5F49E1" w15:done="0"/>
  <w15:commentEx w15:paraId="09333B16" w15:done="0"/>
  <w15:commentEx w15:paraId="65370A02" w15:done="0"/>
  <w15:commentEx w15:paraId="0F3D0D15" w15:done="0"/>
  <w15:commentEx w15:paraId="35A23E37" w15:done="0"/>
  <w15:commentEx w15:paraId="22290EE5" w15:done="0"/>
  <w15:commentEx w15:paraId="38B05B3D" w15:done="0"/>
  <w15:commentEx w15:paraId="373786CA" w15:done="0"/>
  <w15:commentEx w15:paraId="6F66CE14" w15:done="0"/>
  <w15:commentEx w15:paraId="2F705D2A" w15:done="0"/>
  <w15:commentEx w15:paraId="60A907C1" w15:done="0"/>
  <w15:commentEx w15:paraId="4F9B53B9" w15:done="0"/>
  <w15:commentEx w15:paraId="14E7CD88" w15:done="0"/>
  <w15:commentEx w15:paraId="1BC48E69" w15:done="0"/>
  <w15:commentEx w15:paraId="5E9807DE" w15:done="0"/>
  <w15:commentEx w15:paraId="2534E4FA" w15:done="0"/>
  <w15:commentEx w15:paraId="3765DC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50BBDC" w16cid:durableId="1E8D7C4D"/>
  <w16cid:commentId w16cid:paraId="2A30C849" w16cid:durableId="1E43F44D"/>
  <w16cid:commentId w16cid:paraId="6961E1E2" w16cid:durableId="1E4CD9C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412BAF" w14:textId="77777777" w:rsidR="00AD3491" w:rsidRPr="00335E15" w:rsidRDefault="00AD3491" w:rsidP="00335E15">
      <w:pPr>
        <w:pStyle w:val="Footer"/>
      </w:pPr>
      <w:r>
        <w:t xml:space="preserve"> </w:t>
      </w:r>
    </w:p>
  </w:endnote>
  <w:endnote w:type="continuationSeparator" w:id="0">
    <w:p w14:paraId="43E80B3E" w14:textId="77777777" w:rsidR="00AD3491" w:rsidRDefault="00AD3491" w:rsidP="00400468">
      <w:pPr>
        <w:spacing w:after="0" w:line="240" w:lineRule="auto"/>
      </w:pPr>
    </w:p>
  </w:endnote>
  <w:endnote w:type="continuationNotice" w:id="1">
    <w:p w14:paraId="10DEE332" w14:textId="77777777" w:rsidR="00AD3491" w:rsidRDefault="00AD3491">
      <w:pPr>
        <w:spacing w:after="0" w:line="240" w:lineRule="auto"/>
      </w:pPr>
    </w:p>
  </w:endnote>
  <w:endnote w:id="2">
    <w:p w14:paraId="7B0589B4"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Massachusetts Commission on LGBTQ Youth. (2017, November 29). Guidance for Massachusetts State Agencies: Workplace Practices to Recognize Gender Identity Diversity. Retrieved from </w:t>
      </w:r>
      <w:hyperlink r:id="rId1" w:history="1">
        <w:r w:rsidRPr="007C1EDE">
          <w:rPr>
            <w:rStyle w:val="Hyperlink"/>
            <w:rFonts w:ascii="Arial" w:hAnsi="Arial" w:cs="Arial"/>
            <w:color w:val="auto"/>
            <w:u w:val="none"/>
          </w:rPr>
          <w:t>https://www.mass.gov/special-guidance-for-state-agencies</w:t>
        </w:r>
      </w:hyperlink>
      <w:r w:rsidRPr="007C1EDE">
        <w:rPr>
          <w:rFonts w:ascii="Arial" w:hAnsi="Arial" w:cs="Arial"/>
        </w:rPr>
        <w:t xml:space="preserve"> </w:t>
      </w:r>
    </w:p>
  </w:endnote>
  <w:endnote w:id="3">
    <w:p w14:paraId="24E13AAC" w14:textId="5E2F1600"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Goodenow, C. (2016). Analysis of 2015 Massachusetts Youth Risk Behavior Survey data on behalf of the Massachusetts Commission on LGBTQ Youth. Unpublished.</w:t>
      </w:r>
    </w:p>
  </w:endnote>
  <w:endnote w:id="4">
    <w:p w14:paraId="1E80C93C" w14:textId="2E89CFCB"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Goodenow, C. (2016).</w:t>
      </w:r>
    </w:p>
  </w:endnote>
  <w:endnote w:id="5">
    <w:p w14:paraId="4DB4CC9A" w14:textId="77777777" w:rsidR="00411ECA" w:rsidRPr="007C1EDE" w:rsidRDefault="00411ECA" w:rsidP="007C1EDE">
      <w:pPr>
        <w:pStyle w:val="EndnoteText"/>
        <w:spacing w:after="80"/>
        <w:rPr>
          <w:rFonts w:ascii="Arial" w:hAnsi="Arial" w:cs="Arial"/>
          <w:i/>
        </w:rPr>
      </w:pPr>
      <w:r w:rsidRPr="007C1EDE">
        <w:rPr>
          <w:rStyle w:val="EndnoteReference"/>
          <w:rFonts w:ascii="Arial" w:hAnsi="Arial" w:cs="Arial"/>
        </w:rPr>
        <w:endnoteRef/>
      </w:r>
      <w:r w:rsidRPr="007C1EDE">
        <w:rPr>
          <w:rFonts w:ascii="Arial" w:hAnsi="Arial" w:cs="Arial"/>
        </w:rPr>
        <w:t xml:space="preserve"> </w:t>
      </w:r>
      <w:r w:rsidRPr="007C1EDE">
        <w:rPr>
          <w:rFonts w:ascii="Arial" w:hAnsi="Arial" w:cs="Arial"/>
          <w:i/>
        </w:rPr>
        <w:t xml:space="preserve">Ibid. </w:t>
      </w:r>
    </w:p>
  </w:endnote>
  <w:endnote w:id="6">
    <w:p w14:paraId="63DBCD98"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Massachusetts Department of Public Health. (2016). Analysis of the 2015 Massachusetts Youth Health Survey Data. Unpublished.</w:t>
      </w:r>
    </w:p>
  </w:endnote>
  <w:endnote w:id="7">
    <w:p w14:paraId="7D7A9B40"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411ECA">
        <w:rPr>
          <w:rFonts w:ascii="Arial" w:hAnsi="Arial" w:cs="Arial"/>
        </w:rPr>
        <w:t xml:space="preserve"> Luk, J. W.,Filman, S. E., &amp; Haynie, D. L., et al. </w:t>
      </w:r>
      <w:r w:rsidRPr="007C1EDE">
        <w:rPr>
          <w:rFonts w:ascii="Arial" w:hAnsi="Arial" w:cs="Arial"/>
        </w:rPr>
        <w:t xml:space="preserve">(2018). Sexual Orientation and Depressive Symptoms in Adolescents. </w:t>
      </w:r>
      <w:r w:rsidRPr="007C1EDE">
        <w:rPr>
          <w:rFonts w:ascii="Arial" w:hAnsi="Arial" w:cs="Arial"/>
          <w:i/>
        </w:rPr>
        <w:t>Pediatrics</w:t>
      </w:r>
      <w:r w:rsidRPr="007C1EDE">
        <w:rPr>
          <w:rFonts w:ascii="Arial" w:hAnsi="Arial" w:cs="Arial"/>
        </w:rPr>
        <w:t xml:space="preserve">. 141(5). </w:t>
      </w:r>
    </w:p>
  </w:endnote>
  <w:endnote w:id="8">
    <w:p w14:paraId="144EFD8B"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Russell, S. T., Ryan, C., Toomey, R. B., Diaz, R. M., &amp; Sanchez, J. (2011). Lesbian, gay, bisexual, and transgender adolescent school victimization: implications for young adult health and adjustment. </w:t>
      </w:r>
      <w:r w:rsidRPr="007C1EDE">
        <w:rPr>
          <w:rFonts w:ascii="Arial" w:hAnsi="Arial" w:cs="Arial"/>
          <w:i/>
        </w:rPr>
        <w:t>Journal of School Health, 81</w:t>
      </w:r>
      <w:r w:rsidRPr="007C1EDE">
        <w:rPr>
          <w:rFonts w:ascii="Arial" w:hAnsi="Arial" w:cs="Arial"/>
        </w:rPr>
        <w:t>: 223-230.</w:t>
      </w:r>
    </w:p>
  </w:endnote>
  <w:endnote w:id="9">
    <w:p w14:paraId="63A2D764"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w:t>
      </w:r>
      <w:r w:rsidRPr="007C1EDE">
        <w:rPr>
          <w:rFonts w:ascii="Arial" w:hAnsi="Arial" w:cs="Arial"/>
          <w:i/>
        </w:rPr>
        <w:t>Ibid</w:t>
      </w:r>
    </w:p>
  </w:endnote>
  <w:endnote w:id="10">
    <w:p w14:paraId="792DFBF4" w14:textId="77777777" w:rsidR="00411ECA" w:rsidRPr="007C1EDE" w:rsidRDefault="00411ECA" w:rsidP="007C1EDE">
      <w:pPr>
        <w:pStyle w:val="EndnoteText"/>
        <w:spacing w:after="80"/>
        <w:rPr>
          <w:rFonts w:ascii="Arial" w:hAnsi="Arial" w:cs="Arial"/>
          <w:i/>
        </w:rPr>
      </w:pPr>
      <w:r w:rsidRPr="007C1EDE">
        <w:rPr>
          <w:rStyle w:val="EndnoteReference"/>
          <w:rFonts w:ascii="Arial" w:hAnsi="Arial" w:cs="Arial"/>
        </w:rPr>
        <w:endnoteRef/>
      </w:r>
      <w:r w:rsidRPr="007C1EDE">
        <w:rPr>
          <w:rFonts w:ascii="Arial" w:hAnsi="Arial" w:cs="Arial"/>
        </w:rPr>
        <w:t xml:space="preserve"> </w:t>
      </w:r>
      <w:r w:rsidRPr="007C1EDE">
        <w:rPr>
          <w:rFonts w:ascii="Arial" w:hAnsi="Arial" w:cs="Arial"/>
          <w:i/>
        </w:rPr>
        <w:t xml:space="preserve">Ibid. </w:t>
      </w:r>
    </w:p>
  </w:endnote>
  <w:endnote w:id="11">
    <w:p w14:paraId="7427BDAB"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w:t>
      </w:r>
      <w:r w:rsidRPr="007C1EDE">
        <w:rPr>
          <w:rFonts w:ascii="Arial" w:hAnsi="Arial" w:cs="Arial"/>
          <w:i/>
        </w:rPr>
        <w:t>Ibid</w:t>
      </w:r>
      <w:r w:rsidRPr="007C1EDE">
        <w:rPr>
          <w:rFonts w:ascii="Arial" w:hAnsi="Arial" w:cs="Arial"/>
        </w:rPr>
        <w:t>.</w:t>
      </w:r>
    </w:p>
  </w:endnote>
  <w:endnote w:id="12">
    <w:p w14:paraId="3DE06674"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Massachusetts Department of Public Health. (2016). Analysis of the 2015 Massachusetts Youth Health Survey Data. Unpublished.</w:t>
      </w:r>
    </w:p>
  </w:endnote>
  <w:endnote w:id="13">
    <w:p w14:paraId="64C75897"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w:t>
      </w:r>
      <w:r w:rsidRPr="007C1EDE">
        <w:rPr>
          <w:rFonts w:ascii="Arial" w:hAnsi="Arial" w:cs="Arial"/>
          <w:i/>
        </w:rPr>
        <w:t>Ibid.</w:t>
      </w:r>
    </w:p>
  </w:endnote>
  <w:endnote w:id="14">
    <w:p w14:paraId="4E9E7AA3"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Conron, K., Wilson, J., Cahill, S., Flaherty, J., Tamanaha, M., &amp; Bradford, J. (2015). Our Health Matters: Mental Health, Risk, and Resilience among LGBTQ Youth of Color who Live, Work, or Play in Boston. The Fenway Institute. Retrieved from http://cdn2.hubspot.net/hubfs/308746/com2395-ourHealthMatters-report_v5-small.pdf?t=1448898437715</w:t>
      </w:r>
    </w:p>
  </w:endnote>
  <w:endnote w:id="15">
    <w:p w14:paraId="30D39AA1" w14:textId="77777777" w:rsidR="00411ECA" w:rsidRPr="007C1EDE" w:rsidRDefault="00411ECA" w:rsidP="007C1EDE">
      <w:pPr>
        <w:pStyle w:val="NormalWeb"/>
        <w:spacing w:after="80" w:line="240" w:lineRule="auto"/>
        <w:rPr>
          <w:rFonts w:ascii="Arial" w:hAnsi="Arial" w:cs="Arial"/>
          <w:sz w:val="20"/>
          <w:szCs w:val="20"/>
        </w:rPr>
      </w:pPr>
      <w:r w:rsidRPr="007C1EDE">
        <w:rPr>
          <w:rStyle w:val="EndnoteReference"/>
          <w:rFonts w:ascii="Arial" w:hAnsi="Arial" w:cs="Arial"/>
          <w:sz w:val="20"/>
          <w:szCs w:val="20"/>
        </w:rPr>
        <w:endnoteRef/>
      </w:r>
      <w:r w:rsidRPr="007C1EDE">
        <w:rPr>
          <w:rFonts w:ascii="Arial" w:hAnsi="Arial" w:cs="Arial"/>
          <w:sz w:val="20"/>
          <w:szCs w:val="20"/>
        </w:rPr>
        <w:t xml:space="preserve"> </w:t>
      </w:r>
      <w:r w:rsidRPr="007C1EDE">
        <w:rPr>
          <w:rFonts w:ascii="Arial" w:hAnsi="Arial" w:cs="Arial"/>
          <w:iCs/>
          <w:sz w:val="20"/>
          <w:szCs w:val="20"/>
        </w:rPr>
        <w:t xml:space="preserve">Andre, A., Brown, J., Delpercio, A., Kahn, E., Nicoll, A., Sherouse, B. (2014). Supporting and Caring for Our Bisexual Youth. </w:t>
      </w:r>
      <w:r w:rsidRPr="007C1EDE">
        <w:rPr>
          <w:rFonts w:ascii="Arial" w:hAnsi="Arial" w:cs="Arial"/>
          <w:i/>
          <w:iCs/>
          <w:sz w:val="20"/>
          <w:szCs w:val="20"/>
        </w:rPr>
        <w:t>The Human Rights Campaign Foundation</w:t>
      </w:r>
      <w:r w:rsidRPr="007C1EDE">
        <w:rPr>
          <w:rFonts w:ascii="Arial" w:hAnsi="Arial" w:cs="Arial"/>
          <w:sz w:val="20"/>
          <w:szCs w:val="20"/>
        </w:rPr>
        <w:t xml:space="preserve">. Retrieved from </w:t>
      </w:r>
      <w:hyperlink r:id="rId2" w:anchor=".VS1xt5TF-lK" w:history="1">
        <w:r w:rsidRPr="007C1EDE">
          <w:rPr>
            <w:rStyle w:val="Hyperlink"/>
            <w:rFonts w:ascii="Arial" w:hAnsi="Arial" w:cs="Arial"/>
            <w:color w:val="auto"/>
            <w:sz w:val="20"/>
            <w:szCs w:val="20"/>
            <w:u w:val="none"/>
          </w:rPr>
          <w:t>http://www.hrc.org/youth-report/supporting-and-caring-for-our-bisexual-youth#.VS1xt5TF-lK</w:t>
        </w:r>
      </w:hyperlink>
      <w:r w:rsidRPr="007C1EDE">
        <w:rPr>
          <w:rFonts w:ascii="Arial" w:hAnsi="Arial" w:cs="Arial"/>
          <w:sz w:val="20"/>
          <w:szCs w:val="20"/>
        </w:rPr>
        <w:t xml:space="preserve">  </w:t>
      </w:r>
    </w:p>
  </w:endnote>
  <w:endnote w:id="16">
    <w:p w14:paraId="40DFDD0B" w14:textId="77777777" w:rsidR="00411ECA" w:rsidRPr="007C1EDE" w:rsidRDefault="00411ECA" w:rsidP="007C1EDE">
      <w:pPr>
        <w:pStyle w:val="NormalWeb"/>
        <w:spacing w:after="80" w:line="240" w:lineRule="auto"/>
        <w:rPr>
          <w:rFonts w:ascii="Arial" w:hAnsi="Arial" w:cs="Arial"/>
          <w:sz w:val="20"/>
          <w:szCs w:val="20"/>
        </w:rPr>
      </w:pPr>
      <w:r w:rsidRPr="007C1EDE">
        <w:rPr>
          <w:rStyle w:val="EndnoteReference"/>
          <w:rFonts w:ascii="Arial" w:hAnsi="Arial" w:cs="Arial"/>
          <w:sz w:val="20"/>
          <w:szCs w:val="20"/>
        </w:rPr>
        <w:endnoteRef/>
      </w:r>
      <w:r w:rsidRPr="007C1EDE">
        <w:rPr>
          <w:rFonts w:ascii="Arial" w:hAnsi="Arial" w:cs="Arial"/>
          <w:sz w:val="20"/>
          <w:szCs w:val="20"/>
          <w:lang w:val="es-CO"/>
        </w:rPr>
        <w:t xml:space="preserve"> Ryan, C., Huebner, D., Diaz, R.M., &amp; Sanchez, J. (2009). </w:t>
      </w:r>
      <w:r w:rsidRPr="007C1EDE">
        <w:rPr>
          <w:rFonts w:ascii="Arial" w:hAnsi="Arial" w:cs="Arial"/>
          <w:sz w:val="20"/>
          <w:szCs w:val="20"/>
        </w:rPr>
        <w:t>Family Rejection as a Predictor of Negative Health Outcomes in White and Latino Lesbian, Gay, and Bisexual Young Adults. Pediatrics, 123(1), 346-52.</w:t>
      </w:r>
    </w:p>
  </w:endnote>
  <w:endnote w:id="17">
    <w:p w14:paraId="672FBE91"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Goodenow, C. (2016).</w:t>
      </w:r>
    </w:p>
  </w:endnote>
  <w:endnote w:id="18">
    <w:p w14:paraId="2DAEBD22"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w:t>
      </w:r>
      <w:r w:rsidRPr="007C1EDE">
        <w:rPr>
          <w:rFonts w:ascii="Arial" w:hAnsi="Arial" w:cs="Arial"/>
          <w:i/>
        </w:rPr>
        <w:t>Ibid.</w:t>
      </w:r>
    </w:p>
  </w:endnote>
  <w:endnote w:id="19">
    <w:p w14:paraId="239A8FE1"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w:t>
      </w:r>
      <w:r w:rsidRPr="007C1EDE">
        <w:rPr>
          <w:rFonts w:ascii="Arial" w:hAnsi="Arial" w:cs="Arial"/>
          <w:i/>
        </w:rPr>
        <w:t>Ibid.</w:t>
      </w:r>
    </w:p>
  </w:endnote>
  <w:endnote w:id="20">
    <w:p w14:paraId="7B8E6BFF"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Annor, F. B., Clayton, H. B., Gilbert, L. K., Ivey-Stephenson, A. Z., Irving, S. M., David-Ferdon, C., &amp; Kann, L. K. (2018). Sexual Orientation Discordance and Nonfatal Suicidal Behaviors in U.S. High School Students. </w:t>
      </w:r>
      <w:r w:rsidRPr="007C1EDE">
        <w:rPr>
          <w:rFonts w:ascii="Arial" w:hAnsi="Arial" w:cs="Arial"/>
          <w:i/>
        </w:rPr>
        <w:t>American Journal of Preventive Medicine</w:t>
      </w:r>
      <w:r w:rsidRPr="007C1EDE">
        <w:rPr>
          <w:rFonts w:ascii="Arial" w:hAnsi="Arial" w:cs="Arial"/>
        </w:rPr>
        <w:t xml:space="preserve">, </w:t>
      </w:r>
      <w:r w:rsidRPr="007C1EDE">
        <w:rPr>
          <w:rFonts w:ascii="Arial" w:hAnsi="Arial" w:cs="Arial"/>
          <w:i/>
        </w:rPr>
        <w:t>54</w:t>
      </w:r>
      <w:r w:rsidRPr="007C1EDE">
        <w:rPr>
          <w:rFonts w:ascii="Arial" w:hAnsi="Arial" w:cs="Arial"/>
        </w:rPr>
        <w:t>(4): 530-538.</w:t>
      </w:r>
    </w:p>
  </w:endnote>
  <w:endnote w:id="21">
    <w:p w14:paraId="21D21DDC"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Puckett, J. A., Horne, S. G., Surace, F., et al. (2017). Predictors of Sexual Minority Youth's Reported Suicide Attempts and Mental Health. </w:t>
      </w:r>
      <w:r w:rsidRPr="007C1EDE">
        <w:rPr>
          <w:rFonts w:ascii="Arial" w:hAnsi="Arial" w:cs="Arial"/>
          <w:i/>
        </w:rPr>
        <w:t>Journal of Homosexuality, 64</w:t>
      </w:r>
      <w:r w:rsidRPr="007C1EDE">
        <w:rPr>
          <w:rFonts w:ascii="Arial" w:hAnsi="Arial" w:cs="Arial"/>
        </w:rPr>
        <w:t>(6): 697-715.</w:t>
      </w:r>
    </w:p>
  </w:endnote>
  <w:endnote w:id="22">
    <w:p w14:paraId="14D03D18" w14:textId="77777777" w:rsidR="00411ECA" w:rsidRPr="007C1EDE" w:rsidRDefault="00411ECA" w:rsidP="007C1EDE">
      <w:pPr>
        <w:pStyle w:val="EndnoteText"/>
        <w:spacing w:after="80"/>
        <w:rPr>
          <w:rFonts w:ascii="Arial" w:hAnsi="Arial" w:cs="Arial"/>
          <w:i/>
        </w:rPr>
      </w:pPr>
      <w:r w:rsidRPr="007C1EDE">
        <w:rPr>
          <w:rStyle w:val="EndnoteReference"/>
          <w:rFonts w:ascii="Arial" w:hAnsi="Arial" w:cs="Arial"/>
        </w:rPr>
        <w:endnoteRef/>
      </w:r>
      <w:r w:rsidRPr="007C1EDE">
        <w:rPr>
          <w:rFonts w:ascii="Arial" w:hAnsi="Arial" w:cs="Arial"/>
        </w:rPr>
        <w:t xml:space="preserve"> </w:t>
      </w:r>
      <w:r w:rsidRPr="007C1EDE">
        <w:rPr>
          <w:rFonts w:ascii="Arial" w:hAnsi="Arial" w:cs="Arial"/>
          <w:i/>
        </w:rPr>
        <w:t>Ibid.</w:t>
      </w:r>
    </w:p>
  </w:endnote>
  <w:endnote w:id="23">
    <w:p w14:paraId="13C46FBA"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Haas, A., Rodgers, P., Herman, J. (2014). Suicide Attempts among Transgender and Gender Non-conforming Adults: Findings of the National Transgender Discrimination Study. </w:t>
      </w:r>
      <w:r w:rsidRPr="007C1EDE">
        <w:rPr>
          <w:rFonts w:ascii="Arial" w:hAnsi="Arial" w:cs="Arial"/>
          <w:i/>
        </w:rPr>
        <w:t xml:space="preserve">American Foundation for Suicide Prevention </w:t>
      </w:r>
      <w:r w:rsidRPr="007C1EDE">
        <w:rPr>
          <w:rFonts w:ascii="Arial" w:hAnsi="Arial" w:cs="Arial"/>
        </w:rPr>
        <w:t xml:space="preserve">and </w:t>
      </w:r>
      <w:r w:rsidRPr="007C1EDE">
        <w:rPr>
          <w:rFonts w:ascii="Arial" w:hAnsi="Arial" w:cs="Arial"/>
          <w:i/>
        </w:rPr>
        <w:t xml:space="preserve">The Williams Institute. </w:t>
      </w:r>
      <w:r w:rsidRPr="007C1EDE">
        <w:rPr>
          <w:rFonts w:ascii="Arial" w:hAnsi="Arial" w:cs="Arial"/>
        </w:rPr>
        <w:t>Retrieved from https://williamsinstitute.law.ucla.edu/wp-content/uploads/AFSP-Williams-Suicide-Report-Final.pdf</w:t>
      </w:r>
    </w:p>
  </w:endnote>
  <w:endnote w:id="24">
    <w:p w14:paraId="71FEFA46" w14:textId="77777777" w:rsidR="00411ECA" w:rsidRPr="007C1EDE" w:rsidRDefault="00411ECA" w:rsidP="007C1EDE">
      <w:pPr>
        <w:pStyle w:val="EndnoteText"/>
        <w:spacing w:after="80"/>
        <w:rPr>
          <w:rFonts w:ascii="Arial" w:hAnsi="Arial" w:cs="Arial"/>
          <w:i/>
          <w:lang w:val="es-CO"/>
        </w:rPr>
      </w:pPr>
      <w:r w:rsidRPr="007C1EDE">
        <w:rPr>
          <w:rStyle w:val="EndnoteReference"/>
          <w:rFonts w:ascii="Arial" w:hAnsi="Arial" w:cs="Arial"/>
        </w:rPr>
        <w:endnoteRef/>
      </w:r>
      <w:r w:rsidRPr="007C1EDE">
        <w:rPr>
          <w:rFonts w:ascii="Arial" w:hAnsi="Arial" w:cs="Arial"/>
          <w:lang w:val="es-CO"/>
        </w:rPr>
        <w:t xml:space="preserve"> </w:t>
      </w:r>
      <w:r w:rsidRPr="007C1EDE">
        <w:rPr>
          <w:rFonts w:ascii="Arial" w:hAnsi="Arial" w:cs="Arial"/>
          <w:i/>
          <w:lang w:val="es-CO"/>
        </w:rPr>
        <w:t xml:space="preserve">Ibid. </w:t>
      </w:r>
    </w:p>
  </w:endnote>
  <w:endnote w:id="25">
    <w:p w14:paraId="5DD4491D" w14:textId="77777777" w:rsidR="00411ECA" w:rsidRPr="007C1EDE" w:rsidRDefault="00411ECA" w:rsidP="007C1EDE">
      <w:pPr>
        <w:pStyle w:val="EndnoteText"/>
        <w:spacing w:after="80"/>
        <w:rPr>
          <w:rFonts w:ascii="Arial" w:hAnsi="Arial" w:cs="Arial"/>
          <w:lang w:val="es-CO"/>
        </w:rPr>
      </w:pPr>
      <w:r w:rsidRPr="007C1EDE">
        <w:rPr>
          <w:rStyle w:val="EndnoteReference"/>
          <w:rFonts w:ascii="Arial" w:hAnsi="Arial" w:cs="Arial"/>
        </w:rPr>
        <w:endnoteRef/>
      </w:r>
      <w:r w:rsidRPr="007C1EDE">
        <w:rPr>
          <w:rFonts w:ascii="Arial" w:hAnsi="Arial" w:cs="Arial"/>
          <w:lang w:val="es-CO"/>
        </w:rPr>
        <w:t xml:space="preserve"> </w:t>
      </w:r>
      <w:r w:rsidRPr="007C1EDE">
        <w:rPr>
          <w:rFonts w:ascii="Arial" w:hAnsi="Arial" w:cs="Arial"/>
          <w:i/>
          <w:lang w:val="es-CO"/>
        </w:rPr>
        <w:t xml:space="preserve">Ibid. </w:t>
      </w:r>
    </w:p>
    <w:p w14:paraId="3405B6C7" w14:textId="77777777" w:rsidR="00411ECA" w:rsidRPr="007C1EDE" w:rsidRDefault="00411ECA" w:rsidP="007C1EDE">
      <w:pPr>
        <w:pStyle w:val="EndnoteText"/>
        <w:spacing w:after="80"/>
        <w:rPr>
          <w:rFonts w:ascii="Arial" w:hAnsi="Arial" w:cs="Arial"/>
        </w:rPr>
      </w:pPr>
      <w:r w:rsidRPr="007C1EDE">
        <w:rPr>
          <w:rFonts w:ascii="Arial" w:hAnsi="Arial" w:cs="Arial"/>
          <w:lang w:val="es-CO"/>
        </w:rPr>
        <w:t xml:space="preserve">Zeluf, G., Dhejne, C., Orre, C., et al. </w:t>
      </w:r>
      <w:r w:rsidRPr="007C1EDE">
        <w:rPr>
          <w:rFonts w:ascii="Arial" w:hAnsi="Arial" w:cs="Arial"/>
        </w:rPr>
        <w:t xml:space="preserve">(2018). Targeted Victimization and Suicidality Among Trans People: A Web-Based Survey. </w:t>
      </w:r>
      <w:r w:rsidRPr="007C1EDE">
        <w:rPr>
          <w:rFonts w:ascii="Arial" w:hAnsi="Arial" w:cs="Arial"/>
          <w:i/>
        </w:rPr>
        <w:t>LGBT Health, 5</w:t>
      </w:r>
      <w:r w:rsidRPr="007C1EDE">
        <w:rPr>
          <w:rFonts w:ascii="Arial" w:hAnsi="Arial" w:cs="Arial"/>
        </w:rPr>
        <w:t>(3):180-190. doi:10.1089/lgbt.2017.0011.</w:t>
      </w:r>
    </w:p>
    <w:p w14:paraId="5A41B095" w14:textId="77777777" w:rsidR="00411ECA" w:rsidRPr="007C1EDE" w:rsidRDefault="00411ECA" w:rsidP="007C1EDE">
      <w:pPr>
        <w:pStyle w:val="EndnoteText"/>
        <w:spacing w:after="80"/>
        <w:rPr>
          <w:rFonts w:ascii="Arial" w:hAnsi="Arial" w:cs="Arial"/>
        </w:rPr>
      </w:pPr>
      <w:r w:rsidRPr="007C1EDE">
        <w:rPr>
          <w:rFonts w:ascii="Arial" w:hAnsi="Arial" w:cs="Arial"/>
        </w:rPr>
        <w:t xml:space="preserve">Testa, R. J., Michaels, M. S., Bliss, W., Rogers, M. L., Balsam, K. F., &amp; Joiner, T. (2017). Suicidal ideation in transgender people: Gender minority stress and interpersonal theory factors. </w:t>
      </w:r>
      <w:r w:rsidRPr="007C1EDE">
        <w:rPr>
          <w:rFonts w:ascii="Arial" w:hAnsi="Arial" w:cs="Arial"/>
          <w:i/>
        </w:rPr>
        <w:t>Journal of Abnormal Psychology, 126</w:t>
      </w:r>
      <w:r w:rsidRPr="007C1EDE">
        <w:rPr>
          <w:rFonts w:ascii="Arial" w:hAnsi="Arial" w:cs="Arial"/>
        </w:rPr>
        <w:t>(1): 125-136. http://dx.doi.org/10.1037/abn0000234</w:t>
      </w:r>
    </w:p>
  </w:endnote>
  <w:endnote w:id="26">
    <w:p w14:paraId="25201820"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Liu, R. T., Mustanski, B. (2012). Suicidal Ideation and Self-Harm in Lesbian, Gay, Bisexual, and Transgender Youth. </w:t>
      </w:r>
      <w:r w:rsidRPr="007C1EDE">
        <w:rPr>
          <w:rFonts w:ascii="Arial" w:hAnsi="Arial" w:cs="Arial"/>
          <w:i/>
        </w:rPr>
        <w:t>American Journal of Preventive Medicine, 42</w:t>
      </w:r>
      <w:r w:rsidRPr="007C1EDE">
        <w:rPr>
          <w:rFonts w:ascii="Arial" w:hAnsi="Arial" w:cs="Arial"/>
        </w:rPr>
        <w:t>(3): 221-228.</w:t>
      </w:r>
    </w:p>
  </w:endnote>
  <w:endnote w:id="27">
    <w:p w14:paraId="7FA9D904" w14:textId="25D2194E"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411ECA">
        <w:rPr>
          <w:rFonts w:ascii="Arial" w:hAnsi="Arial" w:cs="Arial"/>
        </w:rPr>
        <w:t xml:space="preserve"> Lytle, M. C., et al. </w:t>
      </w:r>
      <w:r w:rsidRPr="007C1EDE">
        <w:rPr>
          <w:rFonts w:ascii="Arial" w:hAnsi="Arial" w:cs="Arial"/>
        </w:rPr>
        <w:t xml:space="preserve">(2018). Association of Religiosity with Sexual Minority Suicide Ideation and Attempt. </w:t>
      </w:r>
      <w:r w:rsidRPr="007C1EDE">
        <w:rPr>
          <w:rFonts w:ascii="Arial" w:hAnsi="Arial" w:cs="Arial"/>
          <w:i/>
        </w:rPr>
        <w:t>American Journal of Preventive Medicine, 54</w:t>
      </w:r>
      <w:r w:rsidRPr="007C1EDE">
        <w:rPr>
          <w:rFonts w:ascii="Arial" w:hAnsi="Arial" w:cs="Arial"/>
        </w:rPr>
        <w:t>(5): 644-651.</w:t>
      </w:r>
    </w:p>
  </w:endnote>
  <w:endnote w:id="28">
    <w:p w14:paraId="5B4A4EDA" w14:textId="77777777" w:rsidR="00411ECA" w:rsidRPr="007C1EDE" w:rsidRDefault="00411ECA" w:rsidP="007C1EDE">
      <w:pPr>
        <w:pStyle w:val="EndnoteText"/>
        <w:spacing w:after="80"/>
        <w:rPr>
          <w:rFonts w:ascii="Arial" w:eastAsia="Times New Roman" w:hAnsi="Arial" w:cs="Arial"/>
          <w:shd w:val="clear" w:color="auto" w:fill="FFFFFF"/>
        </w:rPr>
      </w:pPr>
      <w:r w:rsidRPr="007C1EDE">
        <w:rPr>
          <w:rStyle w:val="EndnoteReference"/>
          <w:rFonts w:ascii="Arial" w:hAnsi="Arial" w:cs="Arial"/>
        </w:rPr>
        <w:endnoteRef/>
      </w:r>
      <w:r w:rsidRPr="007C1EDE">
        <w:rPr>
          <w:rFonts w:ascii="Arial" w:hAnsi="Arial" w:cs="Arial"/>
          <w:lang w:val="it-IT"/>
        </w:rPr>
        <w:t xml:space="preserve"> </w:t>
      </w:r>
      <w:r w:rsidRPr="007C1EDE">
        <w:rPr>
          <w:rFonts w:ascii="Arial" w:eastAsia="Calibri" w:hAnsi="Arial" w:cs="Arial"/>
          <w:lang w:val="it-IT"/>
        </w:rPr>
        <w:t>Morton,</w:t>
      </w:r>
      <w:r w:rsidRPr="007C1EDE">
        <w:rPr>
          <w:rFonts w:ascii="Arial" w:eastAsia="Times New Roman" w:hAnsi="Arial" w:cs="Arial"/>
          <w:lang w:val="it-IT"/>
        </w:rPr>
        <w:t xml:space="preserve"> </w:t>
      </w:r>
      <w:r w:rsidRPr="007C1EDE">
        <w:rPr>
          <w:rFonts w:ascii="Arial" w:eastAsia="Calibri" w:hAnsi="Arial" w:cs="Arial"/>
          <w:lang w:val="it-IT"/>
        </w:rPr>
        <w:t>M. H</w:t>
      </w:r>
      <w:r w:rsidRPr="007C1EDE">
        <w:rPr>
          <w:rFonts w:ascii="Arial" w:eastAsia="Times New Roman" w:hAnsi="Arial" w:cs="Arial"/>
          <w:lang w:val="it-IT"/>
        </w:rPr>
        <w:t xml:space="preserve">., </w:t>
      </w:r>
      <w:r w:rsidRPr="007C1EDE">
        <w:rPr>
          <w:rFonts w:ascii="Arial" w:eastAsia="Calibri" w:hAnsi="Arial" w:cs="Arial"/>
          <w:lang w:val="it-IT"/>
        </w:rPr>
        <w:t>et</w:t>
      </w:r>
      <w:r w:rsidRPr="007C1EDE">
        <w:rPr>
          <w:rFonts w:ascii="Arial" w:eastAsia="Times New Roman" w:hAnsi="Arial" w:cs="Arial"/>
          <w:lang w:val="it-IT"/>
        </w:rPr>
        <w:t xml:space="preserve"> </w:t>
      </w:r>
      <w:r w:rsidRPr="007C1EDE">
        <w:rPr>
          <w:rFonts w:ascii="Arial" w:eastAsia="Calibri" w:hAnsi="Arial" w:cs="Arial"/>
          <w:lang w:val="it-IT"/>
        </w:rPr>
        <w:t>al</w:t>
      </w:r>
      <w:r w:rsidRPr="007C1EDE">
        <w:rPr>
          <w:rFonts w:ascii="Arial" w:eastAsia="Times New Roman" w:hAnsi="Arial" w:cs="Arial"/>
          <w:lang w:val="it-IT"/>
        </w:rPr>
        <w:t xml:space="preserve">. </w:t>
      </w:r>
      <w:r w:rsidRPr="007C1EDE">
        <w:rPr>
          <w:rFonts w:ascii="Arial" w:eastAsia="Times New Roman" w:hAnsi="Arial" w:cs="Arial"/>
        </w:rPr>
        <w:t xml:space="preserve">(2018). </w:t>
      </w:r>
      <w:r w:rsidRPr="007C1EDE">
        <w:rPr>
          <w:rFonts w:ascii="Arial" w:eastAsia="Calibri" w:hAnsi="Arial" w:cs="Arial"/>
          <w:bCs/>
        </w:rPr>
        <w:t>Prevalence</w:t>
      </w:r>
      <w:r w:rsidRPr="007C1EDE">
        <w:rPr>
          <w:rFonts w:ascii="Arial" w:eastAsia="Times New Roman" w:hAnsi="Arial" w:cs="Arial"/>
          <w:bCs/>
        </w:rPr>
        <w:t xml:space="preserve"> </w:t>
      </w:r>
      <w:r w:rsidRPr="007C1EDE">
        <w:rPr>
          <w:rFonts w:ascii="Arial" w:eastAsia="Calibri" w:hAnsi="Arial" w:cs="Arial"/>
          <w:bCs/>
        </w:rPr>
        <w:t>and</w:t>
      </w:r>
      <w:r w:rsidRPr="007C1EDE">
        <w:rPr>
          <w:rFonts w:ascii="Arial" w:eastAsia="Times New Roman" w:hAnsi="Arial" w:cs="Arial"/>
          <w:bCs/>
        </w:rPr>
        <w:t xml:space="preserve"> </w:t>
      </w:r>
      <w:r w:rsidRPr="007C1EDE">
        <w:rPr>
          <w:rFonts w:ascii="Arial" w:eastAsia="Calibri" w:hAnsi="Arial" w:cs="Arial"/>
          <w:bCs/>
        </w:rPr>
        <w:t>Correlates</w:t>
      </w:r>
      <w:r w:rsidRPr="007C1EDE">
        <w:rPr>
          <w:rFonts w:ascii="Arial" w:eastAsia="Times New Roman" w:hAnsi="Arial" w:cs="Arial"/>
          <w:bCs/>
        </w:rPr>
        <w:t xml:space="preserve"> </w:t>
      </w:r>
      <w:r w:rsidRPr="007C1EDE">
        <w:rPr>
          <w:rFonts w:ascii="Arial" w:eastAsia="Calibri" w:hAnsi="Arial" w:cs="Arial"/>
          <w:bCs/>
        </w:rPr>
        <w:t>of</w:t>
      </w:r>
      <w:r w:rsidRPr="007C1EDE">
        <w:rPr>
          <w:rFonts w:ascii="Arial" w:eastAsia="Times New Roman" w:hAnsi="Arial" w:cs="Arial"/>
          <w:bCs/>
        </w:rPr>
        <w:t xml:space="preserve"> </w:t>
      </w:r>
      <w:r w:rsidRPr="007C1EDE">
        <w:rPr>
          <w:rFonts w:ascii="Arial" w:eastAsia="Calibri" w:hAnsi="Arial" w:cs="Arial"/>
          <w:bCs/>
        </w:rPr>
        <w:t>Youth</w:t>
      </w:r>
      <w:r w:rsidRPr="007C1EDE">
        <w:rPr>
          <w:rFonts w:ascii="Arial" w:eastAsia="Times New Roman" w:hAnsi="Arial" w:cs="Arial"/>
          <w:bCs/>
        </w:rPr>
        <w:t xml:space="preserve"> </w:t>
      </w:r>
      <w:r w:rsidRPr="007C1EDE">
        <w:rPr>
          <w:rFonts w:ascii="Arial" w:eastAsia="Calibri" w:hAnsi="Arial" w:cs="Arial"/>
          <w:bCs/>
        </w:rPr>
        <w:t>Homelessness</w:t>
      </w:r>
      <w:r w:rsidRPr="007C1EDE">
        <w:rPr>
          <w:rFonts w:ascii="Arial" w:eastAsia="Times New Roman" w:hAnsi="Arial" w:cs="Arial"/>
          <w:bCs/>
        </w:rPr>
        <w:t xml:space="preserve"> </w:t>
      </w:r>
      <w:r w:rsidRPr="007C1EDE">
        <w:rPr>
          <w:rFonts w:ascii="Arial" w:eastAsia="Calibri" w:hAnsi="Arial" w:cs="Arial"/>
          <w:bCs/>
        </w:rPr>
        <w:t>in</w:t>
      </w:r>
      <w:r w:rsidRPr="007C1EDE">
        <w:rPr>
          <w:rFonts w:ascii="Arial" w:eastAsia="Times New Roman" w:hAnsi="Arial" w:cs="Arial"/>
          <w:bCs/>
        </w:rPr>
        <w:t xml:space="preserve"> </w:t>
      </w:r>
      <w:r w:rsidRPr="007C1EDE">
        <w:rPr>
          <w:rFonts w:ascii="Arial" w:eastAsia="Calibri" w:hAnsi="Arial" w:cs="Arial"/>
          <w:bCs/>
        </w:rPr>
        <w:t>the</w:t>
      </w:r>
      <w:r w:rsidRPr="007C1EDE">
        <w:rPr>
          <w:rFonts w:ascii="Arial" w:eastAsia="Times New Roman" w:hAnsi="Arial" w:cs="Arial"/>
          <w:bCs/>
        </w:rPr>
        <w:t xml:space="preserve"> </w:t>
      </w:r>
      <w:r w:rsidRPr="007C1EDE">
        <w:rPr>
          <w:rFonts w:ascii="Arial" w:eastAsia="Calibri" w:hAnsi="Arial" w:cs="Arial"/>
          <w:bCs/>
        </w:rPr>
        <w:t>United</w:t>
      </w:r>
      <w:r w:rsidRPr="007C1EDE">
        <w:rPr>
          <w:rFonts w:ascii="Arial" w:eastAsia="Times New Roman" w:hAnsi="Arial" w:cs="Arial"/>
          <w:bCs/>
        </w:rPr>
        <w:t xml:space="preserve"> </w:t>
      </w:r>
      <w:r w:rsidRPr="007C1EDE">
        <w:rPr>
          <w:rFonts w:ascii="Arial" w:eastAsia="Calibri" w:hAnsi="Arial" w:cs="Arial"/>
          <w:bCs/>
        </w:rPr>
        <w:t>States</w:t>
      </w:r>
      <w:r w:rsidRPr="007C1EDE">
        <w:rPr>
          <w:rFonts w:ascii="Arial" w:eastAsia="Times New Roman" w:hAnsi="Arial" w:cs="Arial"/>
        </w:rPr>
        <w:t xml:space="preserve">. </w:t>
      </w:r>
      <w:r w:rsidRPr="007C1EDE">
        <w:rPr>
          <w:rFonts w:ascii="Arial" w:eastAsia="Calibri" w:hAnsi="Arial" w:cs="Arial"/>
          <w:i/>
        </w:rPr>
        <w:t>Journal</w:t>
      </w:r>
      <w:r w:rsidRPr="007C1EDE">
        <w:rPr>
          <w:rFonts w:ascii="Arial" w:eastAsia="Times New Roman" w:hAnsi="Arial" w:cs="Arial"/>
          <w:i/>
        </w:rPr>
        <w:t xml:space="preserve"> </w:t>
      </w:r>
      <w:r w:rsidRPr="007C1EDE">
        <w:rPr>
          <w:rFonts w:ascii="Arial" w:eastAsia="Calibri" w:hAnsi="Arial" w:cs="Arial"/>
          <w:i/>
        </w:rPr>
        <w:t>of</w:t>
      </w:r>
      <w:r w:rsidRPr="007C1EDE">
        <w:rPr>
          <w:rFonts w:ascii="Arial" w:eastAsia="Times New Roman" w:hAnsi="Arial" w:cs="Arial"/>
          <w:i/>
        </w:rPr>
        <w:t xml:space="preserve"> </w:t>
      </w:r>
      <w:r w:rsidRPr="007C1EDE">
        <w:rPr>
          <w:rFonts w:ascii="Arial" w:eastAsia="Calibri" w:hAnsi="Arial" w:cs="Arial"/>
          <w:i/>
        </w:rPr>
        <w:t>Adolescent</w:t>
      </w:r>
      <w:r w:rsidRPr="007C1EDE">
        <w:rPr>
          <w:rFonts w:ascii="Arial" w:eastAsia="Times New Roman" w:hAnsi="Arial" w:cs="Arial"/>
          <w:i/>
        </w:rPr>
        <w:t xml:space="preserve"> </w:t>
      </w:r>
      <w:r w:rsidRPr="007C1EDE">
        <w:rPr>
          <w:rFonts w:ascii="Arial" w:eastAsia="Calibri" w:hAnsi="Arial" w:cs="Arial"/>
          <w:i/>
        </w:rPr>
        <w:t>Health</w:t>
      </w:r>
      <w:r w:rsidRPr="007C1EDE">
        <w:rPr>
          <w:rFonts w:ascii="Arial" w:eastAsia="Times New Roman" w:hAnsi="Arial" w:cs="Arial"/>
        </w:rPr>
        <w:t xml:space="preserve">, </w:t>
      </w:r>
      <w:r w:rsidRPr="007C1EDE">
        <w:rPr>
          <w:rFonts w:ascii="Arial" w:eastAsia="Times New Roman" w:hAnsi="Arial" w:cs="Arial"/>
          <w:i/>
          <w:shd w:val="clear" w:color="auto" w:fill="FFFFFF"/>
        </w:rPr>
        <w:t>62</w:t>
      </w:r>
      <w:r w:rsidRPr="007C1EDE">
        <w:rPr>
          <w:rFonts w:ascii="Arial" w:eastAsia="Times New Roman" w:hAnsi="Arial" w:cs="Arial"/>
          <w:shd w:val="clear" w:color="auto" w:fill="FFFFFF"/>
        </w:rPr>
        <w:t>(1): 14–21.</w:t>
      </w:r>
    </w:p>
    <w:p w14:paraId="4CBFE91F" w14:textId="77777777" w:rsidR="00411ECA" w:rsidRPr="007C1EDE" w:rsidRDefault="00411ECA" w:rsidP="007C1EDE">
      <w:pPr>
        <w:pStyle w:val="EndnoteText"/>
        <w:spacing w:after="80"/>
        <w:rPr>
          <w:rFonts w:ascii="Arial" w:hAnsi="Arial" w:cs="Arial"/>
        </w:rPr>
      </w:pPr>
      <w:r w:rsidRPr="007C1EDE">
        <w:rPr>
          <w:rFonts w:ascii="Arial" w:hAnsi="Arial" w:cs="Arial"/>
        </w:rPr>
        <w:t xml:space="preserve">Chapin Hall at the University of Chicago. (2018). Missed Opportunities: LGBTQ Youth Homelessness in America. Retrieved from </w:t>
      </w:r>
      <w:hyperlink r:id="rId3" w:history="1">
        <w:r w:rsidRPr="007C1EDE">
          <w:rPr>
            <w:rStyle w:val="Hyperlink"/>
            <w:rFonts w:ascii="Arial" w:hAnsi="Arial" w:cs="Arial"/>
            <w:color w:val="auto"/>
            <w:u w:val="none"/>
          </w:rPr>
          <w:t>http://voicesofyouthcount.org/wp-content/uploads/2018/04/VoYC-LGBTQ-Brief-FINAL.pdf</w:t>
        </w:r>
      </w:hyperlink>
      <w:r w:rsidRPr="007C1EDE">
        <w:rPr>
          <w:rFonts w:ascii="Arial" w:hAnsi="Arial" w:cs="Arial"/>
        </w:rPr>
        <w:t xml:space="preserve"> </w:t>
      </w:r>
    </w:p>
  </w:endnote>
  <w:endnote w:id="29">
    <w:p w14:paraId="795F21A0"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lang w:val="it-IT"/>
        </w:rPr>
        <w:t xml:space="preserve"> </w:t>
      </w:r>
      <w:r w:rsidRPr="007C1EDE">
        <w:rPr>
          <w:rFonts w:ascii="Arial" w:eastAsia="Calibri" w:hAnsi="Arial" w:cs="Arial"/>
          <w:lang w:val="it-IT"/>
        </w:rPr>
        <w:t>Morton,</w:t>
      </w:r>
      <w:r w:rsidRPr="007C1EDE">
        <w:rPr>
          <w:rFonts w:ascii="Arial" w:eastAsia="Times New Roman" w:hAnsi="Arial" w:cs="Arial"/>
          <w:lang w:val="it-IT"/>
        </w:rPr>
        <w:t xml:space="preserve"> </w:t>
      </w:r>
      <w:r w:rsidRPr="007C1EDE">
        <w:rPr>
          <w:rFonts w:ascii="Arial" w:eastAsia="Calibri" w:hAnsi="Arial" w:cs="Arial"/>
          <w:lang w:val="it-IT"/>
        </w:rPr>
        <w:t>M. H</w:t>
      </w:r>
      <w:r w:rsidRPr="007C1EDE">
        <w:rPr>
          <w:rFonts w:ascii="Arial" w:eastAsia="Times New Roman" w:hAnsi="Arial" w:cs="Arial"/>
          <w:lang w:val="it-IT"/>
        </w:rPr>
        <w:t xml:space="preserve">. </w:t>
      </w:r>
      <w:r w:rsidRPr="007C1EDE">
        <w:rPr>
          <w:rFonts w:ascii="Arial" w:eastAsia="Calibri" w:hAnsi="Arial" w:cs="Arial"/>
          <w:lang w:val="it-IT"/>
        </w:rPr>
        <w:t>et</w:t>
      </w:r>
      <w:r w:rsidRPr="007C1EDE">
        <w:rPr>
          <w:rFonts w:ascii="Arial" w:eastAsia="Times New Roman" w:hAnsi="Arial" w:cs="Arial"/>
          <w:lang w:val="it-IT"/>
        </w:rPr>
        <w:t xml:space="preserve"> </w:t>
      </w:r>
      <w:r w:rsidRPr="007C1EDE">
        <w:rPr>
          <w:rFonts w:ascii="Arial" w:eastAsia="Calibri" w:hAnsi="Arial" w:cs="Arial"/>
          <w:lang w:val="it-IT"/>
        </w:rPr>
        <w:t>al</w:t>
      </w:r>
      <w:r w:rsidRPr="007C1EDE">
        <w:rPr>
          <w:rFonts w:ascii="Arial" w:eastAsia="Times New Roman" w:hAnsi="Arial" w:cs="Arial"/>
          <w:lang w:val="it-IT"/>
        </w:rPr>
        <w:t xml:space="preserve">. </w:t>
      </w:r>
      <w:r w:rsidRPr="007C1EDE">
        <w:rPr>
          <w:rFonts w:ascii="Arial" w:eastAsia="Calibri" w:hAnsi="Arial" w:cs="Arial"/>
          <w:bCs/>
        </w:rPr>
        <w:t>(</w:t>
      </w:r>
      <w:r w:rsidRPr="007C1EDE">
        <w:rPr>
          <w:rFonts w:ascii="Arial" w:eastAsia="Times New Roman" w:hAnsi="Arial" w:cs="Arial"/>
          <w:bCs/>
        </w:rPr>
        <w:t>2018).</w:t>
      </w:r>
    </w:p>
  </w:endnote>
  <w:endnote w:id="30">
    <w:p w14:paraId="5199EF62" w14:textId="77777777" w:rsidR="00411ECA" w:rsidRPr="007C1EDE" w:rsidRDefault="00411ECA" w:rsidP="007C1EDE">
      <w:pPr>
        <w:spacing w:after="80" w:line="240" w:lineRule="auto"/>
        <w:rPr>
          <w:rFonts w:ascii="Arial" w:eastAsia="Times New Roman" w:hAnsi="Arial" w:cs="Arial"/>
          <w:sz w:val="20"/>
          <w:szCs w:val="20"/>
        </w:rPr>
      </w:pPr>
      <w:r w:rsidRPr="007C1EDE">
        <w:rPr>
          <w:rStyle w:val="EndnoteReference"/>
          <w:rFonts w:ascii="Arial" w:hAnsi="Arial" w:cs="Arial"/>
          <w:sz w:val="20"/>
          <w:szCs w:val="20"/>
        </w:rPr>
        <w:endnoteRef/>
      </w:r>
      <w:r w:rsidRPr="007C1EDE">
        <w:rPr>
          <w:rFonts w:ascii="Arial" w:hAnsi="Arial" w:cs="Arial"/>
          <w:sz w:val="20"/>
          <w:szCs w:val="20"/>
        </w:rPr>
        <w:t xml:space="preserve"> </w:t>
      </w:r>
      <w:r w:rsidRPr="007C1EDE">
        <w:rPr>
          <w:rStyle w:val="element-citation"/>
          <w:rFonts w:ascii="Arial" w:eastAsia="Calibri" w:hAnsi="Arial" w:cs="Arial"/>
          <w:sz w:val="20"/>
          <w:szCs w:val="20"/>
          <w:shd w:val="clear" w:color="auto" w:fill="FFFFFF"/>
        </w:rPr>
        <w:t>Durso,</w:t>
      </w:r>
      <w:r w:rsidRPr="007C1EDE">
        <w:rPr>
          <w:rStyle w:val="element-citation"/>
          <w:rFonts w:ascii="Arial" w:eastAsia="Times New Roman" w:hAnsi="Arial" w:cs="Arial"/>
          <w:sz w:val="20"/>
          <w:szCs w:val="20"/>
          <w:shd w:val="clear" w:color="auto" w:fill="FFFFFF"/>
        </w:rPr>
        <w:t xml:space="preserve"> </w:t>
      </w:r>
      <w:r w:rsidRPr="007C1EDE">
        <w:rPr>
          <w:rStyle w:val="element-citation"/>
          <w:rFonts w:ascii="Arial" w:eastAsia="Calibri" w:hAnsi="Arial" w:cs="Arial"/>
          <w:sz w:val="20"/>
          <w:szCs w:val="20"/>
          <w:shd w:val="clear" w:color="auto" w:fill="FFFFFF"/>
        </w:rPr>
        <w:t>L. E.</w:t>
      </w:r>
      <w:r w:rsidRPr="007C1EDE">
        <w:rPr>
          <w:rStyle w:val="element-citation"/>
          <w:rFonts w:ascii="Arial" w:eastAsia="Times New Roman" w:hAnsi="Arial" w:cs="Arial"/>
          <w:sz w:val="20"/>
          <w:szCs w:val="20"/>
          <w:shd w:val="clear" w:color="auto" w:fill="FFFFFF"/>
        </w:rPr>
        <w:t xml:space="preserve">, </w:t>
      </w:r>
      <w:r w:rsidRPr="007C1EDE">
        <w:rPr>
          <w:rStyle w:val="element-citation"/>
          <w:rFonts w:ascii="Arial" w:eastAsia="Calibri" w:hAnsi="Arial" w:cs="Arial"/>
          <w:sz w:val="20"/>
          <w:szCs w:val="20"/>
          <w:shd w:val="clear" w:color="auto" w:fill="FFFFFF"/>
        </w:rPr>
        <w:t>Gates,</w:t>
      </w:r>
      <w:r w:rsidRPr="007C1EDE">
        <w:rPr>
          <w:rStyle w:val="element-citation"/>
          <w:rFonts w:ascii="Arial" w:eastAsia="Times New Roman" w:hAnsi="Arial" w:cs="Arial"/>
          <w:sz w:val="20"/>
          <w:szCs w:val="20"/>
          <w:shd w:val="clear" w:color="auto" w:fill="FFFFFF"/>
        </w:rPr>
        <w:t xml:space="preserve"> </w:t>
      </w:r>
      <w:r w:rsidRPr="007C1EDE">
        <w:rPr>
          <w:rStyle w:val="element-citation"/>
          <w:rFonts w:ascii="Arial" w:eastAsia="Calibri" w:hAnsi="Arial" w:cs="Arial"/>
          <w:sz w:val="20"/>
          <w:szCs w:val="20"/>
          <w:shd w:val="clear" w:color="auto" w:fill="FFFFFF"/>
        </w:rPr>
        <w:t>G. J</w:t>
      </w:r>
      <w:r w:rsidRPr="007C1EDE">
        <w:rPr>
          <w:rStyle w:val="element-citation"/>
          <w:rFonts w:ascii="Arial" w:eastAsia="Times New Roman" w:hAnsi="Arial" w:cs="Arial"/>
          <w:sz w:val="20"/>
          <w:szCs w:val="20"/>
          <w:shd w:val="clear" w:color="auto" w:fill="FFFFFF"/>
        </w:rPr>
        <w:t>.</w:t>
      </w:r>
      <w:r w:rsidRPr="007C1EDE">
        <w:rPr>
          <w:rStyle w:val="apple-converted-space"/>
          <w:rFonts w:ascii="Arial" w:eastAsia="Times New Roman" w:hAnsi="Arial" w:cs="Arial"/>
          <w:sz w:val="20"/>
          <w:szCs w:val="20"/>
          <w:shd w:val="clear" w:color="auto" w:fill="FFFFFF"/>
        </w:rPr>
        <w:t xml:space="preserve"> (2012). </w:t>
      </w:r>
      <w:r w:rsidRPr="007C1EDE">
        <w:rPr>
          <w:rStyle w:val="ref-journal"/>
          <w:rFonts w:ascii="Arial" w:eastAsia="Calibri" w:hAnsi="Arial" w:cs="Arial"/>
          <w:sz w:val="20"/>
          <w:szCs w:val="20"/>
          <w:shd w:val="clear" w:color="auto" w:fill="FFFFFF"/>
        </w:rPr>
        <w:t>Serving</w:t>
      </w:r>
      <w:r w:rsidRPr="007C1EDE">
        <w:rPr>
          <w:rStyle w:val="ref-journal"/>
          <w:rFonts w:ascii="Arial" w:eastAsia="Times New Roman" w:hAnsi="Arial" w:cs="Arial"/>
          <w:sz w:val="20"/>
          <w:szCs w:val="20"/>
          <w:shd w:val="clear" w:color="auto" w:fill="FFFFFF"/>
        </w:rPr>
        <w:t xml:space="preserve"> </w:t>
      </w:r>
      <w:r w:rsidRPr="007C1EDE">
        <w:rPr>
          <w:rStyle w:val="ref-journal"/>
          <w:rFonts w:ascii="Arial" w:eastAsia="Calibri" w:hAnsi="Arial" w:cs="Arial"/>
          <w:sz w:val="20"/>
          <w:szCs w:val="20"/>
          <w:shd w:val="clear" w:color="auto" w:fill="FFFFFF"/>
        </w:rPr>
        <w:t>our</w:t>
      </w:r>
      <w:r w:rsidRPr="007C1EDE">
        <w:rPr>
          <w:rStyle w:val="ref-journal"/>
          <w:rFonts w:ascii="Arial" w:eastAsia="Times New Roman" w:hAnsi="Arial" w:cs="Arial"/>
          <w:sz w:val="20"/>
          <w:szCs w:val="20"/>
          <w:shd w:val="clear" w:color="auto" w:fill="FFFFFF"/>
        </w:rPr>
        <w:t xml:space="preserve"> </w:t>
      </w:r>
      <w:r w:rsidRPr="007C1EDE">
        <w:rPr>
          <w:rStyle w:val="ref-journal"/>
          <w:rFonts w:ascii="Arial" w:eastAsia="Calibri" w:hAnsi="Arial" w:cs="Arial"/>
          <w:sz w:val="20"/>
          <w:szCs w:val="20"/>
          <w:shd w:val="clear" w:color="auto" w:fill="FFFFFF"/>
        </w:rPr>
        <w:t>youth</w:t>
      </w:r>
      <w:r w:rsidRPr="007C1EDE">
        <w:rPr>
          <w:rStyle w:val="ref-journal"/>
          <w:rFonts w:ascii="Arial" w:eastAsia="Times New Roman" w:hAnsi="Arial" w:cs="Arial"/>
          <w:sz w:val="20"/>
          <w:szCs w:val="20"/>
          <w:shd w:val="clear" w:color="auto" w:fill="FFFFFF"/>
        </w:rPr>
        <w:t xml:space="preserve">: </w:t>
      </w:r>
      <w:r w:rsidRPr="007C1EDE">
        <w:rPr>
          <w:rStyle w:val="ref-journal"/>
          <w:rFonts w:ascii="Arial" w:eastAsia="Calibri" w:hAnsi="Arial" w:cs="Arial"/>
          <w:sz w:val="20"/>
          <w:szCs w:val="20"/>
          <w:shd w:val="clear" w:color="auto" w:fill="FFFFFF"/>
        </w:rPr>
        <w:t>findings</w:t>
      </w:r>
      <w:r w:rsidRPr="007C1EDE">
        <w:rPr>
          <w:rStyle w:val="ref-journal"/>
          <w:rFonts w:ascii="Arial" w:eastAsia="Times New Roman" w:hAnsi="Arial" w:cs="Arial"/>
          <w:sz w:val="20"/>
          <w:szCs w:val="20"/>
          <w:shd w:val="clear" w:color="auto" w:fill="FFFFFF"/>
        </w:rPr>
        <w:t xml:space="preserve"> </w:t>
      </w:r>
      <w:r w:rsidRPr="007C1EDE">
        <w:rPr>
          <w:rStyle w:val="ref-journal"/>
          <w:rFonts w:ascii="Arial" w:eastAsia="Calibri" w:hAnsi="Arial" w:cs="Arial"/>
          <w:sz w:val="20"/>
          <w:szCs w:val="20"/>
          <w:shd w:val="clear" w:color="auto" w:fill="FFFFFF"/>
        </w:rPr>
        <w:t>from</w:t>
      </w:r>
      <w:r w:rsidRPr="007C1EDE">
        <w:rPr>
          <w:rStyle w:val="ref-journal"/>
          <w:rFonts w:ascii="Arial" w:eastAsia="Times New Roman" w:hAnsi="Arial" w:cs="Arial"/>
          <w:sz w:val="20"/>
          <w:szCs w:val="20"/>
          <w:shd w:val="clear" w:color="auto" w:fill="FFFFFF"/>
        </w:rPr>
        <w:t xml:space="preserve"> </w:t>
      </w:r>
      <w:r w:rsidRPr="007C1EDE">
        <w:rPr>
          <w:rStyle w:val="ref-journal"/>
          <w:rFonts w:ascii="Arial" w:eastAsia="Calibri" w:hAnsi="Arial" w:cs="Arial"/>
          <w:sz w:val="20"/>
          <w:szCs w:val="20"/>
          <w:shd w:val="clear" w:color="auto" w:fill="FFFFFF"/>
        </w:rPr>
        <w:t>a</w:t>
      </w:r>
      <w:r w:rsidRPr="007C1EDE">
        <w:rPr>
          <w:rStyle w:val="ref-journal"/>
          <w:rFonts w:ascii="Arial" w:eastAsia="Times New Roman" w:hAnsi="Arial" w:cs="Arial"/>
          <w:sz w:val="20"/>
          <w:szCs w:val="20"/>
          <w:shd w:val="clear" w:color="auto" w:fill="FFFFFF"/>
        </w:rPr>
        <w:t xml:space="preserve"> </w:t>
      </w:r>
      <w:r w:rsidRPr="007C1EDE">
        <w:rPr>
          <w:rStyle w:val="ref-journal"/>
          <w:rFonts w:ascii="Arial" w:eastAsia="Calibri" w:hAnsi="Arial" w:cs="Arial"/>
          <w:sz w:val="20"/>
          <w:szCs w:val="20"/>
          <w:shd w:val="clear" w:color="auto" w:fill="FFFFFF"/>
        </w:rPr>
        <w:t>national</w:t>
      </w:r>
      <w:r w:rsidRPr="007C1EDE">
        <w:rPr>
          <w:rStyle w:val="ref-journal"/>
          <w:rFonts w:ascii="Arial" w:eastAsia="Times New Roman" w:hAnsi="Arial" w:cs="Arial"/>
          <w:sz w:val="20"/>
          <w:szCs w:val="20"/>
          <w:shd w:val="clear" w:color="auto" w:fill="FFFFFF"/>
        </w:rPr>
        <w:t xml:space="preserve"> </w:t>
      </w:r>
      <w:r w:rsidRPr="007C1EDE">
        <w:rPr>
          <w:rStyle w:val="ref-journal"/>
          <w:rFonts w:ascii="Arial" w:eastAsia="Calibri" w:hAnsi="Arial" w:cs="Arial"/>
          <w:sz w:val="20"/>
          <w:szCs w:val="20"/>
          <w:shd w:val="clear" w:color="auto" w:fill="FFFFFF"/>
        </w:rPr>
        <w:t>survey</w:t>
      </w:r>
      <w:r w:rsidRPr="007C1EDE">
        <w:rPr>
          <w:rStyle w:val="ref-journal"/>
          <w:rFonts w:ascii="Arial" w:eastAsia="Times New Roman" w:hAnsi="Arial" w:cs="Arial"/>
          <w:sz w:val="20"/>
          <w:szCs w:val="20"/>
          <w:shd w:val="clear" w:color="auto" w:fill="FFFFFF"/>
        </w:rPr>
        <w:t xml:space="preserve"> </w:t>
      </w:r>
      <w:r w:rsidRPr="007C1EDE">
        <w:rPr>
          <w:rStyle w:val="ref-journal"/>
          <w:rFonts w:ascii="Arial" w:eastAsia="Calibri" w:hAnsi="Arial" w:cs="Arial"/>
          <w:sz w:val="20"/>
          <w:szCs w:val="20"/>
          <w:shd w:val="clear" w:color="auto" w:fill="FFFFFF"/>
        </w:rPr>
        <w:t>of</w:t>
      </w:r>
      <w:r w:rsidRPr="007C1EDE">
        <w:rPr>
          <w:rStyle w:val="ref-journal"/>
          <w:rFonts w:ascii="Arial" w:eastAsia="Times New Roman" w:hAnsi="Arial" w:cs="Arial"/>
          <w:sz w:val="20"/>
          <w:szCs w:val="20"/>
          <w:shd w:val="clear" w:color="auto" w:fill="FFFFFF"/>
        </w:rPr>
        <w:t xml:space="preserve"> </w:t>
      </w:r>
      <w:r w:rsidRPr="007C1EDE">
        <w:rPr>
          <w:rStyle w:val="ref-journal"/>
          <w:rFonts w:ascii="Arial" w:eastAsia="Calibri" w:hAnsi="Arial" w:cs="Arial"/>
          <w:sz w:val="20"/>
          <w:szCs w:val="20"/>
          <w:shd w:val="clear" w:color="auto" w:fill="FFFFFF"/>
        </w:rPr>
        <w:t>service</w:t>
      </w:r>
      <w:r w:rsidRPr="007C1EDE">
        <w:rPr>
          <w:rStyle w:val="ref-journal"/>
          <w:rFonts w:ascii="Arial" w:eastAsia="Times New Roman" w:hAnsi="Arial" w:cs="Arial"/>
          <w:sz w:val="20"/>
          <w:szCs w:val="20"/>
          <w:shd w:val="clear" w:color="auto" w:fill="FFFFFF"/>
        </w:rPr>
        <w:t xml:space="preserve"> </w:t>
      </w:r>
      <w:r w:rsidRPr="007C1EDE">
        <w:rPr>
          <w:rStyle w:val="ref-journal"/>
          <w:rFonts w:ascii="Arial" w:eastAsia="Calibri" w:hAnsi="Arial" w:cs="Arial"/>
          <w:sz w:val="20"/>
          <w:szCs w:val="20"/>
          <w:shd w:val="clear" w:color="auto" w:fill="FFFFFF"/>
        </w:rPr>
        <w:t>providers</w:t>
      </w:r>
      <w:r w:rsidRPr="007C1EDE">
        <w:rPr>
          <w:rStyle w:val="ref-journal"/>
          <w:rFonts w:ascii="Arial" w:eastAsia="Times New Roman" w:hAnsi="Arial" w:cs="Arial"/>
          <w:sz w:val="20"/>
          <w:szCs w:val="20"/>
          <w:shd w:val="clear" w:color="auto" w:fill="FFFFFF"/>
        </w:rPr>
        <w:t xml:space="preserve"> </w:t>
      </w:r>
      <w:r w:rsidRPr="007C1EDE">
        <w:rPr>
          <w:rStyle w:val="ref-journal"/>
          <w:rFonts w:ascii="Arial" w:eastAsia="Calibri" w:hAnsi="Arial" w:cs="Arial"/>
          <w:sz w:val="20"/>
          <w:szCs w:val="20"/>
          <w:shd w:val="clear" w:color="auto" w:fill="FFFFFF"/>
        </w:rPr>
        <w:t>working</w:t>
      </w:r>
      <w:r w:rsidRPr="007C1EDE">
        <w:rPr>
          <w:rStyle w:val="ref-journal"/>
          <w:rFonts w:ascii="Arial" w:eastAsia="Times New Roman" w:hAnsi="Arial" w:cs="Arial"/>
          <w:sz w:val="20"/>
          <w:szCs w:val="20"/>
          <w:shd w:val="clear" w:color="auto" w:fill="FFFFFF"/>
        </w:rPr>
        <w:t xml:space="preserve"> </w:t>
      </w:r>
      <w:r w:rsidRPr="007C1EDE">
        <w:rPr>
          <w:rStyle w:val="ref-journal"/>
          <w:rFonts w:ascii="Arial" w:eastAsia="Calibri" w:hAnsi="Arial" w:cs="Arial"/>
          <w:sz w:val="20"/>
          <w:szCs w:val="20"/>
          <w:shd w:val="clear" w:color="auto" w:fill="FFFFFF"/>
        </w:rPr>
        <w:t>with</w:t>
      </w:r>
      <w:r w:rsidRPr="007C1EDE">
        <w:rPr>
          <w:rStyle w:val="ref-journal"/>
          <w:rFonts w:ascii="Arial" w:eastAsia="Times New Roman" w:hAnsi="Arial" w:cs="Arial"/>
          <w:sz w:val="20"/>
          <w:szCs w:val="20"/>
          <w:shd w:val="clear" w:color="auto" w:fill="FFFFFF"/>
        </w:rPr>
        <w:t xml:space="preserve"> </w:t>
      </w:r>
      <w:r w:rsidRPr="007C1EDE">
        <w:rPr>
          <w:rStyle w:val="ref-journal"/>
          <w:rFonts w:ascii="Arial" w:eastAsia="Calibri" w:hAnsi="Arial" w:cs="Arial"/>
          <w:sz w:val="20"/>
          <w:szCs w:val="20"/>
          <w:shd w:val="clear" w:color="auto" w:fill="FFFFFF"/>
        </w:rPr>
        <w:t>lesbian</w:t>
      </w:r>
      <w:r w:rsidRPr="007C1EDE">
        <w:rPr>
          <w:rStyle w:val="ref-journal"/>
          <w:rFonts w:ascii="Arial" w:eastAsia="Times New Roman" w:hAnsi="Arial" w:cs="Arial"/>
          <w:sz w:val="20"/>
          <w:szCs w:val="20"/>
          <w:shd w:val="clear" w:color="auto" w:fill="FFFFFF"/>
        </w:rPr>
        <w:t xml:space="preserve">, </w:t>
      </w:r>
      <w:r w:rsidRPr="007C1EDE">
        <w:rPr>
          <w:rStyle w:val="ref-journal"/>
          <w:rFonts w:ascii="Arial" w:eastAsia="Calibri" w:hAnsi="Arial" w:cs="Arial"/>
          <w:sz w:val="20"/>
          <w:szCs w:val="20"/>
          <w:shd w:val="clear" w:color="auto" w:fill="FFFFFF"/>
        </w:rPr>
        <w:t>gay</w:t>
      </w:r>
      <w:r w:rsidRPr="007C1EDE">
        <w:rPr>
          <w:rStyle w:val="ref-journal"/>
          <w:rFonts w:ascii="Arial" w:eastAsia="Times New Roman" w:hAnsi="Arial" w:cs="Arial"/>
          <w:sz w:val="20"/>
          <w:szCs w:val="20"/>
          <w:shd w:val="clear" w:color="auto" w:fill="FFFFFF"/>
        </w:rPr>
        <w:t xml:space="preserve">, </w:t>
      </w:r>
      <w:r w:rsidRPr="007C1EDE">
        <w:rPr>
          <w:rStyle w:val="ref-journal"/>
          <w:rFonts w:ascii="Arial" w:eastAsia="Calibri" w:hAnsi="Arial" w:cs="Arial"/>
          <w:sz w:val="20"/>
          <w:szCs w:val="20"/>
          <w:shd w:val="clear" w:color="auto" w:fill="FFFFFF"/>
        </w:rPr>
        <w:t>bisexual</w:t>
      </w:r>
      <w:r w:rsidRPr="007C1EDE">
        <w:rPr>
          <w:rStyle w:val="ref-journal"/>
          <w:rFonts w:ascii="Arial" w:eastAsia="Times New Roman" w:hAnsi="Arial" w:cs="Arial"/>
          <w:sz w:val="20"/>
          <w:szCs w:val="20"/>
          <w:shd w:val="clear" w:color="auto" w:fill="FFFFFF"/>
        </w:rPr>
        <w:t xml:space="preserve">, </w:t>
      </w:r>
      <w:r w:rsidRPr="007C1EDE">
        <w:rPr>
          <w:rStyle w:val="ref-journal"/>
          <w:rFonts w:ascii="Arial" w:eastAsia="Calibri" w:hAnsi="Arial" w:cs="Arial"/>
          <w:sz w:val="20"/>
          <w:szCs w:val="20"/>
          <w:shd w:val="clear" w:color="auto" w:fill="FFFFFF"/>
        </w:rPr>
        <w:t>and</w:t>
      </w:r>
      <w:r w:rsidRPr="007C1EDE">
        <w:rPr>
          <w:rStyle w:val="ref-journal"/>
          <w:rFonts w:ascii="Arial" w:eastAsia="Times New Roman" w:hAnsi="Arial" w:cs="Arial"/>
          <w:sz w:val="20"/>
          <w:szCs w:val="20"/>
          <w:shd w:val="clear" w:color="auto" w:fill="FFFFFF"/>
        </w:rPr>
        <w:t xml:space="preserve"> </w:t>
      </w:r>
      <w:r w:rsidRPr="007C1EDE">
        <w:rPr>
          <w:rStyle w:val="ref-journal"/>
          <w:rFonts w:ascii="Arial" w:eastAsia="Calibri" w:hAnsi="Arial" w:cs="Arial"/>
          <w:sz w:val="20"/>
          <w:szCs w:val="20"/>
          <w:shd w:val="clear" w:color="auto" w:fill="FFFFFF"/>
        </w:rPr>
        <w:t>transgender</w:t>
      </w:r>
      <w:r w:rsidRPr="007C1EDE">
        <w:rPr>
          <w:rStyle w:val="ref-journal"/>
          <w:rFonts w:ascii="Arial" w:eastAsia="Times New Roman" w:hAnsi="Arial" w:cs="Arial"/>
          <w:sz w:val="20"/>
          <w:szCs w:val="20"/>
          <w:shd w:val="clear" w:color="auto" w:fill="FFFFFF"/>
        </w:rPr>
        <w:t xml:space="preserve"> </w:t>
      </w:r>
      <w:r w:rsidRPr="007C1EDE">
        <w:rPr>
          <w:rStyle w:val="ref-journal"/>
          <w:rFonts w:ascii="Arial" w:eastAsia="Calibri" w:hAnsi="Arial" w:cs="Arial"/>
          <w:sz w:val="20"/>
          <w:szCs w:val="20"/>
          <w:shd w:val="clear" w:color="auto" w:fill="FFFFFF"/>
        </w:rPr>
        <w:t>youth</w:t>
      </w:r>
      <w:r w:rsidRPr="007C1EDE">
        <w:rPr>
          <w:rStyle w:val="ref-journal"/>
          <w:rFonts w:ascii="Arial" w:eastAsia="Times New Roman" w:hAnsi="Arial" w:cs="Arial"/>
          <w:sz w:val="20"/>
          <w:szCs w:val="20"/>
          <w:shd w:val="clear" w:color="auto" w:fill="FFFFFF"/>
        </w:rPr>
        <w:t xml:space="preserve"> </w:t>
      </w:r>
      <w:r w:rsidRPr="007C1EDE">
        <w:rPr>
          <w:rStyle w:val="ref-journal"/>
          <w:rFonts w:ascii="Arial" w:eastAsia="Calibri" w:hAnsi="Arial" w:cs="Arial"/>
          <w:sz w:val="20"/>
          <w:szCs w:val="20"/>
          <w:shd w:val="clear" w:color="auto" w:fill="FFFFFF"/>
        </w:rPr>
        <w:t>who</w:t>
      </w:r>
      <w:r w:rsidRPr="007C1EDE">
        <w:rPr>
          <w:rStyle w:val="ref-journal"/>
          <w:rFonts w:ascii="Arial" w:eastAsia="Times New Roman" w:hAnsi="Arial" w:cs="Arial"/>
          <w:sz w:val="20"/>
          <w:szCs w:val="20"/>
          <w:shd w:val="clear" w:color="auto" w:fill="FFFFFF"/>
        </w:rPr>
        <w:t xml:space="preserve"> </w:t>
      </w:r>
      <w:r w:rsidRPr="007C1EDE">
        <w:rPr>
          <w:rStyle w:val="ref-journal"/>
          <w:rFonts w:ascii="Arial" w:eastAsia="Calibri" w:hAnsi="Arial" w:cs="Arial"/>
          <w:sz w:val="20"/>
          <w:szCs w:val="20"/>
          <w:shd w:val="clear" w:color="auto" w:fill="FFFFFF"/>
        </w:rPr>
        <w:t>are</w:t>
      </w:r>
      <w:r w:rsidRPr="007C1EDE">
        <w:rPr>
          <w:rStyle w:val="ref-journal"/>
          <w:rFonts w:ascii="Arial" w:eastAsia="Times New Roman" w:hAnsi="Arial" w:cs="Arial"/>
          <w:sz w:val="20"/>
          <w:szCs w:val="20"/>
          <w:shd w:val="clear" w:color="auto" w:fill="FFFFFF"/>
        </w:rPr>
        <w:t xml:space="preserve"> </w:t>
      </w:r>
      <w:r w:rsidRPr="007C1EDE">
        <w:rPr>
          <w:rStyle w:val="ref-journal"/>
          <w:rFonts w:ascii="Arial" w:eastAsia="Calibri" w:hAnsi="Arial" w:cs="Arial"/>
          <w:sz w:val="20"/>
          <w:szCs w:val="20"/>
          <w:shd w:val="clear" w:color="auto" w:fill="FFFFFF"/>
        </w:rPr>
        <w:t>homeless</w:t>
      </w:r>
      <w:r w:rsidRPr="007C1EDE">
        <w:rPr>
          <w:rStyle w:val="ref-journal"/>
          <w:rFonts w:ascii="Arial" w:eastAsia="Times New Roman" w:hAnsi="Arial" w:cs="Arial"/>
          <w:sz w:val="20"/>
          <w:szCs w:val="20"/>
          <w:shd w:val="clear" w:color="auto" w:fill="FFFFFF"/>
        </w:rPr>
        <w:t xml:space="preserve"> </w:t>
      </w:r>
      <w:r w:rsidRPr="007C1EDE">
        <w:rPr>
          <w:rStyle w:val="ref-journal"/>
          <w:rFonts w:ascii="Arial" w:eastAsia="Calibri" w:hAnsi="Arial" w:cs="Arial"/>
          <w:sz w:val="20"/>
          <w:szCs w:val="20"/>
          <w:shd w:val="clear" w:color="auto" w:fill="FFFFFF"/>
        </w:rPr>
        <w:t>or</w:t>
      </w:r>
      <w:r w:rsidRPr="007C1EDE">
        <w:rPr>
          <w:rStyle w:val="ref-journal"/>
          <w:rFonts w:ascii="Arial" w:eastAsia="Times New Roman" w:hAnsi="Arial" w:cs="Arial"/>
          <w:sz w:val="20"/>
          <w:szCs w:val="20"/>
          <w:shd w:val="clear" w:color="auto" w:fill="FFFFFF"/>
        </w:rPr>
        <w:t xml:space="preserve"> </w:t>
      </w:r>
      <w:r w:rsidRPr="007C1EDE">
        <w:rPr>
          <w:rStyle w:val="ref-journal"/>
          <w:rFonts w:ascii="Arial" w:eastAsia="Calibri" w:hAnsi="Arial" w:cs="Arial"/>
          <w:sz w:val="20"/>
          <w:szCs w:val="20"/>
          <w:shd w:val="clear" w:color="auto" w:fill="FFFFFF"/>
        </w:rPr>
        <w:t>at</w:t>
      </w:r>
      <w:r w:rsidRPr="007C1EDE">
        <w:rPr>
          <w:rStyle w:val="ref-journal"/>
          <w:rFonts w:ascii="Arial" w:eastAsia="Times New Roman" w:hAnsi="Arial" w:cs="Arial"/>
          <w:sz w:val="20"/>
          <w:szCs w:val="20"/>
          <w:shd w:val="clear" w:color="auto" w:fill="FFFFFF"/>
        </w:rPr>
        <w:t xml:space="preserve"> </w:t>
      </w:r>
      <w:r w:rsidRPr="007C1EDE">
        <w:rPr>
          <w:rStyle w:val="ref-journal"/>
          <w:rFonts w:ascii="Arial" w:eastAsia="Calibri" w:hAnsi="Arial" w:cs="Arial"/>
          <w:sz w:val="20"/>
          <w:szCs w:val="20"/>
          <w:shd w:val="clear" w:color="auto" w:fill="FFFFFF"/>
        </w:rPr>
        <w:t>risk</w:t>
      </w:r>
      <w:r w:rsidRPr="007C1EDE">
        <w:rPr>
          <w:rStyle w:val="ref-journal"/>
          <w:rFonts w:ascii="Arial" w:eastAsia="Times New Roman" w:hAnsi="Arial" w:cs="Arial"/>
          <w:sz w:val="20"/>
          <w:szCs w:val="20"/>
          <w:shd w:val="clear" w:color="auto" w:fill="FFFFFF"/>
        </w:rPr>
        <w:t xml:space="preserve"> </w:t>
      </w:r>
      <w:r w:rsidRPr="007C1EDE">
        <w:rPr>
          <w:rStyle w:val="ref-journal"/>
          <w:rFonts w:ascii="Arial" w:eastAsia="Calibri" w:hAnsi="Arial" w:cs="Arial"/>
          <w:sz w:val="20"/>
          <w:szCs w:val="20"/>
          <w:shd w:val="clear" w:color="auto" w:fill="FFFFFF"/>
        </w:rPr>
        <w:t>of</w:t>
      </w:r>
      <w:r w:rsidRPr="007C1EDE">
        <w:rPr>
          <w:rStyle w:val="ref-journal"/>
          <w:rFonts w:ascii="Arial" w:eastAsia="Times New Roman" w:hAnsi="Arial" w:cs="Arial"/>
          <w:sz w:val="20"/>
          <w:szCs w:val="20"/>
          <w:shd w:val="clear" w:color="auto" w:fill="FFFFFF"/>
        </w:rPr>
        <w:t xml:space="preserve"> </w:t>
      </w:r>
      <w:r w:rsidRPr="007C1EDE">
        <w:rPr>
          <w:rStyle w:val="ref-journal"/>
          <w:rFonts w:ascii="Arial" w:eastAsia="Calibri" w:hAnsi="Arial" w:cs="Arial"/>
          <w:sz w:val="20"/>
          <w:szCs w:val="20"/>
          <w:shd w:val="clear" w:color="auto" w:fill="FFFFFF"/>
        </w:rPr>
        <w:t>becoming</w:t>
      </w:r>
      <w:r w:rsidRPr="007C1EDE">
        <w:rPr>
          <w:rStyle w:val="ref-journal"/>
          <w:rFonts w:ascii="Arial" w:eastAsia="Times New Roman" w:hAnsi="Arial" w:cs="Arial"/>
          <w:sz w:val="20"/>
          <w:szCs w:val="20"/>
          <w:shd w:val="clear" w:color="auto" w:fill="FFFFFF"/>
        </w:rPr>
        <w:t xml:space="preserve"> </w:t>
      </w:r>
      <w:r w:rsidRPr="007C1EDE">
        <w:rPr>
          <w:rStyle w:val="ref-journal"/>
          <w:rFonts w:ascii="Arial" w:eastAsia="Calibri" w:hAnsi="Arial" w:cs="Arial"/>
          <w:sz w:val="20"/>
          <w:szCs w:val="20"/>
          <w:shd w:val="clear" w:color="auto" w:fill="FFFFFF"/>
        </w:rPr>
        <w:t>homeless</w:t>
      </w:r>
      <w:r w:rsidRPr="007C1EDE">
        <w:rPr>
          <w:rStyle w:val="ref-journal"/>
          <w:rFonts w:ascii="Arial" w:eastAsia="Times New Roman" w:hAnsi="Arial" w:cs="Arial"/>
          <w:sz w:val="20"/>
          <w:szCs w:val="20"/>
          <w:shd w:val="clear" w:color="auto" w:fill="FFFFFF"/>
        </w:rPr>
        <w:t>.</w:t>
      </w:r>
      <w:r w:rsidRPr="007C1EDE">
        <w:rPr>
          <w:rStyle w:val="apple-converted-space"/>
          <w:rFonts w:ascii="Arial" w:eastAsia="Times New Roman" w:hAnsi="Arial" w:cs="Arial"/>
          <w:sz w:val="20"/>
          <w:szCs w:val="20"/>
          <w:shd w:val="clear" w:color="auto" w:fill="FFFFFF"/>
        </w:rPr>
        <w:t> </w:t>
      </w:r>
      <w:r w:rsidRPr="007C1EDE">
        <w:rPr>
          <w:rStyle w:val="element-citation"/>
          <w:rFonts w:ascii="Arial" w:eastAsia="Calibri" w:hAnsi="Arial" w:cs="Arial"/>
          <w:sz w:val="20"/>
          <w:szCs w:val="20"/>
          <w:shd w:val="clear" w:color="auto" w:fill="FFFFFF"/>
        </w:rPr>
        <w:t>Los</w:t>
      </w:r>
      <w:r w:rsidRPr="007C1EDE">
        <w:rPr>
          <w:rStyle w:val="element-citation"/>
          <w:rFonts w:ascii="Arial" w:eastAsia="Times New Roman" w:hAnsi="Arial" w:cs="Arial"/>
          <w:sz w:val="20"/>
          <w:szCs w:val="20"/>
          <w:shd w:val="clear" w:color="auto" w:fill="FFFFFF"/>
        </w:rPr>
        <w:t xml:space="preserve"> </w:t>
      </w:r>
      <w:r w:rsidRPr="007C1EDE">
        <w:rPr>
          <w:rStyle w:val="element-citation"/>
          <w:rFonts w:ascii="Arial" w:eastAsia="Calibri" w:hAnsi="Arial" w:cs="Arial"/>
          <w:sz w:val="20"/>
          <w:szCs w:val="20"/>
          <w:shd w:val="clear" w:color="auto" w:fill="FFFFFF"/>
        </w:rPr>
        <w:t>Angeles</w:t>
      </w:r>
      <w:r w:rsidRPr="007C1EDE">
        <w:rPr>
          <w:rStyle w:val="element-citation"/>
          <w:rFonts w:ascii="Arial" w:eastAsia="Times New Roman" w:hAnsi="Arial" w:cs="Arial"/>
          <w:sz w:val="20"/>
          <w:szCs w:val="20"/>
          <w:shd w:val="clear" w:color="auto" w:fill="FFFFFF"/>
        </w:rPr>
        <w:t xml:space="preserve">, </w:t>
      </w:r>
      <w:r w:rsidRPr="007C1EDE">
        <w:rPr>
          <w:rStyle w:val="element-citation"/>
          <w:rFonts w:ascii="Arial" w:eastAsia="Calibri" w:hAnsi="Arial" w:cs="Arial"/>
          <w:sz w:val="20"/>
          <w:szCs w:val="20"/>
          <w:shd w:val="clear" w:color="auto" w:fill="FFFFFF"/>
        </w:rPr>
        <w:t>CA</w:t>
      </w:r>
      <w:r w:rsidRPr="007C1EDE">
        <w:rPr>
          <w:rStyle w:val="element-citation"/>
          <w:rFonts w:ascii="Arial" w:eastAsia="Times New Roman" w:hAnsi="Arial" w:cs="Arial"/>
          <w:sz w:val="20"/>
          <w:szCs w:val="20"/>
          <w:shd w:val="clear" w:color="auto" w:fill="FFFFFF"/>
        </w:rPr>
        <w:t xml:space="preserve">: </w:t>
      </w:r>
      <w:r w:rsidRPr="007C1EDE">
        <w:rPr>
          <w:rStyle w:val="element-citation"/>
          <w:rFonts w:ascii="Arial" w:eastAsia="Calibri" w:hAnsi="Arial" w:cs="Arial"/>
          <w:sz w:val="20"/>
          <w:szCs w:val="20"/>
          <w:shd w:val="clear" w:color="auto" w:fill="FFFFFF"/>
        </w:rPr>
        <w:t>The</w:t>
      </w:r>
      <w:r w:rsidRPr="007C1EDE">
        <w:rPr>
          <w:rStyle w:val="element-citation"/>
          <w:rFonts w:ascii="Arial" w:eastAsia="Times New Roman" w:hAnsi="Arial" w:cs="Arial"/>
          <w:sz w:val="20"/>
          <w:szCs w:val="20"/>
          <w:shd w:val="clear" w:color="auto" w:fill="FFFFFF"/>
        </w:rPr>
        <w:t xml:space="preserve"> </w:t>
      </w:r>
      <w:r w:rsidRPr="007C1EDE">
        <w:rPr>
          <w:rStyle w:val="element-citation"/>
          <w:rFonts w:ascii="Arial" w:eastAsia="Calibri" w:hAnsi="Arial" w:cs="Arial"/>
          <w:sz w:val="20"/>
          <w:szCs w:val="20"/>
          <w:shd w:val="clear" w:color="auto" w:fill="FFFFFF"/>
        </w:rPr>
        <w:t>Williams</w:t>
      </w:r>
      <w:r w:rsidRPr="007C1EDE">
        <w:rPr>
          <w:rStyle w:val="element-citation"/>
          <w:rFonts w:ascii="Arial" w:eastAsia="Times New Roman" w:hAnsi="Arial" w:cs="Arial"/>
          <w:sz w:val="20"/>
          <w:szCs w:val="20"/>
          <w:shd w:val="clear" w:color="auto" w:fill="FFFFFF"/>
        </w:rPr>
        <w:t xml:space="preserve"> </w:t>
      </w:r>
      <w:r w:rsidRPr="007C1EDE">
        <w:rPr>
          <w:rStyle w:val="element-citation"/>
          <w:rFonts w:ascii="Arial" w:eastAsia="Calibri" w:hAnsi="Arial" w:cs="Arial"/>
          <w:sz w:val="20"/>
          <w:szCs w:val="20"/>
          <w:shd w:val="clear" w:color="auto" w:fill="FFFFFF"/>
        </w:rPr>
        <w:t>Institute</w:t>
      </w:r>
      <w:r w:rsidRPr="007C1EDE">
        <w:rPr>
          <w:rStyle w:val="element-citation"/>
          <w:rFonts w:ascii="Arial" w:eastAsia="Times New Roman" w:hAnsi="Arial" w:cs="Arial"/>
          <w:sz w:val="20"/>
          <w:szCs w:val="20"/>
          <w:shd w:val="clear" w:color="auto" w:fill="FFFFFF"/>
        </w:rPr>
        <w:t xml:space="preserve"> </w:t>
      </w:r>
      <w:r w:rsidRPr="007C1EDE">
        <w:rPr>
          <w:rStyle w:val="element-citation"/>
          <w:rFonts w:ascii="Arial" w:eastAsia="Calibri" w:hAnsi="Arial" w:cs="Arial"/>
          <w:sz w:val="20"/>
          <w:szCs w:val="20"/>
          <w:shd w:val="clear" w:color="auto" w:fill="FFFFFF"/>
        </w:rPr>
        <w:t>with</w:t>
      </w:r>
      <w:r w:rsidRPr="007C1EDE">
        <w:rPr>
          <w:rStyle w:val="element-citation"/>
          <w:rFonts w:ascii="Arial" w:eastAsia="Times New Roman" w:hAnsi="Arial" w:cs="Arial"/>
          <w:sz w:val="20"/>
          <w:szCs w:val="20"/>
          <w:shd w:val="clear" w:color="auto" w:fill="FFFFFF"/>
        </w:rPr>
        <w:t xml:space="preserve"> </w:t>
      </w:r>
      <w:r w:rsidRPr="007C1EDE">
        <w:rPr>
          <w:rStyle w:val="element-citation"/>
          <w:rFonts w:ascii="Arial" w:eastAsia="Calibri" w:hAnsi="Arial" w:cs="Arial"/>
          <w:sz w:val="20"/>
          <w:szCs w:val="20"/>
          <w:shd w:val="clear" w:color="auto" w:fill="FFFFFF"/>
        </w:rPr>
        <w:t>True</w:t>
      </w:r>
      <w:r w:rsidRPr="007C1EDE">
        <w:rPr>
          <w:rStyle w:val="element-citation"/>
          <w:rFonts w:ascii="Arial" w:eastAsia="Times New Roman" w:hAnsi="Arial" w:cs="Arial"/>
          <w:sz w:val="20"/>
          <w:szCs w:val="20"/>
          <w:shd w:val="clear" w:color="auto" w:fill="FFFFFF"/>
        </w:rPr>
        <w:t xml:space="preserve"> </w:t>
      </w:r>
      <w:r w:rsidRPr="007C1EDE">
        <w:rPr>
          <w:rStyle w:val="element-citation"/>
          <w:rFonts w:ascii="Arial" w:eastAsia="Calibri" w:hAnsi="Arial" w:cs="Arial"/>
          <w:sz w:val="20"/>
          <w:szCs w:val="20"/>
          <w:shd w:val="clear" w:color="auto" w:fill="FFFFFF"/>
        </w:rPr>
        <w:t>Colors</w:t>
      </w:r>
      <w:r w:rsidRPr="007C1EDE">
        <w:rPr>
          <w:rStyle w:val="element-citation"/>
          <w:rFonts w:ascii="Arial" w:eastAsia="Times New Roman" w:hAnsi="Arial" w:cs="Arial"/>
          <w:sz w:val="20"/>
          <w:szCs w:val="20"/>
          <w:shd w:val="clear" w:color="auto" w:fill="FFFFFF"/>
        </w:rPr>
        <w:t xml:space="preserve"> </w:t>
      </w:r>
      <w:r w:rsidRPr="007C1EDE">
        <w:rPr>
          <w:rStyle w:val="element-citation"/>
          <w:rFonts w:ascii="Arial" w:eastAsia="Calibri" w:hAnsi="Arial" w:cs="Arial"/>
          <w:sz w:val="20"/>
          <w:szCs w:val="20"/>
          <w:shd w:val="clear" w:color="auto" w:fill="FFFFFF"/>
        </w:rPr>
        <w:t>Fund</w:t>
      </w:r>
      <w:r w:rsidRPr="007C1EDE">
        <w:rPr>
          <w:rStyle w:val="element-citation"/>
          <w:rFonts w:ascii="Arial" w:eastAsia="Times New Roman" w:hAnsi="Arial" w:cs="Arial"/>
          <w:sz w:val="20"/>
          <w:szCs w:val="20"/>
          <w:shd w:val="clear" w:color="auto" w:fill="FFFFFF"/>
        </w:rPr>
        <w:t xml:space="preserve"> </w:t>
      </w:r>
      <w:r w:rsidRPr="007C1EDE">
        <w:rPr>
          <w:rStyle w:val="element-citation"/>
          <w:rFonts w:ascii="Arial" w:eastAsia="Calibri" w:hAnsi="Arial" w:cs="Arial"/>
          <w:sz w:val="20"/>
          <w:szCs w:val="20"/>
          <w:shd w:val="clear" w:color="auto" w:fill="FFFFFF"/>
        </w:rPr>
        <w:t>and</w:t>
      </w:r>
      <w:r w:rsidRPr="007C1EDE">
        <w:rPr>
          <w:rStyle w:val="element-citation"/>
          <w:rFonts w:ascii="Arial" w:eastAsia="Times New Roman" w:hAnsi="Arial" w:cs="Arial"/>
          <w:sz w:val="20"/>
          <w:szCs w:val="20"/>
          <w:shd w:val="clear" w:color="auto" w:fill="FFFFFF"/>
        </w:rPr>
        <w:t xml:space="preserve"> </w:t>
      </w:r>
      <w:r w:rsidRPr="007C1EDE">
        <w:rPr>
          <w:rStyle w:val="element-citation"/>
          <w:rFonts w:ascii="Arial" w:eastAsia="Calibri" w:hAnsi="Arial" w:cs="Arial"/>
          <w:sz w:val="20"/>
          <w:szCs w:val="20"/>
          <w:shd w:val="clear" w:color="auto" w:fill="FFFFFF"/>
        </w:rPr>
        <w:t>The</w:t>
      </w:r>
      <w:r w:rsidRPr="007C1EDE">
        <w:rPr>
          <w:rStyle w:val="element-citation"/>
          <w:rFonts w:ascii="Arial" w:eastAsia="Times New Roman" w:hAnsi="Arial" w:cs="Arial"/>
          <w:sz w:val="20"/>
          <w:szCs w:val="20"/>
          <w:shd w:val="clear" w:color="auto" w:fill="FFFFFF"/>
        </w:rPr>
        <w:t xml:space="preserve"> </w:t>
      </w:r>
      <w:r w:rsidRPr="007C1EDE">
        <w:rPr>
          <w:rStyle w:val="element-citation"/>
          <w:rFonts w:ascii="Arial" w:eastAsia="Calibri" w:hAnsi="Arial" w:cs="Arial"/>
          <w:sz w:val="20"/>
          <w:szCs w:val="20"/>
          <w:shd w:val="clear" w:color="auto" w:fill="FFFFFF"/>
        </w:rPr>
        <w:t>Palette</w:t>
      </w:r>
      <w:r w:rsidRPr="007C1EDE">
        <w:rPr>
          <w:rStyle w:val="element-citation"/>
          <w:rFonts w:ascii="Arial" w:eastAsia="Times New Roman" w:hAnsi="Arial" w:cs="Arial"/>
          <w:sz w:val="20"/>
          <w:szCs w:val="20"/>
          <w:shd w:val="clear" w:color="auto" w:fill="FFFFFF"/>
        </w:rPr>
        <w:t xml:space="preserve"> </w:t>
      </w:r>
      <w:r w:rsidRPr="007C1EDE">
        <w:rPr>
          <w:rStyle w:val="element-citation"/>
          <w:rFonts w:ascii="Arial" w:eastAsia="Calibri" w:hAnsi="Arial" w:cs="Arial"/>
          <w:sz w:val="20"/>
          <w:szCs w:val="20"/>
          <w:shd w:val="clear" w:color="auto" w:fill="FFFFFF"/>
        </w:rPr>
        <w:t>Fund</w:t>
      </w:r>
      <w:r w:rsidRPr="007C1EDE">
        <w:rPr>
          <w:rStyle w:val="element-citation"/>
          <w:rFonts w:ascii="Arial" w:eastAsia="Times New Roman" w:hAnsi="Arial" w:cs="Arial"/>
          <w:sz w:val="20"/>
          <w:szCs w:val="20"/>
          <w:shd w:val="clear" w:color="auto" w:fill="FFFFFF"/>
        </w:rPr>
        <w:t xml:space="preserve">. </w:t>
      </w:r>
      <w:r w:rsidRPr="007C1EDE">
        <w:rPr>
          <w:rStyle w:val="element-citation"/>
          <w:rFonts w:ascii="Arial" w:eastAsia="Calibri" w:hAnsi="Arial" w:cs="Arial"/>
          <w:sz w:val="20"/>
          <w:szCs w:val="20"/>
          <w:shd w:val="clear" w:color="auto" w:fill="FFFFFF"/>
        </w:rPr>
        <w:t>Retrieved</w:t>
      </w:r>
      <w:r w:rsidRPr="007C1EDE">
        <w:rPr>
          <w:rStyle w:val="element-citation"/>
          <w:rFonts w:ascii="Arial" w:eastAsia="Times New Roman" w:hAnsi="Arial" w:cs="Arial"/>
          <w:sz w:val="20"/>
          <w:szCs w:val="20"/>
          <w:shd w:val="clear" w:color="auto" w:fill="FFFFFF"/>
        </w:rPr>
        <w:t xml:space="preserve"> </w:t>
      </w:r>
      <w:r w:rsidRPr="007C1EDE">
        <w:rPr>
          <w:rStyle w:val="element-citation"/>
          <w:rFonts w:ascii="Arial" w:eastAsia="Calibri" w:hAnsi="Arial" w:cs="Arial"/>
          <w:sz w:val="20"/>
          <w:szCs w:val="20"/>
          <w:shd w:val="clear" w:color="auto" w:fill="FFFFFF"/>
        </w:rPr>
        <w:t>from</w:t>
      </w:r>
      <w:r w:rsidRPr="007C1EDE">
        <w:rPr>
          <w:rStyle w:val="apple-converted-space"/>
          <w:rFonts w:ascii="Arial" w:eastAsia="Times New Roman" w:hAnsi="Arial" w:cs="Arial"/>
          <w:sz w:val="20"/>
          <w:szCs w:val="20"/>
          <w:shd w:val="clear" w:color="auto" w:fill="FFFFFF"/>
        </w:rPr>
        <w:t> </w:t>
      </w:r>
      <w:hyperlink r:id="rId4" w:tgtFrame="pmc_ext" w:history="1">
        <w:r w:rsidRPr="007C1EDE">
          <w:rPr>
            <w:rStyle w:val="Hyperlink"/>
            <w:rFonts w:ascii="Arial" w:eastAsia="Calibri" w:hAnsi="Arial" w:cs="Arial"/>
            <w:color w:val="auto"/>
            <w:sz w:val="20"/>
            <w:szCs w:val="20"/>
            <w:u w:val="none"/>
            <w:shd w:val="clear" w:color="auto" w:fill="FFFFFF"/>
          </w:rPr>
          <w:t>http</w:t>
        </w:r>
        <w:r w:rsidRPr="007C1EDE">
          <w:rPr>
            <w:rStyle w:val="Hyperlink"/>
            <w:rFonts w:ascii="Arial" w:eastAsia="Times New Roman" w:hAnsi="Arial" w:cs="Arial"/>
            <w:color w:val="auto"/>
            <w:sz w:val="20"/>
            <w:szCs w:val="20"/>
            <w:u w:val="none"/>
            <w:shd w:val="clear" w:color="auto" w:fill="FFFFFF"/>
          </w:rPr>
          <w:t>://</w:t>
        </w:r>
        <w:r w:rsidRPr="007C1EDE">
          <w:rPr>
            <w:rStyle w:val="Hyperlink"/>
            <w:rFonts w:ascii="Arial" w:eastAsia="Calibri" w:hAnsi="Arial" w:cs="Arial"/>
            <w:color w:val="auto"/>
            <w:sz w:val="20"/>
            <w:szCs w:val="20"/>
            <w:u w:val="none"/>
            <w:shd w:val="clear" w:color="auto" w:fill="FFFFFF"/>
          </w:rPr>
          <w:t>williamsinstitute</w:t>
        </w:r>
        <w:r w:rsidRPr="007C1EDE">
          <w:rPr>
            <w:rStyle w:val="Hyperlink"/>
            <w:rFonts w:ascii="Arial" w:eastAsia="Times New Roman" w:hAnsi="Arial" w:cs="Arial"/>
            <w:color w:val="auto"/>
            <w:sz w:val="20"/>
            <w:szCs w:val="20"/>
            <w:u w:val="none"/>
            <w:shd w:val="clear" w:color="auto" w:fill="FFFFFF"/>
          </w:rPr>
          <w:t>.</w:t>
        </w:r>
        <w:r w:rsidRPr="007C1EDE">
          <w:rPr>
            <w:rStyle w:val="Hyperlink"/>
            <w:rFonts w:ascii="Arial" w:eastAsia="Calibri" w:hAnsi="Arial" w:cs="Arial"/>
            <w:color w:val="auto"/>
            <w:sz w:val="20"/>
            <w:szCs w:val="20"/>
            <w:u w:val="none"/>
            <w:shd w:val="clear" w:color="auto" w:fill="FFFFFF"/>
          </w:rPr>
          <w:t>law</w:t>
        </w:r>
        <w:r w:rsidRPr="007C1EDE">
          <w:rPr>
            <w:rStyle w:val="Hyperlink"/>
            <w:rFonts w:ascii="Arial" w:eastAsia="Times New Roman" w:hAnsi="Arial" w:cs="Arial"/>
            <w:color w:val="auto"/>
            <w:sz w:val="20"/>
            <w:szCs w:val="20"/>
            <w:u w:val="none"/>
            <w:shd w:val="clear" w:color="auto" w:fill="FFFFFF"/>
          </w:rPr>
          <w:t>.</w:t>
        </w:r>
        <w:r w:rsidRPr="007C1EDE">
          <w:rPr>
            <w:rStyle w:val="Hyperlink"/>
            <w:rFonts w:ascii="Arial" w:eastAsia="Calibri" w:hAnsi="Arial" w:cs="Arial"/>
            <w:color w:val="auto"/>
            <w:sz w:val="20"/>
            <w:szCs w:val="20"/>
            <w:u w:val="none"/>
            <w:shd w:val="clear" w:color="auto" w:fill="FFFFFF"/>
          </w:rPr>
          <w:t>ucla</w:t>
        </w:r>
        <w:r w:rsidRPr="007C1EDE">
          <w:rPr>
            <w:rStyle w:val="Hyperlink"/>
            <w:rFonts w:ascii="Arial" w:eastAsia="Times New Roman" w:hAnsi="Arial" w:cs="Arial"/>
            <w:color w:val="auto"/>
            <w:sz w:val="20"/>
            <w:szCs w:val="20"/>
            <w:u w:val="none"/>
            <w:shd w:val="clear" w:color="auto" w:fill="FFFFFF"/>
          </w:rPr>
          <w:t>.</w:t>
        </w:r>
        <w:r w:rsidRPr="007C1EDE">
          <w:rPr>
            <w:rStyle w:val="Hyperlink"/>
            <w:rFonts w:ascii="Arial" w:eastAsia="Calibri" w:hAnsi="Arial" w:cs="Arial"/>
            <w:color w:val="auto"/>
            <w:sz w:val="20"/>
            <w:szCs w:val="20"/>
            <w:u w:val="none"/>
            <w:shd w:val="clear" w:color="auto" w:fill="FFFFFF"/>
          </w:rPr>
          <w:t>edu</w:t>
        </w:r>
        <w:r w:rsidRPr="007C1EDE">
          <w:rPr>
            <w:rStyle w:val="Hyperlink"/>
            <w:rFonts w:ascii="Arial" w:eastAsia="Times New Roman" w:hAnsi="Arial" w:cs="Arial"/>
            <w:color w:val="auto"/>
            <w:sz w:val="20"/>
            <w:szCs w:val="20"/>
            <w:u w:val="none"/>
            <w:shd w:val="clear" w:color="auto" w:fill="FFFFFF"/>
          </w:rPr>
          <w:t>/</w:t>
        </w:r>
        <w:r w:rsidRPr="007C1EDE">
          <w:rPr>
            <w:rStyle w:val="Hyperlink"/>
            <w:rFonts w:ascii="Arial" w:eastAsia="Calibri" w:hAnsi="Arial" w:cs="Arial"/>
            <w:color w:val="auto"/>
            <w:sz w:val="20"/>
            <w:szCs w:val="20"/>
            <w:u w:val="none"/>
            <w:shd w:val="clear" w:color="auto" w:fill="FFFFFF"/>
          </w:rPr>
          <w:t>research</w:t>
        </w:r>
        <w:r w:rsidRPr="007C1EDE">
          <w:rPr>
            <w:rStyle w:val="Hyperlink"/>
            <w:rFonts w:ascii="Arial" w:eastAsia="Times New Roman" w:hAnsi="Arial" w:cs="Arial"/>
            <w:color w:val="auto"/>
            <w:sz w:val="20"/>
            <w:szCs w:val="20"/>
            <w:u w:val="none"/>
            <w:shd w:val="clear" w:color="auto" w:fill="FFFFFF"/>
          </w:rPr>
          <w:t>/</w:t>
        </w:r>
        <w:r w:rsidRPr="007C1EDE">
          <w:rPr>
            <w:rStyle w:val="Hyperlink"/>
            <w:rFonts w:ascii="Arial" w:eastAsia="Calibri" w:hAnsi="Arial" w:cs="Arial"/>
            <w:color w:val="auto"/>
            <w:sz w:val="20"/>
            <w:szCs w:val="20"/>
            <w:u w:val="none"/>
            <w:shd w:val="clear" w:color="auto" w:fill="FFFFFF"/>
          </w:rPr>
          <w:t>safe</w:t>
        </w:r>
        <w:r w:rsidRPr="007C1EDE">
          <w:rPr>
            <w:rStyle w:val="Hyperlink"/>
            <w:rFonts w:ascii="Arial" w:eastAsia="Times New Roman" w:hAnsi="Arial" w:cs="Arial"/>
            <w:color w:val="auto"/>
            <w:sz w:val="20"/>
            <w:szCs w:val="20"/>
            <w:u w:val="none"/>
            <w:shd w:val="clear" w:color="auto" w:fill="FFFFFF"/>
          </w:rPr>
          <w:t>-</w:t>
        </w:r>
        <w:r w:rsidRPr="007C1EDE">
          <w:rPr>
            <w:rStyle w:val="Hyperlink"/>
            <w:rFonts w:ascii="Arial" w:eastAsia="Calibri" w:hAnsi="Arial" w:cs="Arial"/>
            <w:color w:val="auto"/>
            <w:sz w:val="20"/>
            <w:szCs w:val="20"/>
            <w:u w:val="none"/>
            <w:shd w:val="clear" w:color="auto" w:fill="FFFFFF"/>
          </w:rPr>
          <w:t>schools</w:t>
        </w:r>
        <w:r w:rsidRPr="007C1EDE">
          <w:rPr>
            <w:rStyle w:val="Hyperlink"/>
            <w:rFonts w:ascii="Arial" w:eastAsia="Times New Roman" w:hAnsi="Arial" w:cs="Arial"/>
            <w:color w:val="auto"/>
            <w:sz w:val="20"/>
            <w:szCs w:val="20"/>
            <w:u w:val="none"/>
            <w:shd w:val="clear" w:color="auto" w:fill="FFFFFF"/>
          </w:rPr>
          <w:t>-</w:t>
        </w:r>
        <w:r w:rsidRPr="007C1EDE">
          <w:rPr>
            <w:rStyle w:val="Hyperlink"/>
            <w:rFonts w:ascii="Arial" w:eastAsia="Calibri" w:hAnsi="Arial" w:cs="Arial"/>
            <w:color w:val="auto"/>
            <w:sz w:val="20"/>
            <w:szCs w:val="20"/>
            <w:u w:val="none"/>
            <w:shd w:val="clear" w:color="auto" w:fill="FFFFFF"/>
          </w:rPr>
          <w:t>and</w:t>
        </w:r>
        <w:r w:rsidRPr="007C1EDE">
          <w:rPr>
            <w:rStyle w:val="Hyperlink"/>
            <w:rFonts w:ascii="Arial" w:eastAsia="Times New Roman" w:hAnsi="Arial" w:cs="Arial"/>
            <w:color w:val="auto"/>
            <w:sz w:val="20"/>
            <w:szCs w:val="20"/>
            <w:u w:val="none"/>
            <w:shd w:val="clear" w:color="auto" w:fill="FFFFFF"/>
          </w:rPr>
          <w:t>-</w:t>
        </w:r>
        <w:r w:rsidRPr="007C1EDE">
          <w:rPr>
            <w:rStyle w:val="Hyperlink"/>
            <w:rFonts w:ascii="Arial" w:eastAsia="Calibri" w:hAnsi="Arial" w:cs="Arial"/>
            <w:color w:val="auto"/>
            <w:sz w:val="20"/>
            <w:szCs w:val="20"/>
            <w:u w:val="none"/>
            <w:shd w:val="clear" w:color="auto" w:fill="FFFFFF"/>
          </w:rPr>
          <w:t>youth</w:t>
        </w:r>
        <w:r w:rsidRPr="007C1EDE">
          <w:rPr>
            <w:rStyle w:val="Hyperlink"/>
            <w:rFonts w:ascii="Arial" w:eastAsia="Times New Roman" w:hAnsi="Arial" w:cs="Arial"/>
            <w:color w:val="auto"/>
            <w:sz w:val="20"/>
            <w:szCs w:val="20"/>
            <w:u w:val="none"/>
            <w:shd w:val="clear" w:color="auto" w:fill="FFFFFF"/>
          </w:rPr>
          <w:t>/</w:t>
        </w:r>
        <w:r w:rsidRPr="007C1EDE">
          <w:rPr>
            <w:rStyle w:val="Hyperlink"/>
            <w:rFonts w:ascii="Arial" w:eastAsia="Calibri" w:hAnsi="Arial" w:cs="Arial"/>
            <w:color w:val="auto"/>
            <w:sz w:val="20"/>
            <w:szCs w:val="20"/>
            <w:u w:val="none"/>
            <w:shd w:val="clear" w:color="auto" w:fill="FFFFFF"/>
          </w:rPr>
          <w:t>serving</w:t>
        </w:r>
        <w:r w:rsidRPr="007C1EDE">
          <w:rPr>
            <w:rStyle w:val="Hyperlink"/>
            <w:rFonts w:ascii="Arial" w:eastAsia="Times New Roman" w:hAnsi="Arial" w:cs="Arial"/>
            <w:color w:val="auto"/>
            <w:sz w:val="20"/>
            <w:szCs w:val="20"/>
            <w:u w:val="none"/>
            <w:shd w:val="clear" w:color="auto" w:fill="FFFFFF"/>
          </w:rPr>
          <w:t>-</w:t>
        </w:r>
        <w:r w:rsidRPr="007C1EDE">
          <w:rPr>
            <w:rStyle w:val="Hyperlink"/>
            <w:rFonts w:ascii="Arial" w:eastAsia="Calibri" w:hAnsi="Arial" w:cs="Arial"/>
            <w:color w:val="auto"/>
            <w:sz w:val="20"/>
            <w:szCs w:val="20"/>
            <w:u w:val="none"/>
            <w:shd w:val="clear" w:color="auto" w:fill="FFFFFF"/>
          </w:rPr>
          <w:t>our</w:t>
        </w:r>
        <w:r w:rsidRPr="007C1EDE">
          <w:rPr>
            <w:rStyle w:val="Hyperlink"/>
            <w:rFonts w:ascii="Arial" w:eastAsia="Times New Roman" w:hAnsi="Arial" w:cs="Arial"/>
            <w:color w:val="auto"/>
            <w:sz w:val="20"/>
            <w:szCs w:val="20"/>
            <w:u w:val="none"/>
            <w:shd w:val="clear" w:color="auto" w:fill="FFFFFF"/>
          </w:rPr>
          <w:t>-</w:t>
        </w:r>
        <w:r w:rsidRPr="007C1EDE">
          <w:rPr>
            <w:rStyle w:val="Hyperlink"/>
            <w:rFonts w:ascii="Arial" w:eastAsia="Calibri" w:hAnsi="Arial" w:cs="Arial"/>
            <w:color w:val="auto"/>
            <w:sz w:val="20"/>
            <w:szCs w:val="20"/>
            <w:u w:val="none"/>
            <w:shd w:val="clear" w:color="auto" w:fill="FFFFFF"/>
          </w:rPr>
          <w:t>youth</w:t>
        </w:r>
        <w:r w:rsidRPr="007C1EDE">
          <w:rPr>
            <w:rStyle w:val="Hyperlink"/>
            <w:rFonts w:ascii="Arial" w:eastAsia="Times New Roman" w:hAnsi="Arial" w:cs="Arial"/>
            <w:color w:val="auto"/>
            <w:sz w:val="20"/>
            <w:szCs w:val="20"/>
            <w:u w:val="none"/>
            <w:shd w:val="clear" w:color="auto" w:fill="FFFFFF"/>
          </w:rPr>
          <w:t>-</w:t>
        </w:r>
        <w:r w:rsidRPr="007C1EDE">
          <w:rPr>
            <w:rStyle w:val="Hyperlink"/>
            <w:rFonts w:ascii="Arial" w:eastAsia="Calibri" w:hAnsi="Arial" w:cs="Arial"/>
            <w:color w:val="auto"/>
            <w:sz w:val="20"/>
            <w:szCs w:val="20"/>
            <w:u w:val="none"/>
            <w:shd w:val="clear" w:color="auto" w:fill="FFFFFF"/>
          </w:rPr>
          <w:t>july</w:t>
        </w:r>
        <w:r w:rsidRPr="007C1EDE">
          <w:rPr>
            <w:rStyle w:val="Hyperlink"/>
            <w:rFonts w:ascii="Arial" w:eastAsia="Times New Roman" w:hAnsi="Arial" w:cs="Arial"/>
            <w:color w:val="auto"/>
            <w:sz w:val="20"/>
            <w:szCs w:val="20"/>
            <w:u w:val="none"/>
            <w:shd w:val="clear" w:color="auto" w:fill="FFFFFF"/>
          </w:rPr>
          <w:t>-2012/</w:t>
        </w:r>
      </w:hyperlink>
    </w:p>
  </w:endnote>
  <w:endnote w:id="31">
    <w:p w14:paraId="198170F9" w14:textId="77777777" w:rsidR="00411ECA" w:rsidRPr="007C1EDE" w:rsidRDefault="00411ECA" w:rsidP="007C1EDE">
      <w:pPr>
        <w:pStyle w:val="NormalWeb"/>
        <w:spacing w:after="80" w:line="240" w:lineRule="auto"/>
        <w:rPr>
          <w:rFonts w:ascii="Arial" w:hAnsi="Arial" w:cs="Arial"/>
          <w:sz w:val="20"/>
          <w:szCs w:val="20"/>
        </w:rPr>
      </w:pPr>
      <w:r w:rsidRPr="007C1EDE">
        <w:rPr>
          <w:rStyle w:val="EndnoteReference"/>
          <w:rFonts w:ascii="Arial" w:hAnsi="Arial" w:cs="Arial"/>
          <w:sz w:val="20"/>
          <w:szCs w:val="20"/>
        </w:rPr>
        <w:endnoteRef/>
      </w:r>
      <w:r w:rsidRPr="007C1EDE">
        <w:rPr>
          <w:rFonts w:ascii="Arial" w:hAnsi="Arial" w:cs="Arial"/>
          <w:sz w:val="20"/>
          <w:szCs w:val="20"/>
        </w:rPr>
        <w:t xml:space="preserve"> </w:t>
      </w:r>
      <w:r w:rsidRPr="007C1EDE">
        <w:rPr>
          <w:rFonts w:ascii="Arial" w:eastAsia="Calibri" w:hAnsi="Arial" w:cs="Arial"/>
          <w:sz w:val="20"/>
          <w:szCs w:val="20"/>
        </w:rPr>
        <w:t xml:space="preserve">Choi, S. K., Wilson, B. D. M., Shelton, J., Gates, G. (2015). Serving Our Youth 2015: The Needs and Experiences of Lesbian, Gay, Bisexual, Transgender, and Questioning Youth Experiencing Homelessness. Los Angeles: The Williams Institute with True Colors Fund and The Palette Fund. Retrieved from </w:t>
      </w:r>
      <w:hyperlink r:id="rId5" w:history="1">
        <w:r w:rsidRPr="007C1EDE">
          <w:rPr>
            <w:rStyle w:val="Hyperlink"/>
            <w:rFonts w:ascii="Arial" w:eastAsia="Calibri" w:hAnsi="Arial" w:cs="Arial"/>
            <w:color w:val="auto"/>
            <w:sz w:val="20"/>
            <w:szCs w:val="20"/>
            <w:u w:val="none"/>
          </w:rPr>
          <w:t>https://williamsinstitute.law.ucla.edu/wp-content/uploads/Serving-Our-Youth-June-2015.pdf</w:t>
        </w:r>
      </w:hyperlink>
      <w:r w:rsidRPr="007C1EDE">
        <w:rPr>
          <w:rFonts w:ascii="Arial" w:eastAsia="Calibri" w:hAnsi="Arial" w:cs="Arial"/>
          <w:sz w:val="20"/>
          <w:szCs w:val="20"/>
        </w:rPr>
        <w:t xml:space="preserve"> </w:t>
      </w:r>
    </w:p>
  </w:endnote>
  <w:endnote w:id="32">
    <w:p w14:paraId="15D7C94A" w14:textId="77777777" w:rsidR="00411ECA" w:rsidRPr="007C1EDE" w:rsidRDefault="00411ECA" w:rsidP="007C1EDE">
      <w:pPr>
        <w:spacing w:after="80" w:line="240" w:lineRule="auto"/>
        <w:rPr>
          <w:rFonts w:ascii="Arial" w:eastAsia="Times New Roman" w:hAnsi="Arial" w:cs="Arial"/>
          <w:sz w:val="20"/>
          <w:szCs w:val="20"/>
        </w:rPr>
      </w:pPr>
      <w:r w:rsidRPr="007C1EDE">
        <w:rPr>
          <w:rStyle w:val="EndnoteReference"/>
          <w:rFonts w:ascii="Arial" w:hAnsi="Arial" w:cs="Arial"/>
          <w:sz w:val="20"/>
          <w:szCs w:val="20"/>
        </w:rPr>
        <w:endnoteRef/>
      </w:r>
      <w:r w:rsidRPr="007C1EDE">
        <w:rPr>
          <w:rFonts w:ascii="Arial" w:hAnsi="Arial" w:cs="Arial"/>
          <w:sz w:val="20"/>
          <w:szCs w:val="20"/>
        </w:rPr>
        <w:t xml:space="preserve"> </w:t>
      </w:r>
      <w:r w:rsidRPr="007C1EDE">
        <w:rPr>
          <w:rFonts w:ascii="Arial" w:eastAsia="Calibri" w:hAnsi="Arial" w:cs="Arial"/>
          <w:sz w:val="20"/>
          <w:szCs w:val="20"/>
        </w:rPr>
        <w:t>Corliss,</w:t>
      </w:r>
      <w:r w:rsidRPr="007C1EDE">
        <w:rPr>
          <w:rFonts w:ascii="Arial" w:eastAsia="Times New Roman" w:hAnsi="Arial" w:cs="Arial"/>
          <w:sz w:val="20"/>
          <w:szCs w:val="20"/>
        </w:rPr>
        <w:t xml:space="preserve"> </w:t>
      </w:r>
      <w:r w:rsidRPr="007C1EDE">
        <w:rPr>
          <w:rFonts w:ascii="Arial" w:eastAsia="Calibri" w:hAnsi="Arial" w:cs="Arial"/>
          <w:sz w:val="20"/>
          <w:szCs w:val="20"/>
        </w:rPr>
        <w:t>H. L.</w:t>
      </w:r>
      <w:r w:rsidRPr="007C1EDE">
        <w:rPr>
          <w:rFonts w:ascii="Arial" w:eastAsia="Times New Roman" w:hAnsi="Arial" w:cs="Arial"/>
          <w:sz w:val="20"/>
          <w:szCs w:val="20"/>
        </w:rPr>
        <w:t xml:space="preserve">, </w:t>
      </w:r>
      <w:r w:rsidRPr="007C1EDE">
        <w:rPr>
          <w:rFonts w:ascii="Arial" w:eastAsia="Calibri" w:hAnsi="Arial" w:cs="Arial"/>
          <w:sz w:val="20"/>
          <w:szCs w:val="20"/>
        </w:rPr>
        <w:t>Goodenow,</w:t>
      </w:r>
      <w:r w:rsidRPr="007C1EDE">
        <w:rPr>
          <w:rFonts w:ascii="Arial" w:eastAsia="Times New Roman" w:hAnsi="Arial" w:cs="Arial"/>
          <w:sz w:val="20"/>
          <w:szCs w:val="20"/>
        </w:rPr>
        <w:t xml:space="preserve"> </w:t>
      </w:r>
      <w:r w:rsidRPr="007C1EDE">
        <w:rPr>
          <w:rFonts w:ascii="Arial" w:eastAsia="Calibri" w:hAnsi="Arial" w:cs="Arial"/>
          <w:sz w:val="20"/>
          <w:szCs w:val="20"/>
        </w:rPr>
        <w:t>C. S.</w:t>
      </w:r>
      <w:r w:rsidRPr="007C1EDE">
        <w:rPr>
          <w:rFonts w:ascii="Arial" w:eastAsia="Times New Roman" w:hAnsi="Arial" w:cs="Arial"/>
          <w:sz w:val="20"/>
          <w:szCs w:val="20"/>
        </w:rPr>
        <w:t>,</w:t>
      </w:r>
      <w:r w:rsidRPr="007C1EDE">
        <w:rPr>
          <w:rStyle w:val="apple-converted-space"/>
          <w:rFonts w:ascii="Arial" w:eastAsia="Times New Roman" w:hAnsi="Arial" w:cs="Arial"/>
          <w:sz w:val="20"/>
          <w:szCs w:val="20"/>
        </w:rPr>
        <w:t> </w:t>
      </w:r>
      <w:r w:rsidRPr="007C1EDE">
        <w:rPr>
          <w:rFonts w:ascii="Arial" w:eastAsia="Calibri" w:hAnsi="Arial" w:cs="Arial"/>
          <w:sz w:val="20"/>
          <w:szCs w:val="20"/>
        </w:rPr>
        <w:t>Nichols,</w:t>
      </w:r>
      <w:r w:rsidRPr="007C1EDE">
        <w:rPr>
          <w:rFonts w:ascii="Arial" w:eastAsia="Times New Roman" w:hAnsi="Arial" w:cs="Arial"/>
          <w:sz w:val="20"/>
          <w:szCs w:val="20"/>
        </w:rPr>
        <w:t xml:space="preserve"> </w:t>
      </w:r>
      <w:r w:rsidRPr="007C1EDE">
        <w:rPr>
          <w:rFonts w:ascii="Arial" w:eastAsia="Calibri" w:hAnsi="Arial" w:cs="Arial"/>
          <w:sz w:val="20"/>
          <w:szCs w:val="20"/>
        </w:rPr>
        <w:t>L.</w:t>
      </w:r>
      <w:r w:rsidRPr="007C1EDE">
        <w:rPr>
          <w:rFonts w:ascii="Arial" w:eastAsia="Times New Roman" w:hAnsi="Arial" w:cs="Arial"/>
          <w:sz w:val="20"/>
          <w:szCs w:val="20"/>
        </w:rPr>
        <w:t>,</w:t>
      </w:r>
      <w:r w:rsidRPr="007C1EDE">
        <w:rPr>
          <w:rStyle w:val="apple-converted-space"/>
          <w:rFonts w:ascii="Arial" w:eastAsia="Times New Roman" w:hAnsi="Arial" w:cs="Arial"/>
          <w:sz w:val="20"/>
          <w:szCs w:val="20"/>
        </w:rPr>
        <w:t xml:space="preserve"> &amp; </w:t>
      </w:r>
      <w:r w:rsidRPr="007C1EDE">
        <w:rPr>
          <w:rFonts w:ascii="Arial" w:eastAsia="Calibri" w:hAnsi="Arial" w:cs="Arial"/>
          <w:sz w:val="20"/>
          <w:szCs w:val="20"/>
        </w:rPr>
        <w:t>Austin,</w:t>
      </w:r>
      <w:r w:rsidRPr="007C1EDE">
        <w:rPr>
          <w:rFonts w:ascii="Arial" w:eastAsia="Times New Roman" w:hAnsi="Arial" w:cs="Arial"/>
          <w:sz w:val="20"/>
          <w:szCs w:val="20"/>
        </w:rPr>
        <w:t xml:space="preserve"> </w:t>
      </w:r>
      <w:r w:rsidRPr="007C1EDE">
        <w:rPr>
          <w:rFonts w:ascii="Arial" w:eastAsia="Calibri" w:hAnsi="Arial" w:cs="Arial"/>
          <w:sz w:val="20"/>
          <w:szCs w:val="20"/>
        </w:rPr>
        <w:t>S. B</w:t>
      </w:r>
      <w:r w:rsidRPr="007C1EDE">
        <w:rPr>
          <w:rFonts w:ascii="Arial" w:eastAsia="Times New Roman" w:hAnsi="Arial" w:cs="Arial"/>
          <w:sz w:val="20"/>
          <w:szCs w:val="20"/>
        </w:rPr>
        <w:t xml:space="preserve">. (2011). </w:t>
      </w:r>
      <w:r w:rsidRPr="007C1EDE">
        <w:rPr>
          <w:rFonts w:ascii="Arial" w:eastAsia="Calibri" w:hAnsi="Arial" w:cs="Arial"/>
          <w:sz w:val="20"/>
          <w:szCs w:val="20"/>
        </w:rPr>
        <w:t>High</w:t>
      </w:r>
      <w:r w:rsidRPr="007C1EDE">
        <w:rPr>
          <w:rFonts w:ascii="Arial" w:eastAsia="Times New Roman" w:hAnsi="Arial" w:cs="Arial"/>
          <w:sz w:val="20"/>
          <w:szCs w:val="20"/>
        </w:rPr>
        <w:t xml:space="preserve"> </w:t>
      </w:r>
      <w:r w:rsidRPr="007C1EDE">
        <w:rPr>
          <w:rFonts w:ascii="Arial" w:eastAsia="Calibri" w:hAnsi="Arial" w:cs="Arial"/>
          <w:sz w:val="20"/>
          <w:szCs w:val="20"/>
        </w:rPr>
        <w:t>Burden</w:t>
      </w:r>
      <w:r w:rsidRPr="007C1EDE">
        <w:rPr>
          <w:rFonts w:ascii="Arial" w:eastAsia="Times New Roman" w:hAnsi="Arial" w:cs="Arial"/>
          <w:sz w:val="20"/>
          <w:szCs w:val="20"/>
        </w:rPr>
        <w:t xml:space="preserve"> </w:t>
      </w:r>
      <w:r w:rsidRPr="007C1EDE">
        <w:rPr>
          <w:rFonts w:ascii="Arial" w:eastAsia="Calibri" w:hAnsi="Arial" w:cs="Arial"/>
          <w:sz w:val="20"/>
          <w:szCs w:val="20"/>
        </w:rPr>
        <w:t>of</w:t>
      </w:r>
      <w:r w:rsidRPr="007C1EDE">
        <w:rPr>
          <w:rFonts w:ascii="Arial" w:eastAsia="Times New Roman" w:hAnsi="Arial" w:cs="Arial"/>
          <w:sz w:val="20"/>
          <w:szCs w:val="20"/>
        </w:rPr>
        <w:t xml:space="preserve"> </w:t>
      </w:r>
      <w:r w:rsidRPr="007C1EDE">
        <w:rPr>
          <w:rFonts w:ascii="Arial" w:eastAsia="Calibri" w:hAnsi="Arial" w:cs="Arial"/>
          <w:sz w:val="20"/>
          <w:szCs w:val="20"/>
        </w:rPr>
        <w:t>Homelessness</w:t>
      </w:r>
      <w:r w:rsidRPr="007C1EDE">
        <w:rPr>
          <w:rFonts w:ascii="Arial" w:eastAsia="Times New Roman" w:hAnsi="Arial" w:cs="Arial"/>
          <w:sz w:val="20"/>
          <w:szCs w:val="20"/>
        </w:rPr>
        <w:t xml:space="preserve"> </w:t>
      </w:r>
      <w:r w:rsidRPr="007C1EDE">
        <w:rPr>
          <w:rFonts w:ascii="Arial" w:eastAsia="Calibri" w:hAnsi="Arial" w:cs="Arial"/>
          <w:sz w:val="20"/>
          <w:szCs w:val="20"/>
        </w:rPr>
        <w:t>Among</w:t>
      </w:r>
      <w:r w:rsidRPr="007C1EDE">
        <w:rPr>
          <w:rFonts w:ascii="Arial" w:eastAsia="Times New Roman" w:hAnsi="Arial" w:cs="Arial"/>
          <w:sz w:val="20"/>
          <w:szCs w:val="20"/>
        </w:rPr>
        <w:t xml:space="preserve"> </w:t>
      </w:r>
      <w:r w:rsidRPr="007C1EDE">
        <w:rPr>
          <w:rFonts w:ascii="Arial" w:eastAsia="Calibri" w:hAnsi="Arial" w:cs="Arial"/>
          <w:sz w:val="20"/>
          <w:szCs w:val="20"/>
        </w:rPr>
        <w:t>Sexual</w:t>
      </w:r>
      <w:r w:rsidRPr="007C1EDE">
        <w:rPr>
          <w:rFonts w:ascii="Arial" w:eastAsia="Times New Roman" w:hAnsi="Arial" w:cs="Arial"/>
          <w:sz w:val="20"/>
          <w:szCs w:val="20"/>
        </w:rPr>
        <w:t>-</w:t>
      </w:r>
      <w:r w:rsidRPr="007C1EDE">
        <w:rPr>
          <w:rFonts w:ascii="Arial" w:eastAsia="Calibri" w:hAnsi="Arial" w:cs="Arial"/>
          <w:sz w:val="20"/>
          <w:szCs w:val="20"/>
        </w:rPr>
        <w:t>Minority</w:t>
      </w:r>
      <w:r w:rsidRPr="007C1EDE">
        <w:rPr>
          <w:rFonts w:ascii="Arial" w:eastAsia="Times New Roman" w:hAnsi="Arial" w:cs="Arial"/>
          <w:sz w:val="20"/>
          <w:szCs w:val="20"/>
        </w:rPr>
        <w:t xml:space="preserve"> </w:t>
      </w:r>
      <w:r w:rsidRPr="007C1EDE">
        <w:rPr>
          <w:rFonts w:ascii="Arial" w:eastAsia="Calibri" w:hAnsi="Arial" w:cs="Arial"/>
          <w:sz w:val="20"/>
          <w:szCs w:val="20"/>
        </w:rPr>
        <w:t>Adolescents</w:t>
      </w:r>
      <w:r w:rsidRPr="007C1EDE">
        <w:rPr>
          <w:rFonts w:ascii="Arial" w:eastAsia="Times New Roman" w:hAnsi="Arial" w:cs="Arial"/>
          <w:sz w:val="20"/>
          <w:szCs w:val="20"/>
        </w:rPr>
        <w:t xml:space="preserve">: </w:t>
      </w:r>
      <w:r w:rsidRPr="007C1EDE">
        <w:rPr>
          <w:rFonts w:ascii="Arial" w:eastAsia="Calibri" w:hAnsi="Arial" w:cs="Arial"/>
          <w:sz w:val="20"/>
          <w:szCs w:val="20"/>
        </w:rPr>
        <w:t>Findings</w:t>
      </w:r>
      <w:r w:rsidRPr="007C1EDE">
        <w:rPr>
          <w:rFonts w:ascii="Arial" w:eastAsia="Times New Roman" w:hAnsi="Arial" w:cs="Arial"/>
          <w:sz w:val="20"/>
          <w:szCs w:val="20"/>
        </w:rPr>
        <w:t xml:space="preserve"> </w:t>
      </w:r>
      <w:r w:rsidRPr="007C1EDE">
        <w:rPr>
          <w:rFonts w:ascii="Arial" w:eastAsia="Calibri" w:hAnsi="Arial" w:cs="Arial"/>
          <w:sz w:val="20"/>
          <w:szCs w:val="20"/>
        </w:rPr>
        <w:t>From</w:t>
      </w:r>
      <w:r w:rsidRPr="007C1EDE">
        <w:rPr>
          <w:rFonts w:ascii="Arial" w:eastAsia="Times New Roman" w:hAnsi="Arial" w:cs="Arial"/>
          <w:sz w:val="20"/>
          <w:szCs w:val="20"/>
        </w:rPr>
        <w:t xml:space="preserve"> </w:t>
      </w:r>
      <w:r w:rsidRPr="007C1EDE">
        <w:rPr>
          <w:rFonts w:ascii="Arial" w:eastAsia="Calibri" w:hAnsi="Arial" w:cs="Arial"/>
          <w:sz w:val="20"/>
          <w:szCs w:val="20"/>
        </w:rPr>
        <w:t>a</w:t>
      </w:r>
      <w:r w:rsidRPr="007C1EDE">
        <w:rPr>
          <w:rFonts w:ascii="Arial" w:eastAsia="Times New Roman" w:hAnsi="Arial" w:cs="Arial"/>
          <w:sz w:val="20"/>
          <w:szCs w:val="20"/>
        </w:rPr>
        <w:t xml:space="preserve"> </w:t>
      </w:r>
      <w:r w:rsidRPr="007C1EDE">
        <w:rPr>
          <w:rFonts w:ascii="Arial" w:eastAsia="Calibri" w:hAnsi="Arial" w:cs="Arial"/>
          <w:sz w:val="20"/>
          <w:szCs w:val="20"/>
        </w:rPr>
        <w:t>Representative</w:t>
      </w:r>
      <w:r w:rsidRPr="007C1EDE">
        <w:rPr>
          <w:rFonts w:ascii="Arial" w:eastAsia="Times New Roman" w:hAnsi="Arial" w:cs="Arial"/>
          <w:sz w:val="20"/>
          <w:szCs w:val="20"/>
        </w:rPr>
        <w:t xml:space="preserve"> </w:t>
      </w:r>
      <w:r w:rsidRPr="007C1EDE">
        <w:rPr>
          <w:rFonts w:ascii="Arial" w:eastAsia="Calibri" w:hAnsi="Arial" w:cs="Arial"/>
          <w:sz w:val="20"/>
          <w:szCs w:val="20"/>
        </w:rPr>
        <w:t>Massachusetts</w:t>
      </w:r>
      <w:r w:rsidRPr="007C1EDE">
        <w:rPr>
          <w:rFonts w:ascii="Arial" w:eastAsia="Times New Roman" w:hAnsi="Arial" w:cs="Arial"/>
          <w:sz w:val="20"/>
          <w:szCs w:val="20"/>
        </w:rPr>
        <w:t xml:space="preserve"> </w:t>
      </w:r>
      <w:r w:rsidRPr="007C1EDE">
        <w:rPr>
          <w:rFonts w:ascii="Arial" w:eastAsia="Calibri" w:hAnsi="Arial" w:cs="Arial"/>
          <w:sz w:val="20"/>
          <w:szCs w:val="20"/>
        </w:rPr>
        <w:t>High</w:t>
      </w:r>
      <w:r w:rsidRPr="007C1EDE">
        <w:rPr>
          <w:rFonts w:ascii="Arial" w:eastAsia="Times New Roman" w:hAnsi="Arial" w:cs="Arial"/>
          <w:sz w:val="20"/>
          <w:szCs w:val="20"/>
        </w:rPr>
        <w:t xml:space="preserve"> </w:t>
      </w:r>
      <w:r w:rsidRPr="007C1EDE">
        <w:rPr>
          <w:rFonts w:ascii="Arial" w:eastAsia="Calibri" w:hAnsi="Arial" w:cs="Arial"/>
          <w:sz w:val="20"/>
          <w:szCs w:val="20"/>
        </w:rPr>
        <w:t>School</w:t>
      </w:r>
      <w:r w:rsidRPr="007C1EDE">
        <w:rPr>
          <w:rFonts w:ascii="Arial" w:eastAsia="Times New Roman" w:hAnsi="Arial" w:cs="Arial"/>
          <w:sz w:val="20"/>
          <w:szCs w:val="20"/>
        </w:rPr>
        <w:t xml:space="preserve"> </w:t>
      </w:r>
      <w:r w:rsidRPr="007C1EDE">
        <w:rPr>
          <w:rFonts w:ascii="Arial" w:eastAsia="Calibri" w:hAnsi="Arial" w:cs="Arial"/>
          <w:sz w:val="20"/>
          <w:szCs w:val="20"/>
        </w:rPr>
        <w:t>Sample</w:t>
      </w:r>
      <w:r w:rsidRPr="007C1EDE">
        <w:rPr>
          <w:rFonts w:ascii="Arial" w:eastAsia="Times New Roman" w:hAnsi="Arial" w:cs="Arial"/>
          <w:sz w:val="20"/>
          <w:szCs w:val="20"/>
        </w:rPr>
        <w:t>.</w:t>
      </w:r>
      <w:r w:rsidRPr="007C1EDE">
        <w:rPr>
          <w:rStyle w:val="apple-converted-space"/>
          <w:rFonts w:ascii="Arial" w:eastAsia="Times New Roman" w:hAnsi="Arial" w:cs="Arial"/>
          <w:sz w:val="20"/>
          <w:szCs w:val="20"/>
        </w:rPr>
        <w:t> </w:t>
      </w:r>
      <w:r w:rsidRPr="007C1EDE">
        <w:rPr>
          <w:rStyle w:val="HTMLCite"/>
          <w:rFonts w:ascii="Arial" w:eastAsia="Calibri" w:hAnsi="Arial" w:cs="Arial"/>
          <w:sz w:val="20"/>
          <w:szCs w:val="20"/>
        </w:rPr>
        <w:t>American</w:t>
      </w:r>
      <w:r w:rsidRPr="007C1EDE">
        <w:rPr>
          <w:rStyle w:val="HTMLCite"/>
          <w:rFonts w:ascii="Arial" w:eastAsia="Times New Roman" w:hAnsi="Arial" w:cs="Arial"/>
          <w:sz w:val="20"/>
          <w:szCs w:val="20"/>
        </w:rPr>
        <w:t xml:space="preserve"> </w:t>
      </w:r>
      <w:r w:rsidRPr="007C1EDE">
        <w:rPr>
          <w:rStyle w:val="HTMLCite"/>
          <w:rFonts w:ascii="Arial" w:eastAsia="Calibri" w:hAnsi="Arial" w:cs="Arial"/>
          <w:sz w:val="20"/>
          <w:szCs w:val="20"/>
        </w:rPr>
        <w:t>Journal</w:t>
      </w:r>
      <w:r w:rsidRPr="007C1EDE">
        <w:rPr>
          <w:rStyle w:val="HTMLCite"/>
          <w:rFonts w:ascii="Arial" w:eastAsia="Times New Roman" w:hAnsi="Arial" w:cs="Arial"/>
          <w:sz w:val="20"/>
          <w:szCs w:val="20"/>
        </w:rPr>
        <w:t xml:space="preserve"> </w:t>
      </w:r>
      <w:r w:rsidRPr="007C1EDE">
        <w:rPr>
          <w:rStyle w:val="HTMLCite"/>
          <w:rFonts w:ascii="Arial" w:eastAsia="Calibri" w:hAnsi="Arial" w:cs="Arial"/>
          <w:sz w:val="20"/>
          <w:szCs w:val="20"/>
        </w:rPr>
        <w:t>of</w:t>
      </w:r>
      <w:r w:rsidRPr="007C1EDE">
        <w:rPr>
          <w:rStyle w:val="HTMLCite"/>
          <w:rFonts w:ascii="Arial" w:eastAsia="Times New Roman" w:hAnsi="Arial" w:cs="Arial"/>
          <w:sz w:val="20"/>
          <w:szCs w:val="20"/>
        </w:rPr>
        <w:t xml:space="preserve"> </w:t>
      </w:r>
      <w:r w:rsidRPr="007C1EDE">
        <w:rPr>
          <w:rStyle w:val="HTMLCite"/>
          <w:rFonts w:ascii="Arial" w:eastAsia="Calibri" w:hAnsi="Arial" w:cs="Arial"/>
          <w:sz w:val="20"/>
          <w:szCs w:val="20"/>
        </w:rPr>
        <w:t>Public</w:t>
      </w:r>
      <w:r w:rsidRPr="007C1EDE">
        <w:rPr>
          <w:rStyle w:val="HTMLCite"/>
          <w:rFonts w:ascii="Arial" w:eastAsia="Times New Roman" w:hAnsi="Arial" w:cs="Arial"/>
          <w:sz w:val="20"/>
          <w:szCs w:val="20"/>
        </w:rPr>
        <w:t xml:space="preserve"> </w:t>
      </w:r>
      <w:r w:rsidRPr="007C1EDE">
        <w:rPr>
          <w:rStyle w:val="HTMLCite"/>
          <w:rFonts w:ascii="Arial" w:eastAsia="Calibri" w:hAnsi="Arial" w:cs="Arial"/>
          <w:sz w:val="20"/>
          <w:szCs w:val="20"/>
        </w:rPr>
        <w:t>Health</w:t>
      </w:r>
      <w:r w:rsidRPr="007C1EDE">
        <w:rPr>
          <w:rStyle w:val="HTMLCite"/>
          <w:rFonts w:ascii="Arial" w:eastAsia="Times New Roman" w:hAnsi="Arial" w:cs="Arial"/>
          <w:sz w:val="20"/>
          <w:szCs w:val="20"/>
        </w:rPr>
        <w:t xml:space="preserve">, </w:t>
      </w:r>
      <w:r w:rsidRPr="007C1EDE">
        <w:rPr>
          <w:rFonts w:ascii="Arial" w:eastAsia="Times New Roman" w:hAnsi="Arial" w:cs="Arial"/>
          <w:i/>
          <w:sz w:val="20"/>
          <w:szCs w:val="20"/>
        </w:rPr>
        <w:t>101</w:t>
      </w:r>
      <w:r w:rsidRPr="007C1EDE">
        <w:rPr>
          <w:rFonts w:ascii="Arial" w:eastAsia="Times New Roman" w:hAnsi="Arial" w:cs="Arial"/>
          <w:sz w:val="20"/>
          <w:szCs w:val="20"/>
        </w:rPr>
        <w:t xml:space="preserve">(9): 1683-1689. </w:t>
      </w:r>
    </w:p>
  </w:endnote>
  <w:endnote w:id="33">
    <w:p w14:paraId="1251E4A4" w14:textId="77777777" w:rsidR="00411ECA" w:rsidRPr="007C1EDE" w:rsidRDefault="00411ECA" w:rsidP="007C1EDE">
      <w:pPr>
        <w:tabs>
          <w:tab w:val="left" w:pos="1960"/>
        </w:tabs>
        <w:spacing w:after="80" w:line="240" w:lineRule="auto"/>
        <w:rPr>
          <w:rFonts w:ascii="Arial" w:hAnsi="Arial" w:cs="Arial"/>
          <w:sz w:val="20"/>
          <w:szCs w:val="20"/>
        </w:rPr>
      </w:pPr>
      <w:r w:rsidRPr="007C1EDE">
        <w:rPr>
          <w:rStyle w:val="EndnoteReference"/>
          <w:rFonts w:ascii="Arial" w:hAnsi="Arial" w:cs="Arial"/>
          <w:sz w:val="20"/>
          <w:szCs w:val="20"/>
        </w:rPr>
        <w:endnoteRef/>
      </w:r>
      <w:r w:rsidRPr="007C1EDE">
        <w:rPr>
          <w:rFonts w:ascii="Arial" w:hAnsi="Arial" w:cs="Arial"/>
          <w:sz w:val="20"/>
          <w:szCs w:val="20"/>
        </w:rPr>
        <w:t xml:space="preserve"> </w:t>
      </w:r>
      <w:r w:rsidRPr="007C1EDE">
        <w:rPr>
          <w:rFonts w:ascii="Arial" w:eastAsia="Calibri" w:hAnsi="Arial" w:cs="Arial"/>
          <w:sz w:val="20"/>
          <w:szCs w:val="20"/>
          <w:shd w:val="clear" w:color="auto" w:fill="FFFFFF"/>
        </w:rPr>
        <w:t>Durso,</w:t>
      </w:r>
      <w:r w:rsidRPr="007C1EDE">
        <w:rPr>
          <w:rFonts w:ascii="Arial" w:hAnsi="Arial" w:cs="Arial"/>
          <w:sz w:val="20"/>
          <w:szCs w:val="20"/>
          <w:shd w:val="clear" w:color="auto" w:fill="FFFFFF"/>
        </w:rPr>
        <w:t xml:space="preserve"> </w:t>
      </w:r>
      <w:r w:rsidRPr="007C1EDE">
        <w:rPr>
          <w:rFonts w:ascii="Arial" w:eastAsia="Calibri" w:hAnsi="Arial" w:cs="Arial"/>
          <w:sz w:val="20"/>
          <w:szCs w:val="20"/>
          <w:shd w:val="clear" w:color="auto" w:fill="FFFFFF"/>
        </w:rPr>
        <w:t>L. E.</w:t>
      </w:r>
      <w:r w:rsidRPr="007C1EDE">
        <w:rPr>
          <w:rFonts w:ascii="Arial" w:hAnsi="Arial" w:cs="Arial"/>
          <w:sz w:val="20"/>
          <w:szCs w:val="20"/>
          <w:shd w:val="clear" w:color="auto" w:fill="FFFFFF"/>
        </w:rPr>
        <w:t xml:space="preserve">, </w:t>
      </w:r>
      <w:r w:rsidRPr="007C1EDE">
        <w:rPr>
          <w:rFonts w:ascii="Arial" w:eastAsia="Calibri" w:hAnsi="Arial" w:cs="Arial"/>
          <w:sz w:val="20"/>
          <w:szCs w:val="20"/>
          <w:shd w:val="clear" w:color="auto" w:fill="FFFFFF"/>
        </w:rPr>
        <w:t>et</w:t>
      </w:r>
      <w:r w:rsidRPr="007C1EDE">
        <w:rPr>
          <w:rFonts w:ascii="Arial" w:hAnsi="Arial" w:cs="Arial"/>
          <w:sz w:val="20"/>
          <w:szCs w:val="20"/>
          <w:shd w:val="clear" w:color="auto" w:fill="FFFFFF"/>
        </w:rPr>
        <w:t xml:space="preserve"> </w:t>
      </w:r>
      <w:r w:rsidRPr="007C1EDE">
        <w:rPr>
          <w:rFonts w:ascii="Arial" w:eastAsia="Calibri" w:hAnsi="Arial" w:cs="Arial"/>
          <w:sz w:val="20"/>
          <w:szCs w:val="20"/>
          <w:shd w:val="clear" w:color="auto" w:fill="FFFFFF"/>
        </w:rPr>
        <w:t>al</w:t>
      </w:r>
      <w:r w:rsidRPr="007C1EDE">
        <w:rPr>
          <w:rFonts w:ascii="Arial" w:hAnsi="Arial" w:cs="Arial"/>
          <w:sz w:val="20"/>
          <w:szCs w:val="20"/>
          <w:shd w:val="clear" w:color="auto" w:fill="FFFFFF"/>
        </w:rPr>
        <w:t>. (2012).</w:t>
      </w:r>
      <w:r w:rsidRPr="007C1EDE">
        <w:rPr>
          <w:rFonts w:ascii="Arial" w:hAnsi="Arial" w:cs="Arial"/>
          <w:sz w:val="20"/>
          <w:szCs w:val="20"/>
          <w:shd w:val="clear" w:color="auto" w:fill="FFFFFF"/>
        </w:rPr>
        <w:tab/>
      </w:r>
    </w:p>
  </w:endnote>
  <w:endnote w:id="34">
    <w:p w14:paraId="6ABD295D" w14:textId="77777777" w:rsidR="00411ECA" w:rsidRPr="007C1EDE" w:rsidRDefault="00411ECA" w:rsidP="007C1EDE">
      <w:pPr>
        <w:pStyle w:val="NormalWeb"/>
        <w:spacing w:after="80" w:line="240" w:lineRule="auto"/>
        <w:rPr>
          <w:rFonts w:ascii="Arial" w:hAnsi="Arial" w:cs="Arial"/>
          <w:sz w:val="20"/>
          <w:szCs w:val="20"/>
        </w:rPr>
      </w:pPr>
      <w:r w:rsidRPr="007C1EDE">
        <w:rPr>
          <w:rStyle w:val="EndnoteReference"/>
          <w:rFonts w:ascii="Arial" w:hAnsi="Arial" w:cs="Arial"/>
          <w:sz w:val="20"/>
          <w:szCs w:val="20"/>
        </w:rPr>
        <w:endnoteRef/>
      </w:r>
      <w:r w:rsidRPr="007C1EDE">
        <w:rPr>
          <w:rFonts w:ascii="Arial" w:hAnsi="Arial" w:cs="Arial"/>
          <w:sz w:val="20"/>
          <w:szCs w:val="20"/>
        </w:rPr>
        <w:t xml:space="preserve"> </w:t>
      </w:r>
      <w:r w:rsidRPr="007C1EDE">
        <w:rPr>
          <w:rFonts w:ascii="Arial" w:eastAsia="Calibri" w:hAnsi="Arial" w:cs="Arial"/>
          <w:sz w:val="20"/>
          <w:szCs w:val="20"/>
        </w:rPr>
        <w:t>Choi,</w:t>
      </w:r>
      <w:r w:rsidRPr="007C1EDE">
        <w:rPr>
          <w:rFonts w:ascii="Arial" w:hAnsi="Arial" w:cs="Arial"/>
          <w:sz w:val="20"/>
          <w:szCs w:val="20"/>
        </w:rPr>
        <w:t xml:space="preserve"> </w:t>
      </w:r>
      <w:r w:rsidRPr="007C1EDE">
        <w:rPr>
          <w:rFonts w:ascii="Arial" w:eastAsia="Calibri" w:hAnsi="Arial" w:cs="Arial"/>
          <w:sz w:val="20"/>
          <w:szCs w:val="20"/>
        </w:rPr>
        <w:t>S. K</w:t>
      </w:r>
      <w:r w:rsidRPr="007C1EDE">
        <w:rPr>
          <w:rFonts w:ascii="Arial" w:hAnsi="Arial" w:cs="Arial"/>
          <w:sz w:val="20"/>
          <w:szCs w:val="20"/>
          <w:shd w:val="clear" w:color="auto" w:fill="FFFFFF"/>
        </w:rPr>
        <w:t xml:space="preserve">. </w:t>
      </w:r>
      <w:r w:rsidRPr="007C1EDE">
        <w:rPr>
          <w:rFonts w:ascii="Arial" w:eastAsia="Calibri" w:hAnsi="Arial" w:cs="Arial"/>
          <w:sz w:val="20"/>
          <w:szCs w:val="20"/>
          <w:shd w:val="clear" w:color="auto" w:fill="FFFFFF"/>
        </w:rPr>
        <w:t>et</w:t>
      </w:r>
      <w:r w:rsidRPr="007C1EDE">
        <w:rPr>
          <w:rFonts w:ascii="Arial" w:hAnsi="Arial" w:cs="Arial"/>
          <w:sz w:val="20"/>
          <w:szCs w:val="20"/>
          <w:shd w:val="clear" w:color="auto" w:fill="FFFFFF"/>
        </w:rPr>
        <w:t xml:space="preserve"> </w:t>
      </w:r>
      <w:r w:rsidRPr="007C1EDE">
        <w:rPr>
          <w:rFonts w:ascii="Arial" w:eastAsia="Calibri" w:hAnsi="Arial" w:cs="Arial"/>
          <w:sz w:val="20"/>
          <w:szCs w:val="20"/>
          <w:shd w:val="clear" w:color="auto" w:fill="FFFFFF"/>
        </w:rPr>
        <w:t>al</w:t>
      </w:r>
      <w:r w:rsidRPr="007C1EDE">
        <w:rPr>
          <w:rFonts w:ascii="Arial" w:hAnsi="Arial" w:cs="Arial"/>
          <w:sz w:val="20"/>
          <w:szCs w:val="20"/>
          <w:shd w:val="clear" w:color="auto" w:fill="FFFFFF"/>
        </w:rPr>
        <w:t>.</w:t>
      </w:r>
      <w:r w:rsidRPr="007C1EDE">
        <w:rPr>
          <w:rFonts w:ascii="Arial" w:hAnsi="Arial" w:cs="Arial"/>
          <w:i/>
          <w:sz w:val="20"/>
          <w:szCs w:val="20"/>
          <w:shd w:val="clear" w:color="auto" w:fill="FFFFFF"/>
        </w:rPr>
        <w:t xml:space="preserve"> </w:t>
      </w:r>
      <w:r w:rsidRPr="007C1EDE">
        <w:rPr>
          <w:rFonts w:ascii="Arial" w:hAnsi="Arial" w:cs="Arial"/>
          <w:sz w:val="20"/>
          <w:szCs w:val="20"/>
          <w:shd w:val="clear" w:color="auto" w:fill="FFFFFF"/>
        </w:rPr>
        <w:t>(2015).</w:t>
      </w:r>
    </w:p>
  </w:endnote>
  <w:endnote w:id="35">
    <w:p w14:paraId="75E8C10E"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w:t>
      </w:r>
      <w:r w:rsidRPr="007C1EDE">
        <w:rPr>
          <w:rFonts w:ascii="Arial" w:eastAsia="Calibri" w:hAnsi="Arial" w:cs="Arial"/>
          <w:i/>
        </w:rPr>
        <w:t>Ibid</w:t>
      </w:r>
      <w:r w:rsidRPr="007C1EDE">
        <w:rPr>
          <w:rFonts w:ascii="Arial" w:hAnsi="Arial" w:cs="Arial"/>
        </w:rPr>
        <w:t>.</w:t>
      </w:r>
    </w:p>
  </w:endnote>
  <w:endnote w:id="36">
    <w:p w14:paraId="7D4321FB"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w:t>
      </w:r>
      <w:r w:rsidRPr="007C1EDE">
        <w:rPr>
          <w:rFonts w:ascii="Arial" w:eastAsia="Calibri" w:hAnsi="Arial" w:cs="Arial"/>
        </w:rPr>
        <w:t>Rosario,</w:t>
      </w:r>
      <w:r w:rsidRPr="007C1EDE">
        <w:rPr>
          <w:rFonts w:ascii="Arial" w:hAnsi="Arial" w:cs="Arial"/>
        </w:rPr>
        <w:t xml:space="preserve"> </w:t>
      </w:r>
      <w:r w:rsidRPr="007C1EDE">
        <w:rPr>
          <w:rFonts w:ascii="Arial" w:eastAsia="Calibri" w:hAnsi="Arial" w:cs="Arial"/>
        </w:rPr>
        <w:t>M.</w:t>
      </w:r>
      <w:r w:rsidRPr="007C1EDE">
        <w:rPr>
          <w:rFonts w:ascii="Arial" w:hAnsi="Arial" w:cs="Arial"/>
        </w:rPr>
        <w:t xml:space="preserve">, </w:t>
      </w:r>
      <w:r w:rsidRPr="007C1EDE">
        <w:rPr>
          <w:rFonts w:ascii="Arial" w:eastAsia="Calibri" w:hAnsi="Arial" w:cs="Arial"/>
        </w:rPr>
        <w:t>Schrimshaw,</w:t>
      </w:r>
      <w:r w:rsidRPr="007C1EDE">
        <w:rPr>
          <w:rFonts w:ascii="Arial" w:hAnsi="Arial" w:cs="Arial"/>
        </w:rPr>
        <w:t xml:space="preserve"> </w:t>
      </w:r>
      <w:r w:rsidRPr="007C1EDE">
        <w:rPr>
          <w:rFonts w:ascii="Arial" w:eastAsia="Calibri" w:hAnsi="Arial" w:cs="Arial"/>
        </w:rPr>
        <w:t>E. W.</w:t>
      </w:r>
      <w:r w:rsidRPr="007C1EDE">
        <w:rPr>
          <w:rFonts w:ascii="Arial" w:hAnsi="Arial" w:cs="Arial"/>
        </w:rPr>
        <w:t xml:space="preserve">, &amp; </w:t>
      </w:r>
      <w:r w:rsidRPr="007C1EDE">
        <w:rPr>
          <w:rFonts w:ascii="Arial" w:eastAsia="Calibri" w:hAnsi="Arial" w:cs="Arial"/>
        </w:rPr>
        <w:t>Hunter,</w:t>
      </w:r>
      <w:r w:rsidRPr="007C1EDE">
        <w:rPr>
          <w:rFonts w:ascii="Arial" w:hAnsi="Arial" w:cs="Arial"/>
        </w:rPr>
        <w:t xml:space="preserve"> </w:t>
      </w:r>
      <w:r w:rsidRPr="007C1EDE">
        <w:rPr>
          <w:rFonts w:ascii="Arial" w:eastAsia="Calibri" w:hAnsi="Arial" w:cs="Arial"/>
        </w:rPr>
        <w:t>J</w:t>
      </w:r>
      <w:r w:rsidRPr="007C1EDE">
        <w:rPr>
          <w:rFonts w:ascii="Arial" w:hAnsi="Arial" w:cs="Arial"/>
        </w:rPr>
        <w:t xml:space="preserve">. (2012). </w:t>
      </w:r>
      <w:r w:rsidRPr="007C1EDE">
        <w:rPr>
          <w:rFonts w:ascii="Arial" w:eastAsia="Calibri" w:hAnsi="Arial" w:cs="Arial"/>
        </w:rPr>
        <w:t>Risk</w:t>
      </w:r>
      <w:r w:rsidRPr="007C1EDE">
        <w:rPr>
          <w:rFonts w:ascii="Arial" w:hAnsi="Arial" w:cs="Arial"/>
        </w:rPr>
        <w:t xml:space="preserve"> </w:t>
      </w:r>
      <w:r w:rsidRPr="007C1EDE">
        <w:rPr>
          <w:rFonts w:ascii="Arial" w:eastAsia="Calibri" w:hAnsi="Arial" w:cs="Arial"/>
        </w:rPr>
        <w:t>Factors</w:t>
      </w:r>
      <w:r w:rsidRPr="007C1EDE">
        <w:rPr>
          <w:rFonts w:ascii="Arial" w:hAnsi="Arial" w:cs="Arial"/>
        </w:rPr>
        <w:t xml:space="preserve"> </w:t>
      </w:r>
      <w:r w:rsidRPr="007C1EDE">
        <w:rPr>
          <w:rFonts w:ascii="Arial" w:eastAsia="Calibri" w:hAnsi="Arial" w:cs="Arial"/>
        </w:rPr>
        <w:t>for</w:t>
      </w:r>
      <w:r w:rsidRPr="007C1EDE">
        <w:rPr>
          <w:rFonts w:ascii="Arial" w:hAnsi="Arial" w:cs="Arial"/>
        </w:rPr>
        <w:t xml:space="preserve"> </w:t>
      </w:r>
      <w:r w:rsidRPr="007C1EDE">
        <w:rPr>
          <w:rFonts w:ascii="Arial" w:eastAsia="Calibri" w:hAnsi="Arial" w:cs="Arial"/>
        </w:rPr>
        <w:t>Homelessness</w:t>
      </w:r>
      <w:r w:rsidRPr="007C1EDE">
        <w:rPr>
          <w:rFonts w:ascii="Arial" w:hAnsi="Arial" w:cs="Arial"/>
        </w:rPr>
        <w:t xml:space="preserve"> </w:t>
      </w:r>
      <w:r w:rsidRPr="007C1EDE">
        <w:rPr>
          <w:rFonts w:ascii="Arial" w:eastAsia="Calibri" w:hAnsi="Arial" w:cs="Arial"/>
        </w:rPr>
        <w:t>Among</w:t>
      </w:r>
      <w:r w:rsidRPr="007C1EDE">
        <w:rPr>
          <w:rFonts w:ascii="Arial" w:hAnsi="Arial" w:cs="Arial"/>
        </w:rPr>
        <w:t xml:space="preserve"> </w:t>
      </w:r>
      <w:r w:rsidRPr="007C1EDE">
        <w:rPr>
          <w:rFonts w:ascii="Arial" w:eastAsia="Calibri" w:hAnsi="Arial" w:cs="Arial"/>
        </w:rPr>
        <w:t>Lesbian</w:t>
      </w:r>
      <w:r w:rsidRPr="007C1EDE">
        <w:rPr>
          <w:rFonts w:ascii="Arial" w:hAnsi="Arial" w:cs="Arial"/>
        </w:rPr>
        <w:t xml:space="preserve">, </w:t>
      </w:r>
      <w:r w:rsidRPr="007C1EDE">
        <w:rPr>
          <w:rFonts w:ascii="Arial" w:eastAsia="Calibri" w:hAnsi="Arial" w:cs="Arial"/>
        </w:rPr>
        <w:t>Gay</w:t>
      </w:r>
      <w:r w:rsidRPr="007C1EDE">
        <w:rPr>
          <w:rFonts w:ascii="Arial" w:hAnsi="Arial" w:cs="Arial"/>
        </w:rPr>
        <w:t xml:space="preserve">, </w:t>
      </w:r>
      <w:r w:rsidRPr="007C1EDE">
        <w:rPr>
          <w:rFonts w:ascii="Arial" w:eastAsia="Calibri" w:hAnsi="Arial" w:cs="Arial"/>
        </w:rPr>
        <w:t>and</w:t>
      </w:r>
      <w:r w:rsidRPr="007C1EDE">
        <w:rPr>
          <w:rFonts w:ascii="Arial" w:hAnsi="Arial" w:cs="Arial"/>
        </w:rPr>
        <w:t xml:space="preserve"> </w:t>
      </w:r>
      <w:r w:rsidRPr="007C1EDE">
        <w:rPr>
          <w:rFonts w:ascii="Arial" w:eastAsia="Calibri" w:hAnsi="Arial" w:cs="Arial"/>
        </w:rPr>
        <w:t>Bisexual</w:t>
      </w:r>
      <w:r w:rsidRPr="007C1EDE">
        <w:rPr>
          <w:rFonts w:ascii="Arial" w:hAnsi="Arial" w:cs="Arial"/>
        </w:rPr>
        <w:t xml:space="preserve"> </w:t>
      </w:r>
      <w:r w:rsidRPr="007C1EDE">
        <w:rPr>
          <w:rFonts w:ascii="Arial" w:eastAsia="Calibri" w:hAnsi="Arial" w:cs="Arial"/>
        </w:rPr>
        <w:t>Youths</w:t>
      </w:r>
      <w:r w:rsidRPr="007C1EDE">
        <w:rPr>
          <w:rFonts w:ascii="Arial" w:hAnsi="Arial" w:cs="Arial"/>
        </w:rPr>
        <w:t xml:space="preserve">: </w:t>
      </w:r>
      <w:r w:rsidRPr="007C1EDE">
        <w:rPr>
          <w:rFonts w:ascii="Arial" w:eastAsia="Calibri" w:hAnsi="Arial" w:cs="Arial"/>
        </w:rPr>
        <w:t>A</w:t>
      </w:r>
      <w:r w:rsidRPr="007C1EDE">
        <w:rPr>
          <w:rFonts w:ascii="Arial" w:hAnsi="Arial" w:cs="Arial"/>
        </w:rPr>
        <w:t xml:space="preserve"> </w:t>
      </w:r>
      <w:r w:rsidRPr="007C1EDE">
        <w:rPr>
          <w:rFonts w:ascii="Arial" w:eastAsia="Calibri" w:hAnsi="Arial" w:cs="Arial"/>
        </w:rPr>
        <w:t>Developmental</w:t>
      </w:r>
      <w:r w:rsidRPr="007C1EDE">
        <w:rPr>
          <w:rFonts w:ascii="Arial" w:hAnsi="Arial" w:cs="Arial"/>
        </w:rPr>
        <w:t xml:space="preserve"> </w:t>
      </w:r>
      <w:r w:rsidRPr="007C1EDE">
        <w:rPr>
          <w:rFonts w:ascii="Arial" w:eastAsia="Calibri" w:hAnsi="Arial" w:cs="Arial"/>
        </w:rPr>
        <w:t>Milestone</w:t>
      </w:r>
      <w:r w:rsidRPr="007C1EDE">
        <w:rPr>
          <w:rFonts w:ascii="Arial" w:hAnsi="Arial" w:cs="Arial"/>
        </w:rPr>
        <w:t xml:space="preserve"> </w:t>
      </w:r>
      <w:r w:rsidRPr="007C1EDE">
        <w:rPr>
          <w:rFonts w:ascii="Arial" w:eastAsia="Calibri" w:hAnsi="Arial" w:cs="Arial"/>
        </w:rPr>
        <w:t>Approach</w:t>
      </w:r>
      <w:r w:rsidRPr="007C1EDE">
        <w:rPr>
          <w:rFonts w:ascii="Arial" w:hAnsi="Arial" w:cs="Arial"/>
        </w:rPr>
        <w:t xml:space="preserve">. </w:t>
      </w:r>
      <w:r w:rsidRPr="007C1EDE">
        <w:rPr>
          <w:rFonts w:ascii="Arial" w:eastAsia="Calibri" w:hAnsi="Arial" w:cs="Arial"/>
          <w:i/>
        </w:rPr>
        <w:t>Children</w:t>
      </w:r>
      <w:r w:rsidRPr="007C1EDE">
        <w:rPr>
          <w:rFonts w:ascii="Arial" w:hAnsi="Arial" w:cs="Arial"/>
          <w:i/>
        </w:rPr>
        <w:t xml:space="preserve"> </w:t>
      </w:r>
      <w:r w:rsidRPr="007C1EDE">
        <w:rPr>
          <w:rFonts w:ascii="Arial" w:eastAsia="Calibri" w:hAnsi="Arial" w:cs="Arial"/>
          <w:i/>
        </w:rPr>
        <w:t>and</w:t>
      </w:r>
      <w:r w:rsidRPr="007C1EDE">
        <w:rPr>
          <w:rFonts w:ascii="Arial" w:hAnsi="Arial" w:cs="Arial"/>
          <w:i/>
        </w:rPr>
        <w:t xml:space="preserve"> </w:t>
      </w:r>
      <w:r w:rsidRPr="007C1EDE">
        <w:rPr>
          <w:rFonts w:ascii="Arial" w:eastAsia="Calibri" w:hAnsi="Arial" w:cs="Arial"/>
          <w:i/>
        </w:rPr>
        <w:t>Youth</w:t>
      </w:r>
      <w:r w:rsidRPr="007C1EDE">
        <w:rPr>
          <w:rFonts w:ascii="Arial" w:hAnsi="Arial" w:cs="Arial"/>
          <w:i/>
        </w:rPr>
        <w:t xml:space="preserve"> </w:t>
      </w:r>
      <w:r w:rsidRPr="007C1EDE">
        <w:rPr>
          <w:rFonts w:ascii="Arial" w:eastAsia="Calibri" w:hAnsi="Arial" w:cs="Arial"/>
          <w:i/>
        </w:rPr>
        <w:t>Services</w:t>
      </w:r>
      <w:r w:rsidRPr="007C1EDE">
        <w:rPr>
          <w:rFonts w:ascii="Arial" w:hAnsi="Arial" w:cs="Arial"/>
          <w:i/>
        </w:rPr>
        <w:t xml:space="preserve"> </w:t>
      </w:r>
      <w:r w:rsidRPr="007C1EDE">
        <w:rPr>
          <w:rFonts w:ascii="Arial" w:eastAsia="Calibri" w:hAnsi="Arial" w:cs="Arial"/>
          <w:i/>
        </w:rPr>
        <w:t>Review</w:t>
      </w:r>
      <w:r w:rsidRPr="007C1EDE">
        <w:rPr>
          <w:rFonts w:ascii="Arial" w:hAnsi="Arial" w:cs="Arial"/>
        </w:rPr>
        <w:t xml:space="preserve">, </w:t>
      </w:r>
      <w:r w:rsidRPr="007C1EDE">
        <w:rPr>
          <w:rFonts w:ascii="Arial" w:hAnsi="Arial" w:cs="Arial"/>
          <w:i/>
        </w:rPr>
        <w:t>34</w:t>
      </w:r>
      <w:r w:rsidRPr="007C1EDE">
        <w:rPr>
          <w:rFonts w:ascii="Arial" w:hAnsi="Arial" w:cs="Arial"/>
        </w:rPr>
        <w:t xml:space="preserve">(1), 186–193. Retrieved from </w:t>
      </w:r>
      <w:hyperlink r:id="rId6" w:history="1">
        <w:r w:rsidRPr="007C1EDE">
          <w:rPr>
            <w:rStyle w:val="Hyperlink"/>
            <w:rFonts w:ascii="Arial" w:hAnsi="Arial" w:cs="Arial"/>
            <w:color w:val="auto"/>
            <w:u w:val="none"/>
          </w:rPr>
          <w:t>https://www.ncbi.nlm.nih.gov/pmc/articles/PMC3279927/</w:t>
        </w:r>
      </w:hyperlink>
      <w:r w:rsidRPr="007C1EDE">
        <w:rPr>
          <w:rStyle w:val="Hyperlink"/>
          <w:rFonts w:ascii="Arial" w:hAnsi="Arial" w:cs="Arial"/>
          <w:color w:val="auto"/>
          <w:u w:val="none"/>
        </w:rPr>
        <w:t xml:space="preserve"> </w:t>
      </w:r>
      <w:r w:rsidRPr="007C1EDE">
        <w:rPr>
          <w:rFonts w:ascii="Arial" w:hAnsi="Arial" w:cs="Arial"/>
        </w:rPr>
        <w:t xml:space="preserve"> </w:t>
      </w:r>
    </w:p>
  </w:endnote>
  <w:endnote w:id="37">
    <w:p w14:paraId="137B899B"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w:t>
      </w:r>
      <w:r w:rsidRPr="007C1EDE">
        <w:rPr>
          <w:rFonts w:ascii="Arial" w:eastAsia="Calibri" w:hAnsi="Arial" w:cs="Arial"/>
          <w:i/>
        </w:rPr>
        <w:t>Ibid.</w:t>
      </w:r>
    </w:p>
  </w:endnote>
  <w:endnote w:id="38">
    <w:p w14:paraId="055AB6AF" w14:textId="77777777" w:rsidR="00411ECA" w:rsidRPr="007C1EDE" w:rsidRDefault="00411ECA" w:rsidP="007C1EDE">
      <w:pPr>
        <w:spacing w:after="80" w:line="240" w:lineRule="auto"/>
        <w:rPr>
          <w:rFonts w:ascii="Arial" w:hAnsi="Arial" w:cs="Arial"/>
          <w:sz w:val="20"/>
          <w:szCs w:val="20"/>
        </w:rPr>
      </w:pPr>
      <w:r w:rsidRPr="007C1EDE">
        <w:rPr>
          <w:rStyle w:val="EndnoteReference"/>
          <w:rFonts w:ascii="Arial" w:hAnsi="Arial" w:cs="Arial"/>
          <w:sz w:val="20"/>
          <w:szCs w:val="20"/>
        </w:rPr>
        <w:endnoteRef/>
      </w:r>
      <w:r w:rsidRPr="007C1EDE">
        <w:rPr>
          <w:rFonts w:ascii="Arial" w:hAnsi="Arial" w:cs="Arial"/>
          <w:sz w:val="20"/>
          <w:szCs w:val="20"/>
        </w:rPr>
        <w:t xml:space="preserve"> Willoughby, B. L. B., Doty, N. D., &amp; Malik</w:t>
      </w:r>
      <w:r w:rsidRPr="007C1EDE">
        <w:rPr>
          <w:rFonts w:ascii="Arial" w:hAnsi="Arial" w:cs="Arial"/>
          <w:sz w:val="20"/>
          <w:szCs w:val="20"/>
          <w:shd w:val="clear" w:color="auto" w:fill="FFFFFF"/>
        </w:rPr>
        <w:t xml:space="preserve">, N. M. </w:t>
      </w:r>
      <w:r w:rsidRPr="007C1EDE">
        <w:rPr>
          <w:rFonts w:ascii="Arial" w:hAnsi="Arial" w:cs="Arial"/>
          <w:sz w:val="20"/>
          <w:szCs w:val="20"/>
        </w:rPr>
        <w:t>(2008).</w:t>
      </w:r>
      <w:r w:rsidRPr="007C1EDE">
        <w:rPr>
          <w:rFonts w:ascii="Arial" w:hAnsi="Arial" w:cs="Arial"/>
          <w:sz w:val="20"/>
          <w:szCs w:val="20"/>
          <w:shd w:val="clear" w:color="auto" w:fill="FFFFFF"/>
        </w:rPr>
        <w:t> </w:t>
      </w:r>
      <w:r w:rsidRPr="007C1EDE">
        <w:rPr>
          <w:rFonts w:ascii="Arial" w:hAnsi="Arial" w:cs="Arial"/>
          <w:sz w:val="20"/>
          <w:szCs w:val="20"/>
        </w:rPr>
        <w:t>Parental Reactions to Their Child's Sexual Orientation Disclosure: A Family Stress Perspective,</w:t>
      </w:r>
      <w:r w:rsidRPr="007C1EDE">
        <w:rPr>
          <w:rFonts w:ascii="Arial" w:hAnsi="Arial" w:cs="Arial"/>
          <w:sz w:val="20"/>
          <w:szCs w:val="20"/>
          <w:shd w:val="clear" w:color="auto" w:fill="FFFFFF"/>
        </w:rPr>
        <w:t> </w:t>
      </w:r>
      <w:r w:rsidRPr="007C1EDE">
        <w:rPr>
          <w:rFonts w:ascii="Arial" w:hAnsi="Arial" w:cs="Arial"/>
          <w:i/>
          <w:sz w:val="20"/>
          <w:szCs w:val="20"/>
        </w:rPr>
        <w:t>Parenting, 8</w:t>
      </w:r>
      <w:r w:rsidRPr="007C1EDE">
        <w:rPr>
          <w:rFonts w:ascii="Arial" w:hAnsi="Arial" w:cs="Arial"/>
          <w:sz w:val="20"/>
          <w:szCs w:val="20"/>
        </w:rPr>
        <w:t>(1):</w:t>
      </w:r>
      <w:r w:rsidRPr="007C1EDE">
        <w:rPr>
          <w:rFonts w:ascii="Arial" w:hAnsi="Arial" w:cs="Arial"/>
          <w:sz w:val="20"/>
          <w:szCs w:val="20"/>
          <w:shd w:val="clear" w:color="auto" w:fill="FFFFFF"/>
        </w:rPr>
        <w:t> </w:t>
      </w:r>
      <w:r w:rsidRPr="007C1EDE">
        <w:rPr>
          <w:rFonts w:ascii="Arial" w:hAnsi="Arial" w:cs="Arial"/>
          <w:sz w:val="20"/>
          <w:szCs w:val="20"/>
        </w:rPr>
        <w:t xml:space="preserve">70-91. </w:t>
      </w:r>
    </w:p>
  </w:endnote>
  <w:endnote w:id="39">
    <w:p w14:paraId="041F13F8"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lang w:val="es-CO"/>
        </w:rPr>
        <w:t xml:space="preserve"> </w:t>
      </w:r>
      <w:r w:rsidRPr="007C1EDE">
        <w:rPr>
          <w:rFonts w:ascii="Arial" w:eastAsia="Calibri" w:hAnsi="Arial" w:cs="Arial"/>
          <w:shd w:val="clear" w:color="auto" w:fill="FFFFFF"/>
          <w:lang w:val="es-CO"/>
        </w:rPr>
        <w:t>Durso,</w:t>
      </w:r>
      <w:r w:rsidRPr="007C1EDE">
        <w:rPr>
          <w:rFonts w:ascii="Arial" w:hAnsi="Arial" w:cs="Arial"/>
          <w:shd w:val="clear" w:color="auto" w:fill="FFFFFF"/>
          <w:lang w:val="es-CO"/>
        </w:rPr>
        <w:t xml:space="preserve"> </w:t>
      </w:r>
      <w:r w:rsidRPr="007C1EDE">
        <w:rPr>
          <w:rFonts w:ascii="Arial" w:eastAsia="Calibri" w:hAnsi="Arial" w:cs="Arial"/>
          <w:shd w:val="clear" w:color="auto" w:fill="FFFFFF"/>
          <w:lang w:val="es-CO"/>
        </w:rPr>
        <w:t>L. E.</w:t>
      </w:r>
      <w:r w:rsidRPr="007C1EDE">
        <w:rPr>
          <w:rFonts w:ascii="Arial" w:hAnsi="Arial" w:cs="Arial"/>
          <w:shd w:val="clear" w:color="auto" w:fill="FFFFFF"/>
          <w:lang w:val="es-CO"/>
        </w:rPr>
        <w:t xml:space="preserve"> </w:t>
      </w:r>
      <w:r w:rsidRPr="007C1EDE">
        <w:rPr>
          <w:rFonts w:ascii="Arial" w:eastAsia="Calibri" w:hAnsi="Arial" w:cs="Arial"/>
          <w:shd w:val="clear" w:color="auto" w:fill="FFFFFF"/>
          <w:lang w:val="es-CO"/>
        </w:rPr>
        <w:t>et</w:t>
      </w:r>
      <w:r w:rsidRPr="007C1EDE">
        <w:rPr>
          <w:rFonts w:ascii="Arial" w:hAnsi="Arial" w:cs="Arial"/>
          <w:shd w:val="clear" w:color="auto" w:fill="FFFFFF"/>
          <w:lang w:val="es-CO"/>
        </w:rPr>
        <w:t xml:space="preserve"> </w:t>
      </w:r>
      <w:r w:rsidRPr="007C1EDE">
        <w:rPr>
          <w:rFonts w:ascii="Arial" w:eastAsia="Calibri" w:hAnsi="Arial" w:cs="Arial"/>
          <w:shd w:val="clear" w:color="auto" w:fill="FFFFFF"/>
          <w:lang w:val="es-CO"/>
        </w:rPr>
        <w:t>al</w:t>
      </w:r>
      <w:r w:rsidRPr="007C1EDE">
        <w:rPr>
          <w:rFonts w:ascii="Arial" w:hAnsi="Arial" w:cs="Arial"/>
          <w:shd w:val="clear" w:color="auto" w:fill="FFFFFF"/>
          <w:lang w:val="es-CO"/>
        </w:rPr>
        <w:t xml:space="preserve">. </w:t>
      </w:r>
      <w:r w:rsidRPr="007C1EDE">
        <w:rPr>
          <w:rFonts w:ascii="Arial" w:hAnsi="Arial" w:cs="Arial"/>
          <w:shd w:val="clear" w:color="auto" w:fill="FFFFFF"/>
        </w:rPr>
        <w:t>(2012).</w:t>
      </w:r>
    </w:p>
  </w:endnote>
  <w:endnote w:id="40">
    <w:p w14:paraId="374DD401" w14:textId="77777777" w:rsidR="00411ECA" w:rsidRPr="007C1EDE" w:rsidRDefault="00411ECA" w:rsidP="007C1EDE">
      <w:pPr>
        <w:pStyle w:val="NormalWeb"/>
        <w:spacing w:after="80" w:line="240" w:lineRule="auto"/>
        <w:rPr>
          <w:rFonts w:ascii="Arial" w:eastAsia="ArialUnicodeMS" w:hAnsi="Arial" w:cs="Arial"/>
          <w:sz w:val="20"/>
          <w:szCs w:val="20"/>
        </w:rPr>
      </w:pPr>
      <w:r w:rsidRPr="007C1EDE">
        <w:rPr>
          <w:rStyle w:val="EndnoteReference"/>
          <w:rFonts w:ascii="Arial" w:hAnsi="Arial" w:cs="Arial"/>
          <w:sz w:val="20"/>
          <w:szCs w:val="20"/>
        </w:rPr>
        <w:endnoteRef/>
      </w:r>
      <w:r w:rsidRPr="007C1EDE">
        <w:rPr>
          <w:rFonts w:ascii="Arial" w:hAnsi="Arial" w:cs="Arial"/>
          <w:sz w:val="20"/>
          <w:szCs w:val="20"/>
        </w:rPr>
        <w:t xml:space="preserve"> </w:t>
      </w:r>
      <w:r w:rsidRPr="007C1EDE">
        <w:rPr>
          <w:rFonts w:ascii="Arial" w:eastAsia="Calibri" w:hAnsi="Arial" w:cs="Arial"/>
          <w:sz w:val="20"/>
          <w:szCs w:val="20"/>
        </w:rPr>
        <w:t>Whitbeck, L. B., Chen, X., Hoyt, D. R., Tyler, K., &amp; Johnson, K. D.</w:t>
      </w:r>
      <w:r w:rsidRPr="007C1EDE">
        <w:rPr>
          <w:rFonts w:ascii="Arial" w:eastAsia="ArialUnicodeMS" w:hAnsi="Arial" w:cs="Arial"/>
          <w:sz w:val="20"/>
          <w:szCs w:val="20"/>
        </w:rPr>
        <w:t xml:space="preserve"> (2004). </w:t>
      </w:r>
      <w:r w:rsidRPr="007C1EDE">
        <w:rPr>
          <w:rFonts w:ascii="Arial" w:eastAsia="Calibri" w:hAnsi="Arial" w:cs="Arial"/>
          <w:sz w:val="20"/>
          <w:szCs w:val="20"/>
        </w:rPr>
        <w:t>Mental</w:t>
      </w:r>
      <w:r w:rsidRPr="007C1EDE">
        <w:rPr>
          <w:rFonts w:ascii="Arial" w:eastAsia="ArialUnicodeMS" w:hAnsi="Arial" w:cs="Arial"/>
          <w:sz w:val="20"/>
          <w:szCs w:val="20"/>
        </w:rPr>
        <w:t xml:space="preserve"> </w:t>
      </w:r>
      <w:r w:rsidRPr="007C1EDE">
        <w:rPr>
          <w:rFonts w:ascii="Arial" w:eastAsia="Calibri" w:hAnsi="Arial" w:cs="Arial"/>
          <w:sz w:val="20"/>
          <w:szCs w:val="20"/>
        </w:rPr>
        <w:t>Disorder</w:t>
      </w:r>
      <w:r w:rsidRPr="007C1EDE">
        <w:rPr>
          <w:rFonts w:ascii="Arial" w:eastAsia="ArialUnicodeMS" w:hAnsi="Arial" w:cs="Arial"/>
          <w:sz w:val="20"/>
          <w:szCs w:val="20"/>
        </w:rPr>
        <w:t xml:space="preserve">, </w:t>
      </w:r>
      <w:r w:rsidRPr="007C1EDE">
        <w:rPr>
          <w:rFonts w:ascii="Arial" w:eastAsia="Calibri" w:hAnsi="Arial" w:cs="Arial"/>
          <w:sz w:val="20"/>
          <w:szCs w:val="20"/>
        </w:rPr>
        <w:t>Subsistence</w:t>
      </w:r>
      <w:r w:rsidRPr="007C1EDE">
        <w:rPr>
          <w:rFonts w:ascii="Arial" w:eastAsia="ArialUnicodeMS" w:hAnsi="Arial" w:cs="Arial"/>
          <w:sz w:val="20"/>
          <w:szCs w:val="20"/>
        </w:rPr>
        <w:t xml:space="preserve"> </w:t>
      </w:r>
      <w:r w:rsidRPr="007C1EDE">
        <w:rPr>
          <w:rFonts w:ascii="Arial" w:eastAsia="Calibri" w:hAnsi="Arial" w:cs="Arial"/>
          <w:sz w:val="20"/>
          <w:szCs w:val="20"/>
        </w:rPr>
        <w:t>Strategies</w:t>
      </w:r>
      <w:r w:rsidRPr="007C1EDE">
        <w:rPr>
          <w:rFonts w:ascii="Arial" w:eastAsia="ArialUnicodeMS" w:hAnsi="Arial" w:cs="Arial"/>
          <w:sz w:val="20"/>
          <w:szCs w:val="20"/>
        </w:rPr>
        <w:t xml:space="preserve">, </w:t>
      </w:r>
      <w:r w:rsidRPr="007C1EDE">
        <w:rPr>
          <w:rFonts w:ascii="Arial" w:eastAsia="Calibri" w:hAnsi="Arial" w:cs="Arial"/>
          <w:sz w:val="20"/>
          <w:szCs w:val="20"/>
        </w:rPr>
        <w:t>and</w:t>
      </w:r>
      <w:r w:rsidRPr="007C1EDE">
        <w:rPr>
          <w:rFonts w:ascii="Arial" w:eastAsia="ArialUnicodeMS" w:hAnsi="Arial" w:cs="Arial"/>
          <w:sz w:val="20"/>
          <w:szCs w:val="20"/>
        </w:rPr>
        <w:t xml:space="preserve"> </w:t>
      </w:r>
      <w:r w:rsidRPr="007C1EDE">
        <w:rPr>
          <w:rFonts w:ascii="Arial" w:eastAsia="Calibri" w:hAnsi="Arial" w:cs="Arial"/>
          <w:sz w:val="20"/>
          <w:szCs w:val="20"/>
        </w:rPr>
        <w:t>Victimization</w:t>
      </w:r>
      <w:r w:rsidRPr="007C1EDE">
        <w:rPr>
          <w:rFonts w:ascii="Arial" w:eastAsia="ArialUnicodeMS" w:hAnsi="Arial" w:cs="Arial"/>
          <w:sz w:val="20"/>
          <w:szCs w:val="20"/>
        </w:rPr>
        <w:t xml:space="preserve"> </w:t>
      </w:r>
      <w:r w:rsidRPr="007C1EDE">
        <w:rPr>
          <w:rFonts w:ascii="Arial" w:eastAsia="Calibri" w:hAnsi="Arial" w:cs="Arial"/>
          <w:sz w:val="20"/>
          <w:szCs w:val="20"/>
        </w:rPr>
        <w:t>Among</w:t>
      </w:r>
      <w:r w:rsidRPr="007C1EDE">
        <w:rPr>
          <w:rFonts w:ascii="Arial" w:eastAsia="ArialUnicodeMS" w:hAnsi="Arial" w:cs="Arial"/>
          <w:sz w:val="20"/>
          <w:szCs w:val="20"/>
        </w:rPr>
        <w:t xml:space="preserve"> </w:t>
      </w:r>
      <w:r w:rsidRPr="007C1EDE">
        <w:rPr>
          <w:rFonts w:ascii="Arial" w:eastAsia="Calibri" w:hAnsi="Arial" w:cs="Arial"/>
          <w:sz w:val="20"/>
          <w:szCs w:val="20"/>
        </w:rPr>
        <w:t>Gay</w:t>
      </w:r>
      <w:r w:rsidRPr="007C1EDE">
        <w:rPr>
          <w:rFonts w:ascii="Arial" w:eastAsia="ArialUnicodeMS" w:hAnsi="Arial" w:cs="Arial"/>
          <w:sz w:val="20"/>
          <w:szCs w:val="20"/>
        </w:rPr>
        <w:t xml:space="preserve">, </w:t>
      </w:r>
      <w:r w:rsidRPr="007C1EDE">
        <w:rPr>
          <w:rFonts w:ascii="Arial" w:eastAsia="Calibri" w:hAnsi="Arial" w:cs="Arial"/>
          <w:sz w:val="20"/>
          <w:szCs w:val="20"/>
        </w:rPr>
        <w:t>Lesbian</w:t>
      </w:r>
      <w:r w:rsidRPr="007C1EDE">
        <w:rPr>
          <w:rFonts w:ascii="Arial" w:eastAsia="ArialUnicodeMS" w:hAnsi="Arial" w:cs="Arial"/>
          <w:sz w:val="20"/>
          <w:szCs w:val="20"/>
        </w:rPr>
        <w:t xml:space="preserve">, </w:t>
      </w:r>
      <w:r w:rsidRPr="007C1EDE">
        <w:rPr>
          <w:rFonts w:ascii="Arial" w:eastAsia="Calibri" w:hAnsi="Arial" w:cs="Arial"/>
          <w:sz w:val="20"/>
          <w:szCs w:val="20"/>
        </w:rPr>
        <w:t>and</w:t>
      </w:r>
      <w:r w:rsidRPr="007C1EDE">
        <w:rPr>
          <w:rFonts w:ascii="Arial" w:eastAsia="ArialUnicodeMS" w:hAnsi="Arial" w:cs="Arial"/>
          <w:sz w:val="20"/>
          <w:szCs w:val="20"/>
        </w:rPr>
        <w:t xml:space="preserve"> </w:t>
      </w:r>
      <w:r w:rsidRPr="007C1EDE">
        <w:rPr>
          <w:rFonts w:ascii="Arial" w:eastAsia="Calibri" w:hAnsi="Arial" w:cs="Arial"/>
          <w:sz w:val="20"/>
          <w:szCs w:val="20"/>
        </w:rPr>
        <w:t>Bisexual</w:t>
      </w:r>
      <w:r w:rsidRPr="007C1EDE">
        <w:rPr>
          <w:rFonts w:ascii="Arial" w:eastAsia="ArialUnicodeMS" w:hAnsi="Arial" w:cs="Arial"/>
          <w:sz w:val="20"/>
          <w:szCs w:val="20"/>
        </w:rPr>
        <w:t xml:space="preserve"> </w:t>
      </w:r>
      <w:r w:rsidRPr="007C1EDE">
        <w:rPr>
          <w:rFonts w:ascii="Arial" w:eastAsia="Calibri" w:hAnsi="Arial" w:cs="Arial"/>
          <w:sz w:val="20"/>
          <w:szCs w:val="20"/>
        </w:rPr>
        <w:t>Homeless</w:t>
      </w:r>
      <w:r w:rsidRPr="007C1EDE">
        <w:rPr>
          <w:rFonts w:ascii="Arial" w:eastAsia="ArialUnicodeMS" w:hAnsi="Arial" w:cs="Arial"/>
          <w:sz w:val="20"/>
          <w:szCs w:val="20"/>
        </w:rPr>
        <w:t xml:space="preserve"> </w:t>
      </w:r>
      <w:r w:rsidRPr="007C1EDE">
        <w:rPr>
          <w:rFonts w:ascii="Arial" w:eastAsia="Calibri" w:hAnsi="Arial" w:cs="Arial"/>
          <w:sz w:val="20"/>
          <w:szCs w:val="20"/>
        </w:rPr>
        <w:t>and</w:t>
      </w:r>
      <w:r w:rsidRPr="007C1EDE">
        <w:rPr>
          <w:rFonts w:ascii="Arial" w:eastAsia="ArialUnicodeMS" w:hAnsi="Arial" w:cs="Arial"/>
          <w:sz w:val="20"/>
          <w:szCs w:val="20"/>
        </w:rPr>
        <w:t xml:space="preserve"> </w:t>
      </w:r>
      <w:r w:rsidRPr="007C1EDE">
        <w:rPr>
          <w:rFonts w:ascii="Arial" w:eastAsia="Calibri" w:hAnsi="Arial" w:cs="Arial"/>
          <w:sz w:val="20"/>
          <w:szCs w:val="20"/>
        </w:rPr>
        <w:t>Runaway</w:t>
      </w:r>
      <w:r w:rsidRPr="007C1EDE">
        <w:rPr>
          <w:rFonts w:ascii="Arial" w:eastAsia="ArialUnicodeMS" w:hAnsi="Arial" w:cs="Arial"/>
          <w:sz w:val="20"/>
          <w:szCs w:val="20"/>
        </w:rPr>
        <w:t xml:space="preserve"> </w:t>
      </w:r>
      <w:r w:rsidRPr="007C1EDE">
        <w:rPr>
          <w:rFonts w:ascii="Arial" w:eastAsia="Calibri" w:hAnsi="Arial" w:cs="Arial"/>
          <w:sz w:val="20"/>
          <w:szCs w:val="20"/>
        </w:rPr>
        <w:t>Adolescents</w:t>
      </w:r>
      <w:r w:rsidRPr="007C1EDE">
        <w:rPr>
          <w:rFonts w:ascii="Arial" w:eastAsia="ArialUnicodeMS" w:hAnsi="Arial" w:cs="Arial"/>
          <w:sz w:val="20"/>
          <w:szCs w:val="20"/>
        </w:rPr>
        <w:t xml:space="preserve">. </w:t>
      </w:r>
      <w:r w:rsidRPr="007C1EDE">
        <w:rPr>
          <w:rFonts w:ascii="Arial" w:eastAsia="Calibri" w:hAnsi="Arial" w:cs="Arial"/>
          <w:i/>
          <w:sz w:val="20"/>
          <w:szCs w:val="20"/>
        </w:rPr>
        <w:t>Journal</w:t>
      </w:r>
      <w:r w:rsidRPr="007C1EDE">
        <w:rPr>
          <w:rFonts w:ascii="Arial" w:eastAsia="ArialUnicodeMS" w:hAnsi="Arial" w:cs="Arial"/>
          <w:i/>
          <w:sz w:val="20"/>
          <w:szCs w:val="20"/>
        </w:rPr>
        <w:t xml:space="preserve"> </w:t>
      </w:r>
      <w:r w:rsidRPr="007C1EDE">
        <w:rPr>
          <w:rFonts w:ascii="Arial" w:eastAsia="Calibri" w:hAnsi="Arial" w:cs="Arial"/>
          <w:i/>
          <w:sz w:val="20"/>
          <w:szCs w:val="20"/>
        </w:rPr>
        <w:t>of</w:t>
      </w:r>
      <w:r w:rsidRPr="007C1EDE">
        <w:rPr>
          <w:rFonts w:ascii="Arial" w:eastAsia="ArialUnicodeMS" w:hAnsi="Arial" w:cs="Arial"/>
          <w:i/>
          <w:sz w:val="20"/>
          <w:szCs w:val="20"/>
        </w:rPr>
        <w:t xml:space="preserve"> </w:t>
      </w:r>
      <w:r w:rsidRPr="007C1EDE">
        <w:rPr>
          <w:rFonts w:ascii="Arial" w:eastAsia="Calibri" w:hAnsi="Arial" w:cs="Arial"/>
          <w:i/>
          <w:sz w:val="20"/>
          <w:szCs w:val="20"/>
        </w:rPr>
        <w:t>Sex</w:t>
      </w:r>
      <w:r w:rsidRPr="007C1EDE">
        <w:rPr>
          <w:rFonts w:ascii="Arial" w:eastAsia="ArialUnicodeMS" w:hAnsi="Arial" w:cs="Arial"/>
          <w:i/>
          <w:sz w:val="20"/>
          <w:szCs w:val="20"/>
        </w:rPr>
        <w:t xml:space="preserve"> </w:t>
      </w:r>
      <w:r w:rsidRPr="007C1EDE">
        <w:rPr>
          <w:rFonts w:ascii="Arial" w:eastAsia="Calibri" w:hAnsi="Arial" w:cs="Arial"/>
          <w:i/>
          <w:sz w:val="20"/>
          <w:szCs w:val="20"/>
        </w:rPr>
        <w:t>Research</w:t>
      </w:r>
      <w:r w:rsidRPr="007C1EDE">
        <w:rPr>
          <w:rFonts w:ascii="Arial" w:eastAsia="ArialUnicodeMS" w:hAnsi="Arial" w:cs="Arial"/>
          <w:i/>
          <w:sz w:val="20"/>
          <w:szCs w:val="20"/>
        </w:rPr>
        <w:t>, 41</w:t>
      </w:r>
      <w:r w:rsidRPr="007C1EDE">
        <w:rPr>
          <w:rFonts w:ascii="Arial" w:eastAsia="ArialUnicodeMS" w:hAnsi="Arial" w:cs="Arial"/>
          <w:sz w:val="20"/>
          <w:szCs w:val="20"/>
        </w:rPr>
        <w:t xml:space="preserve">(4): 329-342. </w:t>
      </w:r>
    </w:p>
  </w:endnote>
  <w:endnote w:id="41">
    <w:p w14:paraId="3FCB0C12" w14:textId="77777777" w:rsidR="00411ECA" w:rsidRPr="007C1EDE" w:rsidRDefault="00411ECA" w:rsidP="007C1EDE">
      <w:pPr>
        <w:pStyle w:val="NormalWeb"/>
        <w:spacing w:after="80" w:line="240" w:lineRule="auto"/>
        <w:rPr>
          <w:rFonts w:ascii="Arial" w:hAnsi="Arial" w:cs="Arial"/>
          <w:sz w:val="20"/>
          <w:szCs w:val="20"/>
        </w:rPr>
      </w:pPr>
      <w:r w:rsidRPr="007C1EDE">
        <w:rPr>
          <w:rStyle w:val="EndnoteReference"/>
          <w:rFonts w:ascii="Arial" w:hAnsi="Arial" w:cs="Arial"/>
          <w:sz w:val="20"/>
          <w:szCs w:val="20"/>
        </w:rPr>
        <w:endnoteRef/>
      </w:r>
      <w:r w:rsidRPr="007C1EDE">
        <w:rPr>
          <w:rFonts w:ascii="Arial" w:eastAsia="Calibri" w:hAnsi="Arial" w:cs="Arial"/>
          <w:sz w:val="20"/>
          <w:szCs w:val="20"/>
        </w:rPr>
        <w:t xml:space="preserve"> Choi,</w:t>
      </w:r>
      <w:r w:rsidRPr="007C1EDE">
        <w:rPr>
          <w:rFonts w:ascii="Arial" w:hAnsi="Arial" w:cs="Arial"/>
          <w:sz w:val="20"/>
          <w:szCs w:val="20"/>
        </w:rPr>
        <w:t xml:space="preserve"> </w:t>
      </w:r>
      <w:r w:rsidRPr="007C1EDE">
        <w:rPr>
          <w:rFonts w:ascii="Arial" w:eastAsia="Calibri" w:hAnsi="Arial" w:cs="Arial"/>
          <w:sz w:val="20"/>
          <w:szCs w:val="20"/>
        </w:rPr>
        <w:t>S. K</w:t>
      </w:r>
      <w:r w:rsidRPr="007C1EDE">
        <w:rPr>
          <w:rFonts w:ascii="Arial" w:hAnsi="Arial" w:cs="Arial"/>
          <w:sz w:val="20"/>
          <w:szCs w:val="20"/>
          <w:shd w:val="clear" w:color="auto" w:fill="FFFFFF"/>
        </w:rPr>
        <w:t xml:space="preserve">. </w:t>
      </w:r>
      <w:r w:rsidRPr="007C1EDE">
        <w:rPr>
          <w:rFonts w:ascii="Arial" w:eastAsia="Calibri" w:hAnsi="Arial" w:cs="Arial"/>
          <w:sz w:val="20"/>
          <w:szCs w:val="20"/>
          <w:shd w:val="clear" w:color="auto" w:fill="FFFFFF"/>
        </w:rPr>
        <w:t>et</w:t>
      </w:r>
      <w:r w:rsidRPr="007C1EDE">
        <w:rPr>
          <w:rFonts w:ascii="Arial" w:hAnsi="Arial" w:cs="Arial"/>
          <w:sz w:val="20"/>
          <w:szCs w:val="20"/>
          <w:shd w:val="clear" w:color="auto" w:fill="FFFFFF"/>
        </w:rPr>
        <w:t xml:space="preserve"> </w:t>
      </w:r>
      <w:r w:rsidRPr="007C1EDE">
        <w:rPr>
          <w:rFonts w:ascii="Arial" w:eastAsia="Calibri" w:hAnsi="Arial" w:cs="Arial"/>
          <w:sz w:val="20"/>
          <w:szCs w:val="20"/>
          <w:shd w:val="clear" w:color="auto" w:fill="FFFFFF"/>
        </w:rPr>
        <w:t>al</w:t>
      </w:r>
      <w:r w:rsidRPr="007C1EDE">
        <w:rPr>
          <w:rFonts w:ascii="Arial" w:hAnsi="Arial" w:cs="Arial"/>
          <w:sz w:val="20"/>
          <w:szCs w:val="20"/>
          <w:shd w:val="clear" w:color="auto" w:fill="FFFFFF"/>
        </w:rPr>
        <w:t>.</w:t>
      </w:r>
      <w:r w:rsidRPr="007C1EDE">
        <w:rPr>
          <w:rFonts w:ascii="Arial" w:hAnsi="Arial" w:cs="Arial"/>
          <w:i/>
          <w:sz w:val="20"/>
          <w:szCs w:val="20"/>
          <w:shd w:val="clear" w:color="auto" w:fill="FFFFFF"/>
        </w:rPr>
        <w:t xml:space="preserve"> </w:t>
      </w:r>
      <w:r w:rsidRPr="007C1EDE">
        <w:rPr>
          <w:rFonts w:ascii="Arial" w:hAnsi="Arial" w:cs="Arial"/>
          <w:sz w:val="20"/>
          <w:szCs w:val="20"/>
          <w:shd w:val="clear" w:color="auto" w:fill="FFFFFF"/>
        </w:rPr>
        <w:t>(2015).</w:t>
      </w:r>
    </w:p>
  </w:endnote>
  <w:endnote w:id="42">
    <w:p w14:paraId="6B9AE2FB"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w:t>
      </w:r>
      <w:r w:rsidRPr="007C1EDE">
        <w:rPr>
          <w:rFonts w:ascii="Arial" w:eastAsia="Calibri" w:hAnsi="Arial" w:cs="Arial"/>
          <w:i/>
        </w:rPr>
        <w:t>Ibid</w:t>
      </w:r>
      <w:r w:rsidRPr="007C1EDE">
        <w:rPr>
          <w:rFonts w:ascii="Arial" w:hAnsi="Arial" w:cs="Arial"/>
        </w:rPr>
        <w:t>.</w:t>
      </w:r>
    </w:p>
  </w:endnote>
  <w:endnote w:id="43">
    <w:p w14:paraId="3002AC39"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w:t>
      </w:r>
      <w:r w:rsidRPr="007C1EDE">
        <w:rPr>
          <w:rFonts w:ascii="Arial" w:eastAsia="Calibri" w:hAnsi="Arial" w:cs="Arial"/>
          <w:bCs/>
        </w:rPr>
        <w:t>LGBTQ</w:t>
      </w:r>
      <w:r w:rsidRPr="007C1EDE">
        <w:rPr>
          <w:rFonts w:ascii="Arial" w:hAnsi="Arial" w:cs="Arial"/>
          <w:bCs/>
        </w:rPr>
        <w:t xml:space="preserve"> </w:t>
      </w:r>
      <w:r w:rsidRPr="007C1EDE">
        <w:rPr>
          <w:rFonts w:ascii="Arial" w:eastAsia="Calibri" w:hAnsi="Arial" w:cs="Arial"/>
          <w:bCs/>
        </w:rPr>
        <w:t>Homeless</w:t>
      </w:r>
      <w:r w:rsidRPr="007C1EDE">
        <w:rPr>
          <w:rFonts w:ascii="Arial" w:hAnsi="Arial" w:cs="Arial"/>
          <w:bCs/>
        </w:rPr>
        <w:t xml:space="preserve"> </w:t>
      </w:r>
      <w:r w:rsidRPr="007C1EDE">
        <w:rPr>
          <w:rFonts w:ascii="Arial" w:eastAsia="Calibri" w:hAnsi="Arial" w:cs="Arial"/>
          <w:bCs/>
        </w:rPr>
        <w:t>Youth</w:t>
      </w:r>
      <w:r w:rsidRPr="007C1EDE">
        <w:rPr>
          <w:rFonts w:ascii="Arial" w:hAnsi="Arial" w:cs="Arial"/>
          <w:bCs/>
        </w:rPr>
        <w:t xml:space="preserve"> </w:t>
      </w:r>
      <w:r w:rsidRPr="007C1EDE">
        <w:rPr>
          <w:rFonts w:ascii="Arial" w:eastAsia="Calibri" w:hAnsi="Arial" w:cs="Arial"/>
          <w:bCs/>
        </w:rPr>
        <w:t>Fact</w:t>
      </w:r>
      <w:r w:rsidRPr="007C1EDE">
        <w:rPr>
          <w:rFonts w:ascii="Arial" w:hAnsi="Arial" w:cs="Arial"/>
          <w:bCs/>
        </w:rPr>
        <w:t xml:space="preserve"> </w:t>
      </w:r>
      <w:r w:rsidRPr="007C1EDE">
        <w:rPr>
          <w:rFonts w:ascii="Arial" w:eastAsia="Calibri" w:hAnsi="Arial" w:cs="Arial"/>
          <w:bCs/>
        </w:rPr>
        <w:t>Sheet</w:t>
      </w:r>
      <w:r w:rsidRPr="007C1EDE">
        <w:rPr>
          <w:rFonts w:ascii="Arial" w:hAnsi="Arial" w:cs="Arial"/>
          <w:bCs/>
        </w:rPr>
        <w:t xml:space="preserve">. </w:t>
      </w:r>
      <w:r w:rsidRPr="007C1EDE">
        <w:rPr>
          <w:rFonts w:ascii="Arial" w:eastAsia="Calibri" w:hAnsi="Arial" w:cs="Arial"/>
          <w:i/>
        </w:rPr>
        <w:t>National</w:t>
      </w:r>
      <w:r w:rsidRPr="007C1EDE">
        <w:rPr>
          <w:rFonts w:ascii="Arial" w:hAnsi="Arial" w:cs="Arial"/>
          <w:i/>
        </w:rPr>
        <w:t xml:space="preserve"> </w:t>
      </w:r>
      <w:r w:rsidRPr="007C1EDE">
        <w:rPr>
          <w:rFonts w:ascii="Arial" w:eastAsia="Calibri" w:hAnsi="Arial" w:cs="Arial"/>
          <w:i/>
        </w:rPr>
        <w:t>Alliance</w:t>
      </w:r>
      <w:r w:rsidRPr="007C1EDE">
        <w:rPr>
          <w:rFonts w:ascii="Arial" w:hAnsi="Arial" w:cs="Arial"/>
          <w:i/>
        </w:rPr>
        <w:t xml:space="preserve"> </w:t>
      </w:r>
      <w:r w:rsidRPr="007C1EDE">
        <w:rPr>
          <w:rFonts w:ascii="Arial" w:eastAsia="Calibri" w:hAnsi="Arial" w:cs="Arial"/>
          <w:i/>
        </w:rPr>
        <w:t>to</w:t>
      </w:r>
      <w:r w:rsidRPr="007C1EDE">
        <w:rPr>
          <w:rFonts w:ascii="Arial" w:hAnsi="Arial" w:cs="Arial"/>
          <w:i/>
        </w:rPr>
        <w:t xml:space="preserve"> </w:t>
      </w:r>
      <w:r w:rsidRPr="007C1EDE">
        <w:rPr>
          <w:rFonts w:ascii="Arial" w:eastAsia="Calibri" w:hAnsi="Arial" w:cs="Arial"/>
          <w:i/>
        </w:rPr>
        <w:t>End</w:t>
      </w:r>
      <w:r w:rsidRPr="007C1EDE">
        <w:rPr>
          <w:rFonts w:ascii="Arial" w:hAnsi="Arial" w:cs="Arial"/>
          <w:i/>
        </w:rPr>
        <w:t xml:space="preserve"> </w:t>
      </w:r>
      <w:r w:rsidRPr="007C1EDE">
        <w:rPr>
          <w:rFonts w:ascii="Arial" w:eastAsia="Calibri" w:hAnsi="Arial" w:cs="Arial"/>
          <w:i/>
        </w:rPr>
        <w:t>Youth</w:t>
      </w:r>
      <w:r w:rsidRPr="007C1EDE">
        <w:rPr>
          <w:rFonts w:ascii="Arial" w:hAnsi="Arial" w:cs="Arial"/>
          <w:i/>
        </w:rPr>
        <w:t xml:space="preserve"> </w:t>
      </w:r>
      <w:r w:rsidRPr="007C1EDE">
        <w:rPr>
          <w:rFonts w:ascii="Arial" w:eastAsia="Calibri" w:hAnsi="Arial" w:cs="Arial"/>
          <w:i/>
        </w:rPr>
        <w:t>Homelessness</w:t>
      </w:r>
      <w:r w:rsidRPr="007C1EDE">
        <w:rPr>
          <w:rFonts w:ascii="Arial" w:hAnsi="Arial" w:cs="Arial"/>
        </w:rPr>
        <w:t xml:space="preserve">. Retrieved from </w:t>
      </w:r>
      <w:hyperlink r:id="rId7" w:history="1">
        <w:r w:rsidRPr="007C1EDE">
          <w:rPr>
            <w:rStyle w:val="Hyperlink"/>
            <w:rFonts w:ascii="Arial" w:hAnsi="Arial" w:cs="Arial"/>
            <w:color w:val="auto"/>
            <w:u w:val="none"/>
          </w:rPr>
          <w:t>http://www.safeschoolscoalition.org/LGBTQhomelessFactSheetbyNAEH.pdf</w:t>
        </w:r>
      </w:hyperlink>
      <w:r w:rsidRPr="007C1EDE">
        <w:rPr>
          <w:rFonts w:ascii="Arial" w:hAnsi="Arial" w:cs="Arial"/>
        </w:rPr>
        <w:t xml:space="preserve">  </w:t>
      </w:r>
    </w:p>
  </w:endnote>
  <w:endnote w:id="44">
    <w:p w14:paraId="7195D60E"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eastAsia="Calibri" w:hAnsi="Arial" w:cs="Arial"/>
        </w:rPr>
        <w:t xml:space="preserve"> Choi,</w:t>
      </w:r>
      <w:r w:rsidRPr="007C1EDE">
        <w:rPr>
          <w:rFonts w:ascii="Arial" w:hAnsi="Arial" w:cs="Arial"/>
        </w:rPr>
        <w:t xml:space="preserve"> </w:t>
      </w:r>
      <w:r w:rsidRPr="007C1EDE">
        <w:rPr>
          <w:rFonts w:ascii="Arial" w:eastAsia="Calibri" w:hAnsi="Arial" w:cs="Arial"/>
        </w:rPr>
        <w:t>S. K</w:t>
      </w:r>
      <w:r w:rsidRPr="007C1EDE">
        <w:rPr>
          <w:rFonts w:ascii="Arial" w:hAnsi="Arial" w:cs="Arial"/>
          <w:shd w:val="clear" w:color="auto" w:fill="FFFFFF"/>
        </w:rPr>
        <w:t xml:space="preserve">. </w:t>
      </w:r>
      <w:r w:rsidRPr="007C1EDE">
        <w:rPr>
          <w:rFonts w:ascii="Arial" w:eastAsia="Calibri" w:hAnsi="Arial" w:cs="Arial"/>
          <w:shd w:val="clear" w:color="auto" w:fill="FFFFFF"/>
        </w:rPr>
        <w:t>et</w:t>
      </w:r>
      <w:r w:rsidRPr="007C1EDE">
        <w:rPr>
          <w:rFonts w:ascii="Arial" w:hAnsi="Arial" w:cs="Arial"/>
          <w:shd w:val="clear" w:color="auto" w:fill="FFFFFF"/>
        </w:rPr>
        <w:t xml:space="preserve"> </w:t>
      </w:r>
      <w:r w:rsidRPr="007C1EDE">
        <w:rPr>
          <w:rFonts w:ascii="Arial" w:eastAsia="Calibri" w:hAnsi="Arial" w:cs="Arial"/>
          <w:shd w:val="clear" w:color="auto" w:fill="FFFFFF"/>
        </w:rPr>
        <w:t>al</w:t>
      </w:r>
      <w:r w:rsidRPr="007C1EDE">
        <w:rPr>
          <w:rFonts w:ascii="Arial" w:hAnsi="Arial" w:cs="Arial"/>
          <w:shd w:val="clear" w:color="auto" w:fill="FFFFFF"/>
        </w:rPr>
        <w:t>.</w:t>
      </w:r>
      <w:r w:rsidRPr="007C1EDE">
        <w:rPr>
          <w:rFonts w:ascii="Arial" w:hAnsi="Arial" w:cs="Arial"/>
          <w:i/>
          <w:shd w:val="clear" w:color="auto" w:fill="FFFFFF"/>
        </w:rPr>
        <w:t xml:space="preserve"> </w:t>
      </w:r>
      <w:r w:rsidRPr="007C1EDE">
        <w:rPr>
          <w:rFonts w:ascii="Arial" w:hAnsi="Arial" w:cs="Arial"/>
          <w:shd w:val="clear" w:color="auto" w:fill="FFFFFF"/>
        </w:rPr>
        <w:t>(2015).</w:t>
      </w:r>
      <w:r w:rsidRPr="007C1EDE">
        <w:rPr>
          <w:rFonts w:ascii="Arial" w:hAnsi="Arial" w:cs="Arial"/>
          <w:shd w:val="clear" w:color="auto" w:fill="FFFFFF"/>
        </w:rPr>
        <w:tab/>
      </w:r>
    </w:p>
  </w:endnote>
  <w:endnote w:id="45">
    <w:p w14:paraId="1C41BEA4" w14:textId="77777777" w:rsidR="00411ECA" w:rsidRPr="007C1EDE" w:rsidRDefault="00411ECA" w:rsidP="007C1EDE">
      <w:pPr>
        <w:pStyle w:val="NormalWeb"/>
        <w:spacing w:after="80" w:line="240" w:lineRule="auto"/>
        <w:rPr>
          <w:rFonts w:ascii="Arial" w:hAnsi="Arial" w:cs="Arial"/>
          <w:sz w:val="20"/>
          <w:szCs w:val="20"/>
        </w:rPr>
      </w:pPr>
      <w:r w:rsidRPr="007C1EDE">
        <w:rPr>
          <w:rStyle w:val="EndnoteReference"/>
          <w:rFonts w:ascii="Arial" w:hAnsi="Arial" w:cs="Arial"/>
          <w:sz w:val="20"/>
          <w:szCs w:val="20"/>
        </w:rPr>
        <w:endnoteRef/>
      </w:r>
      <w:r w:rsidRPr="007C1EDE">
        <w:rPr>
          <w:rFonts w:ascii="Arial" w:hAnsi="Arial" w:cs="Arial"/>
          <w:sz w:val="20"/>
          <w:szCs w:val="20"/>
        </w:rPr>
        <w:t xml:space="preserve"> Morton, M. H., Dworsky, A., &amp; Samuels, G.M. (2017). </w:t>
      </w:r>
      <w:r w:rsidRPr="007C1EDE">
        <w:rPr>
          <w:rFonts w:ascii="Arial" w:hAnsi="Arial" w:cs="Arial"/>
          <w:i/>
          <w:iCs/>
          <w:sz w:val="20"/>
          <w:szCs w:val="20"/>
        </w:rPr>
        <w:t>Missed Opportunities: Youth Homelessness in America. National Estimates</w:t>
      </w:r>
      <w:r w:rsidRPr="007C1EDE">
        <w:rPr>
          <w:rFonts w:ascii="Arial" w:hAnsi="Arial" w:cs="Arial"/>
          <w:sz w:val="20"/>
          <w:szCs w:val="20"/>
        </w:rPr>
        <w:t xml:space="preserve">. Chicago, IL: Chapin Hall at the University of Chicago. Retrieved from </w:t>
      </w:r>
      <w:hyperlink r:id="rId8" w:history="1">
        <w:r w:rsidRPr="007C1EDE">
          <w:rPr>
            <w:rStyle w:val="Hyperlink"/>
            <w:rFonts w:ascii="Arial" w:hAnsi="Arial" w:cs="Arial"/>
            <w:color w:val="auto"/>
            <w:sz w:val="20"/>
            <w:szCs w:val="20"/>
            <w:u w:val="none"/>
          </w:rPr>
          <w:t>http://voicesofyouthcount.org/wp-content/uploads/2017/11/ChapinHall_VoYC_NationalReport_Final.pdf</w:t>
        </w:r>
      </w:hyperlink>
      <w:r w:rsidRPr="007C1EDE">
        <w:rPr>
          <w:rFonts w:ascii="Arial" w:hAnsi="Arial" w:cs="Arial"/>
          <w:sz w:val="20"/>
          <w:szCs w:val="20"/>
        </w:rPr>
        <w:t xml:space="preserve">  </w:t>
      </w:r>
    </w:p>
  </w:endnote>
  <w:endnote w:id="46">
    <w:p w14:paraId="213B4E41" w14:textId="77777777" w:rsidR="00411ECA" w:rsidRPr="007C1EDE" w:rsidRDefault="00411ECA" w:rsidP="007C1EDE">
      <w:pPr>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rPr>
        <w:t xml:space="preserve"> Wilson, B. D. M., Cooper, K., Kastanis, A., &amp; Nezhad S. (2014). Sexual and Gender minorities in Foster Care: Assessing Disproportionality and Disparities in Los Angeles. Los Angeles: The Williams Institute at UCLA Law with True Colors Fund</w:t>
      </w:r>
      <w:r w:rsidRPr="007C1EDE">
        <w:rPr>
          <w:rFonts w:ascii="Arial" w:eastAsia="Calibri" w:hAnsi="Arial" w:cs="Arial"/>
          <w:sz w:val="20"/>
          <w:szCs w:val="20"/>
        </w:rPr>
        <w:t xml:space="preserve">. Retrieved from </w:t>
      </w:r>
      <w:hyperlink r:id="rId9" w:history="1">
        <w:r w:rsidRPr="007C1EDE">
          <w:rPr>
            <w:rStyle w:val="Hyperlink"/>
            <w:rFonts w:ascii="Arial" w:eastAsia="Calibri" w:hAnsi="Arial" w:cs="Arial"/>
            <w:color w:val="auto"/>
            <w:sz w:val="20"/>
            <w:szCs w:val="20"/>
            <w:u w:val="none"/>
          </w:rPr>
          <w:t>https://williamsinstitute.law.ucla.edu/wp-content/uploads/LAFYS_report_final-aug-2014.pdf</w:t>
        </w:r>
      </w:hyperlink>
      <w:r w:rsidRPr="007C1EDE">
        <w:rPr>
          <w:rFonts w:ascii="Arial" w:eastAsia="Calibri" w:hAnsi="Arial" w:cs="Arial"/>
          <w:sz w:val="20"/>
          <w:szCs w:val="20"/>
        </w:rPr>
        <w:t xml:space="preserve">  </w:t>
      </w:r>
    </w:p>
  </w:endnote>
  <w:endnote w:id="47">
    <w:p w14:paraId="7B35E1AF" w14:textId="77777777" w:rsidR="00411ECA" w:rsidRPr="007C1EDE" w:rsidRDefault="00411ECA" w:rsidP="007C1EDE">
      <w:pPr>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rPr>
        <w:t xml:space="preserve"> Mallon, G. P. (1998). </w:t>
      </w:r>
      <w:r w:rsidRPr="007C1EDE">
        <w:rPr>
          <w:rFonts w:ascii="Arial" w:hAnsi="Arial" w:cs="Arial"/>
          <w:i/>
          <w:iCs/>
          <w:sz w:val="20"/>
          <w:szCs w:val="20"/>
        </w:rPr>
        <w:t xml:space="preserve">We Don’t Exactly Get the Welcome Wagon: The Experiences of Gay and Lesbian Adolescents in Child Welfare Systems. </w:t>
      </w:r>
      <w:r w:rsidRPr="007C1EDE">
        <w:rPr>
          <w:rFonts w:ascii="Arial" w:hAnsi="Arial" w:cs="Arial"/>
          <w:sz w:val="20"/>
          <w:szCs w:val="20"/>
        </w:rPr>
        <w:t>New York: Columbia University Press.</w:t>
      </w:r>
    </w:p>
  </w:endnote>
  <w:endnote w:id="48">
    <w:p w14:paraId="5D20011D"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w:t>
      </w:r>
      <w:r w:rsidRPr="007C1EDE">
        <w:rPr>
          <w:rFonts w:ascii="Arial" w:eastAsia="Calibri" w:hAnsi="Arial" w:cs="Arial"/>
          <w:bCs/>
        </w:rPr>
        <w:t>LGBTQ</w:t>
      </w:r>
      <w:r w:rsidRPr="007C1EDE">
        <w:rPr>
          <w:rFonts w:ascii="Arial" w:hAnsi="Arial" w:cs="Arial"/>
          <w:bCs/>
        </w:rPr>
        <w:t xml:space="preserve"> </w:t>
      </w:r>
      <w:r w:rsidRPr="007C1EDE">
        <w:rPr>
          <w:rFonts w:ascii="Arial" w:eastAsia="Calibri" w:hAnsi="Arial" w:cs="Arial"/>
          <w:bCs/>
        </w:rPr>
        <w:t>Homeless</w:t>
      </w:r>
      <w:r w:rsidRPr="007C1EDE">
        <w:rPr>
          <w:rFonts w:ascii="Arial" w:hAnsi="Arial" w:cs="Arial"/>
          <w:bCs/>
        </w:rPr>
        <w:t xml:space="preserve"> </w:t>
      </w:r>
      <w:r w:rsidRPr="007C1EDE">
        <w:rPr>
          <w:rFonts w:ascii="Arial" w:eastAsia="Calibri" w:hAnsi="Arial" w:cs="Arial"/>
          <w:bCs/>
        </w:rPr>
        <w:t>Youth</w:t>
      </w:r>
      <w:r w:rsidRPr="007C1EDE">
        <w:rPr>
          <w:rFonts w:ascii="Arial" w:hAnsi="Arial" w:cs="Arial"/>
          <w:bCs/>
        </w:rPr>
        <w:t xml:space="preserve"> </w:t>
      </w:r>
      <w:r w:rsidRPr="007C1EDE">
        <w:rPr>
          <w:rFonts w:ascii="Arial" w:eastAsia="Calibri" w:hAnsi="Arial" w:cs="Arial"/>
          <w:bCs/>
        </w:rPr>
        <w:t>Fact</w:t>
      </w:r>
      <w:r w:rsidRPr="007C1EDE">
        <w:rPr>
          <w:rFonts w:ascii="Arial" w:hAnsi="Arial" w:cs="Arial"/>
          <w:bCs/>
        </w:rPr>
        <w:t xml:space="preserve"> </w:t>
      </w:r>
      <w:r w:rsidRPr="007C1EDE">
        <w:rPr>
          <w:rFonts w:ascii="Arial" w:eastAsia="Calibri" w:hAnsi="Arial" w:cs="Arial"/>
          <w:bCs/>
        </w:rPr>
        <w:t>Sheet</w:t>
      </w:r>
      <w:r w:rsidRPr="007C1EDE">
        <w:rPr>
          <w:rFonts w:ascii="Arial" w:hAnsi="Arial" w:cs="Arial"/>
          <w:bCs/>
        </w:rPr>
        <w:t xml:space="preserve">. </w:t>
      </w:r>
      <w:r w:rsidRPr="007C1EDE">
        <w:rPr>
          <w:rFonts w:ascii="Arial" w:eastAsia="Calibri" w:hAnsi="Arial" w:cs="Arial"/>
          <w:i/>
        </w:rPr>
        <w:t>National</w:t>
      </w:r>
      <w:r w:rsidRPr="007C1EDE">
        <w:rPr>
          <w:rFonts w:ascii="Arial" w:hAnsi="Arial" w:cs="Arial"/>
          <w:i/>
        </w:rPr>
        <w:t xml:space="preserve"> </w:t>
      </w:r>
      <w:r w:rsidRPr="007C1EDE">
        <w:rPr>
          <w:rFonts w:ascii="Arial" w:eastAsia="Calibri" w:hAnsi="Arial" w:cs="Arial"/>
          <w:i/>
        </w:rPr>
        <w:t>Alliance</w:t>
      </w:r>
      <w:r w:rsidRPr="007C1EDE">
        <w:rPr>
          <w:rFonts w:ascii="Arial" w:hAnsi="Arial" w:cs="Arial"/>
          <w:i/>
        </w:rPr>
        <w:t xml:space="preserve"> </w:t>
      </w:r>
      <w:r w:rsidRPr="007C1EDE">
        <w:rPr>
          <w:rFonts w:ascii="Arial" w:eastAsia="Calibri" w:hAnsi="Arial" w:cs="Arial"/>
          <w:i/>
        </w:rPr>
        <w:t>to</w:t>
      </w:r>
      <w:r w:rsidRPr="007C1EDE">
        <w:rPr>
          <w:rFonts w:ascii="Arial" w:hAnsi="Arial" w:cs="Arial"/>
          <w:i/>
        </w:rPr>
        <w:t xml:space="preserve"> </w:t>
      </w:r>
      <w:r w:rsidRPr="007C1EDE">
        <w:rPr>
          <w:rFonts w:ascii="Arial" w:eastAsia="Calibri" w:hAnsi="Arial" w:cs="Arial"/>
          <w:i/>
        </w:rPr>
        <w:t>End</w:t>
      </w:r>
      <w:r w:rsidRPr="007C1EDE">
        <w:rPr>
          <w:rFonts w:ascii="Arial" w:hAnsi="Arial" w:cs="Arial"/>
          <w:i/>
        </w:rPr>
        <w:t xml:space="preserve"> </w:t>
      </w:r>
      <w:r w:rsidRPr="007C1EDE">
        <w:rPr>
          <w:rFonts w:ascii="Arial" w:eastAsia="Calibri" w:hAnsi="Arial" w:cs="Arial"/>
          <w:i/>
        </w:rPr>
        <w:t>Youth</w:t>
      </w:r>
      <w:r w:rsidRPr="007C1EDE">
        <w:rPr>
          <w:rFonts w:ascii="Arial" w:hAnsi="Arial" w:cs="Arial"/>
          <w:i/>
        </w:rPr>
        <w:t xml:space="preserve"> </w:t>
      </w:r>
      <w:r w:rsidRPr="007C1EDE">
        <w:rPr>
          <w:rFonts w:ascii="Arial" w:eastAsia="Calibri" w:hAnsi="Arial" w:cs="Arial"/>
          <w:i/>
        </w:rPr>
        <w:t>Homelessness</w:t>
      </w:r>
      <w:r w:rsidRPr="007C1EDE">
        <w:rPr>
          <w:rFonts w:ascii="Arial" w:hAnsi="Arial" w:cs="Arial"/>
        </w:rPr>
        <w:t>.</w:t>
      </w:r>
    </w:p>
  </w:endnote>
  <w:endnote w:id="49">
    <w:p w14:paraId="2FD7B032" w14:textId="77777777" w:rsidR="00411ECA" w:rsidRPr="007C1EDE" w:rsidRDefault="00411ECA" w:rsidP="007C1EDE">
      <w:pPr>
        <w:pStyle w:val="EndnoteText"/>
        <w:tabs>
          <w:tab w:val="left" w:pos="2180"/>
        </w:tabs>
        <w:spacing w:after="80"/>
        <w:rPr>
          <w:rFonts w:ascii="Arial" w:hAnsi="Arial" w:cs="Arial"/>
        </w:rPr>
      </w:pPr>
      <w:r w:rsidRPr="007C1EDE">
        <w:rPr>
          <w:rStyle w:val="EndnoteReference"/>
          <w:rFonts w:ascii="Arial" w:hAnsi="Arial" w:cs="Arial"/>
        </w:rPr>
        <w:endnoteRef/>
      </w:r>
      <w:r w:rsidRPr="007C1EDE">
        <w:rPr>
          <w:rFonts w:ascii="Arial" w:hAnsi="Arial" w:cs="Arial"/>
          <w:lang w:val="it-IT"/>
        </w:rPr>
        <w:t xml:space="preserve"> </w:t>
      </w:r>
      <w:r w:rsidRPr="007C1EDE">
        <w:rPr>
          <w:rFonts w:ascii="Arial" w:eastAsia="Calibri" w:hAnsi="Arial" w:cs="Arial"/>
          <w:lang w:val="it-IT"/>
        </w:rPr>
        <w:t>Morton,</w:t>
      </w:r>
      <w:r w:rsidRPr="007C1EDE">
        <w:rPr>
          <w:rFonts w:ascii="Arial" w:hAnsi="Arial" w:cs="Arial"/>
          <w:lang w:val="it-IT"/>
        </w:rPr>
        <w:t xml:space="preserve"> </w:t>
      </w:r>
      <w:r w:rsidRPr="007C1EDE">
        <w:rPr>
          <w:rFonts w:ascii="Arial" w:eastAsia="Calibri" w:hAnsi="Arial" w:cs="Arial"/>
          <w:lang w:val="it-IT"/>
        </w:rPr>
        <w:t>M.H</w:t>
      </w:r>
      <w:r w:rsidRPr="007C1EDE">
        <w:rPr>
          <w:rFonts w:ascii="Arial" w:hAnsi="Arial" w:cs="Arial"/>
          <w:lang w:val="it-IT"/>
        </w:rPr>
        <w:t xml:space="preserve">. </w:t>
      </w:r>
      <w:r w:rsidRPr="007C1EDE">
        <w:rPr>
          <w:rFonts w:ascii="Arial" w:eastAsia="Calibri" w:hAnsi="Arial" w:cs="Arial"/>
          <w:i/>
          <w:lang w:val="it-IT"/>
        </w:rPr>
        <w:t>et</w:t>
      </w:r>
      <w:r w:rsidRPr="007C1EDE">
        <w:rPr>
          <w:rFonts w:ascii="Arial" w:hAnsi="Arial" w:cs="Arial"/>
          <w:i/>
          <w:lang w:val="it-IT"/>
        </w:rPr>
        <w:t xml:space="preserve"> </w:t>
      </w:r>
      <w:r w:rsidRPr="007C1EDE">
        <w:rPr>
          <w:rFonts w:ascii="Arial" w:eastAsia="Calibri" w:hAnsi="Arial" w:cs="Arial"/>
          <w:i/>
          <w:lang w:val="it-IT"/>
        </w:rPr>
        <w:t>al</w:t>
      </w:r>
      <w:r w:rsidRPr="007C1EDE">
        <w:rPr>
          <w:rFonts w:ascii="Arial" w:hAnsi="Arial" w:cs="Arial"/>
          <w:i/>
          <w:lang w:val="it-IT"/>
        </w:rPr>
        <w:t>.</w:t>
      </w:r>
      <w:r w:rsidRPr="007C1EDE">
        <w:rPr>
          <w:rFonts w:ascii="Arial" w:hAnsi="Arial" w:cs="Arial"/>
          <w:lang w:val="it-IT"/>
        </w:rPr>
        <w:t xml:space="preserve"> </w:t>
      </w:r>
      <w:r w:rsidRPr="007C1EDE">
        <w:rPr>
          <w:rFonts w:ascii="Arial" w:hAnsi="Arial" w:cs="Arial"/>
          <w:bCs/>
        </w:rPr>
        <w:t>(2017).</w:t>
      </w:r>
      <w:r w:rsidRPr="007C1EDE">
        <w:rPr>
          <w:rFonts w:ascii="Arial" w:hAnsi="Arial" w:cs="Arial"/>
          <w:bCs/>
        </w:rPr>
        <w:tab/>
      </w:r>
    </w:p>
  </w:endnote>
  <w:endnote w:id="50">
    <w:p w14:paraId="6CE5C5AD" w14:textId="77777777" w:rsidR="00411ECA" w:rsidRPr="007C1EDE" w:rsidRDefault="00411ECA" w:rsidP="007C1EDE">
      <w:pPr>
        <w:pStyle w:val="NormalWeb"/>
        <w:spacing w:after="80" w:line="240" w:lineRule="auto"/>
        <w:rPr>
          <w:rFonts w:ascii="Arial" w:hAnsi="Arial" w:cs="Arial"/>
          <w:sz w:val="20"/>
          <w:szCs w:val="20"/>
        </w:rPr>
      </w:pPr>
      <w:r w:rsidRPr="007C1EDE">
        <w:rPr>
          <w:rStyle w:val="EndnoteReference"/>
          <w:rFonts w:ascii="Arial" w:hAnsi="Arial" w:cs="Arial"/>
          <w:sz w:val="20"/>
          <w:szCs w:val="20"/>
        </w:rPr>
        <w:endnoteRef/>
      </w:r>
      <w:r w:rsidRPr="007C1EDE">
        <w:rPr>
          <w:rFonts w:ascii="Arial" w:hAnsi="Arial" w:cs="Arial"/>
          <w:sz w:val="20"/>
          <w:szCs w:val="20"/>
        </w:rPr>
        <w:t xml:space="preserve"> </w:t>
      </w:r>
      <w:r w:rsidRPr="007C1EDE">
        <w:rPr>
          <w:rFonts w:ascii="Arial" w:eastAsia="Calibri" w:hAnsi="Arial" w:cs="Arial"/>
          <w:sz w:val="20"/>
          <w:szCs w:val="20"/>
        </w:rPr>
        <w:t>Pilnik</w:t>
      </w:r>
      <w:r w:rsidRPr="007C1EDE">
        <w:rPr>
          <w:rFonts w:ascii="Arial" w:hAnsi="Arial" w:cs="Arial"/>
          <w:sz w:val="20"/>
          <w:szCs w:val="20"/>
        </w:rPr>
        <w:t xml:space="preserve"> </w:t>
      </w:r>
      <w:r w:rsidRPr="007C1EDE">
        <w:rPr>
          <w:rFonts w:ascii="Arial" w:eastAsia="Calibri" w:hAnsi="Arial" w:cs="Arial"/>
          <w:sz w:val="20"/>
          <w:szCs w:val="20"/>
        </w:rPr>
        <w:t>L</w:t>
      </w:r>
      <w:r w:rsidRPr="007C1EDE">
        <w:rPr>
          <w:rFonts w:ascii="Arial" w:hAnsi="Arial" w:cs="Arial"/>
          <w:sz w:val="20"/>
          <w:szCs w:val="20"/>
        </w:rPr>
        <w:t>., Maury, M., Sickmund, M., Smoot, N., &amp; Szanyi, J</w:t>
      </w:r>
      <w:r w:rsidRPr="007C1EDE">
        <w:rPr>
          <w:rFonts w:ascii="Arial" w:hAnsi="Arial" w:cs="Arial"/>
          <w:i/>
          <w:sz w:val="20"/>
          <w:szCs w:val="20"/>
        </w:rPr>
        <w:t>.</w:t>
      </w:r>
      <w:r w:rsidRPr="007C1EDE">
        <w:rPr>
          <w:rFonts w:ascii="Arial" w:hAnsi="Arial" w:cs="Arial"/>
          <w:sz w:val="20"/>
          <w:szCs w:val="20"/>
        </w:rPr>
        <w:t xml:space="preserve"> (2017). </w:t>
      </w:r>
      <w:r w:rsidRPr="007C1EDE">
        <w:rPr>
          <w:rFonts w:ascii="Arial" w:eastAsia="Calibri" w:hAnsi="Arial" w:cs="Arial"/>
          <w:sz w:val="20"/>
          <w:szCs w:val="20"/>
        </w:rPr>
        <w:t>Addressing</w:t>
      </w:r>
      <w:r w:rsidRPr="007C1EDE">
        <w:rPr>
          <w:rFonts w:ascii="Arial" w:hAnsi="Arial" w:cs="Arial"/>
          <w:sz w:val="20"/>
          <w:szCs w:val="20"/>
        </w:rPr>
        <w:t xml:space="preserve"> </w:t>
      </w:r>
      <w:r w:rsidRPr="007C1EDE">
        <w:rPr>
          <w:rFonts w:ascii="Arial" w:eastAsia="Calibri" w:hAnsi="Arial" w:cs="Arial"/>
          <w:sz w:val="20"/>
          <w:szCs w:val="20"/>
        </w:rPr>
        <w:t>the</w:t>
      </w:r>
      <w:r w:rsidRPr="007C1EDE">
        <w:rPr>
          <w:rFonts w:ascii="Arial" w:hAnsi="Arial" w:cs="Arial"/>
          <w:sz w:val="20"/>
          <w:szCs w:val="20"/>
        </w:rPr>
        <w:t xml:space="preserve"> </w:t>
      </w:r>
      <w:r w:rsidRPr="007C1EDE">
        <w:rPr>
          <w:rFonts w:ascii="Arial" w:eastAsia="Calibri" w:hAnsi="Arial" w:cs="Arial"/>
          <w:sz w:val="20"/>
          <w:szCs w:val="20"/>
        </w:rPr>
        <w:t>Intersection</w:t>
      </w:r>
      <w:r w:rsidRPr="007C1EDE">
        <w:rPr>
          <w:rFonts w:ascii="Arial" w:hAnsi="Arial" w:cs="Arial"/>
          <w:sz w:val="20"/>
          <w:szCs w:val="20"/>
        </w:rPr>
        <w:t xml:space="preserve"> </w:t>
      </w:r>
      <w:r w:rsidRPr="007C1EDE">
        <w:rPr>
          <w:rFonts w:ascii="Arial" w:eastAsia="Calibri" w:hAnsi="Arial" w:cs="Arial"/>
          <w:sz w:val="20"/>
          <w:szCs w:val="20"/>
        </w:rPr>
        <w:t>of</w:t>
      </w:r>
      <w:r w:rsidRPr="007C1EDE">
        <w:rPr>
          <w:rFonts w:ascii="Arial" w:hAnsi="Arial" w:cs="Arial"/>
          <w:sz w:val="20"/>
          <w:szCs w:val="20"/>
        </w:rPr>
        <w:t xml:space="preserve"> </w:t>
      </w:r>
      <w:r w:rsidRPr="007C1EDE">
        <w:rPr>
          <w:rFonts w:ascii="Arial" w:eastAsia="Calibri" w:hAnsi="Arial" w:cs="Arial"/>
          <w:sz w:val="20"/>
          <w:szCs w:val="20"/>
        </w:rPr>
        <w:t>Juvenile</w:t>
      </w:r>
      <w:r w:rsidRPr="007C1EDE">
        <w:rPr>
          <w:rFonts w:ascii="Arial" w:hAnsi="Arial" w:cs="Arial"/>
          <w:sz w:val="20"/>
          <w:szCs w:val="20"/>
        </w:rPr>
        <w:t xml:space="preserve"> </w:t>
      </w:r>
      <w:r w:rsidRPr="007C1EDE">
        <w:rPr>
          <w:rFonts w:ascii="Arial" w:eastAsia="Calibri" w:hAnsi="Arial" w:cs="Arial"/>
          <w:sz w:val="20"/>
          <w:szCs w:val="20"/>
        </w:rPr>
        <w:t>Justice</w:t>
      </w:r>
      <w:r w:rsidRPr="007C1EDE">
        <w:rPr>
          <w:rFonts w:ascii="Arial" w:hAnsi="Arial" w:cs="Arial"/>
          <w:sz w:val="20"/>
          <w:szCs w:val="20"/>
        </w:rPr>
        <w:t xml:space="preserve"> </w:t>
      </w:r>
      <w:r w:rsidRPr="007C1EDE">
        <w:rPr>
          <w:rFonts w:ascii="Arial" w:eastAsia="Calibri" w:hAnsi="Arial" w:cs="Arial"/>
          <w:sz w:val="20"/>
          <w:szCs w:val="20"/>
        </w:rPr>
        <w:t>Involvement</w:t>
      </w:r>
      <w:r w:rsidRPr="007C1EDE">
        <w:rPr>
          <w:rFonts w:ascii="Arial" w:hAnsi="Arial" w:cs="Arial"/>
          <w:sz w:val="20"/>
          <w:szCs w:val="20"/>
        </w:rPr>
        <w:t xml:space="preserve"> </w:t>
      </w:r>
      <w:r w:rsidRPr="007C1EDE">
        <w:rPr>
          <w:rFonts w:ascii="Arial" w:eastAsia="Calibri" w:hAnsi="Arial" w:cs="Arial"/>
          <w:sz w:val="20"/>
          <w:szCs w:val="20"/>
        </w:rPr>
        <w:t>and</w:t>
      </w:r>
      <w:r w:rsidRPr="007C1EDE">
        <w:rPr>
          <w:rFonts w:ascii="Arial" w:hAnsi="Arial" w:cs="Arial"/>
          <w:sz w:val="20"/>
          <w:szCs w:val="20"/>
        </w:rPr>
        <w:t xml:space="preserve"> </w:t>
      </w:r>
      <w:r w:rsidRPr="007C1EDE">
        <w:rPr>
          <w:rFonts w:ascii="Arial" w:eastAsia="Calibri" w:hAnsi="Arial" w:cs="Arial"/>
          <w:sz w:val="20"/>
          <w:szCs w:val="20"/>
        </w:rPr>
        <w:t>Youth</w:t>
      </w:r>
      <w:r w:rsidRPr="007C1EDE">
        <w:rPr>
          <w:rFonts w:ascii="Arial" w:hAnsi="Arial" w:cs="Arial"/>
          <w:sz w:val="20"/>
          <w:szCs w:val="20"/>
        </w:rPr>
        <w:t xml:space="preserve"> </w:t>
      </w:r>
      <w:r w:rsidRPr="007C1EDE">
        <w:rPr>
          <w:rFonts w:ascii="Arial" w:eastAsia="Calibri" w:hAnsi="Arial" w:cs="Arial"/>
          <w:sz w:val="20"/>
          <w:szCs w:val="20"/>
        </w:rPr>
        <w:t>Homelessness</w:t>
      </w:r>
      <w:r w:rsidRPr="007C1EDE">
        <w:rPr>
          <w:rFonts w:ascii="Arial" w:hAnsi="Arial" w:cs="Arial"/>
          <w:sz w:val="20"/>
          <w:szCs w:val="20"/>
        </w:rPr>
        <w:t xml:space="preserve">: </w:t>
      </w:r>
      <w:r w:rsidRPr="007C1EDE">
        <w:rPr>
          <w:rFonts w:ascii="Arial" w:eastAsia="Calibri" w:hAnsi="Arial" w:cs="Arial"/>
          <w:sz w:val="20"/>
          <w:szCs w:val="20"/>
        </w:rPr>
        <w:t>Principles</w:t>
      </w:r>
      <w:r w:rsidRPr="007C1EDE">
        <w:rPr>
          <w:rFonts w:ascii="Arial" w:hAnsi="Arial" w:cs="Arial"/>
          <w:sz w:val="20"/>
          <w:szCs w:val="20"/>
        </w:rPr>
        <w:t xml:space="preserve"> </w:t>
      </w:r>
      <w:r w:rsidRPr="007C1EDE">
        <w:rPr>
          <w:rFonts w:ascii="Arial" w:eastAsia="Calibri" w:hAnsi="Arial" w:cs="Arial"/>
          <w:sz w:val="20"/>
          <w:szCs w:val="20"/>
        </w:rPr>
        <w:t>for</w:t>
      </w:r>
      <w:r w:rsidRPr="007C1EDE">
        <w:rPr>
          <w:rFonts w:ascii="Arial" w:hAnsi="Arial" w:cs="Arial"/>
          <w:sz w:val="20"/>
          <w:szCs w:val="20"/>
        </w:rPr>
        <w:t xml:space="preserve"> </w:t>
      </w:r>
      <w:r w:rsidRPr="007C1EDE">
        <w:rPr>
          <w:rFonts w:ascii="Arial" w:eastAsia="Calibri" w:hAnsi="Arial" w:cs="Arial"/>
          <w:sz w:val="20"/>
          <w:szCs w:val="20"/>
        </w:rPr>
        <w:t>Change</w:t>
      </w:r>
      <w:r w:rsidRPr="007C1EDE">
        <w:rPr>
          <w:rFonts w:ascii="Arial" w:hAnsi="Arial" w:cs="Arial"/>
          <w:sz w:val="20"/>
          <w:szCs w:val="20"/>
        </w:rPr>
        <w:t xml:space="preserve">. </w:t>
      </w:r>
      <w:r w:rsidRPr="007C1EDE">
        <w:rPr>
          <w:rFonts w:ascii="Arial" w:eastAsia="Calibri" w:hAnsi="Arial" w:cs="Arial"/>
          <w:i/>
          <w:sz w:val="20"/>
          <w:szCs w:val="20"/>
        </w:rPr>
        <w:t>Coalition</w:t>
      </w:r>
      <w:r w:rsidRPr="007C1EDE">
        <w:rPr>
          <w:rFonts w:ascii="Arial" w:hAnsi="Arial" w:cs="Arial"/>
          <w:i/>
          <w:sz w:val="20"/>
          <w:szCs w:val="20"/>
        </w:rPr>
        <w:t xml:space="preserve"> </w:t>
      </w:r>
      <w:r w:rsidRPr="007C1EDE">
        <w:rPr>
          <w:rFonts w:ascii="Arial" w:eastAsia="Calibri" w:hAnsi="Arial" w:cs="Arial"/>
          <w:i/>
          <w:sz w:val="20"/>
          <w:szCs w:val="20"/>
        </w:rPr>
        <w:t>for</w:t>
      </w:r>
      <w:r w:rsidRPr="007C1EDE">
        <w:rPr>
          <w:rFonts w:ascii="Arial" w:hAnsi="Arial" w:cs="Arial"/>
          <w:i/>
          <w:sz w:val="20"/>
          <w:szCs w:val="20"/>
        </w:rPr>
        <w:t xml:space="preserve"> </w:t>
      </w:r>
      <w:r w:rsidRPr="007C1EDE">
        <w:rPr>
          <w:rFonts w:ascii="Arial" w:eastAsia="Calibri" w:hAnsi="Arial" w:cs="Arial"/>
          <w:i/>
          <w:sz w:val="20"/>
          <w:szCs w:val="20"/>
        </w:rPr>
        <w:t>Juvenile</w:t>
      </w:r>
      <w:r w:rsidRPr="007C1EDE">
        <w:rPr>
          <w:rFonts w:ascii="Arial" w:hAnsi="Arial" w:cs="Arial"/>
          <w:i/>
          <w:sz w:val="20"/>
          <w:szCs w:val="20"/>
        </w:rPr>
        <w:t xml:space="preserve"> </w:t>
      </w:r>
      <w:r w:rsidRPr="007C1EDE">
        <w:rPr>
          <w:rFonts w:ascii="Arial" w:eastAsia="Calibri" w:hAnsi="Arial" w:cs="Arial"/>
          <w:i/>
          <w:sz w:val="20"/>
          <w:szCs w:val="20"/>
        </w:rPr>
        <w:t>Justice</w:t>
      </w:r>
      <w:r w:rsidRPr="007C1EDE">
        <w:rPr>
          <w:rFonts w:ascii="Arial" w:hAnsi="Arial" w:cs="Arial"/>
          <w:i/>
          <w:sz w:val="20"/>
          <w:szCs w:val="20"/>
        </w:rPr>
        <w:t xml:space="preserve">. </w:t>
      </w:r>
      <w:r w:rsidRPr="007C1EDE">
        <w:rPr>
          <w:rFonts w:ascii="Arial" w:eastAsia="Calibri" w:hAnsi="Arial" w:cs="Arial"/>
          <w:sz w:val="20"/>
          <w:szCs w:val="20"/>
        </w:rPr>
        <w:t>Retrieved</w:t>
      </w:r>
      <w:r w:rsidRPr="007C1EDE">
        <w:rPr>
          <w:rFonts w:ascii="Arial" w:hAnsi="Arial" w:cs="Arial"/>
          <w:sz w:val="20"/>
          <w:szCs w:val="20"/>
        </w:rPr>
        <w:t xml:space="preserve"> </w:t>
      </w:r>
      <w:r w:rsidRPr="007C1EDE">
        <w:rPr>
          <w:rFonts w:ascii="Arial" w:eastAsia="Calibri" w:hAnsi="Arial" w:cs="Arial"/>
          <w:sz w:val="20"/>
          <w:szCs w:val="20"/>
        </w:rPr>
        <w:t>from</w:t>
      </w:r>
      <w:r w:rsidRPr="007C1EDE">
        <w:rPr>
          <w:rFonts w:ascii="Arial" w:hAnsi="Arial" w:cs="Arial"/>
          <w:sz w:val="20"/>
          <w:szCs w:val="20"/>
        </w:rPr>
        <w:t xml:space="preserve"> </w:t>
      </w:r>
      <w:hyperlink r:id="rId10" w:history="1">
        <w:r w:rsidRPr="007C1EDE">
          <w:rPr>
            <w:rStyle w:val="Hyperlink"/>
            <w:rFonts w:ascii="Arial" w:hAnsi="Arial" w:cs="Arial"/>
            <w:color w:val="auto"/>
            <w:sz w:val="20"/>
            <w:szCs w:val="20"/>
            <w:u w:val="none"/>
          </w:rPr>
          <w:t>http://www.csh.org/wp-content/uploads/2017/03/Principles_FINAL.pdf</w:t>
        </w:r>
      </w:hyperlink>
    </w:p>
    <w:p w14:paraId="45DD69EF" w14:textId="77777777" w:rsidR="00411ECA" w:rsidRPr="007C1EDE" w:rsidRDefault="00411ECA" w:rsidP="007C1EDE">
      <w:pPr>
        <w:pStyle w:val="NormalWeb"/>
        <w:spacing w:after="80" w:line="240" w:lineRule="auto"/>
        <w:rPr>
          <w:rFonts w:ascii="Arial" w:hAnsi="Arial" w:cs="Arial"/>
          <w:sz w:val="20"/>
          <w:szCs w:val="20"/>
        </w:rPr>
      </w:pPr>
      <w:r w:rsidRPr="007C1EDE">
        <w:rPr>
          <w:rFonts w:ascii="Arial" w:hAnsi="Arial" w:cs="Arial"/>
          <w:sz w:val="20"/>
          <w:szCs w:val="20"/>
        </w:rPr>
        <w:t>Morton, M.H. et al. (2017).</w:t>
      </w:r>
    </w:p>
  </w:endnote>
  <w:endnote w:id="51">
    <w:p w14:paraId="7E174149"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Chapin Hall at the University of Chicago. (2018).</w:t>
      </w:r>
    </w:p>
  </w:endnote>
  <w:endnote w:id="52">
    <w:p w14:paraId="5D308331"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Tyler, K. A., Schmitz, R. M. (2018). A comparison of risk factors for various forms of trauma in the lives of lesbian, gay, bisexual and heterosexual homeless youth. </w:t>
      </w:r>
      <w:r w:rsidRPr="007C1EDE">
        <w:rPr>
          <w:rFonts w:ascii="Arial" w:hAnsi="Arial" w:cs="Arial"/>
          <w:i/>
        </w:rPr>
        <w:t>Journal of Trauma &amp; Dissociation</w:t>
      </w:r>
      <w:r w:rsidRPr="007C1EDE">
        <w:rPr>
          <w:rFonts w:ascii="Arial" w:hAnsi="Arial" w:cs="Arial"/>
        </w:rPr>
        <w:t xml:space="preserve"> 19(4): 431-443. DOI: 10.1080/15299732.2018.1451971</w:t>
      </w:r>
    </w:p>
  </w:endnote>
  <w:endnote w:id="53">
    <w:p w14:paraId="2925E62A" w14:textId="77777777" w:rsidR="00411ECA" w:rsidRPr="007C1EDE" w:rsidRDefault="00411ECA" w:rsidP="007C1EDE">
      <w:pPr>
        <w:autoSpaceDE w:val="0"/>
        <w:autoSpaceDN w:val="0"/>
        <w:adjustRightInd w:val="0"/>
        <w:spacing w:after="80" w:line="240" w:lineRule="auto"/>
        <w:rPr>
          <w:rFonts w:ascii="Arial" w:hAnsi="Arial" w:cs="Arial"/>
          <w:sz w:val="20"/>
          <w:szCs w:val="20"/>
        </w:rPr>
      </w:pPr>
      <w:r w:rsidRPr="007C1EDE">
        <w:rPr>
          <w:rStyle w:val="EndnoteReference"/>
          <w:rFonts w:ascii="Arial" w:hAnsi="Arial" w:cs="Arial"/>
          <w:sz w:val="20"/>
          <w:szCs w:val="20"/>
        </w:rPr>
        <w:endnoteRef/>
      </w:r>
      <w:r w:rsidRPr="007C1EDE">
        <w:rPr>
          <w:rFonts w:ascii="Arial" w:hAnsi="Arial" w:cs="Arial"/>
          <w:sz w:val="20"/>
          <w:szCs w:val="20"/>
        </w:rPr>
        <w:t xml:space="preserve"> Quintana, N. S., Rosenthal, J., &amp; Krehely, J. (2010). On the Streets: The Federal Response to Gay and Transgender Homeless Youth. Center for American Progress. Retrieved from https://cdn.americanprogress.org/wp-content/uploads/issues/2010/06/pdf/lgbtyouthhomelessness.pdf</w:t>
      </w:r>
    </w:p>
  </w:endnote>
  <w:endnote w:id="54">
    <w:p w14:paraId="2DFB9A4C"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w:t>
      </w:r>
      <w:r w:rsidRPr="007C1EDE">
        <w:rPr>
          <w:rFonts w:ascii="Arial" w:eastAsia="Calibri" w:hAnsi="Arial" w:cs="Arial"/>
        </w:rPr>
        <w:t>Walls,</w:t>
      </w:r>
      <w:r w:rsidRPr="007C1EDE">
        <w:rPr>
          <w:rFonts w:ascii="Arial" w:hAnsi="Arial" w:cs="Arial"/>
        </w:rPr>
        <w:t xml:space="preserve"> </w:t>
      </w:r>
      <w:r w:rsidRPr="007C1EDE">
        <w:rPr>
          <w:rFonts w:ascii="Arial" w:eastAsia="Calibri" w:hAnsi="Arial" w:cs="Arial"/>
        </w:rPr>
        <w:t>N. E.</w:t>
      </w:r>
      <w:r w:rsidRPr="007C1EDE">
        <w:rPr>
          <w:rFonts w:ascii="Arial" w:hAnsi="Arial" w:cs="Arial"/>
        </w:rPr>
        <w:t xml:space="preserve"> &amp; </w:t>
      </w:r>
      <w:r w:rsidRPr="007C1EDE">
        <w:rPr>
          <w:rFonts w:ascii="Arial" w:eastAsia="Calibri" w:hAnsi="Arial" w:cs="Arial"/>
        </w:rPr>
        <w:t>Bell,</w:t>
      </w:r>
      <w:r w:rsidRPr="007C1EDE">
        <w:rPr>
          <w:rFonts w:ascii="Arial" w:hAnsi="Arial" w:cs="Arial"/>
        </w:rPr>
        <w:t xml:space="preserve"> </w:t>
      </w:r>
      <w:r w:rsidRPr="007C1EDE">
        <w:rPr>
          <w:rFonts w:ascii="Arial" w:eastAsia="Calibri" w:hAnsi="Arial" w:cs="Arial"/>
        </w:rPr>
        <w:t>S</w:t>
      </w:r>
      <w:r w:rsidRPr="007C1EDE">
        <w:rPr>
          <w:rFonts w:ascii="Arial" w:hAnsi="Arial" w:cs="Arial"/>
        </w:rPr>
        <w:t xml:space="preserve">. (2011). </w:t>
      </w:r>
      <w:r w:rsidRPr="007C1EDE">
        <w:rPr>
          <w:rFonts w:ascii="Arial" w:eastAsia="Calibri" w:hAnsi="Arial" w:cs="Arial"/>
        </w:rPr>
        <w:t>Correlates</w:t>
      </w:r>
      <w:r w:rsidRPr="007C1EDE">
        <w:rPr>
          <w:rFonts w:ascii="Arial" w:hAnsi="Arial" w:cs="Arial"/>
        </w:rPr>
        <w:t xml:space="preserve"> </w:t>
      </w:r>
      <w:r w:rsidRPr="007C1EDE">
        <w:rPr>
          <w:rFonts w:ascii="Arial" w:eastAsia="Calibri" w:hAnsi="Arial" w:cs="Arial"/>
        </w:rPr>
        <w:t>of</w:t>
      </w:r>
      <w:r w:rsidRPr="007C1EDE">
        <w:rPr>
          <w:rFonts w:ascii="Arial" w:hAnsi="Arial" w:cs="Arial"/>
        </w:rPr>
        <w:t xml:space="preserve"> </w:t>
      </w:r>
      <w:r w:rsidRPr="007C1EDE">
        <w:rPr>
          <w:rFonts w:ascii="Arial" w:eastAsia="Calibri" w:hAnsi="Arial" w:cs="Arial"/>
        </w:rPr>
        <w:t>Engaging</w:t>
      </w:r>
      <w:r w:rsidRPr="007C1EDE">
        <w:rPr>
          <w:rFonts w:ascii="Arial" w:hAnsi="Arial" w:cs="Arial"/>
        </w:rPr>
        <w:t xml:space="preserve"> </w:t>
      </w:r>
      <w:r w:rsidRPr="007C1EDE">
        <w:rPr>
          <w:rFonts w:ascii="Arial" w:eastAsia="Calibri" w:hAnsi="Arial" w:cs="Arial"/>
        </w:rPr>
        <w:t>in</w:t>
      </w:r>
      <w:r w:rsidRPr="007C1EDE">
        <w:rPr>
          <w:rFonts w:ascii="Arial" w:hAnsi="Arial" w:cs="Arial"/>
        </w:rPr>
        <w:t xml:space="preserve"> </w:t>
      </w:r>
      <w:r w:rsidRPr="007C1EDE">
        <w:rPr>
          <w:rFonts w:ascii="Arial" w:eastAsia="Calibri" w:hAnsi="Arial" w:cs="Arial"/>
        </w:rPr>
        <w:t>Survival</w:t>
      </w:r>
      <w:r w:rsidRPr="007C1EDE">
        <w:rPr>
          <w:rFonts w:ascii="Arial" w:hAnsi="Arial" w:cs="Arial"/>
        </w:rPr>
        <w:t xml:space="preserve"> </w:t>
      </w:r>
      <w:r w:rsidRPr="007C1EDE">
        <w:rPr>
          <w:rFonts w:ascii="Arial" w:eastAsia="Calibri" w:hAnsi="Arial" w:cs="Arial"/>
        </w:rPr>
        <w:t>Sex</w:t>
      </w:r>
      <w:r w:rsidRPr="007C1EDE">
        <w:rPr>
          <w:rFonts w:ascii="Arial" w:hAnsi="Arial" w:cs="Arial"/>
        </w:rPr>
        <w:t xml:space="preserve"> </w:t>
      </w:r>
      <w:r w:rsidRPr="007C1EDE">
        <w:rPr>
          <w:rFonts w:ascii="Arial" w:eastAsia="Calibri" w:hAnsi="Arial" w:cs="Arial"/>
        </w:rPr>
        <w:t>Among</w:t>
      </w:r>
      <w:r w:rsidRPr="007C1EDE">
        <w:rPr>
          <w:rFonts w:ascii="Arial" w:hAnsi="Arial" w:cs="Arial"/>
        </w:rPr>
        <w:t xml:space="preserve"> </w:t>
      </w:r>
      <w:r w:rsidRPr="007C1EDE">
        <w:rPr>
          <w:rFonts w:ascii="Arial" w:eastAsia="Calibri" w:hAnsi="Arial" w:cs="Arial"/>
        </w:rPr>
        <w:t>Homeless</w:t>
      </w:r>
      <w:r w:rsidRPr="007C1EDE">
        <w:rPr>
          <w:rFonts w:ascii="Arial" w:hAnsi="Arial" w:cs="Arial"/>
        </w:rPr>
        <w:t xml:space="preserve"> </w:t>
      </w:r>
      <w:r w:rsidRPr="007C1EDE">
        <w:rPr>
          <w:rFonts w:ascii="Arial" w:eastAsia="Calibri" w:hAnsi="Arial" w:cs="Arial"/>
        </w:rPr>
        <w:t>Youth</w:t>
      </w:r>
      <w:r w:rsidRPr="007C1EDE">
        <w:rPr>
          <w:rFonts w:ascii="Arial" w:hAnsi="Arial" w:cs="Arial"/>
        </w:rPr>
        <w:t xml:space="preserve"> </w:t>
      </w:r>
      <w:r w:rsidRPr="007C1EDE">
        <w:rPr>
          <w:rFonts w:ascii="Arial" w:eastAsia="Calibri" w:hAnsi="Arial" w:cs="Arial"/>
        </w:rPr>
        <w:t>and</w:t>
      </w:r>
      <w:r w:rsidRPr="007C1EDE">
        <w:rPr>
          <w:rFonts w:ascii="Arial" w:hAnsi="Arial" w:cs="Arial"/>
        </w:rPr>
        <w:t xml:space="preserve"> </w:t>
      </w:r>
      <w:r w:rsidRPr="007C1EDE">
        <w:rPr>
          <w:rFonts w:ascii="Arial" w:eastAsia="Calibri" w:hAnsi="Arial" w:cs="Arial"/>
        </w:rPr>
        <w:t>Young</w:t>
      </w:r>
      <w:r w:rsidRPr="007C1EDE">
        <w:rPr>
          <w:rFonts w:ascii="Arial" w:hAnsi="Arial" w:cs="Arial"/>
        </w:rPr>
        <w:t xml:space="preserve"> </w:t>
      </w:r>
      <w:r w:rsidRPr="007C1EDE">
        <w:rPr>
          <w:rFonts w:ascii="Arial" w:eastAsia="Calibri" w:hAnsi="Arial" w:cs="Arial"/>
        </w:rPr>
        <w:t>Adults</w:t>
      </w:r>
      <w:r w:rsidRPr="007C1EDE">
        <w:rPr>
          <w:rFonts w:ascii="Arial" w:hAnsi="Arial" w:cs="Arial"/>
        </w:rPr>
        <w:t xml:space="preserve">. </w:t>
      </w:r>
      <w:r w:rsidRPr="007C1EDE">
        <w:rPr>
          <w:rFonts w:ascii="Arial" w:eastAsia="Calibri" w:hAnsi="Arial" w:cs="Arial"/>
          <w:i/>
        </w:rPr>
        <w:t>Journal</w:t>
      </w:r>
      <w:r w:rsidRPr="007C1EDE">
        <w:rPr>
          <w:rFonts w:ascii="Arial" w:hAnsi="Arial" w:cs="Arial"/>
          <w:i/>
        </w:rPr>
        <w:t xml:space="preserve"> </w:t>
      </w:r>
      <w:r w:rsidRPr="007C1EDE">
        <w:rPr>
          <w:rFonts w:ascii="Arial" w:eastAsia="Calibri" w:hAnsi="Arial" w:cs="Arial"/>
          <w:i/>
        </w:rPr>
        <w:t>of</w:t>
      </w:r>
      <w:r w:rsidRPr="007C1EDE">
        <w:rPr>
          <w:rFonts w:ascii="Arial" w:hAnsi="Arial" w:cs="Arial"/>
          <w:i/>
        </w:rPr>
        <w:t xml:space="preserve"> </w:t>
      </w:r>
      <w:r w:rsidRPr="007C1EDE">
        <w:rPr>
          <w:rFonts w:ascii="Arial" w:eastAsia="Calibri" w:hAnsi="Arial" w:cs="Arial"/>
          <w:i/>
        </w:rPr>
        <w:t>Sex</w:t>
      </w:r>
      <w:r w:rsidRPr="007C1EDE">
        <w:rPr>
          <w:rFonts w:ascii="Arial" w:hAnsi="Arial" w:cs="Arial"/>
          <w:i/>
        </w:rPr>
        <w:t xml:space="preserve"> </w:t>
      </w:r>
      <w:r w:rsidRPr="007C1EDE">
        <w:rPr>
          <w:rFonts w:ascii="Arial" w:eastAsia="Calibri" w:hAnsi="Arial" w:cs="Arial"/>
          <w:i/>
        </w:rPr>
        <w:t>Research</w:t>
      </w:r>
      <w:r w:rsidRPr="007C1EDE">
        <w:rPr>
          <w:rFonts w:ascii="Arial" w:hAnsi="Arial" w:cs="Arial"/>
        </w:rPr>
        <w:t xml:space="preserve">, </w:t>
      </w:r>
      <w:r w:rsidRPr="007C1EDE">
        <w:rPr>
          <w:rFonts w:ascii="Arial" w:hAnsi="Arial" w:cs="Arial"/>
          <w:i/>
        </w:rPr>
        <w:t>48</w:t>
      </w:r>
      <w:r w:rsidRPr="007C1EDE">
        <w:rPr>
          <w:rFonts w:ascii="Arial" w:hAnsi="Arial" w:cs="Arial"/>
        </w:rPr>
        <w:t xml:space="preserve">(5), 423–36. Retrieved from </w:t>
      </w:r>
      <w:hyperlink r:id="rId11" w:history="1">
        <w:r w:rsidRPr="007C1EDE">
          <w:rPr>
            <w:rStyle w:val="Hyperlink"/>
            <w:rFonts w:ascii="Arial" w:hAnsi="Arial" w:cs="Arial"/>
            <w:color w:val="auto"/>
            <w:u w:val="none"/>
          </w:rPr>
          <w:t>https://www.ncbi.nlm.nih.gov/pubmed/20799134</w:t>
        </w:r>
      </w:hyperlink>
      <w:r w:rsidRPr="007C1EDE">
        <w:rPr>
          <w:rFonts w:ascii="Arial" w:hAnsi="Arial" w:cs="Arial"/>
        </w:rPr>
        <w:t xml:space="preserve"> </w:t>
      </w:r>
    </w:p>
  </w:endnote>
  <w:endnote w:id="55">
    <w:p w14:paraId="285B2290"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w:t>
      </w:r>
      <w:r w:rsidRPr="007C1EDE">
        <w:rPr>
          <w:rFonts w:ascii="Arial" w:eastAsia="Calibri" w:hAnsi="Arial" w:cs="Arial"/>
          <w:i/>
        </w:rPr>
        <w:t>Ibid</w:t>
      </w:r>
      <w:r w:rsidRPr="007C1EDE">
        <w:rPr>
          <w:rFonts w:ascii="Arial" w:hAnsi="Arial" w:cs="Arial"/>
        </w:rPr>
        <w:t>.</w:t>
      </w:r>
    </w:p>
  </w:endnote>
  <w:endnote w:id="56">
    <w:p w14:paraId="4B49B6B1" w14:textId="77777777" w:rsidR="00411ECA" w:rsidRPr="007C1EDE" w:rsidRDefault="00411ECA" w:rsidP="007C1EDE">
      <w:pPr>
        <w:spacing w:after="80" w:line="240" w:lineRule="auto"/>
        <w:rPr>
          <w:rFonts w:ascii="Arial" w:hAnsi="Arial" w:cs="Arial"/>
          <w:sz w:val="20"/>
          <w:szCs w:val="20"/>
        </w:rPr>
      </w:pPr>
      <w:r w:rsidRPr="007C1EDE">
        <w:rPr>
          <w:rStyle w:val="EndnoteReference"/>
          <w:rFonts w:ascii="Arial" w:hAnsi="Arial" w:cs="Arial"/>
          <w:sz w:val="20"/>
          <w:szCs w:val="20"/>
        </w:rPr>
        <w:endnoteRef/>
      </w:r>
      <w:r w:rsidRPr="007C1EDE">
        <w:rPr>
          <w:rFonts w:ascii="Arial" w:hAnsi="Arial" w:cs="Arial"/>
          <w:sz w:val="20"/>
          <w:szCs w:val="20"/>
        </w:rPr>
        <w:t xml:space="preserve"> </w:t>
      </w:r>
      <w:r w:rsidRPr="007C1EDE">
        <w:rPr>
          <w:rFonts w:ascii="Arial" w:eastAsia="Calibri" w:hAnsi="Arial" w:cs="Arial"/>
          <w:sz w:val="20"/>
          <w:szCs w:val="20"/>
          <w:shd w:val="clear" w:color="auto" w:fill="FFFFFF"/>
        </w:rPr>
        <w:t>Keuroghlian</w:t>
      </w:r>
      <w:r w:rsidRPr="007C1EDE">
        <w:rPr>
          <w:rFonts w:ascii="Arial" w:hAnsi="Arial" w:cs="Arial"/>
          <w:sz w:val="20"/>
          <w:szCs w:val="20"/>
          <w:shd w:val="clear" w:color="auto" w:fill="FFFFFF"/>
        </w:rPr>
        <w:t xml:space="preserve">, </w:t>
      </w:r>
      <w:r w:rsidRPr="007C1EDE">
        <w:rPr>
          <w:rFonts w:ascii="Arial" w:eastAsia="Calibri" w:hAnsi="Arial" w:cs="Arial"/>
          <w:sz w:val="20"/>
          <w:szCs w:val="20"/>
          <w:shd w:val="clear" w:color="auto" w:fill="FFFFFF"/>
        </w:rPr>
        <w:t>A.</w:t>
      </w:r>
      <w:r w:rsidRPr="007C1EDE">
        <w:rPr>
          <w:rFonts w:ascii="Arial" w:hAnsi="Arial" w:cs="Arial"/>
          <w:sz w:val="20"/>
          <w:szCs w:val="20"/>
          <w:shd w:val="clear" w:color="auto" w:fill="FFFFFF"/>
        </w:rPr>
        <w:t xml:space="preserve"> </w:t>
      </w:r>
      <w:r w:rsidRPr="007C1EDE">
        <w:rPr>
          <w:rFonts w:ascii="Arial" w:eastAsia="Calibri" w:hAnsi="Arial" w:cs="Arial"/>
          <w:sz w:val="20"/>
          <w:szCs w:val="20"/>
          <w:shd w:val="clear" w:color="auto" w:fill="FFFFFF"/>
        </w:rPr>
        <w:t>S</w:t>
      </w:r>
      <w:r w:rsidRPr="007C1EDE">
        <w:rPr>
          <w:rFonts w:ascii="Arial" w:hAnsi="Arial" w:cs="Arial"/>
          <w:sz w:val="20"/>
          <w:szCs w:val="20"/>
          <w:shd w:val="clear" w:color="auto" w:fill="FFFFFF"/>
        </w:rPr>
        <w:t xml:space="preserve">., </w:t>
      </w:r>
      <w:r w:rsidRPr="007C1EDE">
        <w:rPr>
          <w:rFonts w:ascii="Arial" w:eastAsia="Calibri" w:hAnsi="Arial" w:cs="Arial"/>
          <w:sz w:val="20"/>
          <w:szCs w:val="20"/>
          <w:shd w:val="clear" w:color="auto" w:fill="FFFFFF"/>
        </w:rPr>
        <w:t>Shtasel</w:t>
      </w:r>
      <w:r w:rsidRPr="007C1EDE">
        <w:rPr>
          <w:rFonts w:ascii="Arial" w:hAnsi="Arial" w:cs="Arial"/>
          <w:sz w:val="20"/>
          <w:szCs w:val="20"/>
          <w:shd w:val="clear" w:color="auto" w:fill="FFFFFF"/>
        </w:rPr>
        <w:t xml:space="preserve">, D., </w:t>
      </w:r>
      <w:r w:rsidRPr="007C1EDE">
        <w:rPr>
          <w:rFonts w:ascii="Arial" w:eastAsia="Calibri" w:hAnsi="Arial" w:cs="Arial"/>
          <w:sz w:val="20"/>
          <w:szCs w:val="20"/>
          <w:shd w:val="clear" w:color="auto" w:fill="FFFFFF"/>
        </w:rPr>
        <w:t>&amp;</w:t>
      </w:r>
      <w:r w:rsidRPr="007C1EDE">
        <w:rPr>
          <w:rFonts w:ascii="Arial" w:hAnsi="Arial" w:cs="Arial"/>
          <w:sz w:val="20"/>
          <w:szCs w:val="20"/>
          <w:shd w:val="clear" w:color="auto" w:fill="FFFFFF"/>
        </w:rPr>
        <w:t xml:space="preserve"> </w:t>
      </w:r>
      <w:r w:rsidRPr="007C1EDE">
        <w:rPr>
          <w:rFonts w:ascii="Arial" w:eastAsia="Calibri" w:hAnsi="Arial" w:cs="Arial"/>
          <w:sz w:val="20"/>
          <w:szCs w:val="20"/>
          <w:shd w:val="clear" w:color="auto" w:fill="FFFFFF"/>
        </w:rPr>
        <w:t>Bassuk</w:t>
      </w:r>
      <w:r w:rsidRPr="007C1EDE">
        <w:rPr>
          <w:rFonts w:ascii="Arial" w:hAnsi="Arial" w:cs="Arial"/>
          <w:sz w:val="20"/>
          <w:szCs w:val="20"/>
          <w:shd w:val="clear" w:color="auto" w:fill="FFFFFF"/>
        </w:rPr>
        <w:t xml:space="preserve">, E. L. (2014). </w:t>
      </w:r>
      <w:r w:rsidRPr="007C1EDE">
        <w:rPr>
          <w:rFonts w:ascii="Arial" w:eastAsia="Calibri" w:hAnsi="Arial" w:cs="Arial"/>
          <w:sz w:val="20"/>
          <w:szCs w:val="20"/>
          <w:shd w:val="clear" w:color="auto" w:fill="FFFFFF"/>
        </w:rPr>
        <w:t>Out</w:t>
      </w:r>
      <w:r w:rsidRPr="007C1EDE">
        <w:rPr>
          <w:rFonts w:ascii="Arial" w:hAnsi="Arial" w:cs="Arial"/>
          <w:sz w:val="20"/>
          <w:szCs w:val="20"/>
          <w:shd w:val="clear" w:color="auto" w:fill="FFFFFF"/>
        </w:rPr>
        <w:t xml:space="preserve"> </w:t>
      </w:r>
      <w:r w:rsidRPr="007C1EDE">
        <w:rPr>
          <w:rFonts w:ascii="Arial" w:eastAsia="Calibri" w:hAnsi="Arial" w:cs="Arial"/>
          <w:sz w:val="20"/>
          <w:szCs w:val="20"/>
          <w:shd w:val="clear" w:color="auto" w:fill="FFFFFF"/>
        </w:rPr>
        <w:t>on</w:t>
      </w:r>
      <w:r w:rsidRPr="007C1EDE">
        <w:rPr>
          <w:rFonts w:ascii="Arial" w:hAnsi="Arial" w:cs="Arial"/>
          <w:sz w:val="20"/>
          <w:szCs w:val="20"/>
          <w:shd w:val="clear" w:color="auto" w:fill="FFFFFF"/>
        </w:rPr>
        <w:t xml:space="preserve"> </w:t>
      </w:r>
      <w:r w:rsidRPr="007C1EDE">
        <w:rPr>
          <w:rFonts w:ascii="Arial" w:eastAsia="Calibri" w:hAnsi="Arial" w:cs="Arial"/>
          <w:sz w:val="20"/>
          <w:szCs w:val="20"/>
          <w:shd w:val="clear" w:color="auto" w:fill="FFFFFF"/>
        </w:rPr>
        <w:t>the</w:t>
      </w:r>
      <w:r w:rsidRPr="007C1EDE">
        <w:rPr>
          <w:rFonts w:ascii="Arial" w:hAnsi="Arial" w:cs="Arial"/>
          <w:sz w:val="20"/>
          <w:szCs w:val="20"/>
          <w:shd w:val="clear" w:color="auto" w:fill="FFFFFF"/>
        </w:rPr>
        <w:t xml:space="preserve"> </w:t>
      </w:r>
      <w:r w:rsidRPr="007C1EDE">
        <w:rPr>
          <w:rFonts w:ascii="Arial" w:eastAsia="Calibri" w:hAnsi="Arial" w:cs="Arial"/>
          <w:sz w:val="20"/>
          <w:szCs w:val="20"/>
          <w:shd w:val="clear" w:color="auto" w:fill="FFFFFF"/>
        </w:rPr>
        <w:t>Street</w:t>
      </w:r>
      <w:r w:rsidRPr="007C1EDE">
        <w:rPr>
          <w:rFonts w:ascii="Arial" w:hAnsi="Arial" w:cs="Arial"/>
          <w:sz w:val="20"/>
          <w:szCs w:val="20"/>
          <w:shd w:val="clear" w:color="auto" w:fill="FFFFFF"/>
        </w:rPr>
        <w:t xml:space="preserve">: </w:t>
      </w:r>
      <w:r w:rsidRPr="007C1EDE">
        <w:rPr>
          <w:rFonts w:ascii="Arial" w:eastAsia="Calibri" w:hAnsi="Arial" w:cs="Arial"/>
          <w:sz w:val="20"/>
          <w:szCs w:val="20"/>
          <w:shd w:val="clear" w:color="auto" w:fill="FFFFFF"/>
        </w:rPr>
        <w:t>A</w:t>
      </w:r>
      <w:r w:rsidRPr="007C1EDE">
        <w:rPr>
          <w:rFonts w:ascii="Arial" w:hAnsi="Arial" w:cs="Arial"/>
          <w:sz w:val="20"/>
          <w:szCs w:val="20"/>
          <w:shd w:val="clear" w:color="auto" w:fill="FFFFFF"/>
        </w:rPr>
        <w:t xml:space="preserve"> </w:t>
      </w:r>
      <w:r w:rsidRPr="007C1EDE">
        <w:rPr>
          <w:rFonts w:ascii="Arial" w:eastAsia="Calibri" w:hAnsi="Arial" w:cs="Arial"/>
          <w:sz w:val="20"/>
          <w:szCs w:val="20"/>
          <w:shd w:val="clear" w:color="auto" w:fill="FFFFFF"/>
        </w:rPr>
        <w:t>Public</w:t>
      </w:r>
      <w:r w:rsidRPr="007C1EDE">
        <w:rPr>
          <w:rFonts w:ascii="Arial" w:hAnsi="Arial" w:cs="Arial"/>
          <w:sz w:val="20"/>
          <w:szCs w:val="20"/>
          <w:shd w:val="clear" w:color="auto" w:fill="FFFFFF"/>
        </w:rPr>
        <w:t xml:space="preserve"> </w:t>
      </w:r>
      <w:r w:rsidRPr="007C1EDE">
        <w:rPr>
          <w:rFonts w:ascii="Arial" w:eastAsia="Calibri" w:hAnsi="Arial" w:cs="Arial"/>
          <w:sz w:val="20"/>
          <w:szCs w:val="20"/>
          <w:shd w:val="clear" w:color="auto" w:fill="FFFFFF"/>
        </w:rPr>
        <w:t>Health</w:t>
      </w:r>
      <w:r w:rsidRPr="007C1EDE">
        <w:rPr>
          <w:rFonts w:ascii="Arial" w:hAnsi="Arial" w:cs="Arial"/>
          <w:sz w:val="20"/>
          <w:szCs w:val="20"/>
          <w:shd w:val="clear" w:color="auto" w:fill="FFFFFF"/>
        </w:rPr>
        <w:t xml:space="preserve"> </w:t>
      </w:r>
      <w:r w:rsidRPr="007C1EDE">
        <w:rPr>
          <w:rFonts w:ascii="Arial" w:eastAsia="Calibri" w:hAnsi="Arial" w:cs="Arial"/>
          <w:sz w:val="20"/>
          <w:szCs w:val="20"/>
          <w:shd w:val="clear" w:color="auto" w:fill="FFFFFF"/>
        </w:rPr>
        <w:t>and</w:t>
      </w:r>
      <w:r w:rsidRPr="007C1EDE">
        <w:rPr>
          <w:rFonts w:ascii="Arial" w:hAnsi="Arial" w:cs="Arial"/>
          <w:sz w:val="20"/>
          <w:szCs w:val="20"/>
          <w:shd w:val="clear" w:color="auto" w:fill="FFFFFF"/>
        </w:rPr>
        <w:t xml:space="preserve"> </w:t>
      </w:r>
      <w:r w:rsidRPr="007C1EDE">
        <w:rPr>
          <w:rFonts w:ascii="Arial" w:eastAsia="Calibri" w:hAnsi="Arial" w:cs="Arial"/>
          <w:sz w:val="20"/>
          <w:szCs w:val="20"/>
          <w:shd w:val="clear" w:color="auto" w:fill="FFFFFF"/>
        </w:rPr>
        <w:t>Policy</w:t>
      </w:r>
      <w:r w:rsidRPr="007C1EDE">
        <w:rPr>
          <w:rFonts w:ascii="Arial" w:hAnsi="Arial" w:cs="Arial"/>
          <w:sz w:val="20"/>
          <w:szCs w:val="20"/>
          <w:shd w:val="clear" w:color="auto" w:fill="FFFFFF"/>
        </w:rPr>
        <w:t xml:space="preserve"> </w:t>
      </w:r>
      <w:r w:rsidRPr="007C1EDE">
        <w:rPr>
          <w:rFonts w:ascii="Arial" w:eastAsia="Calibri" w:hAnsi="Arial" w:cs="Arial"/>
          <w:sz w:val="20"/>
          <w:szCs w:val="20"/>
          <w:shd w:val="clear" w:color="auto" w:fill="FFFFFF"/>
        </w:rPr>
        <w:t>Agenda</w:t>
      </w:r>
      <w:r w:rsidRPr="007C1EDE">
        <w:rPr>
          <w:rFonts w:ascii="Arial" w:hAnsi="Arial" w:cs="Arial"/>
          <w:sz w:val="20"/>
          <w:szCs w:val="20"/>
          <w:shd w:val="clear" w:color="auto" w:fill="FFFFFF"/>
        </w:rPr>
        <w:t xml:space="preserve"> </w:t>
      </w:r>
      <w:r w:rsidRPr="007C1EDE">
        <w:rPr>
          <w:rFonts w:ascii="Arial" w:eastAsia="Calibri" w:hAnsi="Arial" w:cs="Arial"/>
          <w:sz w:val="20"/>
          <w:szCs w:val="20"/>
          <w:shd w:val="clear" w:color="auto" w:fill="FFFFFF"/>
        </w:rPr>
        <w:t>for</w:t>
      </w:r>
      <w:r w:rsidRPr="007C1EDE">
        <w:rPr>
          <w:rFonts w:ascii="Arial" w:hAnsi="Arial" w:cs="Arial"/>
          <w:sz w:val="20"/>
          <w:szCs w:val="20"/>
          <w:shd w:val="clear" w:color="auto" w:fill="FFFFFF"/>
        </w:rPr>
        <w:t xml:space="preserve"> </w:t>
      </w:r>
      <w:r w:rsidRPr="007C1EDE">
        <w:rPr>
          <w:rFonts w:ascii="Arial" w:eastAsia="Calibri" w:hAnsi="Arial" w:cs="Arial"/>
          <w:sz w:val="20"/>
          <w:szCs w:val="20"/>
          <w:shd w:val="clear" w:color="auto" w:fill="FFFFFF"/>
        </w:rPr>
        <w:t>Lesbian</w:t>
      </w:r>
      <w:r w:rsidRPr="007C1EDE">
        <w:rPr>
          <w:rFonts w:ascii="Arial" w:hAnsi="Arial" w:cs="Arial"/>
          <w:sz w:val="20"/>
          <w:szCs w:val="20"/>
          <w:shd w:val="clear" w:color="auto" w:fill="FFFFFF"/>
        </w:rPr>
        <w:t xml:space="preserve">, </w:t>
      </w:r>
      <w:r w:rsidRPr="007C1EDE">
        <w:rPr>
          <w:rFonts w:ascii="Arial" w:eastAsia="Calibri" w:hAnsi="Arial" w:cs="Arial"/>
          <w:sz w:val="20"/>
          <w:szCs w:val="20"/>
          <w:shd w:val="clear" w:color="auto" w:fill="FFFFFF"/>
        </w:rPr>
        <w:t>Gay</w:t>
      </w:r>
      <w:r w:rsidRPr="007C1EDE">
        <w:rPr>
          <w:rFonts w:ascii="Arial" w:hAnsi="Arial" w:cs="Arial"/>
          <w:sz w:val="20"/>
          <w:szCs w:val="20"/>
          <w:shd w:val="clear" w:color="auto" w:fill="FFFFFF"/>
        </w:rPr>
        <w:t xml:space="preserve">, </w:t>
      </w:r>
      <w:r w:rsidRPr="007C1EDE">
        <w:rPr>
          <w:rFonts w:ascii="Arial" w:eastAsia="Calibri" w:hAnsi="Arial" w:cs="Arial"/>
          <w:sz w:val="20"/>
          <w:szCs w:val="20"/>
          <w:shd w:val="clear" w:color="auto" w:fill="FFFFFF"/>
        </w:rPr>
        <w:t>Bisexual</w:t>
      </w:r>
      <w:r w:rsidRPr="007C1EDE">
        <w:rPr>
          <w:rFonts w:ascii="Arial" w:hAnsi="Arial" w:cs="Arial"/>
          <w:sz w:val="20"/>
          <w:szCs w:val="20"/>
          <w:shd w:val="clear" w:color="auto" w:fill="FFFFFF"/>
        </w:rPr>
        <w:t xml:space="preserve">, </w:t>
      </w:r>
      <w:r w:rsidRPr="007C1EDE">
        <w:rPr>
          <w:rFonts w:ascii="Arial" w:eastAsia="Calibri" w:hAnsi="Arial" w:cs="Arial"/>
          <w:sz w:val="20"/>
          <w:szCs w:val="20"/>
          <w:shd w:val="clear" w:color="auto" w:fill="FFFFFF"/>
        </w:rPr>
        <w:t>and</w:t>
      </w:r>
      <w:r w:rsidRPr="007C1EDE">
        <w:rPr>
          <w:rFonts w:ascii="Arial" w:hAnsi="Arial" w:cs="Arial"/>
          <w:sz w:val="20"/>
          <w:szCs w:val="20"/>
          <w:shd w:val="clear" w:color="auto" w:fill="FFFFFF"/>
        </w:rPr>
        <w:t xml:space="preserve"> </w:t>
      </w:r>
      <w:r w:rsidRPr="007C1EDE">
        <w:rPr>
          <w:rFonts w:ascii="Arial" w:eastAsia="Calibri" w:hAnsi="Arial" w:cs="Arial"/>
          <w:sz w:val="20"/>
          <w:szCs w:val="20"/>
          <w:shd w:val="clear" w:color="auto" w:fill="FFFFFF"/>
        </w:rPr>
        <w:t>Transgender</w:t>
      </w:r>
      <w:r w:rsidRPr="007C1EDE">
        <w:rPr>
          <w:rFonts w:ascii="Arial" w:hAnsi="Arial" w:cs="Arial"/>
          <w:sz w:val="20"/>
          <w:szCs w:val="20"/>
          <w:shd w:val="clear" w:color="auto" w:fill="FFFFFF"/>
        </w:rPr>
        <w:t xml:space="preserve"> </w:t>
      </w:r>
      <w:r w:rsidRPr="007C1EDE">
        <w:rPr>
          <w:rFonts w:ascii="Arial" w:eastAsia="Calibri" w:hAnsi="Arial" w:cs="Arial"/>
          <w:sz w:val="20"/>
          <w:szCs w:val="20"/>
          <w:shd w:val="clear" w:color="auto" w:fill="FFFFFF"/>
        </w:rPr>
        <w:t>Youth</w:t>
      </w:r>
      <w:r w:rsidRPr="007C1EDE">
        <w:rPr>
          <w:rFonts w:ascii="Arial" w:hAnsi="Arial" w:cs="Arial"/>
          <w:sz w:val="20"/>
          <w:szCs w:val="20"/>
          <w:shd w:val="clear" w:color="auto" w:fill="FFFFFF"/>
        </w:rPr>
        <w:t xml:space="preserve"> </w:t>
      </w:r>
      <w:r w:rsidRPr="007C1EDE">
        <w:rPr>
          <w:rFonts w:ascii="Arial" w:eastAsia="Calibri" w:hAnsi="Arial" w:cs="Arial"/>
          <w:sz w:val="20"/>
          <w:szCs w:val="20"/>
          <w:shd w:val="clear" w:color="auto" w:fill="FFFFFF"/>
        </w:rPr>
        <w:t>Who</w:t>
      </w:r>
      <w:r w:rsidRPr="007C1EDE">
        <w:rPr>
          <w:rFonts w:ascii="Arial" w:hAnsi="Arial" w:cs="Arial"/>
          <w:sz w:val="20"/>
          <w:szCs w:val="20"/>
          <w:shd w:val="clear" w:color="auto" w:fill="FFFFFF"/>
        </w:rPr>
        <w:t xml:space="preserve"> </w:t>
      </w:r>
      <w:r w:rsidRPr="007C1EDE">
        <w:rPr>
          <w:rFonts w:ascii="Arial" w:eastAsia="Calibri" w:hAnsi="Arial" w:cs="Arial"/>
          <w:sz w:val="20"/>
          <w:szCs w:val="20"/>
          <w:shd w:val="clear" w:color="auto" w:fill="FFFFFF"/>
        </w:rPr>
        <w:t>Are</w:t>
      </w:r>
      <w:r w:rsidRPr="007C1EDE">
        <w:rPr>
          <w:rFonts w:ascii="Arial" w:hAnsi="Arial" w:cs="Arial"/>
          <w:sz w:val="20"/>
          <w:szCs w:val="20"/>
          <w:shd w:val="clear" w:color="auto" w:fill="FFFFFF"/>
        </w:rPr>
        <w:t xml:space="preserve"> </w:t>
      </w:r>
      <w:r w:rsidRPr="007C1EDE">
        <w:rPr>
          <w:rFonts w:ascii="Arial" w:eastAsia="Calibri" w:hAnsi="Arial" w:cs="Arial"/>
          <w:sz w:val="20"/>
          <w:szCs w:val="20"/>
          <w:shd w:val="clear" w:color="auto" w:fill="FFFFFF"/>
        </w:rPr>
        <w:t>Homeless</w:t>
      </w:r>
      <w:r w:rsidRPr="007C1EDE">
        <w:rPr>
          <w:rFonts w:ascii="Arial" w:hAnsi="Arial" w:cs="Arial"/>
          <w:sz w:val="20"/>
          <w:szCs w:val="20"/>
          <w:shd w:val="clear" w:color="auto" w:fill="FFFFFF"/>
        </w:rPr>
        <w:t>. </w:t>
      </w:r>
      <w:r w:rsidRPr="007C1EDE">
        <w:rPr>
          <w:rFonts w:ascii="Arial" w:eastAsia="Calibri" w:hAnsi="Arial" w:cs="Arial"/>
          <w:i/>
          <w:iCs/>
          <w:sz w:val="20"/>
          <w:szCs w:val="20"/>
        </w:rPr>
        <w:t>The</w:t>
      </w:r>
      <w:r w:rsidRPr="007C1EDE">
        <w:rPr>
          <w:rFonts w:ascii="Arial" w:hAnsi="Arial" w:cs="Arial"/>
          <w:i/>
          <w:iCs/>
          <w:sz w:val="20"/>
          <w:szCs w:val="20"/>
        </w:rPr>
        <w:t xml:space="preserve"> </w:t>
      </w:r>
      <w:r w:rsidRPr="007C1EDE">
        <w:rPr>
          <w:rFonts w:ascii="Arial" w:eastAsia="Calibri" w:hAnsi="Arial" w:cs="Arial"/>
          <w:i/>
          <w:iCs/>
          <w:sz w:val="20"/>
          <w:szCs w:val="20"/>
        </w:rPr>
        <w:t>American</w:t>
      </w:r>
      <w:r w:rsidRPr="007C1EDE">
        <w:rPr>
          <w:rFonts w:ascii="Arial" w:hAnsi="Arial" w:cs="Arial"/>
          <w:i/>
          <w:iCs/>
          <w:sz w:val="20"/>
          <w:szCs w:val="20"/>
        </w:rPr>
        <w:t xml:space="preserve"> </w:t>
      </w:r>
      <w:r w:rsidRPr="007C1EDE">
        <w:rPr>
          <w:rFonts w:ascii="Arial" w:eastAsia="Calibri" w:hAnsi="Arial" w:cs="Arial"/>
          <w:i/>
          <w:iCs/>
          <w:sz w:val="20"/>
          <w:szCs w:val="20"/>
        </w:rPr>
        <w:t>Journal</w:t>
      </w:r>
      <w:r w:rsidRPr="007C1EDE">
        <w:rPr>
          <w:rFonts w:ascii="Arial" w:hAnsi="Arial" w:cs="Arial"/>
          <w:i/>
          <w:iCs/>
          <w:sz w:val="20"/>
          <w:szCs w:val="20"/>
        </w:rPr>
        <w:t xml:space="preserve"> </w:t>
      </w:r>
      <w:r w:rsidRPr="007C1EDE">
        <w:rPr>
          <w:rFonts w:ascii="Arial" w:eastAsia="Calibri" w:hAnsi="Arial" w:cs="Arial"/>
          <w:i/>
          <w:iCs/>
          <w:sz w:val="20"/>
          <w:szCs w:val="20"/>
        </w:rPr>
        <w:t>of</w:t>
      </w:r>
      <w:r w:rsidRPr="007C1EDE">
        <w:rPr>
          <w:rFonts w:ascii="Arial" w:hAnsi="Arial" w:cs="Arial"/>
          <w:i/>
          <w:iCs/>
          <w:sz w:val="20"/>
          <w:szCs w:val="20"/>
        </w:rPr>
        <w:t xml:space="preserve"> </w:t>
      </w:r>
      <w:r w:rsidRPr="007C1EDE">
        <w:rPr>
          <w:rFonts w:ascii="Arial" w:eastAsia="Calibri" w:hAnsi="Arial" w:cs="Arial"/>
          <w:i/>
          <w:iCs/>
          <w:sz w:val="20"/>
          <w:szCs w:val="20"/>
        </w:rPr>
        <w:t>Orthopsychiatry</w:t>
      </w:r>
      <w:r w:rsidRPr="007C1EDE">
        <w:rPr>
          <w:rFonts w:ascii="Arial" w:hAnsi="Arial" w:cs="Arial"/>
          <w:sz w:val="20"/>
          <w:szCs w:val="20"/>
          <w:shd w:val="clear" w:color="auto" w:fill="FFFFFF"/>
        </w:rPr>
        <w:t xml:space="preserve">, </w:t>
      </w:r>
      <w:r w:rsidRPr="007C1EDE">
        <w:rPr>
          <w:rFonts w:ascii="Arial" w:hAnsi="Arial" w:cs="Arial"/>
          <w:i/>
          <w:sz w:val="20"/>
          <w:szCs w:val="20"/>
          <w:shd w:val="clear" w:color="auto" w:fill="FFFFFF"/>
        </w:rPr>
        <w:t>84</w:t>
      </w:r>
      <w:r w:rsidRPr="007C1EDE">
        <w:rPr>
          <w:rFonts w:ascii="Arial" w:hAnsi="Arial" w:cs="Arial"/>
          <w:sz w:val="20"/>
          <w:szCs w:val="20"/>
          <w:shd w:val="clear" w:color="auto" w:fill="FFFFFF"/>
        </w:rPr>
        <w:t xml:space="preserve">(1), 66–72. Retrieved from </w:t>
      </w:r>
      <w:hyperlink r:id="rId12" w:history="1">
        <w:r w:rsidRPr="007C1EDE">
          <w:rPr>
            <w:rStyle w:val="Hyperlink"/>
            <w:rFonts w:ascii="Arial" w:hAnsi="Arial" w:cs="Arial"/>
            <w:color w:val="auto"/>
            <w:sz w:val="20"/>
            <w:szCs w:val="20"/>
            <w:u w:val="none"/>
            <w:shd w:val="clear" w:color="auto" w:fill="FFFFFF"/>
          </w:rPr>
          <w:t>https://www.ncbi.nlm.nih.gov/pmc/articles/PMC4098056/</w:t>
        </w:r>
      </w:hyperlink>
      <w:r w:rsidRPr="007C1EDE">
        <w:rPr>
          <w:rFonts w:ascii="Arial" w:hAnsi="Arial" w:cs="Arial"/>
          <w:sz w:val="20"/>
          <w:szCs w:val="20"/>
          <w:shd w:val="clear" w:color="auto" w:fill="FFFFFF"/>
        </w:rPr>
        <w:t xml:space="preserve"> </w:t>
      </w:r>
    </w:p>
  </w:endnote>
  <w:endnote w:id="57">
    <w:p w14:paraId="65F28FF9"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w:t>
      </w:r>
      <w:r w:rsidRPr="007C1EDE">
        <w:rPr>
          <w:rFonts w:ascii="Arial" w:eastAsia="Calibri" w:hAnsi="Arial" w:cs="Arial"/>
          <w:i/>
        </w:rPr>
        <w:t>Ibid.</w:t>
      </w:r>
    </w:p>
  </w:endnote>
  <w:endnote w:id="58">
    <w:p w14:paraId="258A1DF9" w14:textId="77777777" w:rsidR="00411ECA" w:rsidRPr="007C1EDE" w:rsidRDefault="00411ECA" w:rsidP="007C1EDE">
      <w:pPr>
        <w:spacing w:after="80" w:line="240" w:lineRule="auto"/>
        <w:rPr>
          <w:rFonts w:ascii="Arial" w:hAnsi="Arial" w:cs="Arial"/>
          <w:sz w:val="20"/>
          <w:szCs w:val="20"/>
        </w:rPr>
      </w:pPr>
      <w:r w:rsidRPr="007C1EDE">
        <w:rPr>
          <w:rStyle w:val="EndnoteReference"/>
          <w:rFonts w:ascii="Arial" w:hAnsi="Arial" w:cs="Arial"/>
          <w:sz w:val="20"/>
          <w:szCs w:val="20"/>
        </w:rPr>
        <w:endnoteRef/>
      </w:r>
      <w:r w:rsidRPr="007C1EDE">
        <w:rPr>
          <w:rFonts w:ascii="Arial" w:hAnsi="Arial" w:cs="Arial"/>
          <w:sz w:val="20"/>
          <w:szCs w:val="20"/>
        </w:rPr>
        <w:t xml:space="preserve"> </w:t>
      </w:r>
      <w:r w:rsidRPr="007C1EDE">
        <w:rPr>
          <w:rFonts w:ascii="Arial" w:hAnsi="Arial" w:cs="Arial"/>
          <w:sz w:val="20"/>
          <w:szCs w:val="20"/>
          <w:shd w:val="clear" w:color="auto" w:fill="FFFFFF"/>
        </w:rPr>
        <w:t>LaLota, M., Kwan, B. W., Waters, M., Hernandez, L. E., &amp; Liberti, T. M. (2005). The Miami, Florida, Young Men’s Survey: HIV prevalence and risk behaviors among urban young men who have sex with men who have ever runaway. </w:t>
      </w:r>
      <w:r w:rsidRPr="007C1EDE">
        <w:rPr>
          <w:rFonts w:ascii="Arial" w:hAnsi="Arial" w:cs="Arial"/>
          <w:i/>
          <w:iCs/>
          <w:sz w:val="20"/>
          <w:szCs w:val="20"/>
        </w:rPr>
        <w:t>Journal of Urban Health : Bulletin of the New York Academy of Medicine</w:t>
      </w:r>
      <w:r w:rsidRPr="007C1EDE">
        <w:rPr>
          <w:rFonts w:ascii="Arial" w:hAnsi="Arial" w:cs="Arial"/>
          <w:sz w:val="20"/>
          <w:szCs w:val="20"/>
          <w:shd w:val="clear" w:color="auto" w:fill="FFFFFF"/>
        </w:rPr>
        <w:t>, </w:t>
      </w:r>
      <w:r w:rsidRPr="007C1EDE">
        <w:rPr>
          <w:rFonts w:ascii="Arial" w:hAnsi="Arial" w:cs="Arial"/>
          <w:i/>
          <w:iCs/>
          <w:sz w:val="20"/>
          <w:szCs w:val="20"/>
        </w:rPr>
        <w:t>82</w:t>
      </w:r>
      <w:r w:rsidRPr="007C1EDE">
        <w:rPr>
          <w:rFonts w:ascii="Arial" w:hAnsi="Arial" w:cs="Arial"/>
          <w:sz w:val="20"/>
          <w:szCs w:val="20"/>
          <w:shd w:val="clear" w:color="auto" w:fill="FFFFFF"/>
        </w:rPr>
        <w:t xml:space="preserve">(2), 327–338. </w:t>
      </w:r>
      <w:hyperlink r:id="rId13" w:history="1">
        <w:r w:rsidRPr="007C1EDE">
          <w:rPr>
            <w:rStyle w:val="Hyperlink"/>
            <w:rFonts w:ascii="Arial" w:hAnsi="Arial" w:cs="Arial"/>
            <w:color w:val="auto"/>
            <w:sz w:val="20"/>
            <w:szCs w:val="20"/>
            <w:u w:val="none"/>
            <w:shd w:val="clear" w:color="auto" w:fill="FFFFFF"/>
          </w:rPr>
          <w:t>http://doi.org/10.1093/jurban/jti056</w:t>
        </w:r>
      </w:hyperlink>
      <w:r w:rsidRPr="007C1EDE">
        <w:rPr>
          <w:rFonts w:ascii="Arial" w:hAnsi="Arial" w:cs="Arial"/>
          <w:sz w:val="20"/>
          <w:szCs w:val="20"/>
        </w:rPr>
        <w:t xml:space="preserve"> </w:t>
      </w:r>
    </w:p>
  </w:endnote>
  <w:endnote w:id="59">
    <w:p w14:paraId="3EAC9D1E" w14:textId="77777777" w:rsidR="00411ECA" w:rsidRPr="007C1EDE" w:rsidRDefault="00411ECA" w:rsidP="007C1EDE">
      <w:pPr>
        <w:spacing w:after="80" w:line="240" w:lineRule="auto"/>
        <w:rPr>
          <w:rFonts w:ascii="Arial" w:hAnsi="Arial" w:cs="Arial"/>
          <w:sz w:val="20"/>
          <w:szCs w:val="20"/>
        </w:rPr>
      </w:pPr>
      <w:r w:rsidRPr="007C1EDE">
        <w:rPr>
          <w:rStyle w:val="EndnoteReference"/>
          <w:rFonts w:ascii="Arial" w:hAnsi="Arial" w:cs="Arial"/>
          <w:sz w:val="20"/>
          <w:szCs w:val="20"/>
        </w:rPr>
        <w:endnoteRef/>
      </w:r>
      <w:r w:rsidRPr="007C1EDE">
        <w:rPr>
          <w:rFonts w:ascii="Arial" w:hAnsi="Arial" w:cs="Arial"/>
          <w:sz w:val="20"/>
          <w:szCs w:val="20"/>
          <w:shd w:val="clear" w:color="auto" w:fill="FFFFFF"/>
        </w:rPr>
        <w:t>Tyler, K. A. (2013). Homeless Youths’ HIV Risk Behaviors with Strangers: Investigating the Importance of Social Networks. </w:t>
      </w:r>
      <w:r w:rsidRPr="007C1EDE">
        <w:rPr>
          <w:rFonts w:ascii="Arial" w:hAnsi="Arial" w:cs="Arial"/>
          <w:i/>
          <w:iCs/>
          <w:sz w:val="20"/>
          <w:szCs w:val="20"/>
        </w:rPr>
        <w:t>Archives of Sexual Behavior</w:t>
      </w:r>
      <w:r w:rsidRPr="007C1EDE">
        <w:rPr>
          <w:rFonts w:ascii="Arial" w:hAnsi="Arial" w:cs="Arial"/>
          <w:sz w:val="20"/>
          <w:szCs w:val="20"/>
          <w:shd w:val="clear" w:color="auto" w:fill="FFFFFF"/>
        </w:rPr>
        <w:t>, </w:t>
      </w:r>
      <w:r w:rsidRPr="007C1EDE">
        <w:rPr>
          <w:rFonts w:ascii="Arial" w:hAnsi="Arial" w:cs="Arial"/>
          <w:i/>
          <w:iCs/>
          <w:sz w:val="20"/>
          <w:szCs w:val="20"/>
        </w:rPr>
        <w:t>42</w:t>
      </w:r>
      <w:r w:rsidRPr="007C1EDE">
        <w:rPr>
          <w:rFonts w:ascii="Arial" w:hAnsi="Arial" w:cs="Arial"/>
          <w:sz w:val="20"/>
          <w:szCs w:val="20"/>
          <w:shd w:val="clear" w:color="auto" w:fill="FFFFFF"/>
        </w:rPr>
        <w:t xml:space="preserve">(8). </w:t>
      </w:r>
      <w:hyperlink r:id="rId14" w:history="1">
        <w:r w:rsidRPr="007C1EDE">
          <w:rPr>
            <w:rStyle w:val="Hyperlink"/>
            <w:rFonts w:ascii="Arial" w:hAnsi="Arial" w:cs="Arial"/>
            <w:color w:val="auto"/>
            <w:sz w:val="20"/>
            <w:szCs w:val="20"/>
            <w:u w:val="none"/>
            <w:shd w:val="clear" w:color="auto" w:fill="FFFFFF"/>
          </w:rPr>
          <w:t>http://doi.org/10.1007/s10508-013-0091-3</w:t>
        </w:r>
      </w:hyperlink>
      <w:r w:rsidRPr="007C1EDE">
        <w:rPr>
          <w:rFonts w:ascii="Arial" w:hAnsi="Arial" w:cs="Arial"/>
          <w:sz w:val="20"/>
          <w:szCs w:val="20"/>
        </w:rPr>
        <w:t xml:space="preserve"> </w:t>
      </w:r>
    </w:p>
  </w:endnote>
  <w:endnote w:id="60">
    <w:p w14:paraId="7F14628F" w14:textId="77777777" w:rsidR="00411ECA" w:rsidRPr="007C1EDE" w:rsidRDefault="00411ECA" w:rsidP="007C1EDE">
      <w:pPr>
        <w:spacing w:after="80" w:line="240" w:lineRule="auto"/>
        <w:rPr>
          <w:rFonts w:ascii="Arial" w:hAnsi="Arial" w:cs="Arial"/>
          <w:sz w:val="20"/>
          <w:szCs w:val="20"/>
        </w:rPr>
      </w:pPr>
      <w:r w:rsidRPr="007C1EDE">
        <w:rPr>
          <w:rStyle w:val="EndnoteReference"/>
          <w:rFonts w:ascii="Arial" w:hAnsi="Arial" w:cs="Arial"/>
          <w:sz w:val="20"/>
          <w:szCs w:val="20"/>
        </w:rPr>
        <w:endnoteRef/>
      </w:r>
      <w:r w:rsidRPr="007C1EDE">
        <w:rPr>
          <w:rFonts w:ascii="Arial" w:hAnsi="Arial" w:cs="Arial"/>
          <w:sz w:val="20"/>
          <w:szCs w:val="20"/>
        </w:rPr>
        <w:t xml:space="preserve"> </w:t>
      </w:r>
      <w:r w:rsidRPr="007C1EDE">
        <w:rPr>
          <w:rFonts w:ascii="Arial" w:hAnsi="Arial" w:cs="Arial"/>
          <w:sz w:val="20"/>
          <w:szCs w:val="20"/>
          <w:shd w:val="clear" w:color="auto" w:fill="FFFFFF"/>
        </w:rPr>
        <w:t>Clatts, M. C., Goldsamt, L., Yi, H., &amp; Gwadz, M. V. (2005). Homelessness and drug abuse among young men who have sex with men in New York city: A preliminary epidemiological trajectory. </w:t>
      </w:r>
      <w:r w:rsidRPr="007C1EDE">
        <w:rPr>
          <w:rFonts w:ascii="Arial" w:hAnsi="Arial" w:cs="Arial"/>
          <w:i/>
          <w:iCs/>
          <w:sz w:val="20"/>
          <w:szCs w:val="20"/>
        </w:rPr>
        <w:t>Journal of Adolescence</w:t>
      </w:r>
      <w:r w:rsidRPr="007C1EDE">
        <w:rPr>
          <w:rFonts w:ascii="Arial" w:hAnsi="Arial" w:cs="Arial"/>
          <w:sz w:val="20"/>
          <w:szCs w:val="20"/>
          <w:shd w:val="clear" w:color="auto" w:fill="FFFFFF"/>
        </w:rPr>
        <w:t>, </w:t>
      </w:r>
      <w:r w:rsidRPr="007C1EDE">
        <w:rPr>
          <w:rFonts w:ascii="Arial" w:hAnsi="Arial" w:cs="Arial"/>
          <w:i/>
          <w:iCs/>
          <w:sz w:val="20"/>
          <w:szCs w:val="20"/>
        </w:rPr>
        <w:t>28</w:t>
      </w:r>
      <w:r w:rsidRPr="007C1EDE">
        <w:rPr>
          <w:rFonts w:ascii="Arial" w:hAnsi="Arial" w:cs="Arial"/>
          <w:sz w:val="20"/>
          <w:szCs w:val="20"/>
          <w:shd w:val="clear" w:color="auto" w:fill="FFFFFF"/>
        </w:rPr>
        <w:t>(2), 201–214. http://doi.org/10.1016/j.adolescence.2005.02.003</w:t>
      </w:r>
      <w:r w:rsidRPr="007C1EDE">
        <w:rPr>
          <w:rFonts w:ascii="Arial" w:hAnsi="Arial" w:cs="Arial"/>
          <w:sz w:val="20"/>
          <w:szCs w:val="20"/>
        </w:rPr>
        <w:t xml:space="preserve"> </w:t>
      </w:r>
    </w:p>
  </w:endnote>
  <w:endnote w:id="61">
    <w:p w14:paraId="4C15FFE9" w14:textId="77777777" w:rsidR="00411ECA" w:rsidRDefault="00411ECA" w:rsidP="007C1EDE">
      <w:pPr>
        <w:spacing w:after="80" w:line="240" w:lineRule="auto"/>
        <w:rPr>
          <w:rFonts w:ascii="Arial" w:hAnsi="Arial" w:cs="Arial"/>
          <w:sz w:val="20"/>
          <w:szCs w:val="20"/>
        </w:rPr>
      </w:pPr>
      <w:r w:rsidRPr="007C1EDE">
        <w:rPr>
          <w:rStyle w:val="EndnoteReference"/>
          <w:rFonts w:ascii="Arial" w:hAnsi="Arial" w:cs="Arial"/>
          <w:sz w:val="20"/>
          <w:szCs w:val="20"/>
        </w:rPr>
        <w:endnoteRef/>
      </w:r>
      <w:r w:rsidRPr="007C1EDE">
        <w:rPr>
          <w:rFonts w:ascii="Arial" w:hAnsi="Arial" w:cs="Arial"/>
          <w:sz w:val="20"/>
          <w:szCs w:val="20"/>
        </w:rPr>
        <w:t xml:space="preserve"> </w:t>
      </w:r>
      <w:r w:rsidRPr="007C1EDE">
        <w:rPr>
          <w:rFonts w:ascii="Arial" w:eastAsia="Calibri" w:hAnsi="Arial" w:cs="Arial"/>
          <w:sz w:val="20"/>
          <w:szCs w:val="20"/>
        </w:rPr>
        <w:t>Rosario, M., et al.</w:t>
      </w:r>
      <w:r w:rsidRPr="007C1EDE">
        <w:rPr>
          <w:rFonts w:ascii="Arial" w:eastAsia="Calibri" w:hAnsi="Arial" w:cs="Arial"/>
          <w:i/>
          <w:sz w:val="20"/>
          <w:szCs w:val="20"/>
        </w:rPr>
        <w:t xml:space="preserve"> </w:t>
      </w:r>
      <w:r w:rsidRPr="007C1EDE">
        <w:rPr>
          <w:rFonts w:ascii="Arial" w:eastAsia="Calibri" w:hAnsi="Arial" w:cs="Arial"/>
          <w:sz w:val="20"/>
          <w:szCs w:val="20"/>
        </w:rPr>
        <w:t>(2012)</w:t>
      </w:r>
      <w:r w:rsidRPr="007C1EDE">
        <w:rPr>
          <w:rFonts w:ascii="Arial" w:hAnsi="Arial" w:cs="Arial"/>
          <w:sz w:val="20"/>
          <w:szCs w:val="20"/>
        </w:rPr>
        <w:t xml:space="preserve">. </w:t>
      </w:r>
    </w:p>
    <w:p w14:paraId="73F16989" w14:textId="1E2E63D6" w:rsidR="00727070" w:rsidRPr="007C1EDE" w:rsidRDefault="00727070" w:rsidP="007C1EDE">
      <w:pPr>
        <w:spacing w:after="80" w:line="240" w:lineRule="auto"/>
        <w:rPr>
          <w:rFonts w:ascii="Arial" w:hAnsi="Arial" w:cs="Arial"/>
          <w:sz w:val="20"/>
          <w:szCs w:val="20"/>
        </w:rPr>
      </w:pPr>
      <w:r w:rsidRPr="00727070">
        <w:rPr>
          <w:rFonts w:ascii="Arial" w:hAnsi="Arial" w:cs="Arial"/>
          <w:sz w:val="20"/>
          <w:szCs w:val="20"/>
        </w:rPr>
        <w:t>Leslie, M. B., Stein, J. A., &amp; Rotheram-Borus, M. J. (2002). Sex-specific predictors of suicidality among runaway youth. Journal of Clinical Child and Adolescent Psychology, 31(1), 27-40. http://dx.doi.org/10.1207/153744202753441648</w:t>
      </w:r>
    </w:p>
  </w:endnote>
  <w:endnote w:id="62">
    <w:p w14:paraId="4D001E64"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w:t>
      </w:r>
      <w:r w:rsidRPr="007C1EDE">
        <w:rPr>
          <w:rFonts w:ascii="Arial" w:eastAsia="Calibri" w:hAnsi="Arial" w:cs="Arial"/>
          <w:bCs/>
        </w:rPr>
        <w:t>LGBTQ</w:t>
      </w:r>
      <w:r w:rsidRPr="007C1EDE">
        <w:rPr>
          <w:rFonts w:ascii="Arial" w:hAnsi="Arial" w:cs="Arial"/>
          <w:bCs/>
        </w:rPr>
        <w:t xml:space="preserve"> </w:t>
      </w:r>
      <w:r w:rsidRPr="007C1EDE">
        <w:rPr>
          <w:rFonts w:ascii="Arial" w:eastAsia="Calibri" w:hAnsi="Arial" w:cs="Arial"/>
          <w:bCs/>
        </w:rPr>
        <w:t>Homeless</w:t>
      </w:r>
      <w:r w:rsidRPr="007C1EDE">
        <w:rPr>
          <w:rFonts w:ascii="Arial" w:hAnsi="Arial" w:cs="Arial"/>
          <w:bCs/>
        </w:rPr>
        <w:t xml:space="preserve"> </w:t>
      </w:r>
      <w:r w:rsidRPr="007C1EDE">
        <w:rPr>
          <w:rFonts w:ascii="Arial" w:eastAsia="Calibri" w:hAnsi="Arial" w:cs="Arial"/>
          <w:bCs/>
        </w:rPr>
        <w:t>Youth</w:t>
      </w:r>
      <w:r w:rsidRPr="007C1EDE">
        <w:rPr>
          <w:rFonts w:ascii="Arial" w:hAnsi="Arial" w:cs="Arial"/>
          <w:bCs/>
        </w:rPr>
        <w:t xml:space="preserve"> </w:t>
      </w:r>
      <w:r w:rsidRPr="007C1EDE">
        <w:rPr>
          <w:rFonts w:ascii="Arial" w:eastAsia="Calibri" w:hAnsi="Arial" w:cs="Arial"/>
          <w:bCs/>
        </w:rPr>
        <w:t>Fact</w:t>
      </w:r>
      <w:r w:rsidRPr="007C1EDE">
        <w:rPr>
          <w:rFonts w:ascii="Arial" w:hAnsi="Arial" w:cs="Arial"/>
          <w:bCs/>
        </w:rPr>
        <w:t xml:space="preserve"> </w:t>
      </w:r>
      <w:r w:rsidRPr="007C1EDE">
        <w:rPr>
          <w:rFonts w:ascii="Arial" w:eastAsia="Calibri" w:hAnsi="Arial" w:cs="Arial"/>
          <w:bCs/>
        </w:rPr>
        <w:t>Sheet</w:t>
      </w:r>
      <w:r w:rsidRPr="007C1EDE">
        <w:rPr>
          <w:rFonts w:ascii="Arial" w:hAnsi="Arial" w:cs="Arial"/>
          <w:bCs/>
        </w:rPr>
        <w:t xml:space="preserve">. </w:t>
      </w:r>
      <w:r w:rsidRPr="007C1EDE">
        <w:rPr>
          <w:rFonts w:ascii="Arial" w:eastAsia="Calibri" w:hAnsi="Arial" w:cs="Arial"/>
          <w:i/>
        </w:rPr>
        <w:t>National</w:t>
      </w:r>
      <w:r w:rsidRPr="007C1EDE">
        <w:rPr>
          <w:rFonts w:ascii="Arial" w:hAnsi="Arial" w:cs="Arial"/>
          <w:i/>
        </w:rPr>
        <w:t xml:space="preserve"> </w:t>
      </w:r>
      <w:r w:rsidRPr="007C1EDE">
        <w:rPr>
          <w:rFonts w:ascii="Arial" w:eastAsia="Calibri" w:hAnsi="Arial" w:cs="Arial"/>
          <w:i/>
        </w:rPr>
        <w:t>Alliance</w:t>
      </w:r>
      <w:r w:rsidRPr="007C1EDE">
        <w:rPr>
          <w:rFonts w:ascii="Arial" w:hAnsi="Arial" w:cs="Arial"/>
          <w:i/>
        </w:rPr>
        <w:t xml:space="preserve"> </w:t>
      </w:r>
      <w:r w:rsidRPr="007C1EDE">
        <w:rPr>
          <w:rFonts w:ascii="Arial" w:eastAsia="Calibri" w:hAnsi="Arial" w:cs="Arial"/>
          <w:i/>
        </w:rPr>
        <w:t>to</w:t>
      </w:r>
      <w:r w:rsidRPr="007C1EDE">
        <w:rPr>
          <w:rFonts w:ascii="Arial" w:hAnsi="Arial" w:cs="Arial"/>
          <w:i/>
        </w:rPr>
        <w:t xml:space="preserve"> </w:t>
      </w:r>
      <w:r w:rsidRPr="007C1EDE">
        <w:rPr>
          <w:rFonts w:ascii="Arial" w:eastAsia="Calibri" w:hAnsi="Arial" w:cs="Arial"/>
          <w:i/>
        </w:rPr>
        <w:t>End</w:t>
      </w:r>
      <w:r w:rsidRPr="007C1EDE">
        <w:rPr>
          <w:rFonts w:ascii="Arial" w:hAnsi="Arial" w:cs="Arial"/>
          <w:i/>
        </w:rPr>
        <w:t xml:space="preserve"> </w:t>
      </w:r>
      <w:r w:rsidRPr="007C1EDE">
        <w:rPr>
          <w:rFonts w:ascii="Arial" w:eastAsia="Calibri" w:hAnsi="Arial" w:cs="Arial"/>
          <w:i/>
        </w:rPr>
        <w:t>Youth</w:t>
      </w:r>
      <w:r w:rsidRPr="007C1EDE">
        <w:rPr>
          <w:rFonts w:ascii="Arial" w:hAnsi="Arial" w:cs="Arial"/>
          <w:i/>
        </w:rPr>
        <w:t xml:space="preserve"> </w:t>
      </w:r>
      <w:r w:rsidRPr="007C1EDE">
        <w:rPr>
          <w:rFonts w:ascii="Arial" w:eastAsia="Calibri" w:hAnsi="Arial" w:cs="Arial"/>
          <w:i/>
        </w:rPr>
        <w:t>Homelessness</w:t>
      </w:r>
      <w:r w:rsidRPr="007C1EDE">
        <w:rPr>
          <w:rFonts w:ascii="Arial" w:hAnsi="Arial" w:cs="Arial"/>
        </w:rPr>
        <w:t>.</w:t>
      </w:r>
    </w:p>
  </w:endnote>
  <w:endnote w:id="63">
    <w:p w14:paraId="189ACFF4" w14:textId="77777777" w:rsidR="00411ECA" w:rsidRPr="007C1EDE" w:rsidRDefault="00411ECA" w:rsidP="007C1EDE">
      <w:pPr>
        <w:spacing w:after="80" w:line="240" w:lineRule="auto"/>
        <w:rPr>
          <w:rFonts w:ascii="Arial" w:hAnsi="Arial" w:cs="Arial"/>
          <w:sz w:val="20"/>
          <w:szCs w:val="20"/>
        </w:rPr>
      </w:pPr>
      <w:r w:rsidRPr="007C1EDE">
        <w:rPr>
          <w:rStyle w:val="EndnoteReference"/>
          <w:rFonts w:ascii="Arial" w:hAnsi="Arial" w:cs="Arial"/>
          <w:sz w:val="20"/>
          <w:szCs w:val="20"/>
        </w:rPr>
        <w:endnoteRef/>
      </w:r>
      <w:r w:rsidRPr="007C1EDE">
        <w:rPr>
          <w:rFonts w:ascii="Arial" w:hAnsi="Arial" w:cs="Arial"/>
          <w:sz w:val="20"/>
          <w:szCs w:val="20"/>
        </w:rPr>
        <w:t xml:space="preserve"> </w:t>
      </w:r>
      <w:r w:rsidRPr="007C1EDE">
        <w:rPr>
          <w:rFonts w:ascii="Arial" w:hAnsi="Arial" w:cs="Arial"/>
          <w:sz w:val="20"/>
          <w:szCs w:val="20"/>
          <w:shd w:val="clear" w:color="auto" w:fill="FFFFFF"/>
        </w:rPr>
        <w:t>Cochran, B. N., Stewart, A. J., Ginzler, J. A., &amp; Cauce, A. M. (2002). Challenges Faced by Homeless Sexual Minorities: Comparison of Gay, Lesbian, Bisexual, and Transgender Homeless Adolescents With Their Heterosexual Counterparts. </w:t>
      </w:r>
      <w:r w:rsidRPr="007C1EDE">
        <w:rPr>
          <w:rFonts w:ascii="Arial" w:hAnsi="Arial" w:cs="Arial"/>
          <w:i/>
          <w:iCs/>
          <w:sz w:val="20"/>
          <w:szCs w:val="20"/>
        </w:rPr>
        <w:t>American Journal of Public Health</w:t>
      </w:r>
      <w:r w:rsidRPr="007C1EDE">
        <w:rPr>
          <w:rFonts w:ascii="Arial" w:hAnsi="Arial" w:cs="Arial"/>
          <w:sz w:val="20"/>
          <w:szCs w:val="20"/>
          <w:shd w:val="clear" w:color="auto" w:fill="FFFFFF"/>
        </w:rPr>
        <w:t>, </w:t>
      </w:r>
      <w:r w:rsidRPr="007C1EDE">
        <w:rPr>
          <w:rFonts w:ascii="Arial" w:hAnsi="Arial" w:cs="Arial"/>
          <w:i/>
          <w:iCs/>
          <w:sz w:val="20"/>
          <w:szCs w:val="20"/>
        </w:rPr>
        <w:t>92</w:t>
      </w:r>
      <w:r w:rsidRPr="007C1EDE">
        <w:rPr>
          <w:rFonts w:ascii="Arial" w:hAnsi="Arial" w:cs="Arial"/>
          <w:sz w:val="20"/>
          <w:szCs w:val="20"/>
          <w:shd w:val="clear" w:color="auto" w:fill="FFFFFF"/>
        </w:rPr>
        <w:t>(5), 773–777.</w:t>
      </w:r>
    </w:p>
  </w:endnote>
  <w:endnote w:id="64">
    <w:p w14:paraId="06288428"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eastAsia="Calibri" w:hAnsi="Arial" w:cs="Arial"/>
        </w:rPr>
        <w:t>Morton,</w:t>
      </w:r>
      <w:r w:rsidRPr="007C1EDE">
        <w:rPr>
          <w:rFonts w:ascii="Arial" w:hAnsi="Arial" w:cs="Arial"/>
        </w:rPr>
        <w:t xml:space="preserve"> </w:t>
      </w:r>
      <w:r w:rsidRPr="007C1EDE">
        <w:rPr>
          <w:rFonts w:ascii="Arial" w:eastAsia="Calibri" w:hAnsi="Arial" w:cs="Arial"/>
        </w:rPr>
        <w:t>M.H</w:t>
      </w:r>
      <w:r w:rsidRPr="007C1EDE">
        <w:rPr>
          <w:rFonts w:ascii="Arial" w:hAnsi="Arial" w:cs="Arial"/>
        </w:rPr>
        <w:t xml:space="preserve">. </w:t>
      </w:r>
      <w:r w:rsidRPr="007C1EDE">
        <w:rPr>
          <w:rFonts w:ascii="Arial" w:eastAsia="Calibri" w:hAnsi="Arial" w:cs="Arial"/>
          <w:i/>
        </w:rPr>
        <w:t>et</w:t>
      </w:r>
      <w:r w:rsidRPr="007C1EDE">
        <w:rPr>
          <w:rFonts w:ascii="Arial" w:hAnsi="Arial" w:cs="Arial"/>
          <w:i/>
        </w:rPr>
        <w:t xml:space="preserve"> </w:t>
      </w:r>
      <w:r w:rsidRPr="007C1EDE">
        <w:rPr>
          <w:rFonts w:ascii="Arial" w:eastAsia="Calibri" w:hAnsi="Arial" w:cs="Arial"/>
          <w:i/>
        </w:rPr>
        <w:t>al</w:t>
      </w:r>
      <w:r w:rsidRPr="007C1EDE">
        <w:rPr>
          <w:rFonts w:ascii="Arial" w:hAnsi="Arial" w:cs="Arial"/>
          <w:i/>
        </w:rPr>
        <w:t>.</w:t>
      </w:r>
      <w:r w:rsidRPr="007C1EDE">
        <w:rPr>
          <w:rFonts w:ascii="Arial" w:hAnsi="Arial" w:cs="Arial"/>
        </w:rPr>
        <w:t xml:space="preserve"> </w:t>
      </w:r>
      <w:r w:rsidRPr="007C1EDE">
        <w:rPr>
          <w:rFonts w:ascii="Arial" w:hAnsi="Arial" w:cs="Arial"/>
          <w:bCs/>
        </w:rPr>
        <w:t>(2017).</w:t>
      </w:r>
    </w:p>
  </w:endnote>
  <w:endnote w:id="65">
    <w:p w14:paraId="5B62B511"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w:t>
      </w:r>
      <w:r w:rsidRPr="007C1EDE">
        <w:rPr>
          <w:rFonts w:ascii="Arial" w:eastAsia="Calibri" w:hAnsi="Arial" w:cs="Arial"/>
        </w:rPr>
        <w:t xml:space="preserve">Whitbeck, L.B., </w:t>
      </w:r>
      <w:r w:rsidRPr="007C1EDE">
        <w:rPr>
          <w:rFonts w:ascii="Arial" w:eastAsia="Calibri" w:hAnsi="Arial" w:cs="Arial"/>
          <w:i/>
        </w:rPr>
        <w:t>et al</w:t>
      </w:r>
      <w:r w:rsidRPr="007C1EDE">
        <w:rPr>
          <w:rFonts w:ascii="Arial" w:eastAsia="Calibri" w:hAnsi="Arial" w:cs="Arial"/>
        </w:rPr>
        <w:t>.</w:t>
      </w:r>
      <w:r w:rsidRPr="007C1EDE">
        <w:rPr>
          <w:rFonts w:ascii="Arial" w:eastAsia="ArialUnicodeMS" w:hAnsi="Arial" w:cs="Arial"/>
        </w:rPr>
        <w:t xml:space="preserve"> (2004).</w:t>
      </w:r>
    </w:p>
  </w:endnote>
  <w:endnote w:id="66">
    <w:p w14:paraId="74C93267"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Chapin Hall at the University of Chicago. (2018).</w:t>
      </w:r>
    </w:p>
  </w:endnote>
  <w:endnote w:id="67">
    <w:p w14:paraId="659F8277" w14:textId="77777777" w:rsidR="00411ECA" w:rsidRPr="007C1EDE" w:rsidRDefault="00411ECA" w:rsidP="007C1EDE">
      <w:pPr>
        <w:pStyle w:val="NormalWeb"/>
        <w:spacing w:after="80" w:line="240" w:lineRule="auto"/>
        <w:rPr>
          <w:rFonts w:ascii="Arial" w:hAnsi="Arial" w:cs="Arial"/>
          <w:sz w:val="20"/>
          <w:szCs w:val="20"/>
        </w:rPr>
      </w:pPr>
      <w:r w:rsidRPr="007C1EDE">
        <w:rPr>
          <w:rStyle w:val="EndnoteReference"/>
          <w:rFonts w:ascii="Arial" w:hAnsi="Arial" w:cs="Arial"/>
          <w:sz w:val="20"/>
          <w:szCs w:val="20"/>
        </w:rPr>
        <w:endnoteRef/>
      </w:r>
      <w:r w:rsidRPr="007C1EDE">
        <w:rPr>
          <w:rFonts w:ascii="Arial" w:hAnsi="Arial" w:cs="Arial"/>
          <w:iCs/>
          <w:sz w:val="20"/>
          <w:szCs w:val="20"/>
        </w:rPr>
        <w:t xml:space="preserve"> </w:t>
      </w:r>
      <w:r w:rsidRPr="007C1EDE">
        <w:rPr>
          <w:rFonts w:ascii="Arial" w:hAnsi="Arial" w:cs="Arial"/>
          <w:sz w:val="20"/>
          <w:szCs w:val="20"/>
        </w:rPr>
        <w:t xml:space="preserve">National Center for Transgender Equality. (2017). </w:t>
      </w:r>
      <w:r w:rsidRPr="007C1EDE">
        <w:rPr>
          <w:rFonts w:ascii="Arial" w:hAnsi="Arial" w:cs="Arial"/>
          <w:iCs/>
          <w:sz w:val="20"/>
          <w:szCs w:val="20"/>
        </w:rPr>
        <w:t xml:space="preserve">2015 U.S. Transgender Survey: Massachusetts State Report. </w:t>
      </w:r>
      <w:r w:rsidRPr="007C1EDE">
        <w:rPr>
          <w:rFonts w:ascii="Arial" w:hAnsi="Arial" w:cs="Arial"/>
          <w:sz w:val="20"/>
          <w:szCs w:val="20"/>
        </w:rPr>
        <w:t xml:space="preserve">Retrieved from </w:t>
      </w:r>
      <w:hyperlink r:id="rId15" w:history="1">
        <w:r w:rsidRPr="007C1EDE">
          <w:rPr>
            <w:rStyle w:val="Hyperlink"/>
            <w:rFonts w:ascii="Arial" w:hAnsi="Arial" w:cs="Arial"/>
            <w:color w:val="auto"/>
            <w:sz w:val="20"/>
            <w:szCs w:val="20"/>
            <w:u w:val="none"/>
          </w:rPr>
          <w:t>http://www.transequality.org/sites/default/files/docs/usts/USTSMAStateReport%281017%29.pdf</w:t>
        </w:r>
      </w:hyperlink>
      <w:r w:rsidRPr="007C1EDE">
        <w:rPr>
          <w:rFonts w:ascii="Arial" w:hAnsi="Arial" w:cs="Arial"/>
          <w:sz w:val="20"/>
          <w:szCs w:val="20"/>
        </w:rPr>
        <w:t xml:space="preserve"> </w:t>
      </w:r>
    </w:p>
  </w:endnote>
  <w:endnote w:id="68">
    <w:p w14:paraId="335D028C" w14:textId="77777777" w:rsidR="00411ECA" w:rsidRPr="007C1EDE" w:rsidRDefault="00411ECA" w:rsidP="007C1EDE">
      <w:pPr>
        <w:pStyle w:val="EndnoteText"/>
        <w:spacing w:after="80"/>
        <w:rPr>
          <w:rFonts w:ascii="Arial" w:hAnsi="Arial" w:cs="Arial"/>
          <w:lang w:val="es-CO"/>
        </w:rPr>
      </w:pPr>
      <w:r w:rsidRPr="007C1EDE">
        <w:rPr>
          <w:rStyle w:val="EndnoteReference"/>
          <w:rFonts w:ascii="Arial" w:hAnsi="Arial" w:cs="Arial"/>
        </w:rPr>
        <w:endnoteRef/>
      </w:r>
      <w:r w:rsidRPr="007C1EDE">
        <w:rPr>
          <w:rFonts w:ascii="Arial" w:hAnsi="Arial" w:cs="Arial"/>
          <w:lang w:val="it-IT"/>
        </w:rPr>
        <w:t xml:space="preserve"> Quintana, N. S., </w:t>
      </w:r>
      <w:r w:rsidRPr="007C1EDE">
        <w:rPr>
          <w:rFonts w:ascii="Arial" w:eastAsia="Calibri" w:hAnsi="Arial" w:cs="Arial"/>
          <w:i/>
          <w:lang w:val="it-IT"/>
        </w:rPr>
        <w:t>et</w:t>
      </w:r>
      <w:r w:rsidRPr="007C1EDE">
        <w:rPr>
          <w:rFonts w:ascii="Arial" w:hAnsi="Arial" w:cs="Arial"/>
          <w:i/>
          <w:lang w:val="it-IT"/>
        </w:rPr>
        <w:t xml:space="preserve"> </w:t>
      </w:r>
      <w:r w:rsidRPr="007C1EDE">
        <w:rPr>
          <w:rFonts w:ascii="Arial" w:eastAsia="Calibri" w:hAnsi="Arial" w:cs="Arial"/>
          <w:i/>
          <w:lang w:val="it-IT"/>
        </w:rPr>
        <w:t>al</w:t>
      </w:r>
      <w:r w:rsidRPr="007C1EDE">
        <w:rPr>
          <w:rFonts w:ascii="Arial" w:hAnsi="Arial" w:cs="Arial"/>
          <w:lang w:val="it-IT"/>
        </w:rPr>
        <w:t xml:space="preserve">. </w:t>
      </w:r>
      <w:r w:rsidRPr="007C1EDE">
        <w:rPr>
          <w:rFonts w:ascii="Arial" w:hAnsi="Arial" w:cs="Arial"/>
          <w:lang w:val="es-CO"/>
        </w:rPr>
        <w:t>(2010).</w:t>
      </w:r>
    </w:p>
  </w:endnote>
  <w:endnote w:id="69">
    <w:p w14:paraId="12377D3E" w14:textId="77777777" w:rsidR="00411ECA" w:rsidRPr="007C1EDE" w:rsidRDefault="00411ECA" w:rsidP="007C1EDE">
      <w:pPr>
        <w:pStyle w:val="NormalWeb"/>
        <w:spacing w:after="80" w:line="240" w:lineRule="auto"/>
        <w:rPr>
          <w:rFonts w:ascii="Arial" w:hAnsi="Arial" w:cs="Arial"/>
          <w:sz w:val="20"/>
          <w:szCs w:val="20"/>
          <w:lang w:val="es-CO"/>
        </w:rPr>
      </w:pPr>
      <w:r w:rsidRPr="007C1EDE">
        <w:rPr>
          <w:rStyle w:val="EndnoteReference"/>
          <w:rFonts w:ascii="Arial" w:hAnsi="Arial" w:cs="Arial"/>
          <w:sz w:val="20"/>
          <w:szCs w:val="20"/>
        </w:rPr>
        <w:endnoteRef/>
      </w:r>
      <w:r w:rsidRPr="007C1EDE">
        <w:rPr>
          <w:rFonts w:ascii="Arial" w:eastAsia="Calibri" w:hAnsi="Arial" w:cs="Arial"/>
          <w:sz w:val="20"/>
          <w:szCs w:val="20"/>
          <w:lang w:val="es-CO"/>
        </w:rPr>
        <w:t xml:space="preserve"> Choi,</w:t>
      </w:r>
      <w:r w:rsidRPr="007C1EDE">
        <w:rPr>
          <w:rFonts w:ascii="Arial" w:hAnsi="Arial" w:cs="Arial"/>
          <w:sz w:val="20"/>
          <w:szCs w:val="20"/>
          <w:lang w:val="es-CO"/>
        </w:rPr>
        <w:t xml:space="preserve"> </w:t>
      </w:r>
      <w:r w:rsidRPr="007C1EDE">
        <w:rPr>
          <w:rFonts w:ascii="Arial" w:eastAsia="Calibri" w:hAnsi="Arial" w:cs="Arial"/>
          <w:sz w:val="20"/>
          <w:szCs w:val="20"/>
          <w:lang w:val="es-CO"/>
        </w:rPr>
        <w:t>S. K</w:t>
      </w:r>
      <w:r w:rsidRPr="007C1EDE">
        <w:rPr>
          <w:rFonts w:ascii="Arial" w:hAnsi="Arial" w:cs="Arial"/>
          <w:sz w:val="20"/>
          <w:szCs w:val="20"/>
          <w:shd w:val="clear" w:color="auto" w:fill="FFFFFF"/>
          <w:lang w:val="es-CO"/>
        </w:rPr>
        <w:t xml:space="preserve">. </w:t>
      </w:r>
      <w:r w:rsidRPr="007C1EDE">
        <w:rPr>
          <w:rFonts w:ascii="Arial" w:eastAsia="Calibri" w:hAnsi="Arial" w:cs="Arial"/>
          <w:i/>
          <w:sz w:val="20"/>
          <w:szCs w:val="20"/>
          <w:shd w:val="clear" w:color="auto" w:fill="FFFFFF"/>
          <w:lang w:val="es-CO"/>
        </w:rPr>
        <w:t>et</w:t>
      </w:r>
      <w:r w:rsidRPr="007C1EDE">
        <w:rPr>
          <w:rFonts w:ascii="Arial" w:hAnsi="Arial" w:cs="Arial"/>
          <w:i/>
          <w:sz w:val="20"/>
          <w:szCs w:val="20"/>
          <w:shd w:val="clear" w:color="auto" w:fill="FFFFFF"/>
          <w:lang w:val="es-CO"/>
        </w:rPr>
        <w:t xml:space="preserve"> </w:t>
      </w:r>
      <w:r w:rsidRPr="007C1EDE">
        <w:rPr>
          <w:rFonts w:ascii="Arial" w:eastAsia="Calibri" w:hAnsi="Arial" w:cs="Arial"/>
          <w:i/>
          <w:sz w:val="20"/>
          <w:szCs w:val="20"/>
          <w:shd w:val="clear" w:color="auto" w:fill="FFFFFF"/>
          <w:lang w:val="es-CO"/>
        </w:rPr>
        <w:t>al</w:t>
      </w:r>
      <w:r w:rsidRPr="007C1EDE">
        <w:rPr>
          <w:rFonts w:ascii="Arial" w:hAnsi="Arial" w:cs="Arial"/>
          <w:i/>
          <w:sz w:val="20"/>
          <w:szCs w:val="20"/>
          <w:shd w:val="clear" w:color="auto" w:fill="FFFFFF"/>
          <w:lang w:val="es-CO"/>
        </w:rPr>
        <w:t xml:space="preserve">. </w:t>
      </w:r>
      <w:r w:rsidRPr="007C1EDE">
        <w:rPr>
          <w:rFonts w:ascii="Arial" w:hAnsi="Arial" w:cs="Arial"/>
          <w:sz w:val="20"/>
          <w:szCs w:val="20"/>
          <w:shd w:val="clear" w:color="auto" w:fill="FFFFFF"/>
          <w:lang w:val="es-CO"/>
        </w:rPr>
        <w:t>(2015).</w:t>
      </w:r>
    </w:p>
  </w:endnote>
  <w:endnote w:id="70">
    <w:p w14:paraId="75CC78D4"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lang w:val="es-CO"/>
        </w:rPr>
        <w:t xml:space="preserve"> Durso, L. E., et al. </w:t>
      </w:r>
      <w:r w:rsidRPr="007C1EDE">
        <w:rPr>
          <w:rFonts w:ascii="Arial" w:hAnsi="Arial" w:cs="Arial"/>
        </w:rPr>
        <w:t>(2012).</w:t>
      </w:r>
    </w:p>
  </w:endnote>
  <w:endnote w:id="71">
    <w:p w14:paraId="40445DE5" w14:textId="77777777" w:rsidR="00411ECA" w:rsidRPr="007C1EDE" w:rsidRDefault="00411ECA" w:rsidP="007C1EDE">
      <w:pPr>
        <w:pStyle w:val="Heading2"/>
        <w:spacing w:before="0" w:after="80" w:line="240" w:lineRule="auto"/>
        <w:rPr>
          <w:rFonts w:eastAsia="Times New Roman" w:cs="Arial"/>
          <w:b w:val="0"/>
          <w:color w:val="auto"/>
          <w:sz w:val="20"/>
          <w:szCs w:val="20"/>
        </w:rPr>
      </w:pPr>
      <w:r w:rsidRPr="007C1EDE">
        <w:rPr>
          <w:rStyle w:val="EndnoteReference"/>
          <w:rFonts w:cs="Arial"/>
          <w:b w:val="0"/>
          <w:color w:val="auto"/>
          <w:sz w:val="20"/>
          <w:szCs w:val="20"/>
        </w:rPr>
        <w:endnoteRef/>
      </w:r>
      <w:r w:rsidRPr="007C1EDE">
        <w:rPr>
          <w:rFonts w:cs="Arial"/>
          <w:b w:val="0"/>
          <w:color w:val="auto"/>
          <w:sz w:val="20"/>
          <w:szCs w:val="20"/>
        </w:rPr>
        <w:t xml:space="preserve"> Policy Alert. (2018, January 24). Massachusetts Coalition for the Homeless. Retrieved from </w:t>
      </w:r>
      <w:hyperlink r:id="rId16" w:history="1">
        <w:r w:rsidRPr="007C1EDE">
          <w:rPr>
            <w:rStyle w:val="Hyperlink"/>
            <w:rFonts w:cs="Arial"/>
            <w:b w:val="0"/>
            <w:color w:val="auto"/>
            <w:sz w:val="20"/>
            <w:szCs w:val="20"/>
            <w:u w:val="none"/>
          </w:rPr>
          <w:t>http://salsa4.salsalabs.com/o/51618/p/dia/action4/common/public/?action_KEY=23855</w:t>
        </w:r>
      </w:hyperlink>
      <w:r w:rsidRPr="007C1EDE">
        <w:rPr>
          <w:rFonts w:cs="Arial"/>
          <w:b w:val="0"/>
          <w:color w:val="auto"/>
          <w:sz w:val="20"/>
          <w:szCs w:val="20"/>
        </w:rPr>
        <w:t xml:space="preserve"> </w:t>
      </w:r>
    </w:p>
  </w:endnote>
  <w:endnote w:id="72">
    <w:p w14:paraId="19D2DDDB"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eastAsia="Calibri" w:hAnsi="Arial" w:cs="Arial"/>
          <w:shd w:val="clear" w:color="auto" w:fill="FFFFFF"/>
          <w:lang w:val="it-IT"/>
        </w:rPr>
        <w:t xml:space="preserve"> Durso,</w:t>
      </w:r>
      <w:r w:rsidRPr="007C1EDE">
        <w:rPr>
          <w:rFonts w:ascii="Arial" w:hAnsi="Arial" w:cs="Arial"/>
          <w:shd w:val="clear" w:color="auto" w:fill="FFFFFF"/>
          <w:lang w:val="it-IT"/>
        </w:rPr>
        <w:t xml:space="preserve"> </w:t>
      </w:r>
      <w:r w:rsidRPr="007C1EDE">
        <w:rPr>
          <w:rFonts w:ascii="Arial" w:eastAsia="Calibri" w:hAnsi="Arial" w:cs="Arial"/>
          <w:shd w:val="clear" w:color="auto" w:fill="FFFFFF"/>
          <w:lang w:val="it-IT"/>
        </w:rPr>
        <w:t>L. E.</w:t>
      </w:r>
      <w:r w:rsidRPr="007C1EDE">
        <w:rPr>
          <w:rFonts w:ascii="Arial" w:hAnsi="Arial" w:cs="Arial"/>
          <w:shd w:val="clear" w:color="auto" w:fill="FFFFFF"/>
          <w:lang w:val="it-IT"/>
        </w:rPr>
        <w:t xml:space="preserve"> </w:t>
      </w:r>
      <w:r w:rsidRPr="007C1EDE">
        <w:rPr>
          <w:rFonts w:ascii="Arial" w:eastAsia="Calibri" w:hAnsi="Arial" w:cs="Arial"/>
          <w:shd w:val="clear" w:color="auto" w:fill="FFFFFF"/>
          <w:lang w:val="it-IT"/>
        </w:rPr>
        <w:t>et</w:t>
      </w:r>
      <w:r w:rsidRPr="007C1EDE">
        <w:rPr>
          <w:rFonts w:ascii="Arial" w:hAnsi="Arial" w:cs="Arial"/>
          <w:shd w:val="clear" w:color="auto" w:fill="FFFFFF"/>
          <w:lang w:val="it-IT"/>
        </w:rPr>
        <w:t xml:space="preserve"> </w:t>
      </w:r>
      <w:r w:rsidRPr="007C1EDE">
        <w:rPr>
          <w:rFonts w:ascii="Arial" w:eastAsia="Calibri" w:hAnsi="Arial" w:cs="Arial"/>
          <w:shd w:val="clear" w:color="auto" w:fill="FFFFFF"/>
          <w:lang w:val="it-IT"/>
        </w:rPr>
        <w:t>al</w:t>
      </w:r>
      <w:r w:rsidRPr="007C1EDE">
        <w:rPr>
          <w:rFonts w:ascii="Arial" w:hAnsi="Arial" w:cs="Arial"/>
          <w:shd w:val="clear" w:color="auto" w:fill="FFFFFF"/>
          <w:lang w:val="it-IT"/>
        </w:rPr>
        <w:t xml:space="preserve">. </w:t>
      </w:r>
      <w:r w:rsidRPr="007C1EDE">
        <w:rPr>
          <w:rFonts w:ascii="Arial" w:hAnsi="Arial" w:cs="Arial"/>
          <w:shd w:val="clear" w:color="auto" w:fill="FFFFFF"/>
        </w:rPr>
        <w:t>(2012).</w:t>
      </w:r>
      <w:r w:rsidRPr="007C1EDE">
        <w:rPr>
          <w:rFonts w:ascii="Arial" w:hAnsi="Arial" w:cs="Arial"/>
          <w:shd w:val="clear" w:color="auto" w:fill="FFFFFF"/>
        </w:rPr>
        <w:tab/>
      </w:r>
    </w:p>
  </w:endnote>
  <w:endnote w:id="73">
    <w:p w14:paraId="4995CEDC" w14:textId="77777777" w:rsidR="00411ECA" w:rsidRPr="007C1EDE" w:rsidRDefault="00411ECA" w:rsidP="007C1EDE">
      <w:pPr>
        <w:pStyle w:val="EndnoteText"/>
        <w:spacing w:after="80"/>
        <w:rPr>
          <w:rFonts w:ascii="Arial" w:hAnsi="Arial" w:cs="Arial"/>
          <w:i/>
        </w:rPr>
      </w:pPr>
      <w:r w:rsidRPr="007C1EDE">
        <w:rPr>
          <w:rStyle w:val="EndnoteReference"/>
          <w:rFonts w:ascii="Arial" w:hAnsi="Arial" w:cs="Arial"/>
        </w:rPr>
        <w:endnoteRef/>
      </w:r>
      <w:r w:rsidRPr="007C1EDE">
        <w:rPr>
          <w:rFonts w:ascii="Arial" w:hAnsi="Arial" w:cs="Arial"/>
        </w:rPr>
        <w:t xml:space="preserve"> </w:t>
      </w:r>
      <w:r w:rsidRPr="007C1EDE">
        <w:rPr>
          <w:rFonts w:ascii="Arial" w:eastAsia="Calibri" w:hAnsi="Arial" w:cs="Arial"/>
          <w:i/>
          <w:shd w:val="clear" w:color="auto" w:fill="FFFFFF"/>
        </w:rPr>
        <w:t>Ibid.</w:t>
      </w:r>
    </w:p>
  </w:endnote>
  <w:endnote w:id="74">
    <w:p w14:paraId="132D9F86"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w:t>
      </w:r>
      <w:r w:rsidRPr="007C1EDE">
        <w:rPr>
          <w:rFonts w:ascii="Arial" w:eastAsia="Calibri" w:hAnsi="Arial" w:cs="Arial"/>
          <w:i/>
          <w:shd w:val="clear" w:color="auto" w:fill="FFFFFF"/>
        </w:rPr>
        <w:t>Ibid</w:t>
      </w:r>
      <w:r w:rsidRPr="007C1EDE">
        <w:rPr>
          <w:rFonts w:ascii="Arial" w:hAnsi="Arial" w:cs="Arial"/>
          <w:shd w:val="clear" w:color="auto" w:fill="FFFFFF"/>
        </w:rPr>
        <w:t>.</w:t>
      </w:r>
      <w:r w:rsidRPr="007C1EDE">
        <w:rPr>
          <w:rFonts w:ascii="Arial" w:hAnsi="Arial" w:cs="Arial"/>
          <w:shd w:val="clear" w:color="auto" w:fill="FFFFFF"/>
        </w:rPr>
        <w:tab/>
      </w:r>
    </w:p>
  </w:endnote>
  <w:endnote w:id="75">
    <w:p w14:paraId="584D83BD" w14:textId="77777777" w:rsidR="00411ECA" w:rsidRPr="007C1EDE" w:rsidRDefault="00411ECA" w:rsidP="007C1EDE">
      <w:pPr>
        <w:pStyle w:val="EndnoteText"/>
        <w:spacing w:after="80"/>
        <w:rPr>
          <w:rFonts w:ascii="Arial" w:eastAsia="Calibri" w:hAnsi="Arial" w:cs="Arial"/>
        </w:rPr>
      </w:pPr>
      <w:r w:rsidRPr="007C1EDE">
        <w:rPr>
          <w:rStyle w:val="EndnoteReference"/>
          <w:rFonts w:ascii="Arial" w:hAnsi="Arial" w:cs="Arial"/>
        </w:rPr>
        <w:endnoteRef/>
      </w:r>
      <w:r w:rsidRPr="007C1EDE">
        <w:rPr>
          <w:rFonts w:ascii="Arial" w:hAnsi="Arial" w:cs="Arial"/>
        </w:rPr>
        <w:t xml:space="preserve"> </w:t>
      </w:r>
      <w:r w:rsidRPr="007C1EDE">
        <w:rPr>
          <w:rFonts w:ascii="Arial" w:eastAsia="Calibri" w:hAnsi="Arial" w:cs="Arial"/>
        </w:rPr>
        <w:t xml:space="preserve">Lambda Legal with National Alliance to End Homelessness and National Center for Lesbian Rights. </w:t>
      </w:r>
      <w:r w:rsidRPr="007C1EDE">
        <w:rPr>
          <w:rFonts w:ascii="Arial" w:hAnsi="Arial" w:cs="Arial"/>
        </w:rPr>
        <w:t xml:space="preserve">(2009). </w:t>
      </w:r>
      <w:r w:rsidRPr="007C1EDE">
        <w:rPr>
          <w:rFonts w:ascii="Arial" w:eastAsia="Calibri" w:hAnsi="Arial" w:cs="Arial"/>
        </w:rPr>
        <w:t>National Recommended Best Practices for Serving LGBT Homeless Youth. Retrieved from https://www.lambdalegal.org/sites/default/files/publications/downloads/bkl_national-recommended-best-practices-for-lgbt-homeless-youth_0.pdf</w:t>
      </w:r>
    </w:p>
  </w:endnote>
  <w:endnote w:id="76">
    <w:p w14:paraId="30C3BC02" w14:textId="77777777" w:rsidR="00411ECA" w:rsidRPr="007C1EDE" w:rsidRDefault="00411ECA" w:rsidP="007C1EDE">
      <w:pPr>
        <w:pStyle w:val="NormalWeb"/>
        <w:spacing w:after="80" w:line="240" w:lineRule="auto"/>
        <w:rPr>
          <w:rFonts w:ascii="Arial" w:hAnsi="Arial" w:cs="Arial"/>
          <w:sz w:val="20"/>
          <w:szCs w:val="20"/>
        </w:rPr>
      </w:pPr>
      <w:r w:rsidRPr="007C1EDE">
        <w:rPr>
          <w:rStyle w:val="EndnoteReference"/>
          <w:rFonts w:ascii="Arial" w:hAnsi="Arial" w:cs="Arial"/>
          <w:sz w:val="20"/>
          <w:szCs w:val="20"/>
        </w:rPr>
        <w:endnoteRef/>
      </w:r>
      <w:r w:rsidRPr="007C1EDE">
        <w:rPr>
          <w:rFonts w:ascii="Arial" w:hAnsi="Arial" w:cs="Arial"/>
          <w:sz w:val="20"/>
          <w:szCs w:val="20"/>
        </w:rPr>
        <w:t xml:space="preserve"> Hussey, H. (2015). Expanding ID Card Access for LGBT Homeless Youth. Center for American Progress. https://www.americanprogress.org/issues/lgbt/reports/2015/10/01/122044/expanding-id-card-access-for-lgbt-homeless-youth/ </w:t>
      </w:r>
    </w:p>
  </w:endnote>
  <w:endnote w:id="77">
    <w:p w14:paraId="6010641A" w14:textId="77777777" w:rsidR="00411ECA" w:rsidRPr="007C1EDE" w:rsidRDefault="00411ECA" w:rsidP="007C1EDE">
      <w:pPr>
        <w:pStyle w:val="NormalWeb"/>
        <w:spacing w:after="80" w:line="240" w:lineRule="auto"/>
        <w:rPr>
          <w:rFonts w:ascii="Arial" w:hAnsi="Arial" w:cs="Arial"/>
          <w:sz w:val="20"/>
          <w:szCs w:val="20"/>
        </w:rPr>
      </w:pPr>
      <w:r w:rsidRPr="007C1EDE">
        <w:rPr>
          <w:rStyle w:val="EndnoteReference"/>
          <w:rFonts w:ascii="Arial" w:hAnsi="Arial" w:cs="Arial"/>
          <w:sz w:val="20"/>
          <w:szCs w:val="20"/>
        </w:rPr>
        <w:endnoteRef/>
      </w:r>
      <w:r w:rsidRPr="007C1EDE">
        <w:rPr>
          <w:rFonts w:ascii="Arial" w:hAnsi="Arial" w:cs="Arial"/>
          <w:sz w:val="20"/>
          <w:szCs w:val="20"/>
        </w:rPr>
        <w:t xml:space="preserve"> </w:t>
      </w:r>
      <w:r w:rsidRPr="007C1EDE">
        <w:rPr>
          <w:rFonts w:ascii="Arial" w:hAnsi="Arial" w:cs="Arial"/>
          <w:i/>
          <w:sz w:val="20"/>
          <w:szCs w:val="20"/>
        </w:rPr>
        <w:t>Ibid.</w:t>
      </w:r>
      <w:r w:rsidRPr="007C1EDE">
        <w:rPr>
          <w:rFonts w:ascii="Arial" w:hAnsi="Arial" w:cs="Arial"/>
          <w:sz w:val="20"/>
          <w:szCs w:val="20"/>
        </w:rPr>
        <w:t xml:space="preserve"> </w:t>
      </w:r>
    </w:p>
  </w:endnote>
  <w:endnote w:id="78">
    <w:p w14:paraId="6FDD2F4E"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Massachusetts Commission on LGBTQ Youth. (16 November 2017). Commission Testifies on ID Access for the Homeless. </w:t>
      </w:r>
      <w:hyperlink r:id="rId17" w:history="1">
        <w:r w:rsidRPr="007C1EDE">
          <w:rPr>
            <w:rStyle w:val="Hyperlink"/>
            <w:rFonts w:ascii="Arial" w:hAnsi="Arial" w:cs="Arial"/>
            <w:color w:val="auto"/>
            <w:u w:val="none"/>
          </w:rPr>
          <w:t>https://www.mass.gov/news/commission-testifies-on-id-access-for-the-homeless</w:t>
        </w:r>
      </w:hyperlink>
      <w:r w:rsidRPr="007C1EDE">
        <w:rPr>
          <w:rFonts w:ascii="Arial" w:hAnsi="Arial" w:cs="Arial"/>
        </w:rPr>
        <w:t xml:space="preserve"> </w:t>
      </w:r>
    </w:p>
  </w:endnote>
  <w:endnote w:id="79">
    <w:p w14:paraId="136CB8D4"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Vallas, R., &amp; Dietrich, S. (2014). One Strike and You’re Out: How We Can Eliminate Barriers to Economic Security and Mobility for People with Juvenile Records. </w:t>
      </w:r>
      <w:r w:rsidRPr="007C1EDE">
        <w:rPr>
          <w:rFonts w:ascii="Arial" w:hAnsi="Arial" w:cs="Arial"/>
          <w:i/>
        </w:rPr>
        <w:t>Center for American Progress</w:t>
      </w:r>
      <w:r w:rsidRPr="007C1EDE">
        <w:rPr>
          <w:rFonts w:ascii="Arial" w:hAnsi="Arial" w:cs="Arial"/>
        </w:rPr>
        <w:t xml:space="preserve">. </w:t>
      </w:r>
    </w:p>
  </w:endnote>
  <w:endnote w:id="80">
    <w:p w14:paraId="4CFB494C"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w:t>
      </w:r>
      <w:r w:rsidRPr="007C1EDE">
        <w:rPr>
          <w:rFonts w:ascii="Arial" w:hAnsi="Arial" w:cs="Arial"/>
          <w:i/>
        </w:rPr>
        <w:t>Ibid.</w:t>
      </w:r>
    </w:p>
  </w:endnote>
  <w:endnote w:id="81">
    <w:p w14:paraId="5F37CFDC" w14:textId="77777777" w:rsidR="00411ECA" w:rsidRPr="007C1EDE" w:rsidRDefault="00411ECA" w:rsidP="007C1EDE">
      <w:pPr>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rPr>
        <w:t xml:space="preserve"> Mallory, C., et al. (2014). Ensuring Access to Mentoring Programs for LGBTQ Youth. </w:t>
      </w:r>
      <w:r w:rsidRPr="007C1EDE">
        <w:rPr>
          <w:rFonts w:ascii="Arial" w:hAnsi="Arial" w:cs="Arial"/>
          <w:i/>
          <w:sz w:val="20"/>
          <w:szCs w:val="20"/>
        </w:rPr>
        <w:t>The Williams Institute</w:t>
      </w:r>
      <w:r w:rsidRPr="007C1EDE">
        <w:rPr>
          <w:rFonts w:ascii="Arial" w:hAnsi="Arial" w:cs="Arial"/>
          <w:sz w:val="20"/>
          <w:szCs w:val="20"/>
        </w:rPr>
        <w:t xml:space="preserve">. Retrieved from </w:t>
      </w:r>
      <w:hyperlink r:id="rId18" w:history="1">
        <w:r w:rsidRPr="007C1EDE">
          <w:rPr>
            <w:rStyle w:val="Hyperlink"/>
            <w:rFonts w:ascii="Arial" w:hAnsi="Arial" w:cs="Arial"/>
            <w:color w:val="auto"/>
            <w:sz w:val="20"/>
            <w:szCs w:val="20"/>
            <w:u w:val="none"/>
            <w:shd w:val="clear" w:color="auto" w:fill="FFFFFF"/>
          </w:rPr>
          <w:t>http://www.nwnetwork.org/wp-content/uploads/2014/04/TWI-Access- toMentoring-Programs.pdf</w:t>
        </w:r>
      </w:hyperlink>
      <w:r w:rsidRPr="007C1EDE">
        <w:rPr>
          <w:rFonts w:ascii="Arial" w:hAnsi="Arial" w:cs="Arial"/>
          <w:sz w:val="20"/>
          <w:szCs w:val="20"/>
          <w:shd w:val="clear" w:color="auto" w:fill="FFFFFF"/>
        </w:rPr>
        <w:t xml:space="preserve"> </w:t>
      </w:r>
    </w:p>
  </w:endnote>
  <w:endnote w:id="82">
    <w:p w14:paraId="7B2E104C"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Wilson, B. D. M., et al. (2017). “Disproportionality and Disparities among Sexual Minority Youth in Custody,” </w:t>
      </w:r>
      <w:r w:rsidRPr="007C1EDE">
        <w:rPr>
          <w:rFonts w:ascii="Arial" w:hAnsi="Arial" w:cs="Arial"/>
          <w:i/>
        </w:rPr>
        <w:t>Journal of Youth &amp; Adolescence, 46</w:t>
      </w:r>
      <w:r w:rsidRPr="007C1EDE">
        <w:rPr>
          <w:rFonts w:ascii="Arial" w:hAnsi="Arial" w:cs="Arial"/>
        </w:rPr>
        <w:t>(7): 1547–1561.</w:t>
      </w:r>
    </w:p>
  </w:endnote>
  <w:endnote w:id="83">
    <w:p w14:paraId="31342A99" w14:textId="77777777" w:rsidR="00411ECA" w:rsidRPr="007C1EDE" w:rsidRDefault="00411ECA" w:rsidP="007C1EDE">
      <w:pPr>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vertAlign w:val="superscript"/>
        </w:rPr>
        <w:t xml:space="preserve"> </w:t>
      </w:r>
      <w:r w:rsidRPr="007C1EDE">
        <w:rPr>
          <w:rFonts w:ascii="Arial" w:hAnsi="Arial" w:cs="Arial"/>
          <w:sz w:val="20"/>
          <w:szCs w:val="20"/>
        </w:rPr>
        <w:t xml:space="preserve">Lyndon, J., Carington, K., Low, H., Miller, R., &amp; Yazdy, M. (2015). Coming out of Concrete Closets: A Report on Black &amp; Pink’s National LGBTQ Prisoner Survey. Black and Pink. Retrieved from </w:t>
      </w:r>
      <w:hyperlink r:id="rId19" w:history="1">
        <w:r w:rsidRPr="007C1EDE">
          <w:rPr>
            <w:rStyle w:val="Hyperlink"/>
            <w:rFonts w:ascii="Arial" w:hAnsi="Arial" w:cs="Arial"/>
            <w:color w:val="auto"/>
            <w:sz w:val="20"/>
            <w:szCs w:val="20"/>
            <w:u w:val="none"/>
          </w:rPr>
          <w:t>http://www.blackandpink.org/wp-content/upLoads/Coming-Out-of-Concrete-Closets.-Black-and-Pink.-October-21-2015..pdf</w:t>
        </w:r>
      </w:hyperlink>
      <w:r w:rsidRPr="007C1EDE">
        <w:rPr>
          <w:rFonts w:ascii="Arial" w:hAnsi="Arial" w:cs="Arial"/>
          <w:sz w:val="20"/>
          <w:szCs w:val="20"/>
        </w:rPr>
        <w:t xml:space="preserve"> </w:t>
      </w:r>
    </w:p>
  </w:endnote>
  <w:endnote w:id="84">
    <w:p w14:paraId="3952F424" w14:textId="77777777" w:rsidR="00411ECA" w:rsidRPr="007C1EDE" w:rsidRDefault="00411ECA" w:rsidP="007C1EDE">
      <w:pPr>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rPr>
        <w:t xml:space="preserve"> Meyer, I.H., Flores, A.R., Stemple, L., Romero, A.P., et al. (2017). Incarceration Rates and Traits of Sexual Minorities in the United States: National Inmate Survey, 2011–2012. </w:t>
      </w:r>
      <w:r w:rsidRPr="007C1EDE">
        <w:rPr>
          <w:rFonts w:ascii="Arial" w:hAnsi="Arial" w:cs="Arial"/>
          <w:i/>
          <w:sz w:val="20"/>
          <w:szCs w:val="20"/>
        </w:rPr>
        <w:t xml:space="preserve">Am J Public Health, 107: </w:t>
      </w:r>
      <w:r w:rsidRPr="007C1EDE">
        <w:rPr>
          <w:rFonts w:ascii="Arial" w:hAnsi="Arial" w:cs="Arial"/>
          <w:sz w:val="20"/>
          <w:szCs w:val="20"/>
        </w:rPr>
        <w:t>234-240</w:t>
      </w:r>
      <w:r w:rsidRPr="007C1EDE">
        <w:rPr>
          <w:rFonts w:ascii="Arial" w:hAnsi="Arial" w:cs="Arial"/>
          <w:i/>
          <w:sz w:val="20"/>
          <w:szCs w:val="20"/>
        </w:rPr>
        <w:t>.</w:t>
      </w:r>
    </w:p>
  </w:endnote>
  <w:endnote w:id="85">
    <w:p w14:paraId="3E6CEAA3" w14:textId="77777777" w:rsidR="00411ECA" w:rsidRPr="007C1EDE" w:rsidRDefault="00411ECA" w:rsidP="007C1EDE">
      <w:pPr>
        <w:tabs>
          <w:tab w:val="left" w:pos="1880"/>
        </w:tabs>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rPr>
        <w:t xml:space="preserve"> Wilson, B. D. M., et al. (2017).</w:t>
      </w:r>
      <w:r w:rsidRPr="007C1EDE">
        <w:rPr>
          <w:rFonts w:ascii="Arial" w:hAnsi="Arial" w:cs="Arial"/>
          <w:sz w:val="20"/>
          <w:szCs w:val="20"/>
        </w:rPr>
        <w:tab/>
      </w:r>
    </w:p>
  </w:endnote>
  <w:endnote w:id="86">
    <w:p w14:paraId="737235B8" w14:textId="77777777" w:rsidR="00411ECA" w:rsidRPr="007C1EDE" w:rsidRDefault="00411ECA" w:rsidP="007C1EDE">
      <w:pPr>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rPr>
        <w:t xml:space="preserve"> Irvine, A. (2014). Dispelling Myths: Understanding the Incarceration of Lesbian, Gay, Bisexual and Gender Nonconforming Youth. Unpublished. Oakland, CA: National Council on Crime and Delinquency.</w:t>
      </w:r>
    </w:p>
  </w:endnote>
  <w:endnote w:id="87">
    <w:p w14:paraId="7F83D11F" w14:textId="77777777" w:rsidR="00411ECA" w:rsidRPr="007C1EDE" w:rsidRDefault="00411ECA" w:rsidP="007C1EDE">
      <w:pPr>
        <w:spacing w:after="80" w:line="240" w:lineRule="auto"/>
        <w:rPr>
          <w:rFonts w:ascii="Arial" w:hAnsi="Arial" w:cs="Arial"/>
          <w:sz w:val="20"/>
          <w:szCs w:val="20"/>
        </w:rPr>
      </w:pPr>
      <w:r w:rsidRPr="007C1EDE">
        <w:rPr>
          <w:rStyle w:val="EndnoteReference"/>
          <w:rFonts w:ascii="Arial" w:hAnsi="Arial" w:cs="Arial"/>
          <w:sz w:val="20"/>
          <w:szCs w:val="20"/>
        </w:rPr>
        <w:endnoteRef/>
      </w:r>
      <w:r w:rsidRPr="007C1EDE">
        <w:rPr>
          <w:rFonts w:ascii="Arial" w:hAnsi="Arial" w:cs="Arial"/>
          <w:sz w:val="20"/>
          <w:szCs w:val="20"/>
        </w:rPr>
        <w:t xml:space="preserve"> Lambda Legal. (2016). Protected and Served? Jails and Prisons.</w:t>
      </w:r>
    </w:p>
  </w:endnote>
  <w:endnote w:id="88">
    <w:p w14:paraId="7EFA8712" w14:textId="77777777" w:rsidR="00411ECA" w:rsidRPr="007C1EDE" w:rsidRDefault="00411ECA" w:rsidP="007C1EDE">
      <w:pPr>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shd w:val="clear" w:color="auto" w:fill="FFFFFF"/>
        </w:rPr>
        <w:t xml:space="preserve"> </w:t>
      </w:r>
      <w:r w:rsidRPr="007C1EDE">
        <w:rPr>
          <w:rFonts w:ascii="Arial" w:hAnsi="Arial" w:cs="Arial"/>
          <w:sz w:val="20"/>
          <w:szCs w:val="20"/>
        </w:rPr>
        <w:t xml:space="preserve">Stemming the Rising Tide: Racial &amp; Ethnic Disparities in Youth Incarceration &amp; Strategies for Change. </w:t>
      </w:r>
      <w:r w:rsidRPr="007C1EDE">
        <w:rPr>
          <w:rFonts w:ascii="Arial" w:hAnsi="Arial" w:cs="Arial"/>
          <w:sz w:val="20"/>
          <w:szCs w:val="20"/>
          <w:shd w:val="clear" w:color="auto" w:fill="FFFFFF"/>
        </w:rPr>
        <w:t>(2016).</w:t>
      </w:r>
      <w:r w:rsidRPr="007C1EDE">
        <w:rPr>
          <w:rFonts w:ascii="Arial" w:hAnsi="Arial" w:cs="Arial"/>
          <w:sz w:val="20"/>
          <w:szCs w:val="20"/>
        </w:rPr>
        <w:t xml:space="preserve"> The W. Haywood Burns Institute. Retrieved from </w:t>
      </w:r>
      <w:hyperlink r:id="rId20" w:history="1">
        <w:r w:rsidRPr="007C1EDE">
          <w:rPr>
            <w:rStyle w:val="Hyperlink"/>
            <w:rFonts w:ascii="Arial" w:hAnsi="Arial" w:cs="Arial"/>
            <w:color w:val="auto"/>
            <w:sz w:val="20"/>
            <w:szCs w:val="20"/>
            <w:u w:val="none"/>
          </w:rPr>
          <w:t>http://www.burnsinstitute.org/wp-content/uploads/2016/05/Stemming-the-Rising-Tide_FINAL.pdf</w:t>
        </w:r>
      </w:hyperlink>
      <w:r w:rsidRPr="007C1EDE">
        <w:rPr>
          <w:rFonts w:ascii="Arial" w:hAnsi="Arial" w:cs="Arial"/>
          <w:sz w:val="20"/>
          <w:szCs w:val="20"/>
        </w:rPr>
        <w:t xml:space="preserve"> </w:t>
      </w:r>
    </w:p>
  </w:endnote>
  <w:endnote w:id="89">
    <w:p w14:paraId="6C1CC4A2" w14:textId="77777777" w:rsidR="00411ECA" w:rsidRPr="007C1EDE" w:rsidRDefault="00411ECA" w:rsidP="007C1EDE">
      <w:pPr>
        <w:tabs>
          <w:tab w:val="left" w:pos="1880"/>
        </w:tabs>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rPr>
        <w:t xml:space="preserve"> Wilson, B. D. M., et al. (2017).</w:t>
      </w:r>
      <w:r w:rsidRPr="007C1EDE">
        <w:rPr>
          <w:rFonts w:ascii="Arial" w:hAnsi="Arial" w:cs="Arial"/>
          <w:sz w:val="20"/>
          <w:szCs w:val="20"/>
        </w:rPr>
        <w:tab/>
      </w:r>
    </w:p>
  </w:endnote>
  <w:endnote w:id="90">
    <w:p w14:paraId="26B067E0" w14:textId="77777777" w:rsidR="00411ECA" w:rsidRPr="007C1EDE" w:rsidRDefault="00411ECA" w:rsidP="007C1EDE">
      <w:pPr>
        <w:pStyle w:val="Heading1"/>
        <w:spacing w:before="0" w:after="80" w:line="240" w:lineRule="auto"/>
        <w:rPr>
          <w:rFonts w:cs="Arial"/>
          <w:b w:val="0"/>
          <w:color w:val="auto"/>
          <w:sz w:val="20"/>
          <w:szCs w:val="20"/>
        </w:rPr>
      </w:pPr>
      <w:r w:rsidRPr="007C1EDE">
        <w:rPr>
          <w:rStyle w:val="EndnoteReference"/>
          <w:rFonts w:cs="Arial"/>
          <w:b w:val="0"/>
          <w:color w:val="auto"/>
          <w:sz w:val="20"/>
          <w:szCs w:val="20"/>
        </w:rPr>
        <w:endnoteRef/>
      </w:r>
      <w:r w:rsidRPr="007C1EDE">
        <w:rPr>
          <w:rFonts w:cs="Arial"/>
          <w:b w:val="0"/>
          <w:color w:val="auto"/>
          <w:sz w:val="20"/>
          <w:szCs w:val="20"/>
        </w:rPr>
        <w:t xml:space="preserve"> Steinberg, L. (2015). </w:t>
      </w:r>
      <w:r w:rsidRPr="007C1EDE">
        <w:rPr>
          <w:rFonts w:cs="Arial"/>
          <w:b w:val="0"/>
          <w:i/>
          <w:color w:val="auto"/>
          <w:sz w:val="20"/>
          <w:szCs w:val="20"/>
        </w:rPr>
        <w:t>Age of Opportunity: Lessons from the New Science of Adolescence</w:t>
      </w:r>
      <w:r w:rsidRPr="007C1EDE">
        <w:rPr>
          <w:rFonts w:cs="Arial"/>
          <w:b w:val="0"/>
          <w:color w:val="auto"/>
          <w:sz w:val="20"/>
          <w:szCs w:val="20"/>
        </w:rPr>
        <w:t>. New York: An Eamon Dolan Book.</w:t>
      </w:r>
    </w:p>
  </w:endnote>
  <w:endnote w:id="91">
    <w:p w14:paraId="588DBAF0" w14:textId="77777777" w:rsidR="00411ECA" w:rsidRPr="007C1EDE" w:rsidRDefault="00411ECA" w:rsidP="007C1EDE">
      <w:pPr>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rPr>
        <w:t xml:space="preserve"> DeNavas-Walt, C., &amp; Proctor, B. D. (2015). Income and Poverty in the United States: 2014. Retrieved from </w:t>
      </w:r>
      <w:hyperlink r:id="rId21" w:history="1">
        <w:r w:rsidRPr="007C1EDE">
          <w:rPr>
            <w:rStyle w:val="Hyperlink"/>
            <w:rFonts w:ascii="Arial" w:hAnsi="Arial" w:cs="Arial"/>
            <w:color w:val="auto"/>
            <w:sz w:val="20"/>
            <w:szCs w:val="20"/>
            <w:u w:val="none"/>
          </w:rPr>
          <w:t>https://www.census.gov/content/dam/Census/library/publications/2015/demo/p60-252.pdf</w:t>
        </w:r>
      </w:hyperlink>
      <w:r w:rsidRPr="007C1EDE">
        <w:rPr>
          <w:rFonts w:ascii="Arial" w:hAnsi="Arial" w:cs="Arial"/>
          <w:sz w:val="20"/>
          <w:szCs w:val="20"/>
        </w:rPr>
        <w:t xml:space="preserve"> </w:t>
      </w:r>
    </w:p>
  </w:endnote>
  <w:endnote w:id="92">
    <w:p w14:paraId="50497CBA" w14:textId="77777777" w:rsidR="00411ECA" w:rsidRPr="007C1EDE" w:rsidRDefault="00411ECA" w:rsidP="007C1EDE">
      <w:pPr>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rPr>
        <w:t xml:space="preserve"> National LGBTQ Taskforce.</w:t>
      </w:r>
      <w:r w:rsidRPr="007C1EDE">
        <w:rPr>
          <w:rFonts w:ascii="Arial" w:hAnsi="Arial" w:cs="Arial"/>
          <w:i/>
          <w:sz w:val="20"/>
          <w:szCs w:val="20"/>
        </w:rPr>
        <w:t xml:space="preserve"> </w:t>
      </w:r>
      <w:r w:rsidRPr="007C1EDE">
        <w:rPr>
          <w:rFonts w:ascii="Arial" w:hAnsi="Arial" w:cs="Arial"/>
          <w:sz w:val="20"/>
          <w:szCs w:val="20"/>
        </w:rPr>
        <w:t xml:space="preserve">(2014). Poverty and Economic Injustice in the LGBTQ Community. Retrieved from </w:t>
      </w:r>
      <w:hyperlink r:id="rId22" w:history="1">
        <w:r w:rsidRPr="007C1EDE">
          <w:rPr>
            <w:rStyle w:val="Hyperlink"/>
            <w:rFonts w:ascii="Arial" w:hAnsi="Arial" w:cs="Arial"/>
            <w:color w:val="auto"/>
            <w:sz w:val="20"/>
            <w:szCs w:val="20"/>
            <w:u w:val="none"/>
          </w:rPr>
          <w:t>http://www.thetaskforce.org/static_html/downloads/reports/fact_sheets/poverty_factsheet_10_8_14.pdf</w:t>
        </w:r>
      </w:hyperlink>
      <w:r w:rsidRPr="007C1EDE">
        <w:rPr>
          <w:rFonts w:ascii="Arial" w:hAnsi="Arial" w:cs="Arial"/>
          <w:sz w:val="20"/>
          <w:szCs w:val="20"/>
        </w:rPr>
        <w:t xml:space="preserve"> </w:t>
      </w:r>
    </w:p>
  </w:endnote>
  <w:endnote w:id="93">
    <w:p w14:paraId="2E42C8DC" w14:textId="77777777" w:rsidR="00411ECA" w:rsidRPr="007C1EDE" w:rsidRDefault="00411ECA" w:rsidP="007C1EDE">
      <w:pPr>
        <w:spacing w:after="80" w:line="240" w:lineRule="auto"/>
        <w:rPr>
          <w:rFonts w:ascii="Arial" w:hAnsi="Arial" w:cs="Arial"/>
          <w:i/>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rPr>
        <w:t xml:space="preserve"> </w:t>
      </w:r>
      <w:r w:rsidRPr="007C1EDE">
        <w:rPr>
          <w:rFonts w:ascii="Arial" w:hAnsi="Arial" w:cs="Arial"/>
          <w:i/>
          <w:sz w:val="20"/>
          <w:szCs w:val="20"/>
        </w:rPr>
        <w:t>Ibid.</w:t>
      </w:r>
    </w:p>
  </w:endnote>
  <w:endnote w:id="94">
    <w:p w14:paraId="532058DE" w14:textId="77777777" w:rsidR="00411ECA" w:rsidRPr="007C1EDE" w:rsidRDefault="00411ECA" w:rsidP="007C1EDE">
      <w:pPr>
        <w:pStyle w:val="NormalWeb"/>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rPr>
        <w:t xml:space="preserve"> </w:t>
      </w:r>
      <w:r w:rsidRPr="007C1EDE">
        <w:rPr>
          <w:rFonts w:ascii="Arial" w:hAnsi="Arial" w:cs="Arial"/>
          <w:bCs/>
          <w:sz w:val="20"/>
          <w:szCs w:val="20"/>
        </w:rPr>
        <w:t xml:space="preserve">Cusick, G. R., Courtney, M .E., Havlicek, J. &amp; Hess, N. (2010). </w:t>
      </w:r>
      <w:r w:rsidRPr="007C1EDE">
        <w:rPr>
          <w:rFonts w:ascii="Arial" w:hAnsi="Arial" w:cs="Arial"/>
          <w:sz w:val="20"/>
          <w:szCs w:val="20"/>
        </w:rPr>
        <w:t xml:space="preserve">Crime during the Transition to Adulthood: How Youth Fare as They Leave Out-of-Home Care. Research report submitted to the U.S. Department of Justice. Retrieved from </w:t>
      </w:r>
      <w:hyperlink r:id="rId23" w:history="1">
        <w:r w:rsidRPr="007C1EDE">
          <w:rPr>
            <w:rStyle w:val="Hyperlink"/>
            <w:rFonts w:ascii="Arial" w:hAnsi="Arial" w:cs="Arial"/>
            <w:color w:val="auto"/>
            <w:sz w:val="20"/>
            <w:szCs w:val="20"/>
            <w:u w:val="none"/>
          </w:rPr>
          <w:t>https://www.ncjrs.gov/pdffiles1/nij/grants/229666.pdf</w:t>
        </w:r>
      </w:hyperlink>
      <w:r w:rsidRPr="007C1EDE">
        <w:rPr>
          <w:rFonts w:ascii="Arial" w:hAnsi="Arial" w:cs="Arial"/>
          <w:sz w:val="20"/>
          <w:szCs w:val="20"/>
        </w:rPr>
        <w:t xml:space="preserve"> </w:t>
      </w:r>
    </w:p>
  </w:endnote>
  <w:endnote w:id="95">
    <w:p w14:paraId="1AFE184A" w14:textId="77777777" w:rsidR="00411ECA" w:rsidRPr="007C1EDE" w:rsidRDefault="00411ECA" w:rsidP="007C1EDE">
      <w:pPr>
        <w:pStyle w:val="NormalWeb"/>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rPr>
        <w:t xml:space="preserve"> </w:t>
      </w:r>
      <w:r w:rsidRPr="007C1EDE">
        <w:rPr>
          <w:rFonts w:ascii="Arial" w:eastAsia="Calibri" w:hAnsi="Arial" w:cs="Arial"/>
          <w:sz w:val="20"/>
          <w:szCs w:val="20"/>
        </w:rPr>
        <w:t>Pilnik</w:t>
      </w:r>
      <w:r w:rsidRPr="007C1EDE">
        <w:rPr>
          <w:rFonts w:ascii="Arial" w:hAnsi="Arial" w:cs="Arial"/>
          <w:sz w:val="20"/>
          <w:szCs w:val="20"/>
        </w:rPr>
        <w:t xml:space="preserve"> </w:t>
      </w:r>
      <w:r w:rsidRPr="007C1EDE">
        <w:rPr>
          <w:rFonts w:ascii="Arial" w:eastAsia="Calibri" w:hAnsi="Arial" w:cs="Arial"/>
          <w:sz w:val="20"/>
          <w:szCs w:val="20"/>
        </w:rPr>
        <w:t>L</w:t>
      </w:r>
      <w:r w:rsidRPr="007C1EDE">
        <w:rPr>
          <w:rFonts w:ascii="Arial" w:hAnsi="Arial" w:cs="Arial"/>
          <w:sz w:val="20"/>
          <w:szCs w:val="20"/>
        </w:rPr>
        <w:t xml:space="preserve">., </w:t>
      </w:r>
      <w:r w:rsidRPr="007C1EDE">
        <w:rPr>
          <w:rFonts w:ascii="Arial" w:hAnsi="Arial" w:cs="Arial"/>
          <w:i/>
          <w:sz w:val="20"/>
          <w:szCs w:val="20"/>
        </w:rPr>
        <w:t>et al.</w:t>
      </w:r>
      <w:r w:rsidRPr="007C1EDE">
        <w:rPr>
          <w:rFonts w:ascii="Arial" w:hAnsi="Arial" w:cs="Arial"/>
          <w:sz w:val="20"/>
          <w:szCs w:val="20"/>
        </w:rPr>
        <w:t xml:space="preserve"> (2017). </w:t>
      </w:r>
    </w:p>
  </w:endnote>
  <w:endnote w:id="96">
    <w:p w14:paraId="20F687FB"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Department of Justice, Office of Juvenile Justice and Delinquency Prevention. (2017). Law Enforcement and Juvenile Crime: Estimated Number of Juvenile Arrests, 2016. Retrieved from </w:t>
      </w:r>
      <w:hyperlink r:id="rId24" w:history="1">
        <w:r w:rsidRPr="007C1EDE">
          <w:rPr>
            <w:rStyle w:val="Hyperlink"/>
            <w:rFonts w:ascii="Arial" w:hAnsi="Arial" w:cs="Arial"/>
            <w:color w:val="auto"/>
            <w:u w:val="none"/>
          </w:rPr>
          <w:t>https://www.ojjdp.gov/ojstatbb/crime/qa05101.asp</w:t>
        </w:r>
      </w:hyperlink>
      <w:r w:rsidRPr="007C1EDE">
        <w:rPr>
          <w:rStyle w:val="Hyperlink"/>
          <w:rFonts w:ascii="Arial" w:hAnsi="Arial" w:cs="Arial"/>
          <w:color w:val="auto"/>
          <w:u w:val="none"/>
        </w:rPr>
        <w:t xml:space="preserve"> </w:t>
      </w:r>
    </w:p>
  </w:endnote>
  <w:endnote w:id="97">
    <w:p w14:paraId="2CCB6B65" w14:textId="77777777" w:rsidR="00411ECA" w:rsidRPr="007C1EDE" w:rsidRDefault="00411ECA" w:rsidP="007C1EDE">
      <w:pPr>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vertAlign w:val="superscript"/>
        </w:rPr>
        <w:t xml:space="preserve"> </w:t>
      </w:r>
      <w:r w:rsidRPr="007C1EDE">
        <w:rPr>
          <w:rFonts w:ascii="Arial" w:hAnsi="Arial" w:cs="Arial"/>
          <w:sz w:val="20"/>
          <w:szCs w:val="20"/>
        </w:rPr>
        <w:t>Ryan, C., et al</w:t>
      </w:r>
      <w:r w:rsidRPr="007C1EDE">
        <w:rPr>
          <w:rFonts w:ascii="Arial" w:hAnsi="Arial" w:cs="Arial"/>
          <w:sz w:val="20"/>
          <w:szCs w:val="20"/>
          <w:shd w:val="clear" w:color="auto" w:fill="FFFFFF"/>
        </w:rPr>
        <w:t>.</w:t>
      </w:r>
      <w:r w:rsidRPr="007C1EDE">
        <w:rPr>
          <w:rFonts w:ascii="Arial" w:hAnsi="Arial" w:cs="Arial"/>
          <w:sz w:val="20"/>
          <w:szCs w:val="20"/>
        </w:rPr>
        <w:t xml:space="preserve"> (2009). </w:t>
      </w:r>
    </w:p>
  </w:endnote>
  <w:endnote w:id="98">
    <w:p w14:paraId="12E3D8E9" w14:textId="77777777" w:rsidR="00411ECA" w:rsidRPr="007C1EDE" w:rsidRDefault="00411ECA" w:rsidP="007C1EDE">
      <w:pPr>
        <w:spacing w:after="80" w:line="240" w:lineRule="auto"/>
        <w:rPr>
          <w:rFonts w:ascii="Arial" w:eastAsia="Calibri"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lang w:val="de-DE"/>
        </w:rPr>
        <w:t xml:space="preserve"> GLSEN</w:t>
      </w:r>
      <w:r w:rsidRPr="007C1EDE">
        <w:rPr>
          <w:rFonts w:ascii="Arial" w:hAnsi="Arial" w:cs="Arial"/>
          <w:sz w:val="20"/>
          <w:szCs w:val="20"/>
        </w:rPr>
        <w:t>. (2015). “School Climates in Massachusetts.” 2015 National School Climate Survey.</w:t>
      </w:r>
    </w:p>
    <w:p w14:paraId="4A05269B" w14:textId="77777777" w:rsidR="00411ECA" w:rsidRPr="007C1EDE" w:rsidRDefault="00411ECA" w:rsidP="007C1EDE">
      <w:pPr>
        <w:spacing w:after="80" w:line="240" w:lineRule="auto"/>
        <w:rPr>
          <w:rFonts w:ascii="Arial" w:hAnsi="Arial" w:cs="Arial"/>
          <w:sz w:val="20"/>
          <w:szCs w:val="20"/>
        </w:rPr>
      </w:pPr>
      <w:r w:rsidRPr="007C1EDE">
        <w:rPr>
          <w:rFonts w:ascii="Arial" w:hAnsi="Arial" w:cs="Arial"/>
          <w:sz w:val="20"/>
          <w:szCs w:val="20"/>
        </w:rPr>
        <w:t xml:space="preserve"> </w:t>
      </w:r>
      <w:hyperlink r:id="rId25" w:history="1">
        <w:r w:rsidRPr="007C1EDE">
          <w:rPr>
            <w:rFonts w:ascii="Arial" w:hAnsi="Arial" w:cs="Arial"/>
            <w:sz w:val="20"/>
            <w:szCs w:val="20"/>
          </w:rPr>
          <w:t>https://www.glsen.org/sites/default/files/Massachusetts%20State%20Snapshot%20-%20NSCS.pdf</w:t>
        </w:r>
      </w:hyperlink>
    </w:p>
  </w:endnote>
  <w:endnote w:id="99">
    <w:p w14:paraId="42A6D87B" w14:textId="77777777" w:rsidR="00411ECA" w:rsidRPr="007C1EDE" w:rsidRDefault="00411ECA" w:rsidP="007C1EDE">
      <w:pPr>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rPr>
        <w:t xml:space="preserve"> Goodenow, C. (2016).</w:t>
      </w:r>
    </w:p>
  </w:endnote>
  <w:endnote w:id="100">
    <w:p w14:paraId="15CBCE2A" w14:textId="77777777" w:rsidR="00411ECA" w:rsidRPr="007C1EDE" w:rsidRDefault="00411ECA" w:rsidP="007C1EDE">
      <w:pPr>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lang w:val="de-DE"/>
        </w:rPr>
        <w:t xml:space="preserve"> GLSEN (</w:t>
      </w:r>
      <w:r w:rsidRPr="007C1EDE">
        <w:rPr>
          <w:rFonts w:ascii="Arial" w:hAnsi="Arial" w:cs="Arial"/>
          <w:sz w:val="20"/>
          <w:szCs w:val="20"/>
        </w:rPr>
        <w:t>2015).</w:t>
      </w:r>
    </w:p>
  </w:endnote>
  <w:endnote w:id="101">
    <w:p w14:paraId="46B0CED0" w14:textId="77777777" w:rsidR="00411ECA" w:rsidRPr="007C1EDE" w:rsidRDefault="00411ECA" w:rsidP="007C1EDE">
      <w:pPr>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rPr>
        <w:t xml:space="preserve"> </w:t>
      </w:r>
      <w:r w:rsidRPr="007C1EDE">
        <w:rPr>
          <w:rFonts w:ascii="Arial" w:hAnsi="Arial" w:cs="Arial"/>
          <w:i/>
          <w:iCs/>
          <w:sz w:val="20"/>
          <w:szCs w:val="20"/>
        </w:rPr>
        <w:t>Ibid.</w:t>
      </w:r>
    </w:p>
  </w:endnote>
  <w:endnote w:id="102">
    <w:p w14:paraId="07FAEC30" w14:textId="77777777" w:rsidR="00411ECA" w:rsidRPr="007C1EDE" w:rsidRDefault="00411ECA" w:rsidP="007C1EDE">
      <w:pPr>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rPr>
        <w:t xml:space="preserve"> </w:t>
      </w:r>
      <w:r w:rsidRPr="007C1EDE">
        <w:rPr>
          <w:rFonts w:ascii="Arial" w:hAnsi="Arial" w:cs="Arial"/>
          <w:i/>
          <w:iCs/>
          <w:sz w:val="20"/>
          <w:szCs w:val="20"/>
        </w:rPr>
        <w:t>Ibid.</w:t>
      </w:r>
    </w:p>
  </w:endnote>
  <w:endnote w:id="103">
    <w:p w14:paraId="4043B31F" w14:textId="77777777" w:rsidR="00411ECA" w:rsidRPr="007C1EDE" w:rsidRDefault="00411ECA" w:rsidP="007C1EDE">
      <w:pPr>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lang w:val="it-IT"/>
        </w:rPr>
        <w:t xml:space="preserve"> Muraco, J. A., &amp; Russell, S. T. (2011). </w:t>
      </w:r>
      <w:r w:rsidRPr="007C1EDE">
        <w:rPr>
          <w:rFonts w:ascii="Arial" w:hAnsi="Arial" w:cs="Arial"/>
          <w:sz w:val="20"/>
          <w:szCs w:val="20"/>
        </w:rPr>
        <w:t xml:space="preserve">How School Bullying Impacts Lesbian, Gay, Bisexual, and Transgender (LGBT) Young Adults. Tucson, AZ: The University of Arizona. Retrieved from </w:t>
      </w:r>
      <w:hyperlink r:id="rId26" w:history="1">
        <w:r w:rsidRPr="007C1EDE">
          <w:rPr>
            <w:rStyle w:val="Hyperlink"/>
            <w:rFonts w:ascii="Arial" w:hAnsi="Arial" w:cs="Arial"/>
            <w:color w:val="auto"/>
            <w:sz w:val="20"/>
            <w:szCs w:val="20"/>
            <w:u w:val="none"/>
          </w:rPr>
          <w:t>https://mcclellandinstitute.arizona.edu/sites/mcclellandinstitute.arizona.edu/files/ResearchLink_Vol.%204%20No.%201_Bullying.pdf</w:t>
        </w:r>
      </w:hyperlink>
      <w:r w:rsidRPr="007C1EDE">
        <w:rPr>
          <w:rFonts w:ascii="Arial" w:hAnsi="Arial" w:cs="Arial"/>
          <w:sz w:val="20"/>
          <w:szCs w:val="20"/>
        </w:rPr>
        <w:t xml:space="preserve">  </w:t>
      </w:r>
    </w:p>
  </w:endnote>
  <w:endnote w:id="104">
    <w:p w14:paraId="003B8342" w14:textId="77777777" w:rsidR="00411ECA" w:rsidRPr="007C1EDE" w:rsidRDefault="00411ECA" w:rsidP="007C1EDE">
      <w:pPr>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lang w:val="de-DE"/>
        </w:rPr>
        <w:t xml:space="preserve"> GLSEN (2015).</w:t>
      </w:r>
    </w:p>
  </w:endnote>
  <w:endnote w:id="105">
    <w:p w14:paraId="06272A09" w14:textId="77777777" w:rsidR="00411ECA" w:rsidRPr="007C1EDE" w:rsidRDefault="00411ECA" w:rsidP="007C1EDE">
      <w:pPr>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rPr>
        <w:t xml:space="preserve"> Goodenow, C. (2016).</w:t>
      </w:r>
    </w:p>
  </w:endnote>
  <w:endnote w:id="106">
    <w:p w14:paraId="27845172" w14:textId="77777777" w:rsidR="00411ECA" w:rsidRPr="007C1EDE" w:rsidRDefault="00411ECA" w:rsidP="007C1EDE">
      <w:pPr>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rPr>
        <w:t xml:space="preserve"> Himmelstein, K. E. W., &amp; Brückner, H. (2011). Criminal-Justice and School Sanctions Against Non-heterosexual Youth: A National Longitudinal Study. </w:t>
      </w:r>
      <w:r w:rsidRPr="007C1EDE">
        <w:rPr>
          <w:rFonts w:ascii="Arial" w:hAnsi="Arial" w:cs="Arial"/>
          <w:i/>
          <w:sz w:val="20"/>
          <w:szCs w:val="20"/>
        </w:rPr>
        <w:t>Pediatrics, 127(</w:t>
      </w:r>
      <w:r w:rsidRPr="007C1EDE">
        <w:rPr>
          <w:rFonts w:ascii="Arial" w:hAnsi="Arial" w:cs="Arial"/>
          <w:sz w:val="20"/>
          <w:szCs w:val="20"/>
        </w:rPr>
        <w:t>1): 49-57.</w:t>
      </w:r>
    </w:p>
  </w:endnote>
  <w:endnote w:id="107">
    <w:p w14:paraId="1A3550C7" w14:textId="77777777" w:rsidR="00411ECA" w:rsidRPr="007C1EDE" w:rsidRDefault="00411ECA" w:rsidP="007C1EDE">
      <w:pPr>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lang w:val="pt-PT"/>
        </w:rPr>
        <w:t xml:space="preserve"> Lambda Legal. (2016, January 7). </w:t>
      </w:r>
      <w:r w:rsidRPr="007C1EDE">
        <w:rPr>
          <w:rFonts w:ascii="Arial" w:hAnsi="Arial" w:cs="Arial"/>
          <w:sz w:val="20"/>
          <w:szCs w:val="20"/>
        </w:rPr>
        <w:t xml:space="preserve">Protected and Served? School Security, Policing and Discipline. Retrieved from </w:t>
      </w:r>
      <w:hyperlink r:id="rId27" w:history="1">
        <w:r w:rsidRPr="007C1EDE">
          <w:rPr>
            <w:rStyle w:val="Hyperlink"/>
            <w:rFonts w:ascii="Arial" w:hAnsi="Arial" w:cs="Arial"/>
            <w:color w:val="auto"/>
            <w:sz w:val="20"/>
            <w:szCs w:val="20"/>
            <w:u w:val="none"/>
          </w:rPr>
          <w:t>http://www.lambdalegal.org/protected-and-served/schools</w:t>
        </w:r>
      </w:hyperlink>
      <w:r w:rsidRPr="007C1EDE">
        <w:rPr>
          <w:rFonts w:ascii="Arial" w:hAnsi="Arial" w:cs="Arial"/>
          <w:sz w:val="20"/>
          <w:szCs w:val="20"/>
        </w:rPr>
        <w:t xml:space="preserve"> </w:t>
      </w:r>
    </w:p>
  </w:endnote>
  <w:endnote w:id="108">
    <w:p w14:paraId="0A68A518" w14:textId="77777777" w:rsidR="00411ECA" w:rsidRPr="007C1EDE" w:rsidRDefault="00411ECA" w:rsidP="007C1EDE">
      <w:pPr>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lang w:val="pt-PT"/>
        </w:rPr>
        <w:t xml:space="preserve"> </w:t>
      </w:r>
      <w:r w:rsidRPr="007C1EDE">
        <w:rPr>
          <w:rFonts w:ascii="Arial" w:hAnsi="Arial" w:cs="Arial"/>
          <w:i/>
          <w:sz w:val="20"/>
          <w:szCs w:val="20"/>
          <w:lang w:val="pt-PT"/>
        </w:rPr>
        <w:t>Ibid.</w:t>
      </w:r>
      <w:r w:rsidRPr="007C1EDE">
        <w:rPr>
          <w:rFonts w:ascii="Arial" w:hAnsi="Arial" w:cs="Arial"/>
          <w:sz w:val="20"/>
          <w:szCs w:val="20"/>
        </w:rPr>
        <w:t xml:space="preserve"> </w:t>
      </w:r>
    </w:p>
  </w:endnote>
  <w:endnote w:id="109">
    <w:p w14:paraId="6B924DCA" w14:textId="77777777" w:rsidR="00411ECA" w:rsidRPr="007C1EDE" w:rsidRDefault="00411ECA" w:rsidP="007C1EDE">
      <w:pPr>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rPr>
        <w:t xml:space="preserve"> </w:t>
      </w:r>
      <w:r w:rsidRPr="007C1EDE">
        <w:rPr>
          <w:rFonts w:ascii="Arial" w:hAnsi="Arial" w:cs="Arial"/>
          <w:sz w:val="20"/>
          <w:szCs w:val="20"/>
          <w:lang w:val="de-DE"/>
        </w:rPr>
        <w:t>GLSEN. (2015).</w:t>
      </w:r>
    </w:p>
  </w:endnote>
  <w:endnote w:id="110">
    <w:p w14:paraId="66BF2C30" w14:textId="77777777" w:rsidR="00411ECA" w:rsidRPr="007C1EDE" w:rsidRDefault="00411ECA" w:rsidP="007C1EDE">
      <w:pPr>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lang w:val="de-DE"/>
        </w:rPr>
        <w:t xml:space="preserve"> GLSEN. (2016). </w:t>
      </w:r>
      <w:r w:rsidRPr="007C1EDE">
        <w:rPr>
          <w:rFonts w:ascii="Arial" w:hAnsi="Arial" w:cs="Arial"/>
          <w:sz w:val="20"/>
          <w:szCs w:val="20"/>
        </w:rPr>
        <w:t xml:space="preserve">Educational Exclusion: Drop Out, Push Out, and School-to-Prison Pipeline among LGBTQ Youth. Retrieved from </w:t>
      </w:r>
      <w:hyperlink r:id="rId28" w:history="1">
        <w:r w:rsidRPr="007C1EDE">
          <w:rPr>
            <w:rStyle w:val="Hyperlink"/>
            <w:rFonts w:ascii="Arial" w:hAnsi="Arial" w:cs="Arial"/>
            <w:color w:val="auto"/>
            <w:sz w:val="20"/>
            <w:szCs w:val="20"/>
            <w:u w:val="none"/>
          </w:rPr>
          <w:t>https://www.glsen.org/sites/default/files/Educational%20Exclusion_Report_6-28-16_v4_WEB_READY_PDF.pdf</w:t>
        </w:r>
      </w:hyperlink>
      <w:r w:rsidRPr="007C1EDE">
        <w:rPr>
          <w:rFonts w:ascii="Arial" w:hAnsi="Arial" w:cs="Arial"/>
          <w:sz w:val="20"/>
          <w:szCs w:val="20"/>
        </w:rPr>
        <w:t xml:space="preserve"> </w:t>
      </w:r>
    </w:p>
  </w:endnote>
  <w:endnote w:id="111">
    <w:p w14:paraId="4F0F21F3" w14:textId="77777777" w:rsidR="00411ECA" w:rsidRPr="007C1EDE" w:rsidRDefault="00411ECA" w:rsidP="007C1EDE">
      <w:pPr>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rPr>
        <w:t xml:space="preserve"> </w:t>
      </w:r>
      <w:r w:rsidRPr="007C1EDE">
        <w:rPr>
          <w:rFonts w:ascii="Arial" w:hAnsi="Arial" w:cs="Arial"/>
          <w:sz w:val="20"/>
          <w:szCs w:val="20"/>
          <w:lang w:val="de-DE"/>
        </w:rPr>
        <w:t>GLSEN. (2015).</w:t>
      </w:r>
    </w:p>
  </w:endnote>
  <w:endnote w:id="112">
    <w:p w14:paraId="1296526E" w14:textId="77777777" w:rsidR="00411ECA" w:rsidRPr="007C1EDE" w:rsidRDefault="00411ECA" w:rsidP="007C1EDE">
      <w:pPr>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rPr>
        <w:t xml:space="preserve"> Sum, A., et al. (2009). The Consequences of Dropping Out of High School: Joblessness and Jailing for High School Dropouts and the High Cost for Taxpayers. Boston, Massachusetts: Center for Labor Market Studies, Northeastern University. Retrieved from </w:t>
      </w:r>
      <w:hyperlink r:id="rId29" w:history="1">
        <w:r w:rsidRPr="007C1EDE">
          <w:rPr>
            <w:rStyle w:val="Hyperlink"/>
            <w:rFonts w:ascii="Arial" w:hAnsi="Arial" w:cs="Arial"/>
            <w:color w:val="auto"/>
            <w:sz w:val="20"/>
            <w:szCs w:val="20"/>
            <w:u w:val="none"/>
          </w:rPr>
          <w:t>http://www.northeastern.edu/clms/wp-content/uploads/The_Consequences_of_Dropping_Out_of_High_School.pdf</w:t>
        </w:r>
      </w:hyperlink>
      <w:r w:rsidRPr="007C1EDE">
        <w:rPr>
          <w:rFonts w:ascii="Arial" w:hAnsi="Arial" w:cs="Arial"/>
          <w:sz w:val="20"/>
          <w:szCs w:val="20"/>
        </w:rPr>
        <w:t xml:space="preserve"> </w:t>
      </w:r>
    </w:p>
  </w:endnote>
  <w:endnote w:id="113">
    <w:p w14:paraId="2BE4EFB3" w14:textId="77777777" w:rsidR="00411ECA" w:rsidRPr="007C1EDE" w:rsidRDefault="00411ECA" w:rsidP="007C1EDE">
      <w:pPr>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rPr>
        <w:t xml:space="preserve"> Goodenow, C. (2016).</w:t>
      </w:r>
    </w:p>
  </w:endnote>
  <w:endnote w:id="114">
    <w:p w14:paraId="08CC602D" w14:textId="77777777" w:rsidR="00411ECA" w:rsidRPr="007C1EDE" w:rsidRDefault="00411ECA" w:rsidP="007C1EDE">
      <w:pPr>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rPr>
        <w:t xml:space="preserve"> Kann, L., et al. (2016, August 12). Sexual Identity, Sex of Sexual Contacts, and Health-Related Behaviors Among Students in Grades 9–12—United States and Selected Sites, 2015. </w:t>
      </w:r>
      <w:r w:rsidRPr="007C1EDE">
        <w:rPr>
          <w:rFonts w:ascii="Arial" w:hAnsi="Arial" w:cs="Arial"/>
          <w:i/>
          <w:sz w:val="20"/>
          <w:szCs w:val="20"/>
        </w:rPr>
        <w:t>Surveillance Summaries, 65</w:t>
      </w:r>
      <w:r w:rsidRPr="007C1EDE">
        <w:rPr>
          <w:rFonts w:ascii="Arial" w:hAnsi="Arial" w:cs="Arial"/>
          <w:sz w:val="20"/>
          <w:szCs w:val="20"/>
        </w:rPr>
        <w:t xml:space="preserve">(9): 1-202. Retrieved from </w:t>
      </w:r>
      <w:hyperlink r:id="rId30" w:history="1">
        <w:r w:rsidRPr="007C1EDE">
          <w:rPr>
            <w:rStyle w:val="Hyperlink"/>
            <w:rFonts w:ascii="Arial" w:hAnsi="Arial" w:cs="Arial"/>
            <w:color w:val="auto"/>
            <w:sz w:val="20"/>
            <w:szCs w:val="20"/>
            <w:u w:val="none"/>
          </w:rPr>
          <w:t>https://www.cdc.gov/mmwr/volumes/65/ss/ss6509a1.htm</w:t>
        </w:r>
      </w:hyperlink>
      <w:r w:rsidRPr="007C1EDE">
        <w:rPr>
          <w:rFonts w:ascii="Arial" w:hAnsi="Arial" w:cs="Arial"/>
          <w:sz w:val="20"/>
          <w:szCs w:val="20"/>
        </w:rPr>
        <w:t xml:space="preserve">  </w:t>
      </w:r>
    </w:p>
  </w:endnote>
  <w:endnote w:id="115">
    <w:p w14:paraId="23925007" w14:textId="77777777" w:rsidR="00411ECA" w:rsidRPr="007C1EDE" w:rsidRDefault="00411ECA" w:rsidP="007C1EDE">
      <w:pPr>
        <w:spacing w:after="80" w:line="240" w:lineRule="auto"/>
        <w:rPr>
          <w:rFonts w:ascii="Arial" w:hAnsi="Arial" w:cs="Arial"/>
          <w:i/>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rPr>
        <w:t xml:space="preserve"> GLSEN. (2014). The 2013 National School Climate Survey. Retrieved from </w:t>
      </w:r>
      <w:hyperlink r:id="rId31" w:history="1">
        <w:r w:rsidRPr="007C1EDE">
          <w:rPr>
            <w:rStyle w:val="Hyperlink"/>
            <w:rFonts w:ascii="Arial" w:hAnsi="Arial" w:cs="Arial"/>
            <w:color w:val="auto"/>
            <w:sz w:val="20"/>
            <w:szCs w:val="20"/>
            <w:u w:val="none"/>
          </w:rPr>
          <w:t>https://www.glsen.org/</w:t>
        </w:r>
        <w:r w:rsidRPr="007C1EDE">
          <w:rPr>
            <w:rStyle w:val="Hyperlink"/>
            <w:rFonts w:ascii="Arial" w:hAnsi="Arial" w:cs="Arial"/>
            <w:color w:val="auto"/>
            <w:sz w:val="20"/>
            <w:szCs w:val="20"/>
            <w:u w:val="none"/>
          </w:rPr>
          <w:br/>
          <w:t>sites/default/files/2013%20National%20School%20Climate%20Survey%20Full%20Report_0.pdf</w:t>
        </w:r>
      </w:hyperlink>
    </w:p>
  </w:endnote>
  <w:endnote w:id="116">
    <w:p w14:paraId="3F14E06E" w14:textId="77777777" w:rsidR="00411ECA" w:rsidRPr="007C1EDE" w:rsidRDefault="00411ECA" w:rsidP="007C1EDE">
      <w:pPr>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rPr>
        <w:t xml:space="preserve"> Kann, L., et al. (2016).</w:t>
      </w:r>
    </w:p>
  </w:endnote>
  <w:endnote w:id="117">
    <w:p w14:paraId="1EF2A52B" w14:textId="4CB4BB3E" w:rsidR="00411ECA" w:rsidRPr="007C1EDE" w:rsidRDefault="00411ECA" w:rsidP="007C1EDE">
      <w:pPr>
        <w:pStyle w:val="Heading2"/>
        <w:spacing w:before="0" w:after="80" w:line="240" w:lineRule="auto"/>
        <w:rPr>
          <w:rFonts w:cs="Arial"/>
          <w:b w:val="0"/>
          <w:color w:val="auto"/>
          <w:sz w:val="20"/>
          <w:szCs w:val="20"/>
        </w:rPr>
      </w:pPr>
      <w:r w:rsidRPr="007C1EDE">
        <w:rPr>
          <w:rFonts w:eastAsia="Calibri" w:cs="Arial"/>
          <w:b w:val="0"/>
          <w:color w:val="auto"/>
          <w:sz w:val="20"/>
          <w:szCs w:val="20"/>
          <w:vertAlign w:val="superscript"/>
        </w:rPr>
        <w:endnoteRef/>
      </w:r>
      <w:r w:rsidRPr="007C1EDE">
        <w:rPr>
          <w:rFonts w:cs="Arial"/>
          <w:b w:val="0"/>
          <w:color w:val="auto"/>
          <w:sz w:val="20"/>
          <w:szCs w:val="20"/>
        </w:rPr>
        <w:t xml:space="preserve"> Painter, G. (2004). The Sensibilities of Our Forefathers: The History of Sodomy Laws in the United States – Massachusetts. Retrieved from </w:t>
      </w:r>
      <w:hyperlink r:id="rId32" w:history="1">
        <w:r w:rsidRPr="007C1EDE">
          <w:rPr>
            <w:rStyle w:val="Hyperlink"/>
            <w:rFonts w:cs="Arial"/>
            <w:b w:val="0"/>
            <w:color w:val="auto"/>
            <w:sz w:val="20"/>
            <w:szCs w:val="20"/>
            <w:u w:val="none"/>
          </w:rPr>
          <w:t>http://www.glapn.org/sodomylaws/sensibilities/massachusetts.htm</w:t>
        </w:r>
      </w:hyperlink>
      <w:r w:rsidRPr="007C1EDE">
        <w:rPr>
          <w:rStyle w:val="Hyperlink"/>
          <w:rFonts w:cs="Arial"/>
          <w:b w:val="0"/>
          <w:color w:val="auto"/>
          <w:sz w:val="20"/>
          <w:szCs w:val="20"/>
          <w:u w:val="none"/>
        </w:rPr>
        <w:t xml:space="preserve"> </w:t>
      </w:r>
    </w:p>
  </w:endnote>
  <w:endnote w:id="118">
    <w:p w14:paraId="5680D01A" w14:textId="77777777" w:rsidR="00411ECA" w:rsidRPr="007C1EDE" w:rsidRDefault="00411ECA" w:rsidP="007C1EDE">
      <w:pPr>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rPr>
        <w:t xml:space="preserve"> Salerno, J. M., Murphy, M. C., &amp; Bottoms, B. L. (2014). Give the Kid a Break—but Only If He’s Straight: Retributive Motives Drive Biases Against Gay Youth in Ambiguous Punishment Contexts. </w:t>
      </w:r>
      <w:r w:rsidRPr="007C1EDE">
        <w:rPr>
          <w:rFonts w:ascii="Arial" w:hAnsi="Arial" w:cs="Arial"/>
          <w:i/>
          <w:iCs/>
          <w:sz w:val="20"/>
          <w:szCs w:val="20"/>
        </w:rPr>
        <w:t xml:space="preserve">Psychology, Public Policy, and Law. </w:t>
      </w:r>
      <w:r w:rsidRPr="007C1EDE">
        <w:rPr>
          <w:rFonts w:ascii="Arial" w:hAnsi="Arial" w:cs="Arial"/>
          <w:i/>
          <w:sz w:val="20"/>
          <w:szCs w:val="20"/>
        </w:rPr>
        <w:t>20</w:t>
      </w:r>
      <w:r w:rsidRPr="007C1EDE">
        <w:rPr>
          <w:rFonts w:ascii="Arial" w:hAnsi="Arial" w:cs="Arial"/>
          <w:sz w:val="20"/>
          <w:szCs w:val="20"/>
        </w:rPr>
        <w:t>(4): 398–410.</w:t>
      </w:r>
    </w:p>
  </w:endnote>
  <w:endnote w:id="119">
    <w:p w14:paraId="26BC6397"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Citizens for Juvenile Justice. (2017). Decriminalizing Consensual Adolescent Sexual Activity. Retrieved from </w:t>
      </w:r>
      <w:hyperlink r:id="rId33" w:history="1">
        <w:r w:rsidRPr="007C1EDE">
          <w:rPr>
            <w:rStyle w:val="Hyperlink"/>
            <w:rFonts w:ascii="Arial" w:hAnsi="Arial" w:cs="Arial"/>
            <w:color w:val="auto"/>
            <w:u w:val="none"/>
          </w:rPr>
          <w:t>https://static1.squarespace.com/static/58ea378e414fb5fae5ba06c7/t/5907e36a9de4bbccbb46732b/1493689195189/FACTSHEET-RomeoJuliet2017.pdf</w:t>
        </w:r>
      </w:hyperlink>
      <w:r w:rsidRPr="007C1EDE">
        <w:rPr>
          <w:rFonts w:ascii="Arial" w:hAnsi="Arial" w:cs="Arial"/>
        </w:rPr>
        <w:t xml:space="preserve"> </w:t>
      </w:r>
    </w:p>
  </w:endnote>
  <w:endnote w:id="120">
    <w:p w14:paraId="24457225"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Massachusetts Coalition for Juvenile Justice Reform. (2017). Testimony to the Joint Committee on the Judiciary in support of “An Act Relative to Consensual Adolescent Sexual Activity” (H.3065) [unpublished].</w:t>
      </w:r>
    </w:p>
  </w:endnote>
  <w:endnote w:id="121">
    <w:p w14:paraId="1738CA90" w14:textId="77777777" w:rsidR="00411ECA" w:rsidRPr="007C1EDE" w:rsidRDefault="00411ECA" w:rsidP="007C1EDE">
      <w:pPr>
        <w:pStyle w:val="NormalWeb"/>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rPr>
        <w:t xml:space="preserve"> MASS. GEN. LAWS ch. 265, § 22B(f) (2016), as interpreted by: </w:t>
      </w:r>
      <w:r w:rsidRPr="007C1EDE">
        <w:rPr>
          <w:rFonts w:ascii="Arial" w:hAnsi="Arial" w:cs="Arial"/>
          <w:i/>
          <w:sz w:val="20"/>
          <w:szCs w:val="20"/>
        </w:rPr>
        <w:t>HIV Criminalization in the United States: A Sourcebook on State and Federal HIV Criminal Law and Practice – Massachusetts</w:t>
      </w:r>
      <w:r w:rsidRPr="007C1EDE">
        <w:rPr>
          <w:rFonts w:ascii="Arial" w:hAnsi="Arial" w:cs="Arial"/>
          <w:sz w:val="20"/>
          <w:szCs w:val="20"/>
        </w:rPr>
        <w:t>. (2017). New York, NY: The Center for HIV Law and Policy.</w:t>
      </w:r>
    </w:p>
  </w:endnote>
  <w:endnote w:id="122">
    <w:p w14:paraId="78BFB6F9" w14:textId="77777777" w:rsidR="00411ECA" w:rsidRPr="007C1EDE" w:rsidRDefault="00411ECA" w:rsidP="007C1EDE">
      <w:pPr>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rPr>
        <w:t xml:space="preserve"> Himmelstein, K. E. W. </w:t>
      </w:r>
      <w:r w:rsidRPr="007C1EDE">
        <w:rPr>
          <w:rFonts w:ascii="Arial" w:hAnsi="Arial" w:cs="Arial"/>
          <w:i/>
          <w:sz w:val="20"/>
          <w:szCs w:val="20"/>
        </w:rPr>
        <w:t>et al</w:t>
      </w:r>
      <w:r w:rsidRPr="007C1EDE">
        <w:rPr>
          <w:rFonts w:ascii="Arial" w:hAnsi="Arial" w:cs="Arial"/>
          <w:sz w:val="20"/>
          <w:szCs w:val="20"/>
        </w:rPr>
        <w:t xml:space="preserve">. (2011). </w:t>
      </w:r>
    </w:p>
  </w:endnote>
  <w:endnote w:id="123">
    <w:p w14:paraId="6DDB654A" w14:textId="77777777" w:rsidR="00411ECA" w:rsidRPr="007C1EDE" w:rsidRDefault="00411ECA" w:rsidP="007C1EDE">
      <w:pPr>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rPr>
        <w:t xml:space="preserve"> Irvine, A. (2011). LGBT Kids in the Prison Pipeline. The Public Intellectual. Retrieved from </w:t>
      </w:r>
      <w:hyperlink r:id="rId34" w:history="1">
        <w:r w:rsidRPr="007C1EDE">
          <w:rPr>
            <w:rStyle w:val="Hyperlink"/>
            <w:rFonts w:ascii="Arial" w:hAnsi="Arial" w:cs="Arial"/>
            <w:color w:val="auto"/>
            <w:sz w:val="20"/>
            <w:szCs w:val="20"/>
            <w:u w:val="none"/>
          </w:rPr>
          <w:t>http://thepublicintellectual.org/2011/05/02/lgbt-kids-in-the-school-to-prison-pipeline/</w:t>
        </w:r>
      </w:hyperlink>
      <w:r w:rsidRPr="007C1EDE">
        <w:rPr>
          <w:rFonts w:ascii="Arial" w:hAnsi="Arial" w:cs="Arial"/>
          <w:sz w:val="20"/>
          <w:szCs w:val="20"/>
        </w:rPr>
        <w:t xml:space="preserve"> </w:t>
      </w:r>
    </w:p>
  </w:endnote>
  <w:endnote w:id="124">
    <w:p w14:paraId="14C9CB63" w14:textId="77777777" w:rsidR="00411ECA" w:rsidRPr="007C1EDE" w:rsidRDefault="00411ECA" w:rsidP="007C1EDE">
      <w:pPr>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rPr>
        <w:t xml:space="preserve"> Crenshaw, K. W., Oceans, P., &amp; Nanda, J. (2015). Black Girls Matter: Pushed Out, Overpoliced and Underprotected. New York: African American Policy Forum and the Center for Intersectionality and Social Policy Studies at Columbia Law School.</w:t>
      </w:r>
    </w:p>
  </w:endnote>
  <w:endnote w:id="125">
    <w:p w14:paraId="1C8C400D" w14:textId="77777777" w:rsidR="00411ECA" w:rsidRPr="007C1EDE" w:rsidRDefault="00411ECA" w:rsidP="007C1EDE">
      <w:pPr>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rPr>
        <w:t xml:space="preserve"> The National Council on Crime &amp; Delinquency with BreakOUT! (2014). We Deserve Better: A Report on Policing in New Orleans By and For Queer and Trans Youth of Color. Retrieved from </w:t>
      </w:r>
      <w:hyperlink r:id="rId35" w:history="1">
        <w:r w:rsidRPr="007C1EDE">
          <w:rPr>
            <w:rStyle w:val="Hyperlink"/>
            <w:rFonts w:ascii="Arial" w:hAnsi="Arial" w:cs="Arial"/>
            <w:color w:val="auto"/>
            <w:sz w:val="20"/>
            <w:szCs w:val="20"/>
            <w:u w:val="none"/>
          </w:rPr>
          <w:t>https://www.nccdglobal.org/newsroom/news-of-interest/we-deserve-better-report-policing-new-orleans-and-queer-and-trans-youth</w:t>
        </w:r>
      </w:hyperlink>
      <w:r w:rsidRPr="007C1EDE">
        <w:rPr>
          <w:rFonts w:ascii="Arial" w:hAnsi="Arial" w:cs="Arial"/>
          <w:sz w:val="20"/>
          <w:szCs w:val="20"/>
        </w:rPr>
        <w:t xml:space="preserve">  </w:t>
      </w:r>
    </w:p>
  </w:endnote>
  <w:endnote w:id="126">
    <w:p w14:paraId="4B81F735" w14:textId="77777777" w:rsidR="00411ECA" w:rsidRPr="007C1EDE" w:rsidRDefault="00411ECA" w:rsidP="007C1EDE">
      <w:pPr>
        <w:pStyle w:val="NormalWeb"/>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vertAlign w:val="superscript"/>
        </w:rPr>
        <w:t xml:space="preserve"> </w:t>
      </w:r>
      <w:r w:rsidRPr="007C1EDE">
        <w:rPr>
          <w:rFonts w:ascii="Arial" w:hAnsi="Arial" w:cs="Arial"/>
          <w:sz w:val="20"/>
          <w:szCs w:val="20"/>
        </w:rPr>
        <w:t xml:space="preserve">Waters, E. (2016). Lesbian, Gay, Bisexual, Transgender, Queer, and HIV-A ected Hate Violence in 2016. New York, NY: National Coalition of Anti-Violence Programs (NCAVP). Retrieved from </w:t>
      </w:r>
      <w:hyperlink r:id="rId36" w:history="1">
        <w:r w:rsidRPr="007C1EDE">
          <w:rPr>
            <w:rStyle w:val="Hyperlink"/>
            <w:rFonts w:ascii="Arial" w:hAnsi="Arial" w:cs="Arial"/>
            <w:color w:val="auto"/>
            <w:sz w:val="20"/>
            <w:szCs w:val="20"/>
            <w:u w:val="none"/>
          </w:rPr>
          <w:t>http://avp.org/wp-content/uploads/2017/06/NCAVP_2016HateViolence_REPORT.pdf</w:t>
        </w:r>
      </w:hyperlink>
      <w:r w:rsidRPr="007C1EDE">
        <w:rPr>
          <w:rStyle w:val="Hyperlink"/>
          <w:rFonts w:ascii="Arial" w:hAnsi="Arial" w:cs="Arial"/>
          <w:color w:val="auto"/>
          <w:sz w:val="20"/>
          <w:szCs w:val="20"/>
          <w:u w:val="none"/>
        </w:rPr>
        <w:t xml:space="preserve"> </w:t>
      </w:r>
    </w:p>
  </w:endnote>
  <w:endnote w:id="127">
    <w:p w14:paraId="53F586D7" w14:textId="77777777" w:rsidR="00411ECA" w:rsidRPr="007C1EDE" w:rsidRDefault="00411ECA" w:rsidP="007C1EDE">
      <w:pPr>
        <w:pStyle w:val="EndnoteText"/>
        <w:spacing w:after="80"/>
        <w:rPr>
          <w:rFonts w:ascii="Arial" w:hAnsi="Arial" w:cs="Arial"/>
          <w:i/>
        </w:rPr>
      </w:pPr>
      <w:r w:rsidRPr="007C1EDE">
        <w:rPr>
          <w:rStyle w:val="EndnoteReference"/>
          <w:rFonts w:ascii="Arial" w:hAnsi="Arial" w:cs="Arial"/>
        </w:rPr>
        <w:endnoteRef/>
      </w:r>
      <w:r w:rsidRPr="007C1EDE">
        <w:rPr>
          <w:rFonts w:ascii="Arial" w:hAnsi="Arial" w:cs="Arial"/>
        </w:rPr>
        <w:t xml:space="preserve"> </w:t>
      </w:r>
      <w:r w:rsidRPr="007C1EDE">
        <w:rPr>
          <w:rFonts w:ascii="Arial" w:hAnsi="Arial" w:cs="Arial"/>
          <w:i/>
        </w:rPr>
        <w:t>Ibid.</w:t>
      </w:r>
    </w:p>
  </w:endnote>
  <w:endnote w:id="128">
    <w:p w14:paraId="0D42D71A" w14:textId="77777777" w:rsidR="00411ECA" w:rsidRPr="007C1EDE" w:rsidRDefault="00411ECA" w:rsidP="007C1EDE">
      <w:pPr>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vertAlign w:val="superscript"/>
        </w:rPr>
        <w:t xml:space="preserve"> </w:t>
      </w:r>
      <w:r w:rsidRPr="007C1EDE">
        <w:rPr>
          <w:rFonts w:ascii="Arial" w:hAnsi="Arial" w:cs="Arial"/>
          <w:sz w:val="20"/>
          <w:szCs w:val="20"/>
        </w:rPr>
        <w:t>Wilson, B. D. M., et al. (2017).</w:t>
      </w:r>
      <w:r w:rsidRPr="007C1EDE">
        <w:rPr>
          <w:rFonts w:ascii="Arial" w:hAnsi="Arial" w:cs="Arial"/>
          <w:sz w:val="20"/>
          <w:szCs w:val="20"/>
        </w:rPr>
        <w:tab/>
      </w:r>
    </w:p>
  </w:endnote>
  <w:endnote w:id="129">
    <w:p w14:paraId="5842B0A0"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National Center for Transgender Equity. (2012). LGBT People and the Prison Rape Elimination Act. Retrieved from </w:t>
      </w:r>
      <w:hyperlink r:id="rId37" w:history="1">
        <w:r w:rsidRPr="007C1EDE">
          <w:rPr>
            <w:rStyle w:val="Hyperlink"/>
            <w:rFonts w:ascii="Arial" w:hAnsi="Arial" w:cs="Arial"/>
            <w:color w:val="auto"/>
            <w:u w:val="none"/>
          </w:rPr>
          <w:t>https://transequality.org/sites/default/files/docs/resources/PREA_July2012.pdf</w:t>
        </w:r>
      </w:hyperlink>
      <w:r w:rsidRPr="007C1EDE">
        <w:rPr>
          <w:rFonts w:ascii="Arial" w:hAnsi="Arial" w:cs="Arial"/>
        </w:rPr>
        <w:t xml:space="preserve"> </w:t>
      </w:r>
    </w:p>
  </w:endnote>
  <w:endnote w:id="130">
    <w:p w14:paraId="117EBC1A" w14:textId="77777777" w:rsidR="00411ECA" w:rsidRPr="007C1EDE" w:rsidRDefault="00411ECA" w:rsidP="007C1EDE">
      <w:pPr>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vertAlign w:val="superscript"/>
        </w:rPr>
        <w:t xml:space="preserve"> </w:t>
      </w:r>
      <w:r w:rsidRPr="007C1EDE">
        <w:rPr>
          <w:rFonts w:ascii="Arial" w:hAnsi="Arial" w:cs="Arial"/>
          <w:sz w:val="20"/>
          <w:szCs w:val="20"/>
        </w:rPr>
        <w:t xml:space="preserve">U.S. Department of Justice, Office of Justice Programs, Office of Juvenile Justice and Delinquency Prevention. (2015). Sight and Sound Separation, 2014. Retrieved from </w:t>
      </w:r>
      <w:hyperlink r:id="rId38" w:history="1">
        <w:r w:rsidRPr="007C1EDE">
          <w:rPr>
            <w:rStyle w:val="Hyperlink"/>
            <w:rFonts w:ascii="Arial" w:hAnsi="Arial" w:cs="Arial"/>
            <w:color w:val="auto"/>
            <w:sz w:val="20"/>
            <w:szCs w:val="20"/>
            <w:u w:val="none"/>
          </w:rPr>
          <w:t>http://www.ojjdp.gov/ojstatbb/structure_process/qa04306.asp?qaDate=2014</w:t>
        </w:r>
      </w:hyperlink>
      <w:r w:rsidRPr="007C1EDE">
        <w:rPr>
          <w:rStyle w:val="Hyperlink"/>
          <w:rFonts w:ascii="Arial" w:hAnsi="Arial" w:cs="Arial"/>
          <w:color w:val="auto"/>
          <w:sz w:val="20"/>
          <w:szCs w:val="20"/>
          <w:u w:val="none"/>
        </w:rPr>
        <w:t xml:space="preserve"> </w:t>
      </w:r>
      <w:r w:rsidRPr="007C1EDE">
        <w:rPr>
          <w:rFonts w:ascii="Arial" w:hAnsi="Arial" w:cs="Arial"/>
          <w:sz w:val="20"/>
          <w:szCs w:val="20"/>
        </w:rPr>
        <w:t xml:space="preserve"> </w:t>
      </w:r>
    </w:p>
  </w:endnote>
  <w:endnote w:id="131">
    <w:p w14:paraId="4602D9FB" w14:textId="77777777" w:rsidR="00411ECA" w:rsidRPr="007C1EDE" w:rsidRDefault="00411ECA" w:rsidP="007C1EDE">
      <w:pPr>
        <w:spacing w:after="80" w:line="240" w:lineRule="auto"/>
        <w:rPr>
          <w:rFonts w:ascii="Arial" w:eastAsia="Calibri"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rPr>
        <w:t xml:space="preserve"> Department of Justice, Office of Juvenile Justice and Delinquency Prevention. (2017). Law Enforcement and Juvenile Crime: Estimated Number of Juvenile Arrests, 2016. </w:t>
      </w:r>
    </w:p>
  </w:endnote>
  <w:endnote w:id="132">
    <w:p w14:paraId="76715649" w14:textId="77777777" w:rsidR="00411ECA" w:rsidRPr="007C1EDE" w:rsidRDefault="00411ECA" w:rsidP="007C1EDE">
      <w:pPr>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rPr>
        <w:t xml:space="preserve"> Beck, A.J. (2015). Use of Restrictive Housing in U.S. Prisons and Jails, 2011-12. U.S. Department of Justice, Office of Justice Programs, Bureau of Justice Statistics. Retrieved from </w:t>
      </w:r>
      <w:hyperlink r:id="rId39" w:history="1">
        <w:r w:rsidRPr="007C1EDE">
          <w:rPr>
            <w:rStyle w:val="Hyperlink"/>
            <w:rFonts w:ascii="Arial" w:hAnsi="Arial" w:cs="Arial"/>
            <w:color w:val="auto"/>
            <w:sz w:val="20"/>
            <w:szCs w:val="20"/>
            <w:u w:val="none"/>
          </w:rPr>
          <w:t>https://www.bjs.gov/content/pub/pdf/urhuspj1112.pdf</w:t>
        </w:r>
      </w:hyperlink>
      <w:r w:rsidRPr="007C1EDE">
        <w:rPr>
          <w:rFonts w:ascii="Arial" w:hAnsi="Arial" w:cs="Arial"/>
          <w:sz w:val="20"/>
          <w:szCs w:val="20"/>
        </w:rPr>
        <w:t xml:space="preserve">  </w:t>
      </w:r>
    </w:p>
  </w:endnote>
  <w:endnote w:id="133">
    <w:p w14:paraId="75082222" w14:textId="77777777" w:rsidR="00411ECA" w:rsidRPr="007C1EDE" w:rsidRDefault="00411ECA" w:rsidP="007C1EDE">
      <w:pPr>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rPr>
        <w:t xml:space="preserve"> Lyndon, J., et al. (2015).</w:t>
      </w:r>
    </w:p>
  </w:endnote>
  <w:endnote w:id="134">
    <w:p w14:paraId="541256AE" w14:textId="77777777" w:rsidR="00411ECA" w:rsidRPr="007C1EDE" w:rsidRDefault="00411ECA" w:rsidP="007C1EDE">
      <w:pPr>
        <w:spacing w:after="80" w:line="240" w:lineRule="auto"/>
        <w:rPr>
          <w:rFonts w:ascii="Arial" w:eastAsia="Calibri"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rPr>
        <w:t xml:space="preserve"> Act 4 Juvenile Justice. (2014). Fact Sheet: Jail Removal and Sight &amp; South Core Protections. Retrieved from </w:t>
      </w:r>
      <w:hyperlink r:id="rId40" w:history="1">
        <w:r w:rsidRPr="007C1EDE">
          <w:rPr>
            <w:rStyle w:val="Hyperlink"/>
            <w:rFonts w:ascii="Arial" w:hAnsi="Arial" w:cs="Arial"/>
            <w:color w:val="auto"/>
            <w:sz w:val="20"/>
            <w:szCs w:val="20"/>
            <w:u w:val="none"/>
          </w:rPr>
          <w:t>https://www.act4jj.org/sites/default/files/ckfinder/files/ACT4JJ%20Core%20Protection%20Jail%20Removal%20and%20Sight%20Sound%20Aug%202014%20FINAL.pdf</w:t>
        </w:r>
      </w:hyperlink>
      <w:r w:rsidRPr="007C1EDE">
        <w:rPr>
          <w:rFonts w:ascii="Arial" w:hAnsi="Arial" w:cs="Arial"/>
          <w:sz w:val="20"/>
          <w:szCs w:val="20"/>
        </w:rPr>
        <w:t xml:space="preserve"> </w:t>
      </w:r>
    </w:p>
  </w:endnote>
  <w:endnote w:id="135">
    <w:p w14:paraId="5E943371" w14:textId="77777777" w:rsidR="00411ECA" w:rsidRPr="007C1EDE" w:rsidRDefault="00411ECA" w:rsidP="007C1EDE">
      <w:pPr>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vertAlign w:val="superscript"/>
        </w:rPr>
        <w:t xml:space="preserve"> </w:t>
      </w:r>
      <w:r w:rsidRPr="007C1EDE">
        <w:rPr>
          <w:rFonts w:ascii="Arial" w:hAnsi="Arial" w:cs="Arial"/>
          <w:sz w:val="20"/>
          <w:szCs w:val="20"/>
        </w:rPr>
        <w:t xml:space="preserve">U.S. Department of Justice, Office of Justice Programs, Bureau of Justice Statistics. (2016). PREA Data Collection Activities, 2016. Retrieved from </w:t>
      </w:r>
      <w:hyperlink r:id="rId41" w:history="1">
        <w:r w:rsidRPr="007C1EDE">
          <w:rPr>
            <w:rFonts w:ascii="Arial" w:hAnsi="Arial" w:cs="Arial"/>
            <w:sz w:val="20"/>
            <w:szCs w:val="20"/>
          </w:rPr>
          <w:t>https://www.bjs.gov/content/pub/pdf/pdca16.pdf</w:t>
        </w:r>
      </w:hyperlink>
      <w:r w:rsidRPr="007C1EDE">
        <w:rPr>
          <w:rFonts w:ascii="Arial" w:hAnsi="Arial" w:cs="Arial"/>
          <w:sz w:val="20"/>
          <w:szCs w:val="20"/>
        </w:rPr>
        <w:t xml:space="preserve"> </w:t>
      </w:r>
    </w:p>
  </w:endnote>
  <w:endnote w:id="136">
    <w:p w14:paraId="768654E8" w14:textId="77777777" w:rsidR="00411ECA" w:rsidRPr="007C1EDE" w:rsidRDefault="00411ECA" w:rsidP="007C1EDE">
      <w:pPr>
        <w:pStyle w:val="NormalWeb"/>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rPr>
        <w:t xml:space="preserve"> Jenness, V., Maxson, C. L., Matsuda, K. N., &amp; Sumner, J. M. (2007). Violence in California Correctional Facilities: An Empirical Examination of Sexual Assault. Irvine, California: Center for Evidence-Based Corrections at UCI. Retrieved from </w:t>
      </w:r>
      <w:hyperlink r:id="rId42" w:history="1">
        <w:r w:rsidRPr="007C1EDE">
          <w:rPr>
            <w:rStyle w:val="Hyperlink"/>
            <w:rFonts w:ascii="Arial" w:hAnsi="Arial" w:cs="Arial"/>
            <w:color w:val="auto"/>
            <w:sz w:val="20"/>
            <w:szCs w:val="20"/>
            <w:u w:val="none"/>
          </w:rPr>
          <w:t>http://ucicorrections.seweb.uci.edu/files/2013/06/PREA_Presentation_PREA_Report_UCI_Jenness_et_al.pdf</w:t>
        </w:r>
      </w:hyperlink>
      <w:r w:rsidRPr="007C1EDE">
        <w:rPr>
          <w:rFonts w:ascii="Arial" w:hAnsi="Arial" w:cs="Arial"/>
          <w:sz w:val="20"/>
          <w:szCs w:val="20"/>
        </w:rPr>
        <w:t xml:space="preserve"> </w:t>
      </w:r>
    </w:p>
  </w:endnote>
  <w:endnote w:id="137">
    <w:p w14:paraId="1A7446D6" w14:textId="77777777" w:rsidR="00411ECA" w:rsidRPr="007C1EDE" w:rsidRDefault="00411ECA" w:rsidP="007C1EDE">
      <w:pPr>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vertAlign w:val="superscript"/>
        </w:rPr>
        <w:t xml:space="preserve"> </w:t>
      </w:r>
      <w:r w:rsidRPr="007C1EDE">
        <w:rPr>
          <w:rFonts w:ascii="Arial" w:hAnsi="Arial" w:cs="Arial"/>
          <w:sz w:val="20"/>
          <w:szCs w:val="20"/>
        </w:rPr>
        <w:t xml:space="preserve">Saar, M. S., Epstein, R., Rosenthal, L., &amp; Vafa, Y. (2015). The Sexual Abuse to Prison Pipeline: The Girls’ Story. Human Rights Project for Girls, Georgetown Law Center on Poverty and Inequality, and Ms. Foundation for Women. Retrieved from </w:t>
      </w:r>
      <w:hyperlink r:id="rId43" w:history="1">
        <w:r w:rsidRPr="007C1EDE">
          <w:rPr>
            <w:rStyle w:val="Hyperlink"/>
            <w:rFonts w:ascii="Arial" w:hAnsi="Arial" w:cs="Arial"/>
            <w:color w:val="auto"/>
            <w:sz w:val="20"/>
            <w:szCs w:val="20"/>
            <w:u w:val="none"/>
          </w:rPr>
          <w:t>https://rights4girls.org/wp-content/uploads/r4g/2015/02/2015_COP_sexual-abuse_layout_web-1.pdf</w:t>
        </w:r>
      </w:hyperlink>
      <w:r w:rsidRPr="007C1EDE">
        <w:rPr>
          <w:rFonts w:ascii="Arial" w:hAnsi="Arial" w:cs="Arial"/>
          <w:sz w:val="20"/>
          <w:szCs w:val="20"/>
        </w:rPr>
        <w:t xml:space="preserve"> </w:t>
      </w:r>
    </w:p>
  </w:endnote>
  <w:endnote w:id="138">
    <w:p w14:paraId="79CE51A3" w14:textId="77777777" w:rsidR="00411ECA" w:rsidRPr="007C1EDE" w:rsidRDefault="00411ECA" w:rsidP="007C1EDE">
      <w:pPr>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vertAlign w:val="superscript"/>
        </w:rPr>
        <w:t xml:space="preserve"> </w:t>
      </w:r>
      <w:r w:rsidRPr="007C1EDE">
        <w:rPr>
          <w:rFonts w:ascii="Arial" w:hAnsi="Arial" w:cs="Arial"/>
          <w:sz w:val="20"/>
          <w:szCs w:val="20"/>
        </w:rPr>
        <w:t>Wilson, B. D. M., et al. (2017).</w:t>
      </w:r>
      <w:r w:rsidRPr="007C1EDE">
        <w:rPr>
          <w:rFonts w:ascii="Arial" w:hAnsi="Arial" w:cs="Arial"/>
          <w:sz w:val="20"/>
          <w:szCs w:val="20"/>
        </w:rPr>
        <w:tab/>
      </w:r>
    </w:p>
  </w:endnote>
  <w:endnote w:id="139">
    <w:p w14:paraId="7B1EC882" w14:textId="77777777" w:rsidR="00411ECA" w:rsidRPr="007C1EDE" w:rsidRDefault="00411ECA" w:rsidP="007C1EDE">
      <w:pPr>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vertAlign w:val="superscript"/>
        </w:rPr>
        <w:t xml:space="preserve"> </w:t>
      </w:r>
      <w:r w:rsidRPr="007C1EDE">
        <w:rPr>
          <w:rFonts w:ascii="Arial" w:hAnsi="Arial" w:cs="Arial"/>
          <w:sz w:val="20"/>
          <w:szCs w:val="20"/>
        </w:rPr>
        <w:t>Hanssens, C., &amp; Bennett-Carlson, R. (2010). Juvenile Injustice: The Unfulfilled Rights of Youth in State Custody to Comprehensive Sexual Health Care. The Center for HIV Law and Policy.</w:t>
      </w:r>
    </w:p>
  </w:endnote>
  <w:endnote w:id="140">
    <w:p w14:paraId="66FF0B73" w14:textId="77777777" w:rsidR="00411ECA" w:rsidRPr="007C1EDE" w:rsidRDefault="00411ECA" w:rsidP="007C1EDE">
      <w:pPr>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vertAlign w:val="superscript"/>
        </w:rPr>
        <w:t xml:space="preserve"> </w:t>
      </w:r>
      <w:r w:rsidRPr="007C1EDE">
        <w:rPr>
          <w:rFonts w:ascii="Arial" w:hAnsi="Arial" w:cs="Arial"/>
          <w:sz w:val="20"/>
          <w:szCs w:val="20"/>
        </w:rPr>
        <w:t>Majd, K., Marksamer, J., &amp; Reyes, C. (2009). Hidden Injustice: Lesbian, Gay, Bisexual and Transgender Youth in Juvenile Courts. Legal Services for Children, National Juvenile Defender Center, and National Center for Lesbian Rights.</w:t>
      </w:r>
    </w:p>
  </w:endnote>
  <w:endnote w:id="141">
    <w:p w14:paraId="61672E17" w14:textId="77777777" w:rsidR="00411ECA" w:rsidRPr="007C1EDE" w:rsidRDefault="00411ECA" w:rsidP="007C1EDE">
      <w:pPr>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rPr>
        <w:t xml:space="preserve"> Wilber, S. (2015). Lesbian, Gay, Bisexual and Transgender Youth in the Juvenile Justice System: A Guide to Juvenile Detention Reform. The Annie E. Casey Foundation.</w:t>
      </w:r>
    </w:p>
  </w:endnote>
  <w:endnote w:id="142">
    <w:p w14:paraId="4E601719" w14:textId="77777777" w:rsidR="00411ECA" w:rsidRPr="007C1EDE" w:rsidRDefault="00411ECA" w:rsidP="007C1EDE">
      <w:pPr>
        <w:pStyle w:val="Heading1"/>
        <w:spacing w:before="0" w:after="80" w:line="240" w:lineRule="auto"/>
        <w:rPr>
          <w:rFonts w:cs="Arial"/>
          <w:b w:val="0"/>
          <w:color w:val="auto"/>
          <w:sz w:val="20"/>
          <w:szCs w:val="20"/>
        </w:rPr>
      </w:pPr>
      <w:r w:rsidRPr="007C1EDE">
        <w:rPr>
          <w:rStyle w:val="EndnoteReference"/>
          <w:rFonts w:cs="Arial"/>
          <w:b w:val="0"/>
          <w:color w:val="auto"/>
          <w:sz w:val="20"/>
          <w:szCs w:val="20"/>
        </w:rPr>
        <w:endnoteRef/>
      </w:r>
      <w:r w:rsidRPr="007C1EDE">
        <w:rPr>
          <w:rFonts w:cs="Arial"/>
          <w:b w:val="0"/>
          <w:color w:val="auto"/>
          <w:sz w:val="20"/>
          <w:szCs w:val="20"/>
        </w:rPr>
        <w:t xml:space="preserve"> Steinberg, L. (2015).</w:t>
      </w:r>
    </w:p>
  </w:endnote>
  <w:endnote w:id="143">
    <w:p w14:paraId="576305C1" w14:textId="77777777" w:rsidR="00411ECA" w:rsidRPr="007C1EDE" w:rsidRDefault="00411ECA" w:rsidP="007C1EDE">
      <w:pPr>
        <w:pStyle w:val="NormalWeb"/>
        <w:spacing w:after="80" w:line="240" w:lineRule="auto"/>
        <w:rPr>
          <w:rFonts w:ascii="Arial" w:hAnsi="Arial" w:cs="Arial"/>
          <w:sz w:val="20"/>
          <w:szCs w:val="20"/>
        </w:rPr>
      </w:pPr>
      <w:r w:rsidRPr="007C1EDE">
        <w:rPr>
          <w:rStyle w:val="EndnoteReference"/>
          <w:rFonts w:ascii="Arial" w:hAnsi="Arial" w:cs="Arial"/>
          <w:sz w:val="20"/>
          <w:szCs w:val="20"/>
        </w:rPr>
        <w:endnoteRef/>
      </w:r>
      <w:r w:rsidRPr="007C1EDE">
        <w:rPr>
          <w:rFonts w:ascii="Arial" w:hAnsi="Arial" w:cs="Arial"/>
          <w:sz w:val="20"/>
          <w:szCs w:val="20"/>
        </w:rPr>
        <w:t xml:space="preserve"> </w:t>
      </w:r>
      <w:r w:rsidRPr="007C1EDE">
        <w:rPr>
          <w:rFonts w:ascii="Arial" w:eastAsia="Calibri" w:hAnsi="Arial" w:cs="Arial"/>
          <w:sz w:val="20"/>
          <w:szCs w:val="20"/>
        </w:rPr>
        <w:t>Massachusetts</w:t>
      </w:r>
      <w:r w:rsidRPr="007C1EDE">
        <w:rPr>
          <w:rFonts w:ascii="Arial" w:hAnsi="Arial" w:cs="Arial"/>
          <w:sz w:val="20"/>
          <w:szCs w:val="20"/>
        </w:rPr>
        <w:t xml:space="preserve"> </w:t>
      </w:r>
      <w:r w:rsidRPr="007C1EDE">
        <w:rPr>
          <w:rFonts w:ascii="Arial" w:eastAsia="Calibri" w:hAnsi="Arial" w:cs="Arial"/>
          <w:sz w:val="20"/>
          <w:szCs w:val="20"/>
        </w:rPr>
        <w:t>Department</w:t>
      </w:r>
      <w:r w:rsidRPr="007C1EDE">
        <w:rPr>
          <w:rFonts w:ascii="Arial" w:hAnsi="Arial" w:cs="Arial"/>
          <w:sz w:val="20"/>
          <w:szCs w:val="20"/>
        </w:rPr>
        <w:t xml:space="preserve"> </w:t>
      </w:r>
      <w:r w:rsidRPr="007C1EDE">
        <w:rPr>
          <w:rFonts w:ascii="Arial" w:eastAsia="Calibri" w:hAnsi="Arial" w:cs="Arial"/>
          <w:sz w:val="20"/>
          <w:szCs w:val="20"/>
        </w:rPr>
        <w:t>of</w:t>
      </w:r>
      <w:r w:rsidRPr="007C1EDE">
        <w:rPr>
          <w:rFonts w:ascii="Arial" w:hAnsi="Arial" w:cs="Arial"/>
          <w:sz w:val="20"/>
          <w:szCs w:val="20"/>
        </w:rPr>
        <w:t xml:space="preserve"> </w:t>
      </w:r>
      <w:r w:rsidRPr="007C1EDE">
        <w:rPr>
          <w:rFonts w:ascii="Arial" w:eastAsia="Calibri" w:hAnsi="Arial" w:cs="Arial"/>
          <w:sz w:val="20"/>
          <w:szCs w:val="20"/>
        </w:rPr>
        <w:t>Public</w:t>
      </w:r>
      <w:r w:rsidRPr="007C1EDE">
        <w:rPr>
          <w:rFonts w:ascii="Arial" w:hAnsi="Arial" w:cs="Arial"/>
          <w:sz w:val="20"/>
          <w:szCs w:val="20"/>
        </w:rPr>
        <w:t xml:space="preserve"> </w:t>
      </w:r>
      <w:r w:rsidRPr="007C1EDE">
        <w:rPr>
          <w:rFonts w:ascii="Arial" w:eastAsia="Calibri" w:hAnsi="Arial" w:cs="Arial"/>
          <w:sz w:val="20"/>
          <w:szCs w:val="20"/>
        </w:rPr>
        <w:t>Health</w:t>
      </w:r>
      <w:r w:rsidRPr="007C1EDE">
        <w:rPr>
          <w:rFonts w:ascii="Arial" w:hAnsi="Arial" w:cs="Arial"/>
          <w:sz w:val="20"/>
          <w:szCs w:val="20"/>
        </w:rPr>
        <w:t xml:space="preserve">, </w:t>
      </w:r>
      <w:r w:rsidRPr="007C1EDE">
        <w:rPr>
          <w:rFonts w:ascii="Arial" w:eastAsia="Calibri" w:hAnsi="Arial" w:cs="Arial"/>
          <w:sz w:val="20"/>
          <w:szCs w:val="20"/>
        </w:rPr>
        <w:t>Bureau</w:t>
      </w:r>
      <w:r w:rsidRPr="007C1EDE">
        <w:rPr>
          <w:rFonts w:ascii="Arial" w:hAnsi="Arial" w:cs="Arial"/>
          <w:sz w:val="20"/>
          <w:szCs w:val="20"/>
        </w:rPr>
        <w:t xml:space="preserve"> </w:t>
      </w:r>
      <w:r w:rsidRPr="007C1EDE">
        <w:rPr>
          <w:rFonts w:ascii="Arial" w:eastAsia="Calibri" w:hAnsi="Arial" w:cs="Arial"/>
          <w:sz w:val="20"/>
          <w:szCs w:val="20"/>
        </w:rPr>
        <w:t>of</w:t>
      </w:r>
      <w:r w:rsidRPr="007C1EDE">
        <w:rPr>
          <w:rFonts w:ascii="Arial" w:hAnsi="Arial" w:cs="Arial"/>
          <w:sz w:val="20"/>
          <w:szCs w:val="20"/>
        </w:rPr>
        <w:t xml:space="preserve"> </w:t>
      </w:r>
      <w:r w:rsidRPr="007C1EDE">
        <w:rPr>
          <w:rFonts w:ascii="Arial" w:eastAsia="Calibri" w:hAnsi="Arial" w:cs="Arial"/>
          <w:sz w:val="20"/>
          <w:szCs w:val="20"/>
        </w:rPr>
        <w:t>Infectious</w:t>
      </w:r>
      <w:r w:rsidRPr="007C1EDE">
        <w:rPr>
          <w:rFonts w:ascii="Arial" w:hAnsi="Arial" w:cs="Arial"/>
          <w:sz w:val="20"/>
          <w:szCs w:val="20"/>
        </w:rPr>
        <w:t xml:space="preserve"> </w:t>
      </w:r>
      <w:r w:rsidRPr="007C1EDE">
        <w:rPr>
          <w:rFonts w:ascii="Arial" w:eastAsia="Calibri" w:hAnsi="Arial" w:cs="Arial"/>
          <w:sz w:val="20"/>
          <w:szCs w:val="20"/>
        </w:rPr>
        <w:t>Diseases</w:t>
      </w:r>
      <w:r w:rsidRPr="007C1EDE">
        <w:rPr>
          <w:rFonts w:ascii="Arial" w:hAnsi="Arial" w:cs="Arial"/>
          <w:sz w:val="20"/>
          <w:szCs w:val="20"/>
        </w:rPr>
        <w:t xml:space="preserve"> </w:t>
      </w:r>
      <w:r w:rsidRPr="007C1EDE">
        <w:rPr>
          <w:rFonts w:ascii="Arial" w:eastAsia="Calibri" w:hAnsi="Arial" w:cs="Arial"/>
          <w:sz w:val="20"/>
          <w:szCs w:val="20"/>
        </w:rPr>
        <w:t>and</w:t>
      </w:r>
      <w:r w:rsidRPr="007C1EDE">
        <w:rPr>
          <w:rFonts w:ascii="Arial" w:hAnsi="Arial" w:cs="Arial"/>
          <w:sz w:val="20"/>
          <w:szCs w:val="20"/>
        </w:rPr>
        <w:t xml:space="preserve"> </w:t>
      </w:r>
      <w:r w:rsidRPr="007C1EDE">
        <w:rPr>
          <w:rFonts w:ascii="Arial" w:eastAsia="Calibri" w:hAnsi="Arial" w:cs="Arial"/>
          <w:sz w:val="20"/>
          <w:szCs w:val="20"/>
        </w:rPr>
        <w:t>Laboratory</w:t>
      </w:r>
      <w:r w:rsidRPr="007C1EDE">
        <w:rPr>
          <w:rFonts w:ascii="Arial" w:hAnsi="Arial" w:cs="Arial"/>
          <w:sz w:val="20"/>
          <w:szCs w:val="20"/>
        </w:rPr>
        <w:t xml:space="preserve"> </w:t>
      </w:r>
      <w:r w:rsidRPr="007C1EDE">
        <w:rPr>
          <w:rFonts w:ascii="Arial" w:eastAsia="Calibri" w:hAnsi="Arial" w:cs="Arial"/>
          <w:sz w:val="20"/>
          <w:szCs w:val="20"/>
        </w:rPr>
        <w:t>Sciences</w:t>
      </w:r>
      <w:r w:rsidRPr="007C1EDE">
        <w:rPr>
          <w:rFonts w:ascii="Arial" w:hAnsi="Arial" w:cs="Arial"/>
          <w:sz w:val="20"/>
          <w:szCs w:val="20"/>
        </w:rPr>
        <w:t xml:space="preserve">, </w:t>
      </w:r>
      <w:r w:rsidRPr="007C1EDE">
        <w:rPr>
          <w:rFonts w:ascii="Arial" w:eastAsia="Calibri" w:hAnsi="Arial" w:cs="Arial"/>
          <w:sz w:val="20"/>
          <w:szCs w:val="20"/>
        </w:rPr>
        <w:t>Office</w:t>
      </w:r>
      <w:r w:rsidRPr="007C1EDE">
        <w:rPr>
          <w:rFonts w:ascii="Arial" w:hAnsi="Arial" w:cs="Arial"/>
          <w:sz w:val="20"/>
          <w:szCs w:val="20"/>
        </w:rPr>
        <w:t xml:space="preserve"> </w:t>
      </w:r>
      <w:r w:rsidRPr="007C1EDE">
        <w:rPr>
          <w:rFonts w:ascii="Arial" w:eastAsia="Calibri" w:hAnsi="Arial" w:cs="Arial"/>
          <w:sz w:val="20"/>
          <w:szCs w:val="20"/>
        </w:rPr>
        <w:t>of</w:t>
      </w:r>
      <w:r w:rsidRPr="007C1EDE">
        <w:rPr>
          <w:rFonts w:ascii="Arial" w:hAnsi="Arial" w:cs="Arial"/>
          <w:sz w:val="20"/>
          <w:szCs w:val="20"/>
        </w:rPr>
        <w:t xml:space="preserve"> </w:t>
      </w:r>
      <w:r w:rsidRPr="007C1EDE">
        <w:rPr>
          <w:rFonts w:ascii="Arial" w:eastAsia="Calibri" w:hAnsi="Arial" w:cs="Arial"/>
          <w:sz w:val="20"/>
          <w:szCs w:val="20"/>
        </w:rPr>
        <w:t>HIV</w:t>
      </w:r>
      <w:r w:rsidRPr="007C1EDE">
        <w:rPr>
          <w:rFonts w:ascii="Arial" w:hAnsi="Arial" w:cs="Arial"/>
          <w:sz w:val="20"/>
          <w:szCs w:val="20"/>
        </w:rPr>
        <w:t>/</w:t>
      </w:r>
      <w:r w:rsidRPr="007C1EDE">
        <w:rPr>
          <w:rFonts w:ascii="Arial" w:eastAsia="Calibri" w:hAnsi="Arial" w:cs="Arial"/>
          <w:sz w:val="20"/>
          <w:szCs w:val="20"/>
        </w:rPr>
        <w:t>AIDS</w:t>
      </w:r>
      <w:r w:rsidRPr="007C1EDE">
        <w:rPr>
          <w:rFonts w:ascii="Arial" w:hAnsi="Arial" w:cs="Arial"/>
          <w:sz w:val="20"/>
          <w:szCs w:val="20"/>
        </w:rPr>
        <w:t xml:space="preserve">. (2017). </w:t>
      </w:r>
      <w:r w:rsidRPr="007C1EDE">
        <w:rPr>
          <w:rFonts w:ascii="Arial" w:eastAsia="Calibri" w:hAnsi="Arial" w:cs="Arial"/>
          <w:i/>
          <w:sz w:val="20"/>
          <w:szCs w:val="20"/>
        </w:rPr>
        <w:t>Massachusetts</w:t>
      </w:r>
      <w:r w:rsidRPr="007C1EDE">
        <w:rPr>
          <w:rFonts w:ascii="Arial" w:hAnsi="Arial" w:cs="Arial"/>
          <w:i/>
          <w:sz w:val="20"/>
          <w:szCs w:val="20"/>
        </w:rPr>
        <w:t xml:space="preserve"> </w:t>
      </w:r>
      <w:r w:rsidRPr="007C1EDE">
        <w:rPr>
          <w:rFonts w:ascii="Arial" w:eastAsia="Calibri" w:hAnsi="Arial" w:cs="Arial"/>
          <w:i/>
          <w:sz w:val="20"/>
          <w:szCs w:val="20"/>
        </w:rPr>
        <w:t>Integrated</w:t>
      </w:r>
      <w:r w:rsidRPr="007C1EDE">
        <w:rPr>
          <w:rFonts w:ascii="Arial" w:hAnsi="Arial" w:cs="Arial"/>
          <w:i/>
          <w:sz w:val="20"/>
          <w:szCs w:val="20"/>
        </w:rPr>
        <w:t xml:space="preserve"> </w:t>
      </w:r>
      <w:r w:rsidRPr="007C1EDE">
        <w:rPr>
          <w:rFonts w:ascii="Arial" w:eastAsia="Calibri" w:hAnsi="Arial" w:cs="Arial"/>
          <w:i/>
          <w:sz w:val="20"/>
          <w:szCs w:val="20"/>
        </w:rPr>
        <w:t>HIV</w:t>
      </w:r>
      <w:r w:rsidRPr="007C1EDE">
        <w:rPr>
          <w:rFonts w:ascii="Arial" w:hAnsi="Arial" w:cs="Arial"/>
          <w:i/>
          <w:sz w:val="20"/>
          <w:szCs w:val="20"/>
        </w:rPr>
        <w:t>/</w:t>
      </w:r>
      <w:r w:rsidRPr="007C1EDE">
        <w:rPr>
          <w:rFonts w:ascii="Arial" w:eastAsia="Calibri" w:hAnsi="Arial" w:cs="Arial"/>
          <w:i/>
          <w:sz w:val="20"/>
          <w:szCs w:val="20"/>
        </w:rPr>
        <w:t>AIDS</w:t>
      </w:r>
      <w:r w:rsidRPr="007C1EDE">
        <w:rPr>
          <w:rFonts w:ascii="Arial" w:hAnsi="Arial" w:cs="Arial"/>
          <w:i/>
          <w:sz w:val="20"/>
          <w:szCs w:val="20"/>
        </w:rPr>
        <w:t xml:space="preserve"> </w:t>
      </w:r>
      <w:r w:rsidRPr="007C1EDE">
        <w:rPr>
          <w:rFonts w:ascii="Arial" w:eastAsia="Calibri" w:hAnsi="Arial" w:cs="Arial"/>
          <w:i/>
          <w:sz w:val="20"/>
          <w:szCs w:val="20"/>
        </w:rPr>
        <w:t>Prevention</w:t>
      </w:r>
      <w:r w:rsidRPr="007C1EDE">
        <w:rPr>
          <w:rFonts w:ascii="Arial" w:hAnsi="Arial" w:cs="Arial"/>
          <w:i/>
          <w:sz w:val="20"/>
          <w:szCs w:val="20"/>
        </w:rPr>
        <w:t xml:space="preserve"> </w:t>
      </w:r>
      <w:r w:rsidRPr="007C1EDE">
        <w:rPr>
          <w:rFonts w:ascii="Arial" w:eastAsia="Calibri" w:hAnsi="Arial" w:cs="Arial"/>
          <w:i/>
          <w:sz w:val="20"/>
          <w:szCs w:val="20"/>
        </w:rPr>
        <w:t>and</w:t>
      </w:r>
      <w:r w:rsidRPr="007C1EDE">
        <w:rPr>
          <w:rFonts w:ascii="Arial" w:hAnsi="Arial" w:cs="Arial"/>
          <w:i/>
          <w:sz w:val="20"/>
          <w:szCs w:val="20"/>
        </w:rPr>
        <w:t xml:space="preserve"> </w:t>
      </w:r>
      <w:r w:rsidRPr="007C1EDE">
        <w:rPr>
          <w:rFonts w:ascii="Arial" w:eastAsia="Calibri" w:hAnsi="Arial" w:cs="Arial"/>
          <w:i/>
          <w:sz w:val="20"/>
          <w:szCs w:val="20"/>
        </w:rPr>
        <w:t>Care</w:t>
      </w:r>
      <w:r w:rsidRPr="007C1EDE">
        <w:rPr>
          <w:rFonts w:ascii="Arial" w:hAnsi="Arial" w:cs="Arial"/>
          <w:i/>
          <w:sz w:val="20"/>
          <w:szCs w:val="20"/>
        </w:rPr>
        <w:t xml:space="preserve"> </w:t>
      </w:r>
      <w:r w:rsidRPr="007C1EDE">
        <w:rPr>
          <w:rFonts w:ascii="Arial" w:eastAsia="Calibri" w:hAnsi="Arial" w:cs="Arial"/>
          <w:i/>
          <w:sz w:val="20"/>
          <w:szCs w:val="20"/>
        </w:rPr>
        <w:t>Plan</w:t>
      </w:r>
      <w:r w:rsidRPr="007C1EDE">
        <w:rPr>
          <w:rFonts w:ascii="Arial" w:hAnsi="Arial" w:cs="Arial"/>
          <w:i/>
          <w:sz w:val="20"/>
          <w:szCs w:val="20"/>
        </w:rPr>
        <w:t xml:space="preserve">. </w:t>
      </w:r>
      <w:r w:rsidRPr="007C1EDE">
        <w:rPr>
          <w:rFonts w:ascii="Arial" w:eastAsia="Calibri" w:hAnsi="Arial" w:cs="Arial"/>
          <w:i/>
          <w:sz w:val="20"/>
          <w:szCs w:val="20"/>
        </w:rPr>
        <w:t>HIV</w:t>
      </w:r>
      <w:r w:rsidRPr="007C1EDE">
        <w:rPr>
          <w:rFonts w:ascii="Arial" w:hAnsi="Arial" w:cs="Arial"/>
          <w:i/>
          <w:sz w:val="20"/>
          <w:szCs w:val="20"/>
        </w:rPr>
        <w:t>/</w:t>
      </w:r>
      <w:r w:rsidRPr="007C1EDE">
        <w:rPr>
          <w:rFonts w:ascii="Arial" w:eastAsia="Calibri" w:hAnsi="Arial" w:cs="Arial"/>
          <w:i/>
          <w:sz w:val="20"/>
          <w:szCs w:val="20"/>
        </w:rPr>
        <w:t>AIDS</w:t>
      </w:r>
      <w:r w:rsidRPr="007C1EDE">
        <w:rPr>
          <w:rFonts w:ascii="Arial" w:hAnsi="Arial" w:cs="Arial"/>
          <w:i/>
          <w:sz w:val="20"/>
          <w:szCs w:val="20"/>
        </w:rPr>
        <w:t xml:space="preserve"> </w:t>
      </w:r>
      <w:r w:rsidRPr="007C1EDE">
        <w:rPr>
          <w:rFonts w:ascii="Arial" w:eastAsia="Calibri" w:hAnsi="Arial" w:cs="Arial"/>
          <w:i/>
          <w:sz w:val="20"/>
          <w:szCs w:val="20"/>
        </w:rPr>
        <w:t>Services</w:t>
      </w:r>
      <w:r w:rsidRPr="007C1EDE">
        <w:rPr>
          <w:rFonts w:ascii="Arial" w:hAnsi="Arial" w:cs="Arial"/>
          <w:i/>
          <w:sz w:val="20"/>
          <w:szCs w:val="20"/>
        </w:rPr>
        <w:t xml:space="preserve"> </w:t>
      </w:r>
      <w:r w:rsidRPr="007C1EDE">
        <w:rPr>
          <w:rFonts w:ascii="Arial" w:eastAsia="Calibri" w:hAnsi="Arial" w:cs="Arial"/>
          <w:i/>
          <w:sz w:val="20"/>
          <w:szCs w:val="20"/>
        </w:rPr>
        <w:t>in</w:t>
      </w:r>
      <w:r w:rsidRPr="007C1EDE">
        <w:rPr>
          <w:rFonts w:ascii="Arial" w:hAnsi="Arial" w:cs="Arial"/>
          <w:i/>
          <w:sz w:val="20"/>
          <w:szCs w:val="20"/>
        </w:rPr>
        <w:t xml:space="preserve"> </w:t>
      </w:r>
      <w:r w:rsidRPr="007C1EDE">
        <w:rPr>
          <w:rFonts w:ascii="Arial" w:eastAsia="Calibri" w:hAnsi="Arial" w:cs="Arial"/>
          <w:i/>
          <w:sz w:val="20"/>
          <w:szCs w:val="20"/>
        </w:rPr>
        <w:t>the</w:t>
      </w:r>
      <w:r w:rsidRPr="007C1EDE">
        <w:rPr>
          <w:rFonts w:ascii="Arial" w:hAnsi="Arial" w:cs="Arial"/>
          <w:i/>
          <w:sz w:val="20"/>
          <w:szCs w:val="20"/>
        </w:rPr>
        <w:t xml:space="preserve"> </w:t>
      </w:r>
      <w:r w:rsidRPr="007C1EDE">
        <w:rPr>
          <w:rFonts w:ascii="Arial" w:eastAsia="Calibri" w:hAnsi="Arial" w:cs="Arial"/>
          <w:i/>
          <w:sz w:val="20"/>
          <w:szCs w:val="20"/>
        </w:rPr>
        <w:t>Commonwealth</w:t>
      </w:r>
      <w:r w:rsidRPr="007C1EDE">
        <w:rPr>
          <w:rFonts w:ascii="Arial" w:hAnsi="Arial" w:cs="Arial"/>
          <w:i/>
          <w:sz w:val="20"/>
          <w:szCs w:val="20"/>
        </w:rPr>
        <w:t>: 2017-2021.</w:t>
      </w:r>
      <w:r w:rsidRPr="007C1EDE">
        <w:rPr>
          <w:rFonts w:ascii="Arial" w:hAnsi="Arial" w:cs="Arial"/>
          <w:sz w:val="20"/>
          <w:szCs w:val="20"/>
        </w:rPr>
        <w:t xml:space="preserve"> </w:t>
      </w:r>
      <w:r w:rsidRPr="007C1EDE">
        <w:rPr>
          <w:rFonts w:ascii="Arial" w:eastAsia="Calibri" w:hAnsi="Arial" w:cs="Arial"/>
          <w:sz w:val="20"/>
          <w:szCs w:val="20"/>
        </w:rPr>
        <w:t>Retrieved from</w:t>
      </w:r>
      <w:r w:rsidRPr="007C1EDE">
        <w:rPr>
          <w:rFonts w:ascii="Arial" w:hAnsi="Arial" w:cs="Arial"/>
          <w:sz w:val="20"/>
          <w:szCs w:val="20"/>
        </w:rPr>
        <w:t xml:space="preserve"> </w:t>
      </w:r>
      <w:hyperlink r:id="rId44" w:history="1">
        <w:r w:rsidRPr="007C1EDE">
          <w:rPr>
            <w:rStyle w:val="Hyperlink"/>
            <w:rFonts w:ascii="Arial" w:eastAsia="Calibri" w:hAnsi="Arial" w:cs="Arial"/>
            <w:color w:val="auto"/>
            <w:sz w:val="20"/>
            <w:szCs w:val="20"/>
            <w:u w:val="none"/>
          </w:rPr>
          <w:t>http</w:t>
        </w:r>
        <w:r w:rsidRPr="007C1EDE">
          <w:rPr>
            <w:rStyle w:val="Hyperlink"/>
            <w:rFonts w:ascii="Arial" w:hAnsi="Arial" w:cs="Arial"/>
            <w:color w:val="auto"/>
            <w:sz w:val="20"/>
            <w:szCs w:val="20"/>
            <w:u w:val="none"/>
          </w:rPr>
          <w:t>://</w:t>
        </w:r>
        <w:r w:rsidRPr="007C1EDE">
          <w:rPr>
            <w:rStyle w:val="Hyperlink"/>
            <w:rFonts w:ascii="Arial" w:eastAsia="Calibri" w:hAnsi="Arial" w:cs="Arial"/>
            <w:color w:val="auto"/>
            <w:sz w:val="20"/>
            <w:szCs w:val="20"/>
            <w:u w:val="none"/>
          </w:rPr>
          <w:t>www</w:t>
        </w:r>
        <w:r w:rsidRPr="007C1EDE">
          <w:rPr>
            <w:rStyle w:val="Hyperlink"/>
            <w:rFonts w:ascii="Arial" w:hAnsi="Arial" w:cs="Arial"/>
            <w:color w:val="auto"/>
            <w:sz w:val="20"/>
            <w:szCs w:val="20"/>
            <w:u w:val="none"/>
          </w:rPr>
          <w:t>.</w:t>
        </w:r>
        <w:r w:rsidRPr="007C1EDE">
          <w:rPr>
            <w:rStyle w:val="Hyperlink"/>
            <w:rFonts w:ascii="Arial" w:eastAsia="Calibri" w:hAnsi="Arial" w:cs="Arial"/>
            <w:color w:val="auto"/>
            <w:sz w:val="20"/>
            <w:szCs w:val="20"/>
            <w:u w:val="none"/>
          </w:rPr>
          <w:t>mass</w:t>
        </w:r>
        <w:r w:rsidRPr="007C1EDE">
          <w:rPr>
            <w:rStyle w:val="Hyperlink"/>
            <w:rFonts w:ascii="Arial" w:hAnsi="Arial" w:cs="Arial"/>
            <w:color w:val="auto"/>
            <w:sz w:val="20"/>
            <w:szCs w:val="20"/>
            <w:u w:val="none"/>
          </w:rPr>
          <w:t>.</w:t>
        </w:r>
        <w:r w:rsidRPr="007C1EDE">
          <w:rPr>
            <w:rStyle w:val="Hyperlink"/>
            <w:rFonts w:ascii="Arial" w:eastAsia="Calibri" w:hAnsi="Arial" w:cs="Arial"/>
            <w:color w:val="auto"/>
            <w:sz w:val="20"/>
            <w:szCs w:val="20"/>
            <w:u w:val="none"/>
          </w:rPr>
          <w:t>gov</w:t>
        </w:r>
        <w:r w:rsidRPr="007C1EDE">
          <w:rPr>
            <w:rStyle w:val="Hyperlink"/>
            <w:rFonts w:ascii="Arial" w:hAnsi="Arial" w:cs="Arial"/>
            <w:color w:val="auto"/>
            <w:sz w:val="20"/>
            <w:szCs w:val="20"/>
            <w:u w:val="none"/>
          </w:rPr>
          <w:t>/</w:t>
        </w:r>
        <w:r w:rsidRPr="007C1EDE">
          <w:rPr>
            <w:rStyle w:val="Hyperlink"/>
            <w:rFonts w:ascii="Arial" w:eastAsia="Calibri" w:hAnsi="Arial" w:cs="Arial"/>
            <w:color w:val="auto"/>
            <w:sz w:val="20"/>
            <w:szCs w:val="20"/>
            <w:u w:val="none"/>
          </w:rPr>
          <w:t>eohhs</w:t>
        </w:r>
        <w:r w:rsidRPr="007C1EDE">
          <w:rPr>
            <w:rStyle w:val="Hyperlink"/>
            <w:rFonts w:ascii="Arial" w:hAnsi="Arial" w:cs="Arial"/>
            <w:color w:val="auto"/>
            <w:sz w:val="20"/>
            <w:szCs w:val="20"/>
            <w:u w:val="none"/>
          </w:rPr>
          <w:t>/</w:t>
        </w:r>
        <w:r w:rsidRPr="007C1EDE">
          <w:rPr>
            <w:rStyle w:val="Hyperlink"/>
            <w:rFonts w:ascii="Arial" w:eastAsia="Calibri" w:hAnsi="Arial" w:cs="Arial"/>
            <w:color w:val="auto"/>
            <w:sz w:val="20"/>
            <w:szCs w:val="20"/>
            <w:u w:val="none"/>
          </w:rPr>
          <w:t>docs</w:t>
        </w:r>
        <w:r w:rsidRPr="007C1EDE">
          <w:rPr>
            <w:rStyle w:val="Hyperlink"/>
            <w:rFonts w:ascii="Arial" w:hAnsi="Arial" w:cs="Arial"/>
            <w:color w:val="auto"/>
            <w:sz w:val="20"/>
            <w:szCs w:val="20"/>
            <w:u w:val="none"/>
          </w:rPr>
          <w:t>/</w:t>
        </w:r>
        <w:r w:rsidRPr="007C1EDE">
          <w:rPr>
            <w:rStyle w:val="Hyperlink"/>
            <w:rFonts w:ascii="Arial" w:eastAsia="Calibri" w:hAnsi="Arial" w:cs="Arial"/>
            <w:color w:val="auto"/>
            <w:sz w:val="20"/>
            <w:szCs w:val="20"/>
            <w:u w:val="none"/>
          </w:rPr>
          <w:t>dph</w:t>
        </w:r>
        <w:r w:rsidRPr="007C1EDE">
          <w:rPr>
            <w:rStyle w:val="Hyperlink"/>
            <w:rFonts w:ascii="Arial" w:hAnsi="Arial" w:cs="Arial"/>
            <w:color w:val="auto"/>
            <w:sz w:val="20"/>
            <w:szCs w:val="20"/>
            <w:u w:val="none"/>
          </w:rPr>
          <w:t>/</w:t>
        </w:r>
        <w:r w:rsidRPr="007C1EDE">
          <w:rPr>
            <w:rStyle w:val="Hyperlink"/>
            <w:rFonts w:ascii="Arial" w:eastAsia="Calibri" w:hAnsi="Arial" w:cs="Arial"/>
            <w:color w:val="auto"/>
            <w:sz w:val="20"/>
            <w:szCs w:val="20"/>
            <w:u w:val="none"/>
          </w:rPr>
          <w:t>aids</w:t>
        </w:r>
        <w:r w:rsidRPr="007C1EDE">
          <w:rPr>
            <w:rStyle w:val="Hyperlink"/>
            <w:rFonts w:ascii="Arial" w:hAnsi="Arial" w:cs="Arial"/>
            <w:color w:val="auto"/>
            <w:sz w:val="20"/>
            <w:szCs w:val="20"/>
            <w:u w:val="none"/>
          </w:rPr>
          <w:t>/</w:t>
        </w:r>
        <w:r w:rsidRPr="007C1EDE">
          <w:rPr>
            <w:rStyle w:val="Hyperlink"/>
            <w:rFonts w:ascii="Arial" w:eastAsia="Calibri" w:hAnsi="Arial" w:cs="Arial"/>
            <w:color w:val="auto"/>
            <w:sz w:val="20"/>
            <w:szCs w:val="20"/>
            <w:u w:val="none"/>
          </w:rPr>
          <w:t>mass</w:t>
        </w:r>
        <w:r w:rsidRPr="007C1EDE">
          <w:rPr>
            <w:rStyle w:val="Hyperlink"/>
            <w:rFonts w:ascii="Arial" w:hAnsi="Arial" w:cs="Arial"/>
            <w:color w:val="auto"/>
            <w:sz w:val="20"/>
            <w:szCs w:val="20"/>
            <w:u w:val="none"/>
          </w:rPr>
          <w:t>-</w:t>
        </w:r>
        <w:r w:rsidRPr="007C1EDE">
          <w:rPr>
            <w:rStyle w:val="Hyperlink"/>
            <w:rFonts w:ascii="Arial" w:eastAsia="Calibri" w:hAnsi="Arial" w:cs="Arial"/>
            <w:color w:val="auto"/>
            <w:sz w:val="20"/>
            <w:szCs w:val="20"/>
            <w:u w:val="none"/>
          </w:rPr>
          <w:t>hiv</w:t>
        </w:r>
        <w:r w:rsidRPr="007C1EDE">
          <w:rPr>
            <w:rStyle w:val="Hyperlink"/>
            <w:rFonts w:ascii="Arial" w:hAnsi="Arial" w:cs="Arial"/>
            <w:color w:val="auto"/>
            <w:sz w:val="20"/>
            <w:szCs w:val="20"/>
            <w:u w:val="none"/>
          </w:rPr>
          <w:t>-</w:t>
        </w:r>
        <w:r w:rsidRPr="007C1EDE">
          <w:rPr>
            <w:rStyle w:val="Hyperlink"/>
            <w:rFonts w:ascii="Arial" w:eastAsia="Calibri" w:hAnsi="Arial" w:cs="Arial"/>
            <w:color w:val="auto"/>
            <w:sz w:val="20"/>
            <w:szCs w:val="20"/>
            <w:u w:val="none"/>
          </w:rPr>
          <w:t>aids</w:t>
        </w:r>
        <w:r w:rsidRPr="007C1EDE">
          <w:rPr>
            <w:rStyle w:val="Hyperlink"/>
            <w:rFonts w:ascii="Arial" w:hAnsi="Arial" w:cs="Arial"/>
            <w:color w:val="auto"/>
            <w:sz w:val="20"/>
            <w:szCs w:val="20"/>
            <w:u w:val="none"/>
          </w:rPr>
          <w:t>-</w:t>
        </w:r>
        <w:r w:rsidRPr="007C1EDE">
          <w:rPr>
            <w:rStyle w:val="Hyperlink"/>
            <w:rFonts w:ascii="Arial" w:eastAsia="Calibri" w:hAnsi="Arial" w:cs="Arial"/>
            <w:color w:val="auto"/>
            <w:sz w:val="20"/>
            <w:szCs w:val="20"/>
            <w:u w:val="none"/>
          </w:rPr>
          <w:t>plan</w:t>
        </w:r>
        <w:r w:rsidRPr="007C1EDE">
          <w:rPr>
            <w:rStyle w:val="Hyperlink"/>
            <w:rFonts w:ascii="Arial" w:hAnsi="Arial" w:cs="Arial"/>
            <w:color w:val="auto"/>
            <w:sz w:val="20"/>
            <w:szCs w:val="20"/>
            <w:u w:val="none"/>
          </w:rPr>
          <w:t>.</w:t>
        </w:r>
        <w:r w:rsidRPr="007C1EDE">
          <w:rPr>
            <w:rStyle w:val="Hyperlink"/>
            <w:rFonts w:ascii="Arial" w:eastAsia="Calibri" w:hAnsi="Arial" w:cs="Arial"/>
            <w:color w:val="auto"/>
            <w:sz w:val="20"/>
            <w:szCs w:val="20"/>
            <w:u w:val="none"/>
          </w:rPr>
          <w:t>pdf</w:t>
        </w:r>
      </w:hyperlink>
      <w:r w:rsidRPr="007C1EDE">
        <w:rPr>
          <w:rFonts w:ascii="Arial" w:eastAsia="Calibri" w:hAnsi="Arial" w:cs="Arial"/>
          <w:sz w:val="20"/>
          <w:szCs w:val="20"/>
        </w:rPr>
        <w:t xml:space="preserve"> </w:t>
      </w:r>
    </w:p>
  </w:endnote>
  <w:endnote w:id="144">
    <w:p w14:paraId="0CE097A1" w14:textId="77777777" w:rsidR="00411ECA" w:rsidRPr="007C1EDE" w:rsidRDefault="00411ECA" w:rsidP="007C1EDE">
      <w:pPr>
        <w:pStyle w:val="EndnoteText"/>
        <w:spacing w:after="80"/>
        <w:rPr>
          <w:rFonts w:ascii="Arial" w:hAnsi="Arial" w:cs="Arial"/>
          <w:i/>
        </w:rPr>
      </w:pPr>
      <w:r w:rsidRPr="007C1EDE">
        <w:rPr>
          <w:rStyle w:val="EndnoteReference"/>
          <w:rFonts w:ascii="Arial" w:hAnsi="Arial" w:cs="Arial"/>
        </w:rPr>
        <w:endnoteRef/>
      </w:r>
      <w:r w:rsidRPr="007C1EDE">
        <w:rPr>
          <w:rFonts w:ascii="Arial" w:hAnsi="Arial" w:cs="Arial"/>
        </w:rPr>
        <w:t xml:space="preserve"> </w:t>
      </w:r>
      <w:r w:rsidRPr="007C1EDE">
        <w:rPr>
          <w:rFonts w:ascii="Arial" w:hAnsi="Arial" w:cs="Arial"/>
          <w:i/>
        </w:rPr>
        <w:t>Ibid.</w:t>
      </w:r>
    </w:p>
  </w:endnote>
  <w:endnote w:id="145">
    <w:p w14:paraId="1F25BF27" w14:textId="77777777" w:rsidR="00411ECA" w:rsidRPr="007C1EDE" w:rsidRDefault="00411ECA" w:rsidP="007C1EDE">
      <w:pPr>
        <w:pStyle w:val="NormalWeb"/>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vertAlign w:val="superscript"/>
        </w:rPr>
        <w:t xml:space="preserve"> </w:t>
      </w:r>
      <w:r w:rsidRPr="007C1EDE">
        <w:rPr>
          <w:rFonts w:ascii="Arial" w:eastAsia="Calibri" w:hAnsi="Arial" w:cs="Arial"/>
          <w:sz w:val="20"/>
          <w:szCs w:val="20"/>
        </w:rPr>
        <w:t>Centers</w:t>
      </w:r>
      <w:r w:rsidRPr="007C1EDE">
        <w:rPr>
          <w:rFonts w:ascii="Arial" w:hAnsi="Arial" w:cs="Arial"/>
          <w:sz w:val="20"/>
          <w:szCs w:val="20"/>
        </w:rPr>
        <w:t xml:space="preserve"> </w:t>
      </w:r>
      <w:r w:rsidRPr="007C1EDE">
        <w:rPr>
          <w:rFonts w:ascii="Arial" w:eastAsia="Calibri" w:hAnsi="Arial" w:cs="Arial"/>
          <w:sz w:val="20"/>
          <w:szCs w:val="20"/>
        </w:rPr>
        <w:t>for</w:t>
      </w:r>
      <w:r w:rsidRPr="007C1EDE">
        <w:rPr>
          <w:rFonts w:ascii="Arial" w:hAnsi="Arial" w:cs="Arial"/>
          <w:sz w:val="20"/>
          <w:szCs w:val="20"/>
        </w:rPr>
        <w:t xml:space="preserve"> </w:t>
      </w:r>
      <w:r w:rsidRPr="007C1EDE">
        <w:rPr>
          <w:rFonts w:ascii="Arial" w:eastAsia="Calibri" w:hAnsi="Arial" w:cs="Arial"/>
          <w:sz w:val="20"/>
          <w:szCs w:val="20"/>
        </w:rPr>
        <w:t>Disease</w:t>
      </w:r>
      <w:r w:rsidRPr="007C1EDE">
        <w:rPr>
          <w:rFonts w:ascii="Arial" w:hAnsi="Arial" w:cs="Arial"/>
          <w:sz w:val="20"/>
          <w:szCs w:val="20"/>
        </w:rPr>
        <w:t xml:space="preserve"> </w:t>
      </w:r>
      <w:r w:rsidRPr="007C1EDE">
        <w:rPr>
          <w:rFonts w:ascii="Arial" w:eastAsia="Calibri" w:hAnsi="Arial" w:cs="Arial"/>
          <w:sz w:val="20"/>
          <w:szCs w:val="20"/>
        </w:rPr>
        <w:t>Control</w:t>
      </w:r>
      <w:r w:rsidRPr="007C1EDE">
        <w:rPr>
          <w:rFonts w:ascii="Arial" w:hAnsi="Arial" w:cs="Arial"/>
          <w:sz w:val="20"/>
          <w:szCs w:val="20"/>
        </w:rPr>
        <w:t xml:space="preserve"> </w:t>
      </w:r>
      <w:r w:rsidRPr="007C1EDE">
        <w:rPr>
          <w:rFonts w:ascii="Arial" w:eastAsia="Calibri" w:hAnsi="Arial" w:cs="Arial"/>
          <w:sz w:val="20"/>
          <w:szCs w:val="20"/>
        </w:rPr>
        <w:t>and</w:t>
      </w:r>
      <w:r w:rsidRPr="007C1EDE">
        <w:rPr>
          <w:rFonts w:ascii="Arial" w:hAnsi="Arial" w:cs="Arial"/>
          <w:sz w:val="20"/>
          <w:szCs w:val="20"/>
        </w:rPr>
        <w:t xml:space="preserve"> </w:t>
      </w:r>
      <w:r w:rsidRPr="007C1EDE">
        <w:rPr>
          <w:rFonts w:ascii="Arial" w:eastAsia="Calibri" w:hAnsi="Arial" w:cs="Arial"/>
          <w:sz w:val="20"/>
          <w:szCs w:val="20"/>
        </w:rPr>
        <w:t>Prevention</w:t>
      </w:r>
      <w:r w:rsidRPr="007C1EDE">
        <w:rPr>
          <w:rFonts w:ascii="Arial" w:hAnsi="Arial" w:cs="Arial"/>
          <w:sz w:val="20"/>
          <w:szCs w:val="20"/>
        </w:rPr>
        <w:t xml:space="preserve">. (2017). </w:t>
      </w:r>
      <w:r w:rsidRPr="007C1EDE">
        <w:rPr>
          <w:rFonts w:ascii="Arial" w:eastAsia="Calibri" w:hAnsi="Arial" w:cs="Arial"/>
          <w:i/>
          <w:iCs/>
          <w:sz w:val="20"/>
          <w:szCs w:val="20"/>
        </w:rPr>
        <w:t>HIV</w:t>
      </w:r>
      <w:r w:rsidRPr="007C1EDE">
        <w:rPr>
          <w:rFonts w:ascii="Arial" w:hAnsi="Arial" w:cs="Arial"/>
          <w:i/>
          <w:iCs/>
          <w:sz w:val="20"/>
          <w:szCs w:val="20"/>
        </w:rPr>
        <w:t xml:space="preserve"> </w:t>
      </w:r>
      <w:r w:rsidRPr="007C1EDE">
        <w:rPr>
          <w:rFonts w:ascii="Arial" w:eastAsia="Calibri" w:hAnsi="Arial" w:cs="Arial"/>
          <w:i/>
          <w:iCs/>
          <w:sz w:val="20"/>
          <w:szCs w:val="20"/>
        </w:rPr>
        <w:t>Among</w:t>
      </w:r>
      <w:r w:rsidRPr="007C1EDE">
        <w:rPr>
          <w:rFonts w:ascii="Arial" w:hAnsi="Arial" w:cs="Arial"/>
          <w:i/>
          <w:iCs/>
          <w:sz w:val="20"/>
          <w:szCs w:val="20"/>
        </w:rPr>
        <w:t xml:space="preserve"> </w:t>
      </w:r>
      <w:r w:rsidRPr="007C1EDE">
        <w:rPr>
          <w:rFonts w:ascii="Arial" w:eastAsia="Calibri" w:hAnsi="Arial" w:cs="Arial"/>
          <w:i/>
          <w:iCs/>
          <w:sz w:val="20"/>
          <w:szCs w:val="20"/>
        </w:rPr>
        <w:t>Gay</w:t>
      </w:r>
      <w:r w:rsidRPr="007C1EDE">
        <w:rPr>
          <w:rFonts w:ascii="Arial" w:hAnsi="Arial" w:cs="Arial"/>
          <w:i/>
          <w:iCs/>
          <w:sz w:val="20"/>
          <w:szCs w:val="20"/>
        </w:rPr>
        <w:t xml:space="preserve"> </w:t>
      </w:r>
      <w:r w:rsidRPr="007C1EDE">
        <w:rPr>
          <w:rFonts w:ascii="Arial" w:eastAsia="Calibri" w:hAnsi="Arial" w:cs="Arial"/>
          <w:i/>
          <w:iCs/>
          <w:sz w:val="20"/>
          <w:szCs w:val="20"/>
        </w:rPr>
        <w:t>and</w:t>
      </w:r>
      <w:r w:rsidRPr="007C1EDE">
        <w:rPr>
          <w:rFonts w:ascii="Arial" w:hAnsi="Arial" w:cs="Arial"/>
          <w:i/>
          <w:iCs/>
          <w:sz w:val="20"/>
          <w:szCs w:val="20"/>
        </w:rPr>
        <w:t xml:space="preserve"> </w:t>
      </w:r>
      <w:r w:rsidRPr="007C1EDE">
        <w:rPr>
          <w:rFonts w:ascii="Arial" w:eastAsia="Calibri" w:hAnsi="Arial" w:cs="Arial"/>
          <w:i/>
          <w:iCs/>
          <w:sz w:val="20"/>
          <w:szCs w:val="20"/>
        </w:rPr>
        <w:t>Bisexual</w:t>
      </w:r>
      <w:r w:rsidRPr="007C1EDE">
        <w:rPr>
          <w:rFonts w:ascii="Arial" w:hAnsi="Arial" w:cs="Arial"/>
          <w:i/>
          <w:iCs/>
          <w:sz w:val="20"/>
          <w:szCs w:val="20"/>
        </w:rPr>
        <w:t xml:space="preserve"> </w:t>
      </w:r>
      <w:r w:rsidRPr="007C1EDE">
        <w:rPr>
          <w:rFonts w:ascii="Arial" w:eastAsia="Calibri" w:hAnsi="Arial" w:cs="Arial"/>
          <w:i/>
          <w:iCs/>
          <w:sz w:val="20"/>
          <w:szCs w:val="20"/>
        </w:rPr>
        <w:t>Men</w:t>
      </w:r>
      <w:r w:rsidRPr="007C1EDE">
        <w:rPr>
          <w:rFonts w:ascii="Arial" w:hAnsi="Arial" w:cs="Arial"/>
          <w:sz w:val="20"/>
          <w:szCs w:val="20"/>
        </w:rPr>
        <w:t xml:space="preserve">. </w:t>
      </w:r>
      <w:r w:rsidRPr="007C1EDE">
        <w:rPr>
          <w:rFonts w:ascii="Arial" w:eastAsia="Calibri" w:hAnsi="Arial" w:cs="Arial"/>
          <w:sz w:val="20"/>
          <w:szCs w:val="20"/>
        </w:rPr>
        <w:t>September</w:t>
      </w:r>
      <w:r w:rsidRPr="007C1EDE">
        <w:rPr>
          <w:rFonts w:ascii="Arial" w:hAnsi="Arial" w:cs="Arial"/>
          <w:sz w:val="20"/>
          <w:szCs w:val="20"/>
        </w:rPr>
        <w:t xml:space="preserve"> 2017. </w:t>
      </w:r>
      <w:r w:rsidRPr="007C1EDE">
        <w:rPr>
          <w:rFonts w:ascii="Arial" w:eastAsia="Calibri" w:hAnsi="Arial" w:cs="Arial"/>
          <w:sz w:val="20"/>
          <w:szCs w:val="20"/>
        </w:rPr>
        <w:t>Retrieved</w:t>
      </w:r>
      <w:r w:rsidRPr="007C1EDE">
        <w:rPr>
          <w:rFonts w:ascii="Arial" w:hAnsi="Arial" w:cs="Arial"/>
          <w:sz w:val="20"/>
          <w:szCs w:val="20"/>
        </w:rPr>
        <w:t xml:space="preserve"> </w:t>
      </w:r>
      <w:r w:rsidRPr="007C1EDE">
        <w:rPr>
          <w:rFonts w:ascii="Arial" w:eastAsia="Calibri" w:hAnsi="Arial" w:cs="Arial"/>
          <w:sz w:val="20"/>
          <w:szCs w:val="20"/>
        </w:rPr>
        <w:t>from</w:t>
      </w:r>
      <w:r w:rsidRPr="007C1EDE">
        <w:rPr>
          <w:rFonts w:ascii="Arial" w:hAnsi="Arial" w:cs="Arial"/>
          <w:sz w:val="20"/>
          <w:szCs w:val="20"/>
        </w:rPr>
        <w:t xml:space="preserve"> </w:t>
      </w:r>
      <w:hyperlink r:id="rId45" w:history="1">
        <w:r w:rsidRPr="007C1EDE">
          <w:rPr>
            <w:rStyle w:val="Hyperlink"/>
            <w:rFonts w:ascii="Arial" w:eastAsia="Calibri" w:hAnsi="Arial" w:cs="Arial"/>
            <w:color w:val="auto"/>
            <w:sz w:val="20"/>
            <w:szCs w:val="20"/>
            <w:u w:val="none"/>
          </w:rPr>
          <w:t>https</w:t>
        </w:r>
        <w:r w:rsidRPr="007C1EDE">
          <w:rPr>
            <w:rStyle w:val="Hyperlink"/>
            <w:rFonts w:ascii="Arial" w:hAnsi="Arial" w:cs="Arial"/>
            <w:color w:val="auto"/>
            <w:sz w:val="20"/>
            <w:szCs w:val="20"/>
            <w:u w:val="none"/>
          </w:rPr>
          <w:t>://</w:t>
        </w:r>
        <w:r w:rsidRPr="007C1EDE">
          <w:rPr>
            <w:rStyle w:val="Hyperlink"/>
            <w:rFonts w:ascii="Arial" w:eastAsia="Calibri" w:hAnsi="Arial" w:cs="Arial"/>
            <w:color w:val="auto"/>
            <w:sz w:val="20"/>
            <w:szCs w:val="20"/>
            <w:u w:val="none"/>
          </w:rPr>
          <w:t>www</w:t>
        </w:r>
        <w:r w:rsidRPr="007C1EDE">
          <w:rPr>
            <w:rStyle w:val="Hyperlink"/>
            <w:rFonts w:ascii="Arial" w:hAnsi="Arial" w:cs="Arial"/>
            <w:color w:val="auto"/>
            <w:sz w:val="20"/>
            <w:szCs w:val="20"/>
            <w:u w:val="none"/>
          </w:rPr>
          <w:t>.</w:t>
        </w:r>
        <w:r w:rsidRPr="007C1EDE">
          <w:rPr>
            <w:rStyle w:val="Hyperlink"/>
            <w:rFonts w:ascii="Arial" w:eastAsia="Calibri" w:hAnsi="Arial" w:cs="Arial"/>
            <w:color w:val="auto"/>
            <w:sz w:val="20"/>
            <w:szCs w:val="20"/>
            <w:u w:val="none"/>
          </w:rPr>
          <w:t>cdc</w:t>
        </w:r>
        <w:r w:rsidRPr="007C1EDE">
          <w:rPr>
            <w:rStyle w:val="Hyperlink"/>
            <w:rFonts w:ascii="Arial" w:hAnsi="Arial" w:cs="Arial"/>
            <w:color w:val="auto"/>
            <w:sz w:val="20"/>
            <w:szCs w:val="20"/>
            <w:u w:val="none"/>
          </w:rPr>
          <w:t>.</w:t>
        </w:r>
        <w:r w:rsidRPr="007C1EDE">
          <w:rPr>
            <w:rStyle w:val="Hyperlink"/>
            <w:rFonts w:ascii="Arial" w:eastAsia="Calibri" w:hAnsi="Arial" w:cs="Arial"/>
            <w:color w:val="auto"/>
            <w:sz w:val="20"/>
            <w:szCs w:val="20"/>
            <w:u w:val="none"/>
          </w:rPr>
          <w:t>gov</w:t>
        </w:r>
        <w:r w:rsidRPr="007C1EDE">
          <w:rPr>
            <w:rStyle w:val="Hyperlink"/>
            <w:rFonts w:ascii="Arial" w:hAnsi="Arial" w:cs="Arial"/>
            <w:color w:val="auto"/>
            <w:sz w:val="20"/>
            <w:szCs w:val="20"/>
            <w:u w:val="none"/>
          </w:rPr>
          <w:t>/</w:t>
        </w:r>
        <w:r w:rsidRPr="007C1EDE">
          <w:rPr>
            <w:rStyle w:val="Hyperlink"/>
            <w:rFonts w:ascii="Arial" w:eastAsia="Calibri" w:hAnsi="Arial" w:cs="Arial"/>
            <w:color w:val="auto"/>
            <w:sz w:val="20"/>
            <w:szCs w:val="20"/>
            <w:u w:val="none"/>
          </w:rPr>
          <w:t>hiv</w:t>
        </w:r>
        <w:r w:rsidRPr="007C1EDE">
          <w:rPr>
            <w:rStyle w:val="Hyperlink"/>
            <w:rFonts w:ascii="Arial" w:hAnsi="Arial" w:cs="Arial"/>
            <w:color w:val="auto"/>
            <w:sz w:val="20"/>
            <w:szCs w:val="20"/>
            <w:u w:val="none"/>
          </w:rPr>
          <w:t>/</w:t>
        </w:r>
        <w:r w:rsidRPr="007C1EDE">
          <w:rPr>
            <w:rStyle w:val="Hyperlink"/>
            <w:rFonts w:ascii="Arial" w:eastAsia="Calibri" w:hAnsi="Arial" w:cs="Arial"/>
            <w:color w:val="auto"/>
            <w:sz w:val="20"/>
            <w:szCs w:val="20"/>
            <w:u w:val="none"/>
          </w:rPr>
          <w:t>group</w:t>
        </w:r>
        <w:r w:rsidRPr="007C1EDE">
          <w:rPr>
            <w:rStyle w:val="Hyperlink"/>
            <w:rFonts w:ascii="Arial" w:hAnsi="Arial" w:cs="Arial"/>
            <w:color w:val="auto"/>
            <w:sz w:val="20"/>
            <w:szCs w:val="20"/>
            <w:u w:val="none"/>
          </w:rPr>
          <w:t>/</w:t>
        </w:r>
        <w:r w:rsidRPr="007C1EDE">
          <w:rPr>
            <w:rStyle w:val="Hyperlink"/>
            <w:rFonts w:ascii="Arial" w:eastAsia="Calibri" w:hAnsi="Arial" w:cs="Arial"/>
            <w:color w:val="auto"/>
            <w:sz w:val="20"/>
            <w:szCs w:val="20"/>
            <w:u w:val="none"/>
          </w:rPr>
          <w:t>msm</w:t>
        </w:r>
        <w:r w:rsidRPr="007C1EDE">
          <w:rPr>
            <w:rStyle w:val="Hyperlink"/>
            <w:rFonts w:ascii="Arial" w:hAnsi="Arial" w:cs="Arial"/>
            <w:color w:val="auto"/>
            <w:sz w:val="20"/>
            <w:szCs w:val="20"/>
            <w:u w:val="none"/>
          </w:rPr>
          <w:t>/</w:t>
        </w:r>
        <w:r w:rsidRPr="007C1EDE">
          <w:rPr>
            <w:rStyle w:val="Hyperlink"/>
            <w:rFonts w:ascii="Arial" w:eastAsia="Calibri" w:hAnsi="Arial" w:cs="Arial"/>
            <w:color w:val="auto"/>
            <w:sz w:val="20"/>
            <w:szCs w:val="20"/>
            <w:u w:val="none"/>
          </w:rPr>
          <w:t>bmsm</w:t>
        </w:r>
        <w:r w:rsidRPr="007C1EDE">
          <w:rPr>
            <w:rStyle w:val="Hyperlink"/>
            <w:rFonts w:ascii="Arial" w:hAnsi="Arial" w:cs="Arial"/>
            <w:color w:val="auto"/>
            <w:sz w:val="20"/>
            <w:szCs w:val="20"/>
            <w:u w:val="none"/>
          </w:rPr>
          <w:t>.</w:t>
        </w:r>
        <w:r w:rsidRPr="007C1EDE">
          <w:rPr>
            <w:rStyle w:val="Hyperlink"/>
            <w:rFonts w:ascii="Arial" w:eastAsia="Calibri" w:hAnsi="Arial" w:cs="Arial"/>
            <w:color w:val="auto"/>
            <w:sz w:val="20"/>
            <w:szCs w:val="20"/>
            <w:u w:val="none"/>
          </w:rPr>
          <w:t>html</w:t>
        </w:r>
      </w:hyperlink>
    </w:p>
  </w:endnote>
  <w:endnote w:id="146">
    <w:p w14:paraId="0622EF79" w14:textId="77777777" w:rsidR="00411ECA" w:rsidRPr="007C1EDE" w:rsidRDefault="00411ECA" w:rsidP="007C1EDE">
      <w:pPr>
        <w:pStyle w:val="NormalWeb"/>
        <w:spacing w:after="80" w:line="240" w:lineRule="auto"/>
        <w:rPr>
          <w:rFonts w:ascii="Arial" w:hAnsi="Arial" w:cs="Arial"/>
          <w:sz w:val="20"/>
          <w:szCs w:val="20"/>
        </w:rPr>
      </w:pPr>
      <w:r w:rsidRPr="007C1EDE">
        <w:rPr>
          <w:rStyle w:val="EndnoteReference"/>
          <w:rFonts w:ascii="Arial" w:hAnsi="Arial" w:cs="Arial"/>
          <w:sz w:val="20"/>
          <w:szCs w:val="20"/>
        </w:rPr>
        <w:endnoteRef/>
      </w:r>
      <w:r w:rsidRPr="007C1EDE">
        <w:rPr>
          <w:rFonts w:ascii="Arial" w:eastAsia="Calibri" w:hAnsi="Arial" w:cs="Arial"/>
          <w:sz w:val="20"/>
          <w:szCs w:val="20"/>
        </w:rPr>
        <w:t xml:space="preserve"> Massachusetts Department of Public Health, Bureau of Infectious Diseases and Laboratory Sciences, Office of HIV/AIDS. (2017).</w:t>
      </w:r>
    </w:p>
  </w:endnote>
  <w:endnote w:id="147">
    <w:p w14:paraId="0549A032"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w:t>
      </w:r>
      <w:r w:rsidRPr="007C1EDE">
        <w:rPr>
          <w:rFonts w:ascii="Arial" w:eastAsia="Calibri" w:hAnsi="Arial" w:cs="Arial"/>
          <w:i/>
        </w:rPr>
        <w:t>Ibid</w:t>
      </w:r>
      <w:r w:rsidRPr="007C1EDE">
        <w:rPr>
          <w:rFonts w:ascii="Arial" w:hAnsi="Arial" w:cs="Arial"/>
        </w:rPr>
        <w:t>.</w:t>
      </w:r>
    </w:p>
  </w:endnote>
  <w:endnote w:id="148">
    <w:p w14:paraId="74934A38"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w:t>
      </w:r>
      <w:r w:rsidRPr="007C1EDE">
        <w:rPr>
          <w:rFonts w:ascii="Arial" w:eastAsia="Calibri" w:hAnsi="Arial" w:cs="Arial"/>
          <w:i/>
        </w:rPr>
        <w:t>Ibid</w:t>
      </w:r>
      <w:r w:rsidRPr="007C1EDE">
        <w:rPr>
          <w:rFonts w:ascii="Arial" w:hAnsi="Arial" w:cs="Arial"/>
        </w:rPr>
        <w:t>.</w:t>
      </w:r>
    </w:p>
  </w:endnote>
  <w:endnote w:id="149">
    <w:p w14:paraId="51933F0D"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w:t>
      </w:r>
      <w:r w:rsidRPr="007C1EDE">
        <w:rPr>
          <w:rFonts w:ascii="Arial" w:eastAsia="Calibri" w:hAnsi="Arial" w:cs="Arial"/>
          <w:i/>
        </w:rPr>
        <w:t>Ibid</w:t>
      </w:r>
      <w:r w:rsidRPr="007C1EDE">
        <w:rPr>
          <w:rFonts w:ascii="Arial" w:hAnsi="Arial" w:cs="Arial"/>
        </w:rPr>
        <w:t>.</w:t>
      </w:r>
    </w:p>
  </w:endnote>
  <w:endnote w:id="150">
    <w:p w14:paraId="18E6C78B"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w:t>
      </w:r>
      <w:r w:rsidRPr="007C1EDE">
        <w:rPr>
          <w:rFonts w:ascii="Arial" w:hAnsi="Arial" w:cs="Arial"/>
          <w:i/>
        </w:rPr>
        <w:t>Ibid</w:t>
      </w:r>
      <w:r w:rsidRPr="007C1EDE">
        <w:rPr>
          <w:rFonts w:ascii="Arial" w:hAnsi="Arial" w:cs="Arial"/>
        </w:rPr>
        <w:t>.</w:t>
      </w:r>
    </w:p>
  </w:endnote>
  <w:endnote w:id="151">
    <w:p w14:paraId="6881CF99"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w:t>
      </w:r>
      <w:r w:rsidRPr="007C1EDE">
        <w:rPr>
          <w:rFonts w:ascii="Arial" w:hAnsi="Arial" w:cs="Arial"/>
          <w:i/>
        </w:rPr>
        <w:t>Ibid</w:t>
      </w:r>
      <w:r w:rsidRPr="007C1EDE">
        <w:rPr>
          <w:rFonts w:ascii="Arial" w:hAnsi="Arial" w:cs="Arial"/>
        </w:rPr>
        <w:t>.</w:t>
      </w:r>
    </w:p>
  </w:endnote>
  <w:endnote w:id="152">
    <w:p w14:paraId="570611F3" w14:textId="77777777" w:rsidR="00411ECA" w:rsidRPr="007C1EDE" w:rsidRDefault="00411ECA" w:rsidP="007C1EDE">
      <w:pPr>
        <w:pStyle w:val="NormalWeb"/>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rPr>
        <w:t xml:space="preserve"> </w:t>
      </w:r>
      <w:r w:rsidRPr="007C1EDE">
        <w:rPr>
          <w:rFonts w:ascii="Arial" w:eastAsia="Calibri" w:hAnsi="Arial" w:cs="Arial"/>
          <w:sz w:val="20"/>
          <w:szCs w:val="20"/>
        </w:rPr>
        <w:t>Centers</w:t>
      </w:r>
      <w:r w:rsidRPr="007C1EDE">
        <w:rPr>
          <w:rFonts w:ascii="Arial" w:hAnsi="Arial" w:cs="Arial"/>
          <w:sz w:val="20"/>
          <w:szCs w:val="20"/>
        </w:rPr>
        <w:t xml:space="preserve"> </w:t>
      </w:r>
      <w:r w:rsidRPr="007C1EDE">
        <w:rPr>
          <w:rFonts w:ascii="Arial" w:eastAsia="Calibri" w:hAnsi="Arial" w:cs="Arial"/>
          <w:sz w:val="20"/>
          <w:szCs w:val="20"/>
        </w:rPr>
        <w:t>for</w:t>
      </w:r>
      <w:r w:rsidRPr="007C1EDE">
        <w:rPr>
          <w:rFonts w:ascii="Arial" w:hAnsi="Arial" w:cs="Arial"/>
          <w:sz w:val="20"/>
          <w:szCs w:val="20"/>
        </w:rPr>
        <w:t xml:space="preserve"> </w:t>
      </w:r>
      <w:r w:rsidRPr="007C1EDE">
        <w:rPr>
          <w:rFonts w:ascii="Arial" w:eastAsia="Calibri" w:hAnsi="Arial" w:cs="Arial"/>
          <w:sz w:val="20"/>
          <w:szCs w:val="20"/>
        </w:rPr>
        <w:t>Disease</w:t>
      </w:r>
      <w:r w:rsidRPr="007C1EDE">
        <w:rPr>
          <w:rFonts w:ascii="Arial" w:hAnsi="Arial" w:cs="Arial"/>
          <w:sz w:val="20"/>
          <w:szCs w:val="20"/>
        </w:rPr>
        <w:t xml:space="preserve"> </w:t>
      </w:r>
      <w:r w:rsidRPr="007C1EDE">
        <w:rPr>
          <w:rFonts w:ascii="Arial" w:eastAsia="Calibri" w:hAnsi="Arial" w:cs="Arial"/>
          <w:sz w:val="20"/>
          <w:szCs w:val="20"/>
        </w:rPr>
        <w:t>Control</w:t>
      </w:r>
      <w:r w:rsidRPr="007C1EDE">
        <w:rPr>
          <w:rFonts w:ascii="Arial" w:hAnsi="Arial" w:cs="Arial"/>
          <w:sz w:val="20"/>
          <w:szCs w:val="20"/>
        </w:rPr>
        <w:t xml:space="preserve">. (2016). </w:t>
      </w:r>
      <w:r w:rsidRPr="007C1EDE">
        <w:rPr>
          <w:rFonts w:ascii="Arial" w:eastAsia="Calibri" w:hAnsi="Arial" w:cs="Arial"/>
          <w:iCs/>
          <w:sz w:val="20"/>
          <w:szCs w:val="20"/>
        </w:rPr>
        <w:t>Sexually</w:t>
      </w:r>
      <w:r w:rsidRPr="007C1EDE">
        <w:rPr>
          <w:rFonts w:ascii="Arial" w:hAnsi="Arial" w:cs="Arial"/>
          <w:iCs/>
          <w:sz w:val="20"/>
          <w:szCs w:val="20"/>
        </w:rPr>
        <w:t xml:space="preserve"> </w:t>
      </w:r>
      <w:r w:rsidRPr="007C1EDE">
        <w:rPr>
          <w:rFonts w:ascii="Arial" w:eastAsia="Calibri" w:hAnsi="Arial" w:cs="Arial"/>
          <w:iCs/>
          <w:sz w:val="20"/>
          <w:szCs w:val="20"/>
        </w:rPr>
        <w:t>Transmitted</w:t>
      </w:r>
      <w:r w:rsidRPr="007C1EDE">
        <w:rPr>
          <w:rFonts w:ascii="Arial" w:hAnsi="Arial" w:cs="Arial"/>
          <w:iCs/>
          <w:sz w:val="20"/>
          <w:szCs w:val="20"/>
        </w:rPr>
        <w:t xml:space="preserve"> </w:t>
      </w:r>
      <w:r w:rsidRPr="007C1EDE">
        <w:rPr>
          <w:rFonts w:ascii="Arial" w:eastAsia="Calibri" w:hAnsi="Arial" w:cs="Arial"/>
          <w:iCs/>
          <w:sz w:val="20"/>
          <w:szCs w:val="20"/>
        </w:rPr>
        <w:t>Disease</w:t>
      </w:r>
      <w:r w:rsidRPr="007C1EDE">
        <w:rPr>
          <w:rFonts w:ascii="Arial" w:hAnsi="Arial" w:cs="Arial"/>
          <w:iCs/>
          <w:sz w:val="20"/>
          <w:szCs w:val="20"/>
        </w:rPr>
        <w:t xml:space="preserve"> </w:t>
      </w:r>
      <w:r w:rsidRPr="007C1EDE">
        <w:rPr>
          <w:rFonts w:ascii="Arial" w:eastAsia="Calibri" w:hAnsi="Arial" w:cs="Arial"/>
          <w:iCs/>
          <w:sz w:val="20"/>
          <w:szCs w:val="20"/>
        </w:rPr>
        <w:t>Surveillance</w:t>
      </w:r>
      <w:r w:rsidRPr="007C1EDE">
        <w:rPr>
          <w:rFonts w:ascii="Arial" w:hAnsi="Arial" w:cs="Arial"/>
          <w:iCs/>
          <w:sz w:val="20"/>
          <w:szCs w:val="20"/>
        </w:rPr>
        <w:t xml:space="preserve"> 2015</w:t>
      </w:r>
      <w:r w:rsidRPr="007C1EDE">
        <w:rPr>
          <w:rFonts w:ascii="Arial" w:hAnsi="Arial" w:cs="Arial"/>
          <w:sz w:val="20"/>
          <w:szCs w:val="20"/>
        </w:rPr>
        <w:t xml:space="preserve">. </w:t>
      </w:r>
      <w:r w:rsidRPr="007C1EDE">
        <w:rPr>
          <w:rFonts w:ascii="Arial" w:eastAsia="Calibri" w:hAnsi="Arial" w:cs="Arial"/>
          <w:sz w:val="20"/>
          <w:szCs w:val="20"/>
        </w:rPr>
        <w:t>Atlanta</w:t>
      </w:r>
      <w:r w:rsidRPr="007C1EDE">
        <w:rPr>
          <w:rFonts w:ascii="Arial" w:hAnsi="Arial" w:cs="Arial"/>
          <w:sz w:val="20"/>
          <w:szCs w:val="20"/>
        </w:rPr>
        <w:t xml:space="preserve">: </w:t>
      </w:r>
      <w:r w:rsidRPr="007C1EDE">
        <w:rPr>
          <w:rFonts w:ascii="Arial" w:eastAsia="Calibri" w:hAnsi="Arial" w:cs="Arial"/>
          <w:sz w:val="20"/>
          <w:szCs w:val="20"/>
        </w:rPr>
        <w:t>U</w:t>
      </w:r>
      <w:r w:rsidRPr="007C1EDE">
        <w:rPr>
          <w:rFonts w:ascii="Arial" w:hAnsi="Arial" w:cs="Arial"/>
          <w:sz w:val="20"/>
          <w:szCs w:val="20"/>
        </w:rPr>
        <w:t>.</w:t>
      </w:r>
      <w:r w:rsidRPr="007C1EDE">
        <w:rPr>
          <w:rFonts w:ascii="Arial" w:eastAsia="Calibri" w:hAnsi="Arial" w:cs="Arial"/>
          <w:sz w:val="20"/>
          <w:szCs w:val="20"/>
        </w:rPr>
        <w:t>S</w:t>
      </w:r>
      <w:r w:rsidRPr="007C1EDE">
        <w:rPr>
          <w:rFonts w:ascii="Arial" w:hAnsi="Arial" w:cs="Arial"/>
          <w:sz w:val="20"/>
          <w:szCs w:val="20"/>
        </w:rPr>
        <w:t xml:space="preserve">. </w:t>
      </w:r>
      <w:r w:rsidRPr="007C1EDE">
        <w:rPr>
          <w:rFonts w:ascii="Arial" w:eastAsia="Calibri" w:hAnsi="Arial" w:cs="Arial"/>
          <w:sz w:val="20"/>
          <w:szCs w:val="20"/>
        </w:rPr>
        <w:t>Department</w:t>
      </w:r>
      <w:r w:rsidRPr="007C1EDE">
        <w:rPr>
          <w:rFonts w:ascii="Arial" w:hAnsi="Arial" w:cs="Arial"/>
          <w:sz w:val="20"/>
          <w:szCs w:val="20"/>
        </w:rPr>
        <w:t xml:space="preserve"> </w:t>
      </w:r>
      <w:r w:rsidRPr="007C1EDE">
        <w:rPr>
          <w:rFonts w:ascii="Arial" w:eastAsia="Calibri" w:hAnsi="Arial" w:cs="Arial"/>
          <w:sz w:val="20"/>
          <w:szCs w:val="20"/>
        </w:rPr>
        <w:t>of</w:t>
      </w:r>
      <w:r w:rsidRPr="007C1EDE">
        <w:rPr>
          <w:rFonts w:ascii="Arial" w:hAnsi="Arial" w:cs="Arial"/>
          <w:sz w:val="20"/>
          <w:szCs w:val="20"/>
        </w:rPr>
        <w:t xml:space="preserve"> </w:t>
      </w:r>
      <w:r w:rsidRPr="007C1EDE">
        <w:rPr>
          <w:rFonts w:ascii="Arial" w:eastAsia="Calibri" w:hAnsi="Arial" w:cs="Arial"/>
          <w:sz w:val="20"/>
          <w:szCs w:val="20"/>
        </w:rPr>
        <w:t>Health</w:t>
      </w:r>
      <w:r w:rsidRPr="007C1EDE">
        <w:rPr>
          <w:rFonts w:ascii="Arial" w:hAnsi="Arial" w:cs="Arial"/>
          <w:sz w:val="20"/>
          <w:szCs w:val="20"/>
        </w:rPr>
        <w:t xml:space="preserve"> </w:t>
      </w:r>
      <w:r w:rsidRPr="007C1EDE">
        <w:rPr>
          <w:rFonts w:ascii="Arial" w:eastAsia="Calibri" w:hAnsi="Arial" w:cs="Arial"/>
          <w:sz w:val="20"/>
          <w:szCs w:val="20"/>
        </w:rPr>
        <w:t>and</w:t>
      </w:r>
      <w:r w:rsidRPr="007C1EDE">
        <w:rPr>
          <w:rFonts w:ascii="Arial" w:hAnsi="Arial" w:cs="Arial"/>
          <w:sz w:val="20"/>
          <w:szCs w:val="20"/>
        </w:rPr>
        <w:t xml:space="preserve"> </w:t>
      </w:r>
      <w:r w:rsidRPr="007C1EDE">
        <w:rPr>
          <w:rFonts w:ascii="Arial" w:eastAsia="Calibri" w:hAnsi="Arial" w:cs="Arial"/>
          <w:sz w:val="20"/>
          <w:szCs w:val="20"/>
        </w:rPr>
        <w:t>Human</w:t>
      </w:r>
      <w:r w:rsidRPr="007C1EDE">
        <w:rPr>
          <w:rFonts w:ascii="Arial" w:hAnsi="Arial" w:cs="Arial"/>
          <w:sz w:val="20"/>
          <w:szCs w:val="20"/>
        </w:rPr>
        <w:t xml:space="preserve"> </w:t>
      </w:r>
      <w:r w:rsidRPr="007C1EDE">
        <w:rPr>
          <w:rFonts w:ascii="Arial" w:eastAsia="Calibri" w:hAnsi="Arial" w:cs="Arial"/>
          <w:sz w:val="20"/>
          <w:szCs w:val="20"/>
        </w:rPr>
        <w:t>Services</w:t>
      </w:r>
      <w:r w:rsidRPr="007C1EDE">
        <w:rPr>
          <w:rFonts w:ascii="Arial" w:hAnsi="Arial" w:cs="Arial"/>
          <w:sz w:val="20"/>
          <w:szCs w:val="20"/>
        </w:rPr>
        <w:t xml:space="preserve">. </w:t>
      </w:r>
      <w:r w:rsidRPr="007C1EDE">
        <w:rPr>
          <w:rFonts w:ascii="Arial" w:eastAsia="Calibri" w:hAnsi="Arial" w:cs="Arial"/>
          <w:sz w:val="20"/>
          <w:szCs w:val="20"/>
        </w:rPr>
        <w:t>Retrieved</w:t>
      </w:r>
      <w:r w:rsidRPr="007C1EDE">
        <w:rPr>
          <w:rFonts w:ascii="Arial" w:hAnsi="Arial" w:cs="Arial"/>
          <w:sz w:val="20"/>
          <w:szCs w:val="20"/>
        </w:rPr>
        <w:t xml:space="preserve"> </w:t>
      </w:r>
      <w:r w:rsidRPr="007C1EDE">
        <w:rPr>
          <w:rFonts w:ascii="Arial" w:eastAsia="Calibri" w:hAnsi="Arial" w:cs="Arial"/>
          <w:sz w:val="20"/>
          <w:szCs w:val="20"/>
        </w:rPr>
        <w:t>from</w:t>
      </w:r>
      <w:r w:rsidRPr="007C1EDE">
        <w:rPr>
          <w:rFonts w:ascii="Arial" w:hAnsi="Arial" w:cs="Arial"/>
          <w:sz w:val="20"/>
          <w:szCs w:val="20"/>
        </w:rPr>
        <w:t xml:space="preserve"> </w:t>
      </w:r>
      <w:hyperlink r:id="rId46" w:history="1">
        <w:r w:rsidRPr="007C1EDE">
          <w:rPr>
            <w:rStyle w:val="Hyperlink"/>
            <w:rFonts w:ascii="Arial" w:eastAsia="Calibri" w:hAnsi="Arial" w:cs="Arial"/>
            <w:color w:val="auto"/>
            <w:sz w:val="20"/>
            <w:szCs w:val="20"/>
            <w:u w:val="none"/>
          </w:rPr>
          <w:t>https</w:t>
        </w:r>
        <w:r w:rsidRPr="007C1EDE">
          <w:rPr>
            <w:rStyle w:val="Hyperlink"/>
            <w:rFonts w:ascii="Arial" w:hAnsi="Arial" w:cs="Arial"/>
            <w:color w:val="auto"/>
            <w:sz w:val="20"/>
            <w:szCs w:val="20"/>
            <w:u w:val="none"/>
          </w:rPr>
          <w:t>://</w:t>
        </w:r>
        <w:r w:rsidRPr="007C1EDE">
          <w:rPr>
            <w:rStyle w:val="Hyperlink"/>
            <w:rFonts w:ascii="Arial" w:eastAsia="Calibri" w:hAnsi="Arial" w:cs="Arial"/>
            <w:color w:val="auto"/>
            <w:sz w:val="20"/>
            <w:szCs w:val="20"/>
            <w:u w:val="none"/>
          </w:rPr>
          <w:t>www</w:t>
        </w:r>
        <w:r w:rsidRPr="007C1EDE">
          <w:rPr>
            <w:rStyle w:val="Hyperlink"/>
            <w:rFonts w:ascii="Arial" w:hAnsi="Arial" w:cs="Arial"/>
            <w:color w:val="auto"/>
            <w:sz w:val="20"/>
            <w:szCs w:val="20"/>
            <w:u w:val="none"/>
          </w:rPr>
          <w:t>.</w:t>
        </w:r>
        <w:r w:rsidRPr="007C1EDE">
          <w:rPr>
            <w:rStyle w:val="Hyperlink"/>
            <w:rFonts w:ascii="Arial" w:eastAsia="Calibri" w:hAnsi="Arial" w:cs="Arial"/>
            <w:color w:val="auto"/>
            <w:sz w:val="20"/>
            <w:szCs w:val="20"/>
            <w:u w:val="none"/>
          </w:rPr>
          <w:t>cdc</w:t>
        </w:r>
        <w:r w:rsidRPr="007C1EDE">
          <w:rPr>
            <w:rStyle w:val="Hyperlink"/>
            <w:rFonts w:ascii="Arial" w:hAnsi="Arial" w:cs="Arial"/>
            <w:color w:val="auto"/>
            <w:sz w:val="20"/>
            <w:szCs w:val="20"/>
            <w:u w:val="none"/>
          </w:rPr>
          <w:t>.</w:t>
        </w:r>
        <w:r w:rsidRPr="007C1EDE">
          <w:rPr>
            <w:rStyle w:val="Hyperlink"/>
            <w:rFonts w:ascii="Arial" w:eastAsia="Calibri" w:hAnsi="Arial" w:cs="Arial"/>
            <w:color w:val="auto"/>
            <w:sz w:val="20"/>
            <w:szCs w:val="20"/>
            <w:u w:val="none"/>
          </w:rPr>
          <w:t>gov</w:t>
        </w:r>
        <w:r w:rsidRPr="007C1EDE">
          <w:rPr>
            <w:rStyle w:val="Hyperlink"/>
            <w:rFonts w:ascii="Arial" w:hAnsi="Arial" w:cs="Arial"/>
            <w:color w:val="auto"/>
            <w:sz w:val="20"/>
            <w:szCs w:val="20"/>
            <w:u w:val="none"/>
          </w:rPr>
          <w:t>/</w:t>
        </w:r>
        <w:r w:rsidRPr="007C1EDE">
          <w:rPr>
            <w:rStyle w:val="Hyperlink"/>
            <w:rFonts w:ascii="Arial" w:eastAsia="Calibri" w:hAnsi="Arial" w:cs="Arial"/>
            <w:color w:val="auto"/>
            <w:sz w:val="20"/>
            <w:szCs w:val="20"/>
            <w:u w:val="none"/>
          </w:rPr>
          <w:t>std</w:t>
        </w:r>
        <w:r w:rsidRPr="007C1EDE">
          <w:rPr>
            <w:rStyle w:val="Hyperlink"/>
            <w:rFonts w:ascii="Arial" w:hAnsi="Arial" w:cs="Arial"/>
            <w:color w:val="auto"/>
            <w:sz w:val="20"/>
            <w:szCs w:val="20"/>
            <w:u w:val="none"/>
          </w:rPr>
          <w:t>/</w:t>
        </w:r>
        <w:r w:rsidRPr="007C1EDE">
          <w:rPr>
            <w:rStyle w:val="Hyperlink"/>
            <w:rFonts w:ascii="Arial" w:eastAsia="Calibri" w:hAnsi="Arial" w:cs="Arial"/>
            <w:color w:val="auto"/>
            <w:sz w:val="20"/>
            <w:szCs w:val="20"/>
            <w:u w:val="none"/>
          </w:rPr>
          <w:t>stats</w:t>
        </w:r>
        <w:r w:rsidRPr="007C1EDE">
          <w:rPr>
            <w:rStyle w:val="Hyperlink"/>
            <w:rFonts w:ascii="Arial" w:hAnsi="Arial" w:cs="Arial"/>
            <w:color w:val="auto"/>
            <w:sz w:val="20"/>
            <w:szCs w:val="20"/>
            <w:u w:val="none"/>
          </w:rPr>
          <w:t>15/</w:t>
        </w:r>
        <w:r w:rsidRPr="007C1EDE">
          <w:rPr>
            <w:rStyle w:val="Hyperlink"/>
            <w:rFonts w:ascii="Arial" w:eastAsia="Calibri" w:hAnsi="Arial" w:cs="Arial"/>
            <w:color w:val="auto"/>
            <w:sz w:val="20"/>
            <w:szCs w:val="20"/>
            <w:u w:val="none"/>
          </w:rPr>
          <w:t>STD</w:t>
        </w:r>
        <w:r w:rsidRPr="007C1EDE">
          <w:rPr>
            <w:rStyle w:val="Hyperlink"/>
            <w:rFonts w:ascii="Arial" w:hAnsi="Arial" w:cs="Arial"/>
            <w:color w:val="auto"/>
            <w:sz w:val="20"/>
            <w:szCs w:val="20"/>
            <w:u w:val="none"/>
          </w:rPr>
          <w:t>-</w:t>
        </w:r>
        <w:r w:rsidRPr="007C1EDE">
          <w:rPr>
            <w:rStyle w:val="Hyperlink"/>
            <w:rFonts w:ascii="Arial" w:eastAsia="Calibri" w:hAnsi="Arial" w:cs="Arial"/>
            <w:color w:val="auto"/>
            <w:sz w:val="20"/>
            <w:szCs w:val="20"/>
            <w:u w:val="none"/>
          </w:rPr>
          <w:t>Surveillance</w:t>
        </w:r>
        <w:r w:rsidRPr="007C1EDE">
          <w:rPr>
            <w:rStyle w:val="Hyperlink"/>
            <w:rFonts w:ascii="Arial" w:hAnsi="Arial" w:cs="Arial"/>
            <w:color w:val="auto"/>
            <w:sz w:val="20"/>
            <w:szCs w:val="20"/>
            <w:u w:val="none"/>
          </w:rPr>
          <w:t>-2015-</w:t>
        </w:r>
        <w:r w:rsidRPr="007C1EDE">
          <w:rPr>
            <w:rStyle w:val="Hyperlink"/>
            <w:rFonts w:ascii="Arial" w:eastAsia="Calibri" w:hAnsi="Arial" w:cs="Arial"/>
            <w:color w:val="auto"/>
            <w:sz w:val="20"/>
            <w:szCs w:val="20"/>
            <w:u w:val="none"/>
          </w:rPr>
          <w:t>print</w:t>
        </w:r>
        <w:r w:rsidRPr="007C1EDE">
          <w:rPr>
            <w:rStyle w:val="Hyperlink"/>
            <w:rFonts w:ascii="Arial" w:hAnsi="Arial" w:cs="Arial"/>
            <w:color w:val="auto"/>
            <w:sz w:val="20"/>
            <w:szCs w:val="20"/>
            <w:u w:val="none"/>
          </w:rPr>
          <w:t>.</w:t>
        </w:r>
        <w:r w:rsidRPr="007C1EDE">
          <w:rPr>
            <w:rStyle w:val="Hyperlink"/>
            <w:rFonts w:ascii="Arial" w:eastAsia="Calibri" w:hAnsi="Arial" w:cs="Arial"/>
            <w:color w:val="auto"/>
            <w:sz w:val="20"/>
            <w:szCs w:val="20"/>
            <w:u w:val="none"/>
          </w:rPr>
          <w:t>pdf</w:t>
        </w:r>
      </w:hyperlink>
    </w:p>
  </w:endnote>
  <w:endnote w:id="153">
    <w:p w14:paraId="45CA8F90" w14:textId="77777777" w:rsidR="00411ECA" w:rsidRPr="007C1EDE" w:rsidRDefault="00411ECA" w:rsidP="007C1EDE">
      <w:pPr>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vertAlign w:val="superscript"/>
        </w:rPr>
        <w:t xml:space="preserve"> </w:t>
      </w:r>
      <w:hyperlink r:id="rId47" w:history="1">
        <w:r w:rsidRPr="007C1EDE">
          <w:rPr>
            <w:rFonts w:ascii="Arial" w:eastAsia="Calibri" w:hAnsi="Arial" w:cs="Arial"/>
            <w:i/>
            <w:sz w:val="20"/>
            <w:szCs w:val="20"/>
          </w:rPr>
          <w:t>Ibid</w:t>
        </w:r>
        <w:r w:rsidRPr="007C1EDE">
          <w:rPr>
            <w:rFonts w:ascii="Arial" w:hAnsi="Arial" w:cs="Arial"/>
            <w:i/>
            <w:sz w:val="20"/>
            <w:szCs w:val="20"/>
          </w:rPr>
          <w:t>.</w:t>
        </w:r>
      </w:hyperlink>
    </w:p>
  </w:endnote>
  <w:endnote w:id="154">
    <w:p w14:paraId="4859C957" w14:textId="77777777" w:rsidR="00411ECA" w:rsidRPr="007C1EDE" w:rsidRDefault="00411ECA" w:rsidP="007C1EDE">
      <w:pPr>
        <w:spacing w:after="80" w:line="240" w:lineRule="auto"/>
        <w:rPr>
          <w:rFonts w:ascii="Arial" w:hAnsi="Arial" w:cs="Arial"/>
          <w:sz w:val="20"/>
          <w:szCs w:val="20"/>
        </w:rPr>
      </w:pPr>
      <w:r w:rsidRPr="007C1EDE">
        <w:rPr>
          <w:rStyle w:val="EndnoteReference"/>
          <w:rFonts w:ascii="Arial" w:hAnsi="Arial" w:cs="Arial"/>
          <w:sz w:val="20"/>
          <w:szCs w:val="20"/>
        </w:rPr>
        <w:endnoteRef/>
      </w:r>
      <w:r w:rsidRPr="007C1EDE">
        <w:rPr>
          <w:rFonts w:ascii="Arial" w:hAnsi="Arial" w:cs="Arial"/>
          <w:sz w:val="20"/>
          <w:szCs w:val="20"/>
        </w:rPr>
        <w:t xml:space="preserve"> </w:t>
      </w:r>
      <w:r w:rsidRPr="007C1EDE">
        <w:rPr>
          <w:rFonts w:ascii="Arial" w:eastAsia="Calibri" w:hAnsi="Arial" w:cs="Arial"/>
          <w:sz w:val="20"/>
          <w:szCs w:val="20"/>
        </w:rPr>
        <w:t>Lindley</w:t>
      </w:r>
      <w:r w:rsidRPr="007C1EDE">
        <w:rPr>
          <w:rFonts w:ascii="Arial" w:hAnsi="Arial" w:cs="Arial"/>
          <w:sz w:val="20"/>
          <w:szCs w:val="20"/>
        </w:rPr>
        <w:t>, L.L., &amp; </w:t>
      </w:r>
      <w:r w:rsidRPr="007C1EDE">
        <w:rPr>
          <w:rFonts w:ascii="Arial" w:eastAsia="Calibri" w:hAnsi="Arial" w:cs="Arial"/>
          <w:sz w:val="20"/>
          <w:szCs w:val="20"/>
        </w:rPr>
        <w:t>Walsemann</w:t>
      </w:r>
      <w:r w:rsidRPr="007C1EDE">
        <w:rPr>
          <w:rFonts w:ascii="Arial" w:hAnsi="Arial" w:cs="Arial"/>
          <w:sz w:val="20"/>
          <w:szCs w:val="20"/>
        </w:rPr>
        <w:t xml:space="preserve">, K.M. (2015). </w:t>
      </w:r>
      <w:r w:rsidRPr="007C1EDE">
        <w:rPr>
          <w:rFonts w:ascii="Arial" w:eastAsia="Calibri" w:hAnsi="Arial" w:cs="Arial"/>
          <w:sz w:val="20"/>
          <w:szCs w:val="20"/>
        </w:rPr>
        <w:t>Sexual</w:t>
      </w:r>
      <w:r w:rsidRPr="007C1EDE">
        <w:rPr>
          <w:rFonts w:ascii="Arial" w:hAnsi="Arial" w:cs="Arial"/>
          <w:sz w:val="20"/>
          <w:szCs w:val="20"/>
        </w:rPr>
        <w:t xml:space="preserve"> </w:t>
      </w:r>
      <w:r w:rsidRPr="007C1EDE">
        <w:rPr>
          <w:rFonts w:ascii="Arial" w:eastAsia="Calibri" w:hAnsi="Arial" w:cs="Arial"/>
          <w:sz w:val="20"/>
          <w:szCs w:val="20"/>
        </w:rPr>
        <w:t>Orientation</w:t>
      </w:r>
      <w:r w:rsidRPr="007C1EDE">
        <w:rPr>
          <w:rFonts w:ascii="Arial" w:hAnsi="Arial" w:cs="Arial"/>
          <w:sz w:val="20"/>
          <w:szCs w:val="20"/>
        </w:rPr>
        <w:t xml:space="preserve"> </w:t>
      </w:r>
      <w:r w:rsidRPr="007C1EDE">
        <w:rPr>
          <w:rFonts w:ascii="Arial" w:eastAsia="Calibri" w:hAnsi="Arial" w:cs="Arial"/>
          <w:sz w:val="20"/>
          <w:szCs w:val="20"/>
        </w:rPr>
        <w:t>and</w:t>
      </w:r>
      <w:r w:rsidRPr="007C1EDE">
        <w:rPr>
          <w:rFonts w:ascii="Arial" w:hAnsi="Arial" w:cs="Arial"/>
          <w:sz w:val="20"/>
          <w:szCs w:val="20"/>
        </w:rPr>
        <w:t xml:space="preserve"> </w:t>
      </w:r>
      <w:r w:rsidRPr="007C1EDE">
        <w:rPr>
          <w:rFonts w:ascii="Arial" w:eastAsia="Calibri" w:hAnsi="Arial" w:cs="Arial"/>
          <w:sz w:val="20"/>
          <w:szCs w:val="20"/>
        </w:rPr>
        <w:t>Risk</w:t>
      </w:r>
      <w:r w:rsidRPr="007C1EDE">
        <w:rPr>
          <w:rFonts w:ascii="Arial" w:hAnsi="Arial" w:cs="Arial"/>
          <w:sz w:val="20"/>
          <w:szCs w:val="20"/>
        </w:rPr>
        <w:t xml:space="preserve"> </w:t>
      </w:r>
      <w:r w:rsidRPr="007C1EDE">
        <w:rPr>
          <w:rFonts w:ascii="Arial" w:eastAsia="Calibri" w:hAnsi="Arial" w:cs="Arial"/>
          <w:sz w:val="20"/>
          <w:szCs w:val="20"/>
        </w:rPr>
        <w:t>of</w:t>
      </w:r>
      <w:r w:rsidRPr="007C1EDE">
        <w:rPr>
          <w:rFonts w:ascii="Arial" w:hAnsi="Arial" w:cs="Arial"/>
          <w:sz w:val="20"/>
          <w:szCs w:val="20"/>
        </w:rPr>
        <w:t xml:space="preserve"> </w:t>
      </w:r>
      <w:r w:rsidRPr="007C1EDE">
        <w:rPr>
          <w:rFonts w:ascii="Arial" w:eastAsia="Calibri" w:hAnsi="Arial" w:cs="Arial"/>
          <w:sz w:val="20"/>
          <w:szCs w:val="20"/>
        </w:rPr>
        <w:t>Pregnancy</w:t>
      </w:r>
      <w:r w:rsidRPr="007C1EDE">
        <w:rPr>
          <w:rFonts w:ascii="Arial" w:hAnsi="Arial" w:cs="Arial"/>
          <w:sz w:val="20"/>
          <w:szCs w:val="20"/>
        </w:rPr>
        <w:t xml:space="preserve"> </w:t>
      </w:r>
      <w:r w:rsidRPr="007C1EDE">
        <w:rPr>
          <w:rFonts w:ascii="Arial" w:eastAsia="Calibri" w:hAnsi="Arial" w:cs="Arial"/>
          <w:sz w:val="20"/>
          <w:szCs w:val="20"/>
        </w:rPr>
        <w:t>Among</w:t>
      </w:r>
      <w:r w:rsidRPr="007C1EDE">
        <w:rPr>
          <w:rFonts w:ascii="Arial" w:hAnsi="Arial" w:cs="Arial"/>
          <w:sz w:val="20"/>
          <w:szCs w:val="20"/>
        </w:rPr>
        <w:t xml:space="preserve"> </w:t>
      </w:r>
      <w:r w:rsidRPr="007C1EDE">
        <w:rPr>
          <w:rFonts w:ascii="Arial" w:eastAsia="Calibri" w:hAnsi="Arial" w:cs="Arial"/>
          <w:sz w:val="20"/>
          <w:szCs w:val="20"/>
        </w:rPr>
        <w:t>New</w:t>
      </w:r>
      <w:r w:rsidRPr="007C1EDE">
        <w:rPr>
          <w:rFonts w:ascii="Arial" w:hAnsi="Arial" w:cs="Arial"/>
          <w:sz w:val="20"/>
          <w:szCs w:val="20"/>
        </w:rPr>
        <w:t xml:space="preserve"> </w:t>
      </w:r>
      <w:r w:rsidRPr="007C1EDE">
        <w:rPr>
          <w:rFonts w:ascii="Arial" w:eastAsia="Calibri" w:hAnsi="Arial" w:cs="Arial"/>
          <w:sz w:val="20"/>
          <w:szCs w:val="20"/>
        </w:rPr>
        <w:t>York</w:t>
      </w:r>
      <w:r w:rsidRPr="007C1EDE">
        <w:rPr>
          <w:rFonts w:ascii="Arial" w:hAnsi="Arial" w:cs="Arial"/>
          <w:sz w:val="20"/>
          <w:szCs w:val="20"/>
        </w:rPr>
        <w:t xml:space="preserve"> </w:t>
      </w:r>
      <w:r w:rsidRPr="007C1EDE">
        <w:rPr>
          <w:rFonts w:ascii="Arial" w:eastAsia="Calibri" w:hAnsi="Arial" w:cs="Arial"/>
          <w:sz w:val="20"/>
          <w:szCs w:val="20"/>
        </w:rPr>
        <w:t>City</w:t>
      </w:r>
      <w:r w:rsidRPr="007C1EDE">
        <w:rPr>
          <w:rFonts w:ascii="Arial" w:hAnsi="Arial" w:cs="Arial"/>
          <w:sz w:val="20"/>
          <w:szCs w:val="20"/>
        </w:rPr>
        <w:t xml:space="preserve"> </w:t>
      </w:r>
      <w:r w:rsidRPr="007C1EDE">
        <w:rPr>
          <w:rFonts w:ascii="Arial" w:eastAsia="Calibri" w:hAnsi="Arial" w:cs="Arial"/>
          <w:sz w:val="20"/>
          <w:szCs w:val="20"/>
        </w:rPr>
        <w:t>High</w:t>
      </w:r>
      <w:r w:rsidRPr="007C1EDE">
        <w:rPr>
          <w:rFonts w:ascii="Arial" w:hAnsi="Arial" w:cs="Arial"/>
          <w:sz w:val="20"/>
          <w:szCs w:val="20"/>
        </w:rPr>
        <w:t>-</w:t>
      </w:r>
      <w:r w:rsidRPr="007C1EDE">
        <w:rPr>
          <w:rFonts w:ascii="Arial" w:eastAsia="Calibri" w:hAnsi="Arial" w:cs="Arial"/>
          <w:sz w:val="20"/>
          <w:szCs w:val="20"/>
        </w:rPr>
        <w:t>School</w:t>
      </w:r>
      <w:r w:rsidRPr="007C1EDE">
        <w:rPr>
          <w:rFonts w:ascii="Arial" w:hAnsi="Arial" w:cs="Arial"/>
          <w:sz w:val="20"/>
          <w:szCs w:val="20"/>
        </w:rPr>
        <w:t xml:space="preserve"> </w:t>
      </w:r>
      <w:r w:rsidRPr="007C1EDE">
        <w:rPr>
          <w:rFonts w:ascii="Arial" w:eastAsia="Calibri" w:hAnsi="Arial" w:cs="Arial"/>
          <w:sz w:val="20"/>
          <w:szCs w:val="20"/>
        </w:rPr>
        <w:t>Students</w:t>
      </w:r>
      <w:r w:rsidRPr="007C1EDE">
        <w:rPr>
          <w:rFonts w:ascii="Arial" w:hAnsi="Arial" w:cs="Arial"/>
          <w:sz w:val="20"/>
          <w:szCs w:val="20"/>
        </w:rPr>
        <w:t>. </w:t>
      </w:r>
      <w:r w:rsidRPr="007C1EDE">
        <w:rPr>
          <w:rStyle w:val="HTMLCite"/>
          <w:rFonts w:ascii="Arial" w:eastAsia="Calibri" w:hAnsi="Arial" w:cs="Arial"/>
          <w:sz w:val="20"/>
          <w:szCs w:val="20"/>
        </w:rPr>
        <w:t>American</w:t>
      </w:r>
      <w:r w:rsidRPr="007C1EDE">
        <w:rPr>
          <w:rStyle w:val="HTMLCite"/>
          <w:rFonts w:ascii="Arial" w:hAnsi="Arial" w:cs="Arial"/>
          <w:sz w:val="20"/>
          <w:szCs w:val="20"/>
        </w:rPr>
        <w:t xml:space="preserve"> </w:t>
      </w:r>
      <w:r w:rsidRPr="007C1EDE">
        <w:rPr>
          <w:rStyle w:val="HTMLCite"/>
          <w:rFonts w:ascii="Arial" w:eastAsia="Calibri" w:hAnsi="Arial" w:cs="Arial"/>
          <w:sz w:val="20"/>
          <w:szCs w:val="20"/>
        </w:rPr>
        <w:t>Journal</w:t>
      </w:r>
      <w:r w:rsidRPr="007C1EDE">
        <w:rPr>
          <w:rStyle w:val="HTMLCite"/>
          <w:rFonts w:ascii="Arial" w:hAnsi="Arial" w:cs="Arial"/>
          <w:sz w:val="20"/>
          <w:szCs w:val="20"/>
        </w:rPr>
        <w:t xml:space="preserve"> </w:t>
      </w:r>
      <w:r w:rsidRPr="007C1EDE">
        <w:rPr>
          <w:rStyle w:val="HTMLCite"/>
          <w:rFonts w:ascii="Arial" w:eastAsia="Calibri" w:hAnsi="Arial" w:cs="Arial"/>
          <w:sz w:val="20"/>
          <w:szCs w:val="20"/>
        </w:rPr>
        <w:t>of</w:t>
      </w:r>
      <w:r w:rsidRPr="007C1EDE">
        <w:rPr>
          <w:rStyle w:val="HTMLCite"/>
          <w:rFonts w:ascii="Arial" w:hAnsi="Arial" w:cs="Arial"/>
          <w:sz w:val="20"/>
          <w:szCs w:val="20"/>
        </w:rPr>
        <w:t xml:space="preserve"> </w:t>
      </w:r>
      <w:r w:rsidRPr="007C1EDE">
        <w:rPr>
          <w:rStyle w:val="HTMLCite"/>
          <w:rFonts w:ascii="Arial" w:eastAsia="Calibri" w:hAnsi="Arial" w:cs="Arial"/>
          <w:sz w:val="20"/>
          <w:szCs w:val="20"/>
        </w:rPr>
        <w:t>Public</w:t>
      </w:r>
      <w:r w:rsidRPr="007C1EDE">
        <w:rPr>
          <w:rStyle w:val="HTMLCite"/>
          <w:rFonts w:ascii="Arial" w:hAnsi="Arial" w:cs="Arial"/>
          <w:sz w:val="20"/>
          <w:szCs w:val="20"/>
        </w:rPr>
        <w:t xml:space="preserve"> </w:t>
      </w:r>
      <w:r w:rsidRPr="007C1EDE">
        <w:rPr>
          <w:rStyle w:val="HTMLCite"/>
          <w:rFonts w:ascii="Arial" w:eastAsia="Calibri" w:hAnsi="Arial" w:cs="Arial"/>
          <w:sz w:val="20"/>
          <w:szCs w:val="20"/>
        </w:rPr>
        <w:t>Health,</w:t>
      </w:r>
      <w:r w:rsidRPr="007C1EDE">
        <w:rPr>
          <w:rFonts w:ascii="Arial" w:hAnsi="Arial" w:cs="Arial"/>
          <w:sz w:val="20"/>
          <w:szCs w:val="20"/>
        </w:rPr>
        <w:t> </w:t>
      </w:r>
      <w:r w:rsidRPr="007C1EDE">
        <w:rPr>
          <w:rFonts w:ascii="Arial" w:hAnsi="Arial" w:cs="Arial"/>
          <w:i/>
          <w:sz w:val="20"/>
          <w:szCs w:val="20"/>
        </w:rPr>
        <w:t>105</w:t>
      </w:r>
      <w:r w:rsidRPr="007C1EDE">
        <w:rPr>
          <w:rFonts w:ascii="Arial" w:hAnsi="Arial" w:cs="Arial"/>
          <w:sz w:val="20"/>
          <w:szCs w:val="20"/>
        </w:rPr>
        <w:t>(7): 1379-1386.</w:t>
      </w:r>
    </w:p>
  </w:endnote>
  <w:endnote w:id="155">
    <w:p w14:paraId="378DDF61"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Ross, L. (2018, February 15). 2017 Massachusetts Youth and Young Adult Count. (Oral presentation of preliminary data.)</w:t>
      </w:r>
    </w:p>
  </w:endnote>
  <w:endnote w:id="156">
    <w:p w14:paraId="58BF5EBC" w14:textId="77777777" w:rsidR="00411ECA" w:rsidRPr="007C1EDE" w:rsidRDefault="00411ECA" w:rsidP="007C1EDE">
      <w:pPr>
        <w:pStyle w:val="NormalWeb"/>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rPr>
        <w:t xml:space="preserve"> </w:t>
      </w:r>
      <w:r w:rsidRPr="007C1EDE">
        <w:rPr>
          <w:rFonts w:ascii="Arial" w:eastAsia="Calibri" w:hAnsi="Arial" w:cs="Arial"/>
          <w:sz w:val="20"/>
          <w:szCs w:val="20"/>
        </w:rPr>
        <w:t>James</w:t>
      </w:r>
      <w:r w:rsidRPr="007C1EDE">
        <w:rPr>
          <w:rFonts w:ascii="Arial" w:hAnsi="Arial" w:cs="Arial"/>
          <w:sz w:val="20"/>
          <w:szCs w:val="20"/>
        </w:rPr>
        <w:t xml:space="preserve">, </w:t>
      </w:r>
      <w:r w:rsidRPr="007C1EDE">
        <w:rPr>
          <w:rFonts w:ascii="Arial" w:eastAsia="Calibri" w:hAnsi="Arial" w:cs="Arial"/>
          <w:sz w:val="20"/>
          <w:szCs w:val="20"/>
        </w:rPr>
        <w:t>S</w:t>
      </w:r>
      <w:r w:rsidRPr="007C1EDE">
        <w:rPr>
          <w:rFonts w:ascii="Arial" w:hAnsi="Arial" w:cs="Arial"/>
          <w:sz w:val="20"/>
          <w:szCs w:val="20"/>
        </w:rPr>
        <w:t xml:space="preserve">. </w:t>
      </w:r>
      <w:r w:rsidRPr="007C1EDE">
        <w:rPr>
          <w:rFonts w:ascii="Arial" w:eastAsia="Calibri" w:hAnsi="Arial" w:cs="Arial"/>
          <w:sz w:val="20"/>
          <w:szCs w:val="20"/>
        </w:rPr>
        <w:t>E</w:t>
      </w:r>
      <w:r w:rsidRPr="007C1EDE">
        <w:rPr>
          <w:rFonts w:ascii="Arial" w:hAnsi="Arial" w:cs="Arial"/>
          <w:sz w:val="20"/>
          <w:szCs w:val="20"/>
        </w:rPr>
        <w:t xml:space="preserve">., </w:t>
      </w:r>
      <w:r w:rsidRPr="007C1EDE">
        <w:rPr>
          <w:rFonts w:ascii="Arial" w:eastAsia="Calibri" w:hAnsi="Arial" w:cs="Arial"/>
          <w:sz w:val="20"/>
          <w:szCs w:val="20"/>
        </w:rPr>
        <w:t>Herman</w:t>
      </w:r>
      <w:r w:rsidRPr="007C1EDE">
        <w:rPr>
          <w:rFonts w:ascii="Arial" w:hAnsi="Arial" w:cs="Arial"/>
          <w:sz w:val="20"/>
          <w:szCs w:val="20"/>
        </w:rPr>
        <w:t xml:space="preserve">, </w:t>
      </w:r>
      <w:r w:rsidRPr="007C1EDE">
        <w:rPr>
          <w:rFonts w:ascii="Arial" w:eastAsia="Calibri" w:hAnsi="Arial" w:cs="Arial"/>
          <w:sz w:val="20"/>
          <w:szCs w:val="20"/>
        </w:rPr>
        <w:t>J</w:t>
      </w:r>
      <w:r w:rsidRPr="007C1EDE">
        <w:rPr>
          <w:rFonts w:ascii="Arial" w:hAnsi="Arial" w:cs="Arial"/>
          <w:sz w:val="20"/>
          <w:szCs w:val="20"/>
        </w:rPr>
        <w:t xml:space="preserve">. </w:t>
      </w:r>
      <w:r w:rsidRPr="007C1EDE">
        <w:rPr>
          <w:rFonts w:ascii="Arial" w:eastAsia="Calibri" w:hAnsi="Arial" w:cs="Arial"/>
          <w:sz w:val="20"/>
          <w:szCs w:val="20"/>
        </w:rPr>
        <w:t>L</w:t>
      </w:r>
      <w:r w:rsidRPr="007C1EDE">
        <w:rPr>
          <w:rFonts w:ascii="Arial" w:hAnsi="Arial" w:cs="Arial"/>
          <w:sz w:val="20"/>
          <w:szCs w:val="20"/>
        </w:rPr>
        <w:t xml:space="preserve">., </w:t>
      </w:r>
      <w:r w:rsidRPr="007C1EDE">
        <w:rPr>
          <w:rFonts w:ascii="Arial" w:eastAsia="Calibri" w:hAnsi="Arial" w:cs="Arial"/>
          <w:sz w:val="20"/>
          <w:szCs w:val="20"/>
        </w:rPr>
        <w:t>Rankin</w:t>
      </w:r>
      <w:r w:rsidRPr="007C1EDE">
        <w:rPr>
          <w:rFonts w:ascii="Arial" w:hAnsi="Arial" w:cs="Arial"/>
          <w:sz w:val="20"/>
          <w:szCs w:val="20"/>
        </w:rPr>
        <w:t xml:space="preserve">, </w:t>
      </w:r>
      <w:r w:rsidRPr="007C1EDE">
        <w:rPr>
          <w:rFonts w:ascii="Arial" w:eastAsia="Calibri" w:hAnsi="Arial" w:cs="Arial"/>
          <w:sz w:val="20"/>
          <w:szCs w:val="20"/>
        </w:rPr>
        <w:t>S</w:t>
      </w:r>
      <w:r w:rsidRPr="007C1EDE">
        <w:rPr>
          <w:rFonts w:ascii="Arial" w:hAnsi="Arial" w:cs="Arial"/>
          <w:sz w:val="20"/>
          <w:szCs w:val="20"/>
        </w:rPr>
        <w:t xml:space="preserve">., </w:t>
      </w:r>
      <w:r w:rsidRPr="007C1EDE">
        <w:rPr>
          <w:rFonts w:ascii="Arial" w:eastAsia="Calibri" w:hAnsi="Arial" w:cs="Arial"/>
          <w:sz w:val="20"/>
          <w:szCs w:val="20"/>
        </w:rPr>
        <w:t>Keisling</w:t>
      </w:r>
      <w:r w:rsidRPr="007C1EDE">
        <w:rPr>
          <w:rFonts w:ascii="Arial" w:hAnsi="Arial" w:cs="Arial"/>
          <w:sz w:val="20"/>
          <w:szCs w:val="20"/>
        </w:rPr>
        <w:t xml:space="preserve">, </w:t>
      </w:r>
      <w:r w:rsidRPr="007C1EDE">
        <w:rPr>
          <w:rFonts w:ascii="Arial" w:eastAsia="Calibri" w:hAnsi="Arial" w:cs="Arial"/>
          <w:sz w:val="20"/>
          <w:szCs w:val="20"/>
        </w:rPr>
        <w:t>M</w:t>
      </w:r>
      <w:r w:rsidRPr="007C1EDE">
        <w:rPr>
          <w:rFonts w:ascii="Arial" w:hAnsi="Arial" w:cs="Arial"/>
          <w:sz w:val="20"/>
          <w:szCs w:val="20"/>
        </w:rPr>
        <w:t xml:space="preserve">., </w:t>
      </w:r>
      <w:r w:rsidRPr="007C1EDE">
        <w:rPr>
          <w:rFonts w:ascii="Arial" w:eastAsia="Calibri" w:hAnsi="Arial" w:cs="Arial"/>
          <w:sz w:val="20"/>
          <w:szCs w:val="20"/>
        </w:rPr>
        <w:t>Mottet</w:t>
      </w:r>
      <w:r w:rsidRPr="007C1EDE">
        <w:rPr>
          <w:rFonts w:ascii="Arial" w:hAnsi="Arial" w:cs="Arial"/>
          <w:sz w:val="20"/>
          <w:szCs w:val="20"/>
        </w:rPr>
        <w:t xml:space="preserve">, </w:t>
      </w:r>
      <w:r w:rsidRPr="007C1EDE">
        <w:rPr>
          <w:rFonts w:ascii="Arial" w:eastAsia="Calibri" w:hAnsi="Arial" w:cs="Arial"/>
          <w:sz w:val="20"/>
          <w:szCs w:val="20"/>
        </w:rPr>
        <w:t>L</w:t>
      </w:r>
      <w:r w:rsidRPr="007C1EDE">
        <w:rPr>
          <w:rFonts w:ascii="Arial" w:hAnsi="Arial" w:cs="Arial"/>
          <w:sz w:val="20"/>
          <w:szCs w:val="20"/>
        </w:rPr>
        <w:t xml:space="preserve">., </w:t>
      </w:r>
      <w:r w:rsidRPr="007C1EDE">
        <w:rPr>
          <w:rFonts w:ascii="Arial" w:eastAsia="Calibri" w:hAnsi="Arial" w:cs="Arial"/>
          <w:sz w:val="20"/>
          <w:szCs w:val="20"/>
        </w:rPr>
        <w:t>&amp;</w:t>
      </w:r>
      <w:r w:rsidRPr="007C1EDE">
        <w:rPr>
          <w:rFonts w:ascii="Arial" w:hAnsi="Arial" w:cs="Arial"/>
          <w:sz w:val="20"/>
          <w:szCs w:val="20"/>
        </w:rPr>
        <w:t xml:space="preserve"> </w:t>
      </w:r>
      <w:r w:rsidRPr="007C1EDE">
        <w:rPr>
          <w:rFonts w:ascii="Arial" w:eastAsia="Calibri" w:hAnsi="Arial" w:cs="Arial"/>
          <w:sz w:val="20"/>
          <w:szCs w:val="20"/>
        </w:rPr>
        <w:t>Ana</w:t>
      </w:r>
      <w:r w:rsidRPr="007C1EDE">
        <w:rPr>
          <w:rFonts w:ascii="Arial" w:hAnsi="Arial" w:cs="Arial"/>
          <w:sz w:val="20"/>
          <w:szCs w:val="20"/>
        </w:rPr>
        <w:t xml:space="preserve">, </w:t>
      </w:r>
      <w:r w:rsidRPr="007C1EDE">
        <w:rPr>
          <w:rFonts w:ascii="Arial" w:eastAsia="Calibri" w:hAnsi="Arial" w:cs="Arial"/>
          <w:sz w:val="20"/>
          <w:szCs w:val="20"/>
        </w:rPr>
        <w:t>M</w:t>
      </w:r>
      <w:r w:rsidRPr="007C1EDE">
        <w:rPr>
          <w:rFonts w:ascii="Arial" w:hAnsi="Arial" w:cs="Arial"/>
          <w:sz w:val="20"/>
          <w:szCs w:val="20"/>
        </w:rPr>
        <w:t xml:space="preserve">. (2016). </w:t>
      </w:r>
      <w:r w:rsidRPr="007C1EDE">
        <w:rPr>
          <w:rFonts w:ascii="Arial" w:eastAsia="Calibri" w:hAnsi="Arial" w:cs="Arial"/>
          <w:i/>
          <w:iCs/>
          <w:sz w:val="20"/>
          <w:szCs w:val="20"/>
        </w:rPr>
        <w:t>The</w:t>
      </w:r>
      <w:r w:rsidRPr="007C1EDE">
        <w:rPr>
          <w:rFonts w:ascii="Arial" w:hAnsi="Arial" w:cs="Arial"/>
          <w:i/>
          <w:iCs/>
          <w:sz w:val="20"/>
          <w:szCs w:val="20"/>
        </w:rPr>
        <w:t xml:space="preserve"> </w:t>
      </w:r>
      <w:r w:rsidRPr="007C1EDE">
        <w:rPr>
          <w:rFonts w:ascii="Arial" w:eastAsia="Calibri" w:hAnsi="Arial" w:cs="Arial"/>
          <w:i/>
          <w:iCs/>
          <w:sz w:val="20"/>
          <w:szCs w:val="20"/>
        </w:rPr>
        <w:t>Report</w:t>
      </w:r>
      <w:r w:rsidRPr="007C1EDE">
        <w:rPr>
          <w:rFonts w:ascii="Arial" w:hAnsi="Arial" w:cs="Arial"/>
          <w:i/>
          <w:iCs/>
          <w:sz w:val="20"/>
          <w:szCs w:val="20"/>
        </w:rPr>
        <w:t xml:space="preserve"> </w:t>
      </w:r>
      <w:r w:rsidRPr="007C1EDE">
        <w:rPr>
          <w:rFonts w:ascii="Arial" w:eastAsia="Calibri" w:hAnsi="Arial" w:cs="Arial"/>
          <w:i/>
          <w:iCs/>
          <w:sz w:val="20"/>
          <w:szCs w:val="20"/>
        </w:rPr>
        <w:t>of</w:t>
      </w:r>
      <w:r w:rsidRPr="007C1EDE">
        <w:rPr>
          <w:rFonts w:ascii="Arial" w:hAnsi="Arial" w:cs="Arial"/>
          <w:i/>
          <w:iCs/>
          <w:sz w:val="20"/>
          <w:szCs w:val="20"/>
        </w:rPr>
        <w:t xml:space="preserve"> </w:t>
      </w:r>
      <w:r w:rsidRPr="007C1EDE">
        <w:rPr>
          <w:rFonts w:ascii="Arial" w:eastAsia="Calibri" w:hAnsi="Arial" w:cs="Arial"/>
          <w:i/>
          <w:iCs/>
          <w:sz w:val="20"/>
          <w:szCs w:val="20"/>
        </w:rPr>
        <w:t>the</w:t>
      </w:r>
      <w:r w:rsidRPr="007C1EDE">
        <w:rPr>
          <w:rFonts w:ascii="Arial" w:hAnsi="Arial" w:cs="Arial"/>
          <w:i/>
          <w:iCs/>
          <w:sz w:val="20"/>
          <w:szCs w:val="20"/>
        </w:rPr>
        <w:t xml:space="preserve"> 2015 </w:t>
      </w:r>
      <w:r w:rsidRPr="007C1EDE">
        <w:rPr>
          <w:rFonts w:ascii="Arial" w:eastAsia="Calibri" w:hAnsi="Arial" w:cs="Arial"/>
          <w:i/>
          <w:iCs/>
          <w:sz w:val="20"/>
          <w:szCs w:val="20"/>
        </w:rPr>
        <w:t>U</w:t>
      </w:r>
      <w:r w:rsidRPr="007C1EDE">
        <w:rPr>
          <w:rFonts w:ascii="Arial" w:hAnsi="Arial" w:cs="Arial"/>
          <w:i/>
          <w:iCs/>
          <w:sz w:val="20"/>
          <w:szCs w:val="20"/>
        </w:rPr>
        <w:t>.</w:t>
      </w:r>
      <w:r w:rsidRPr="007C1EDE">
        <w:rPr>
          <w:rFonts w:ascii="Arial" w:eastAsia="Calibri" w:hAnsi="Arial" w:cs="Arial"/>
          <w:i/>
          <w:iCs/>
          <w:sz w:val="20"/>
          <w:szCs w:val="20"/>
        </w:rPr>
        <w:t>S</w:t>
      </w:r>
      <w:r w:rsidRPr="007C1EDE">
        <w:rPr>
          <w:rFonts w:ascii="Arial" w:hAnsi="Arial" w:cs="Arial"/>
          <w:i/>
          <w:iCs/>
          <w:sz w:val="20"/>
          <w:szCs w:val="20"/>
        </w:rPr>
        <w:t xml:space="preserve">. </w:t>
      </w:r>
      <w:r w:rsidRPr="007C1EDE">
        <w:rPr>
          <w:rFonts w:ascii="Arial" w:eastAsia="Calibri" w:hAnsi="Arial" w:cs="Arial"/>
          <w:i/>
          <w:iCs/>
          <w:sz w:val="20"/>
          <w:szCs w:val="20"/>
        </w:rPr>
        <w:t>Transgender</w:t>
      </w:r>
      <w:r w:rsidRPr="007C1EDE">
        <w:rPr>
          <w:rFonts w:ascii="Arial" w:hAnsi="Arial" w:cs="Arial"/>
          <w:i/>
          <w:iCs/>
          <w:sz w:val="20"/>
          <w:szCs w:val="20"/>
        </w:rPr>
        <w:t xml:space="preserve"> </w:t>
      </w:r>
      <w:r w:rsidRPr="007C1EDE">
        <w:rPr>
          <w:rFonts w:ascii="Arial" w:eastAsia="Calibri" w:hAnsi="Arial" w:cs="Arial"/>
          <w:i/>
          <w:iCs/>
          <w:sz w:val="20"/>
          <w:szCs w:val="20"/>
        </w:rPr>
        <w:t>Survey</w:t>
      </w:r>
      <w:r w:rsidRPr="007C1EDE">
        <w:rPr>
          <w:rFonts w:ascii="Arial" w:hAnsi="Arial" w:cs="Arial"/>
          <w:sz w:val="20"/>
          <w:szCs w:val="20"/>
        </w:rPr>
        <w:t xml:space="preserve">. </w:t>
      </w:r>
      <w:r w:rsidRPr="007C1EDE">
        <w:rPr>
          <w:rFonts w:ascii="Arial" w:eastAsia="Calibri" w:hAnsi="Arial" w:cs="Arial"/>
          <w:sz w:val="20"/>
          <w:szCs w:val="20"/>
        </w:rPr>
        <w:t>Washington</w:t>
      </w:r>
      <w:r w:rsidRPr="007C1EDE">
        <w:rPr>
          <w:rFonts w:ascii="Arial" w:hAnsi="Arial" w:cs="Arial"/>
          <w:sz w:val="20"/>
          <w:szCs w:val="20"/>
        </w:rPr>
        <w:t xml:space="preserve">, </w:t>
      </w:r>
      <w:r w:rsidRPr="007C1EDE">
        <w:rPr>
          <w:rFonts w:ascii="Arial" w:eastAsia="Calibri" w:hAnsi="Arial" w:cs="Arial"/>
          <w:sz w:val="20"/>
          <w:szCs w:val="20"/>
        </w:rPr>
        <w:t>DC</w:t>
      </w:r>
      <w:r w:rsidRPr="007C1EDE">
        <w:rPr>
          <w:rFonts w:ascii="Arial" w:hAnsi="Arial" w:cs="Arial"/>
          <w:sz w:val="20"/>
          <w:szCs w:val="20"/>
        </w:rPr>
        <w:t xml:space="preserve">: </w:t>
      </w:r>
      <w:r w:rsidRPr="007C1EDE">
        <w:rPr>
          <w:rFonts w:ascii="Arial" w:eastAsia="Calibri" w:hAnsi="Arial" w:cs="Arial"/>
          <w:sz w:val="20"/>
          <w:szCs w:val="20"/>
        </w:rPr>
        <w:t>National</w:t>
      </w:r>
      <w:r w:rsidRPr="007C1EDE">
        <w:rPr>
          <w:rFonts w:ascii="Arial" w:hAnsi="Arial" w:cs="Arial"/>
          <w:sz w:val="20"/>
          <w:szCs w:val="20"/>
        </w:rPr>
        <w:t xml:space="preserve"> </w:t>
      </w:r>
      <w:r w:rsidRPr="007C1EDE">
        <w:rPr>
          <w:rFonts w:ascii="Arial" w:eastAsia="Calibri" w:hAnsi="Arial" w:cs="Arial"/>
          <w:sz w:val="20"/>
          <w:szCs w:val="20"/>
        </w:rPr>
        <w:t>Center</w:t>
      </w:r>
      <w:r w:rsidRPr="007C1EDE">
        <w:rPr>
          <w:rFonts w:ascii="Arial" w:hAnsi="Arial" w:cs="Arial"/>
          <w:sz w:val="20"/>
          <w:szCs w:val="20"/>
        </w:rPr>
        <w:t xml:space="preserve"> </w:t>
      </w:r>
      <w:r w:rsidRPr="007C1EDE">
        <w:rPr>
          <w:rFonts w:ascii="Arial" w:eastAsia="Calibri" w:hAnsi="Arial" w:cs="Arial"/>
          <w:sz w:val="20"/>
          <w:szCs w:val="20"/>
        </w:rPr>
        <w:t>for</w:t>
      </w:r>
      <w:r w:rsidRPr="007C1EDE">
        <w:rPr>
          <w:rFonts w:ascii="Arial" w:hAnsi="Arial" w:cs="Arial"/>
          <w:sz w:val="20"/>
          <w:szCs w:val="20"/>
        </w:rPr>
        <w:t xml:space="preserve"> </w:t>
      </w:r>
      <w:r w:rsidRPr="007C1EDE">
        <w:rPr>
          <w:rFonts w:ascii="Arial" w:eastAsia="Calibri" w:hAnsi="Arial" w:cs="Arial"/>
          <w:sz w:val="20"/>
          <w:szCs w:val="20"/>
        </w:rPr>
        <w:t>Transgender</w:t>
      </w:r>
      <w:r w:rsidRPr="007C1EDE">
        <w:rPr>
          <w:rFonts w:ascii="Arial" w:hAnsi="Arial" w:cs="Arial"/>
          <w:sz w:val="20"/>
          <w:szCs w:val="20"/>
        </w:rPr>
        <w:t xml:space="preserve"> </w:t>
      </w:r>
      <w:r w:rsidRPr="007C1EDE">
        <w:rPr>
          <w:rFonts w:ascii="Arial" w:eastAsia="Calibri" w:hAnsi="Arial" w:cs="Arial"/>
          <w:sz w:val="20"/>
          <w:szCs w:val="20"/>
        </w:rPr>
        <w:t>Equality</w:t>
      </w:r>
      <w:r w:rsidRPr="007C1EDE">
        <w:rPr>
          <w:rFonts w:ascii="Arial" w:hAnsi="Arial" w:cs="Arial"/>
          <w:sz w:val="20"/>
          <w:szCs w:val="20"/>
        </w:rPr>
        <w:t>.</w:t>
      </w:r>
    </w:p>
  </w:endnote>
  <w:endnote w:id="157">
    <w:p w14:paraId="40A22B9D" w14:textId="77777777" w:rsidR="00411ECA" w:rsidRPr="007C1EDE" w:rsidRDefault="00411ECA" w:rsidP="007C1EDE">
      <w:pPr>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rPr>
        <w:t xml:space="preserve"> </w:t>
      </w:r>
      <w:r w:rsidRPr="007C1EDE">
        <w:rPr>
          <w:rFonts w:ascii="Arial" w:eastAsia="Calibri" w:hAnsi="Arial" w:cs="Arial"/>
          <w:sz w:val="20"/>
          <w:szCs w:val="20"/>
        </w:rPr>
        <w:t>MYRBS. (2015).</w:t>
      </w:r>
    </w:p>
  </w:endnote>
  <w:endnote w:id="158">
    <w:p w14:paraId="286FED4B" w14:textId="77777777" w:rsidR="00411ECA" w:rsidRPr="007C1EDE" w:rsidRDefault="00411ECA" w:rsidP="007C1EDE">
      <w:pPr>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rPr>
        <w:t xml:space="preserve"> Kann, L., et al. (2016).</w:t>
      </w:r>
    </w:p>
  </w:endnote>
  <w:endnote w:id="159">
    <w:p w14:paraId="68EF261E" w14:textId="77777777" w:rsidR="00411ECA" w:rsidRPr="007C1EDE" w:rsidRDefault="00411ECA" w:rsidP="007C1EDE">
      <w:pPr>
        <w:pStyle w:val="NormalWeb"/>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vertAlign w:val="superscript"/>
        </w:rPr>
        <w:t xml:space="preserve"> </w:t>
      </w:r>
      <w:r w:rsidRPr="007C1EDE">
        <w:rPr>
          <w:rFonts w:ascii="Arial" w:hAnsi="Arial" w:cs="Arial"/>
          <w:sz w:val="20"/>
          <w:szCs w:val="20"/>
        </w:rPr>
        <w:t xml:space="preserve">National Center for Transgender Equality. (2017). </w:t>
      </w:r>
      <w:r w:rsidRPr="007C1EDE">
        <w:rPr>
          <w:rFonts w:ascii="Arial" w:hAnsi="Arial" w:cs="Arial"/>
          <w:iCs/>
          <w:sz w:val="20"/>
          <w:szCs w:val="20"/>
        </w:rPr>
        <w:t xml:space="preserve">2015 U.S. Transgender Survey: Massachusetts State Report. </w:t>
      </w:r>
      <w:r w:rsidRPr="007C1EDE">
        <w:rPr>
          <w:rFonts w:ascii="Arial" w:hAnsi="Arial" w:cs="Arial"/>
          <w:sz w:val="20"/>
          <w:szCs w:val="20"/>
        </w:rPr>
        <w:t xml:space="preserve">Retrieved from </w:t>
      </w:r>
      <w:hyperlink r:id="rId48" w:history="1">
        <w:r w:rsidRPr="007C1EDE">
          <w:rPr>
            <w:rStyle w:val="Hyperlink"/>
            <w:rFonts w:ascii="Arial" w:hAnsi="Arial" w:cs="Arial"/>
            <w:color w:val="auto"/>
            <w:sz w:val="20"/>
            <w:szCs w:val="20"/>
            <w:u w:val="none"/>
          </w:rPr>
          <w:t>http://www.transequality.org/sites/default/files/docs/usts/USTSMAStateReport%281017%29.pdf</w:t>
        </w:r>
      </w:hyperlink>
      <w:r w:rsidRPr="007C1EDE">
        <w:rPr>
          <w:rFonts w:ascii="Arial" w:hAnsi="Arial" w:cs="Arial"/>
          <w:sz w:val="20"/>
          <w:szCs w:val="20"/>
        </w:rPr>
        <w:t xml:space="preserve"> </w:t>
      </w:r>
    </w:p>
  </w:endnote>
  <w:endnote w:id="160">
    <w:p w14:paraId="39963EDD" w14:textId="77777777" w:rsidR="00411ECA" w:rsidRPr="007C1EDE" w:rsidRDefault="00411ECA" w:rsidP="007C1EDE">
      <w:pPr>
        <w:pStyle w:val="NormalWeb"/>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vertAlign w:val="superscript"/>
        </w:rPr>
        <w:t xml:space="preserve"> </w:t>
      </w:r>
      <w:r w:rsidRPr="007C1EDE">
        <w:rPr>
          <w:rFonts w:ascii="Arial" w:hAnsi="Arial" w:cs="Arial"/>
          <w:i/>
          <w:sz w:val="20"/>
          <w:szCs w:val="20"/>
        </w:rPr>
        <w:t>Ibid.</w:t>
      </w:r>
      <w:r w:rsidRPr="007C1EDE">
        <w:rPr>
          <w:rFonts w:ascii="Arial" w:hAnsi="Arial" w:cs="Arial"/>
          <w:sz w:val="20"/>
          <w:szCs w:val="20"/>
        </w:rPr>
        <w:t xml:space="preserve"> </w:t>
      </w:r>
    </w:p>
  </w:endnote>
  <w:endnote w:id="161">
    <w:p w14:paraId="53F688B0"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Luk, J.W., </w:t>
      </w:r>
      <w:r w:rsidRPr="007C1EDE">
        <w:rPr>
          <w:rFonts w:ascii="Arial" w:hAnsi="Arial" w:cs="Arial"/>
          <w:i/>
        </w:rPr>
        <w:t>et al.</w:t>
      </w:r>
      <w:r w:rsidRPr="007C1EDE">
        <w:rPr>
          <w:rFonts w:ascii="Arial" w:hAnsi="Arial" w:cs="Arial"/>
        </w:rPr>
        <w:t xml:space="preserve"> (2018). </w:t>
      </w:r>
    </w:p>
  </w:endnote>
  <w:endnote w:id="162">
    <w:p w14:paraId="33E6B110"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Massachusetts Commission on LGBTQ Youth. (2018, April 2). LGBTQ Youth to Benefit from PATCH Act: Commission Voices Support for Healthcare Privacy Fix. </w:t>
      </w:r>
      <w:hyperlink r:id="rId49" w:history="1">
        <w:r w:rsidRPr="007C1EDE">
          <w:rPr>
            <w:rStyle w:val="Hyperlink"/>
            <w:rFonts w:ascii="Arial" w:hAnsi="Arial" w:cs="Arial"/>
            <w:color w:val="auto"/>
            <w:u w:val="none"/>
          </w:rPr>
          <w:t>https://www.mass.gov/news/lgbtq-youth-to-benefit-from-patch-act-commission-voices-support-for-healthcare-privacy-fix</w:t>
        </w:r>
      </w:hyperlink>
      <w:r w:rsidRPr="007C1EDE">
        <w:rPr>
          <w:rFonts w:ascii="Arial" w:hAnsi="Arial" w:cs="Arial"/>
        </w:rPr>
        <w:t xml:space="preserve">  </w:t>
      </w:r>
    </w:p>
  </w:endnote>
  <w:endnote w:id="163">
    <w:p w14:paraId="34238695"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McCray, E., &amp; Mermin, J. (2017, September 27). Dear Colleague: September 27, 2017. Center for Disease Control and Prevention. Retrieved from </w:t>
      </w:r>
      <w:hyperlink r:id="rId50" w:history="1">
        <w:r w:rsidRPr="007C1EDE">
          <w:rPr>
            <w:rStyle w:val="Hyperlink"/>
            <w:rFonts w:ascii="Arial" w:hAnsi="Arial" w:cs="Arial"/>
            <w:color w:val="auto"/>
            <w:u w:val="none"/>
          </w:rPr>
          <w:t>https://www.cdc.gov/hiv/library/dcl/dcl/092717.html</w:t>
        </w:r>
      </w:hyperlink>
      <w:r w:rsidRPr="007C1EDE">
        <w:rPr>
          <w:rFonts w:ascii="Arial" w:hAnsi="Arial" w:cs="Arial"/>
        </w:rPr>
        <w:t xml:space="preserve"> </w:t>
      </w:r>
    </w:p>
  </w:endnote>
  <w:endnote w:id="164">
    <w:p w14:paraId="51EEDED0" w14:textId="77777777" w:rsidR="00411ECA" w:rsidRPr="007C1EDE" w:rsidRDefault="00411ECA" w:rsidP="007C1EDE">
      <w:pPr>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rPr>
        <w:t xml:space="preserve"> </w:t>
      </w:r>
      <w:r w:rsidRPr="007C1EDE">
        <w:rPr>
          <w:rFonts w:ascii="Arial" w:eastAsia="Calibri" w:hAnsi="Arial" w:cs="Arial"/>
          <w:sz w:val="20"/>
          <w:szCs w:val="20"/>
        </w:rPr>
        <w:t>Center</w:t>
      </w:r>
      <w:r w:rsidRPr="007C1EDE">
        <w:rPr>
          <w:rFonts w:ascii="Arial" w:hAnsi="Arial" w:cs="Arial"/>
          <w:sz w:val="20"/>
          <w:szCs w:val="20"/>
        </w:rPr>
        <w:t xml:space="preserve"> </w:t>
      </w:r>
      <w:r w:rsidRPr="007C1EDE">
        <w:rPr>
          <w:rFonts w:ascii="Arial" w:eastAsia="Calibri" w:hAnsi="Arial" w:cs="Arial"/>
          <w:sz w:val="20"/>
          <w:szCs w:val="20"/>
        </w:rPr>
        <w:t>for</w:t>
      </w:r>
      <w:r w:rsidRPr="007C1EDE">
        <w:rPr>
          <w:rFonts w:ascii="Arial" w:hAnsi="Arial" w:cs="Arial"/>
          <w:sz w:val="20"/>
          <w:szCs w:val="20"/>
        </w:rPr>
        <w:t xml:space="preserve"> </w:t>
      </w:r>
      <w:r w:rsidRPr="007C1EDE">
        <w:rPr>
          <w:rFonts w:ascii="Arial" w:eastAsia="Calibri" w:hAnsi="Arial" w:cs="Arial"/>
          <w:sz w:val="20"/>
          <w:szCs w:val="20"/>
        </w:rPr>
        <w:t>Disease</w:t>
      </w:r>
      <w:r w:rsidRPr="007C1EDE">
        <w:rPr>
          <w:rFonts w:ascii="Arial" w:hAnsi="Arial" w:cs="Arial"/>
          <w:sz w:val="20"/>
          <w:szCs w:val="20"/>
        </w:rPr>
        <w:t xml:space="preserve"> </w:t>
      </w:r>
      <w:r w:rsidRPr="007C1EDE">
        <w:rPr>
          <w:rFonts w:ascii="Arial" w:eastAsia="Calibri" w:hAnsi="Arial" w:cs="Arial"/>
          <w:sz w:val="20"/>
          <w:szCs w:val="20"/>
        </w:rPr>
        <w:t>Control</w:t>
      </w:r>
      <w:r w:rsidRPr="007C1EDE">
        <w:rPr>
          <w:rFonts w:ascii="Arial" w:hAnsi="Arial" w:cs="Arial"/>
          <w:i/>
          <w:sz w:val="20"/>
          <w:szCs w:val="20"/>
        </w:rPr>
        <w:t>.</w:t>
      </w:r>
      <w:r w:rsidRPr="007C1EDE">
        <w:rPr>
          <w:rFonts w:ascii="Arial" w:hAnsi="Arial" w:cs="Arial"/>
          <w:sz w:val="20"/>
          <w:szCs w:val="20"/>
        </w:rPr>
        <w:t xml:space="preserve"> (2015).</w:t>
      </w:r>
      <w:r w:rsidRPr="007C1EDE">
        <w:rPr>
          <w:rFonts w:ascii="Arial" w:hAnsi="Arial" w:cs="Arial"/>
          <w:i/>
          <w:sz w:val="20"/>
          <w:szCs w:val="20"/>
        </w:rPr>
        <w:t xml:space="preserve"> </w:t>
      </w:r>
      <w:r w:rsidRPr="007C1EDE">
        <w:rPr>
          <w:rFonts w:ascii="Arial" w:eastAsia="Calibri" w:hAnsi="Arial" w:cs="Arial"/>
          <w:sz w:val="20"/>
          <w:szCs w:val="20"/>
        </w:rPr>
        <w:t>Selected</w:t>
      </w:r>
      <w:r w:rsidRPr="007C1EDE">
        <w:rPr>
          <w:rFonts w:ascii="Arial" w:hAnsi="Arial" w:cs="Arial"/>
          <w:sz w:val="20"/>
          <w:szCs w:val="20"/>
        </w:rPr>
        <w:t xml:space="preserve"> </w:t>
      </w:r>
      <w:r w:rsidRPr="007C1EDE">
        <w:rPr>
          <w:rFonts w:ascii="Arial" w:eastAsia="Calibri" w:hAnsi="Arial" w:cs="Arial"/>
          <w:sz w:val="20"/>
          <w:szCs w:val="20"/>
        </w:rPr>
        <w:t>National</w:t>
      </w:r>
      <w:r w:rsidRPr="007C1EDE">
        <w:rPr>
          <w:rFonts w:ascii="Arial" w:hAnsi="Arial" w:cs="Arial"/>
          <w:sz w:val="20"/>
          <w:szCs w:val="20"/>
        </w:rPr>
        <w:t xml:space="preserve"> </w:t>
      </w:r>
      <w:r w:rsidRPr="007C1EDE">
        <w:rPr>
          <w:rFonts w:ascii="Arial" w:eastAsia="Calibri" w:hAnsi="Arial" w:cs="Arial"/>
          <w:sz w:val="20"/>
          <w:szCs w:val="20"/>
        </w:rPr>
        <w:t>HIV</w:t>
      </w:r>
      <w:r w:rsidRPr="007C1EDE">
        <w:rPr>
          <w:rFonts w:ascii="Arial" w:hAnsi="Arial" w:cs="Arial"/>
          <w:sz w:val="20"/>
          <w:szCs w:val="20"/>
        </w:rPr>
        <w:t xml:space="preserve"> </w:t>
      </w:r>
      <w:r w:rsidRPr="007C1EDE">
        <w:rPr>
          <w:rFonts w:ascii="Arial" w:eastAsia="Calibri" w:hAnsi="Arial" w:cs="Arial"/>
          <w:sz w:val="20"/>
          <w:szCs w:val="20"/>
        </w:rPr>
        <w:t>Prevention</w:t>
      </w:r>
      <w:r w:rsidRPr="007C1EDE">
        <w:rPr>
          <w:rFonts w:ascii="Arial" w:hAnsi="Arial" w:cs="Arial"/>
          <w:sz w:val="20"/>
          <w:szCs w:val="20"/>
        </w:rPr>
        <w:t xml:space="preserve"> </w:t>
      </w:r>
      <w:r w:rsidRPr="007C1EDE">
        <w:rPr>
          <w:rFonts w:ascii="Arial" w:eastAsia="Calibri" w:hAnsi="Arial" w:cs="Arial"/>
          <w:sz w:val="20"/>
          <w:szCs w:val="20"/>
        </w:rPr>
        <w:t>and</w:t>
      </w:r>
      <w:r w:rsidRPr="007C1EDE">
        <w:rPr>
          <w:rFonts w:ascii="Arial" w:hAnsi="Arial" w:cs="Arial"/>
          <w:sz w:val="20"/>
          <w:szCs w:val="20"/>
        </w:rPr>
        <w:t xml:space="preserve"> </w:t>
      </w:r>
      <w:r w:rsidRPr="007C1EDE">
        <w:rPr>
          <w:rFonts w:ascii="Arial" w:eastAsia="Calibri" w:hAnsi="Arial" w:cs="Arial"/>
          <w:sz w:val="20"/>
          <w:szCs w:val="20"/>
        </w:rPr>
        <w:t>Care</w:t>
      </w:r>
      <w:r w:rsidRPr="007C1EDE">
        <w:rPr>
          <w:rFonts w:ascii="Arial" w:hAnsi="Arial" w:cs="Arial"/>
          <w:sz w:val="20"/>
          <w:szCs w:val="20"/>
        </w:rPr>
        <w:t xml:space="preserve"> </w:t>
      </w:r>
      <w:r w:rsidRPr="007C1EDE">
        <w:rPr>
          <w:rFonts w:ascii="Arial" w:eastAsia="Calibri" w:hAnsi="Arial" w:cs="Arial"/>
          <w:sz w:val="20"/>
          <w:szCs w:val="20"/>
        </w:rPr>
        <w:t>Outcomes</w:t>
      </w:r>
      <w:r w:rsidRPr="007C1EDE">
        <w:rPr>
          <w:rFonts w:ascii="Arial" w:hAnsi="Arial" w:cs="Arial"/>
          <w:sz w:val="20"/>
          <w:szCs w:val="20"/>
        </w:rPr>
        <w:t xml:space="preserve"> (2014, 2015). </w:t>
      </w:r>
      <w:r w:rsidRPr="007C1EDE">
        <w:rPr>
          <w:rFonts w:ascii="Arial" w:eastAsia="Calibri" w:hAnsi="Arial" w:cs="Arial"/>
          <w:sz w:val="20"/>
          <w:szCs w:val="20"/>
        </w:rPr>
        <w:t>Retrieved</w:t>
      </w:r>
      <w:r w:rsidRPr="007C1EDE">
        <w:rPr>
          <w:rFonts w:ascii="Arial" w:hAnsi="Arial" w:cs="Arial"/>
          <w:sz w:val="20"/>
          <w:szCs w:val="20"/>
        </w:rPr>
        <w:t xml:space="preserve"> </w:t>
      </w:r>
      <w:r w:rsidRPr="007C1EDE">
        <w:rPr>
          <w:rFonts w:ascii="Arial" w:eastAsia="Calibri" w:hAnsi="Arial" w:cs="Arial"/>
          <w:sz w:val="20"/>
          <w:szCs w:val="20"/>
        </w:rPr>
        <w:t>from</w:t>
      </w:r>
      <w:r w:rsidRPr="007C1EDE">
        <w:rPr>
          <w:rFonts w:ascii="Arial" w:hAnsi="Arial" w:cs="Arial"/>
          <w:sz w:val="20"/>
          <w:szCs w:val="20"/>
        </w:rPr>
        <w:t xml:space="preserve"> </w:t>
      </w:r>
      <w:hyperlink r:id="rId51" w:history="1">
        <w:r w:rsidRPr="007C1EDE">
          <w:rPr>
            <w:rStyle w:val="Hyperlink"/>
            <w:rFonts w:ascii="Arial" w:eastAsia="Calibri" w:hAnsi="Arial" w:cs="Arial"/>
            <w:color w:val="auto"/>
            <w:sz w:val="20"/>
            <w:szCs w:val="20"/>
            <w:u w:val="none"/>
          </w:rPr>
          <w:t>https</w:t>
        </w:r>
        <w:r w:rsidRPr="007C1EDE">
          <w:rPr>
            <w:rStyle w:val="Hyperlink"/>
            <w:rFonts w:ascii="Arial" w:hAnsi="Arial" w:cs="Arial"/>
            <w:color w:val="auto"/>
            <w:sz w:val="20"/>
            <w:szCs w:val="20"/>
            <w:u w:val="none"/>
          </w:rPr>
          <w:t>://</w:t>
        </w:r>
        <w:r w:rsidRPr="007C1EDE">
          <w:rPr>
            <w:rStyle w:val="Hyperlink"/>
            <w:rFonts w:ascii="Arial" w:eastAsia="Calibri" w:hAnsi="Arial" w:cs="Arial"/>
            <w:color w:val="auto"/>
            <w:sz w:val="20"/>
            <w:szCs w:val="20"/>
            <w:u w:val="none"/>
          </w:rPr>
          <w:t>www</w:t>
        </w:r>
        <w:r w:rsidRPr="007C1EDE">
          <w:rPr>
            <w:rStyle w:val="Hyperlink"/>
            <w:rFonts w:ascii="Arial" w:hAnsi="Arial" w:cs="Arial"/>
            <w:color w:val="auto"/>
            <w:sz w:val="20"/>
            <w:szCs w:val="20"/>
            <w:u w:val="none"/>
          </w:rPr>
          <w:t>.</w:t>
        </w:r>
        <w:r w:rsidRPr="007C1EDE">
          <w:rPr>
            <w:rStyle w:val="Hyperlink"/>
            <w:rFonts w:ascii="Arial" w:eastAsia="Calibri" w:hAnsi="Arial" w:cs="Arial"/>
            <w:color w:val="auto"/>
            <w:sz w:val="20"/>
            <w:szCs w:val="20"/>
            <w:u w:val="none"/>
          </w:rPr>
          <w:t>cdc</w:t>
        </w:r>
        <w:r w:rsidRPr="007C1EDE">
          <w:rPr>
            <w:rStyle w:val="Hyperlink"/>
            <w:rFonts w:ascii="Arial" w:hAnsi="Arial" w:cs="Arial"/>
            <w:color w:val="auto"/>
            <w:sz w:val="20"/>
            <w:szCs w:val="20"/>
            <w:u w:val="none"/>
          </w:rPr>
          <w:t>.</w:t>
        </w:r>
        <w:r w:rsidRPr="007C1EDE">
          <w:rPr>
            <w:rStyle w:val="Hyperlink"/>
            <w:rFonts w:ascii="Arial" w:eastAsia="Calibri" w:hAnsi="Arial" w:cs="Arial"/>
            <w:color w:val="auto"/>
            <w:sz w:val="20"/>
            <w:szCs w:val="20"/>
            <w:u w:val="none"/>
          </w:rPr>
          <w:t>gov</w:t>
        </w:r>
        <w:r w:rsidRPr="007C1EDE">
          <w:rPr>
            <w:rStyle w:val="Hyperlink"/>
            <w:rFonts w:ascii="Arial" w:hAnsi="Arial" w:cs="Arial"/>
            <w:color w:val="auto"/>
            <w:sz w:val="20"/>
            <w:szCs w:val="20"/>
            <w:u w:val="none"/>
          </w:rPr>
          <w:t>/</w:t>
        </w:r>
        <w:r w:rsidRPr="007C1EDE">
          <w:rPr>
            <w:rStyle w:val="Hyperlink"/>
            <w:rFonts w:ascii="Arial" w:eastAsia="Calibri" w:hAnsi="Arial" w:cs="Arial"/>
            <w:color w:val="auto"/>
            <w:sz w:val="20"/>
            <w:szCs w:val="20"/>
            <w:u w:val="none"/>
          </w:rPr>
          <w:t>hiv</w:t>
        </w:r>
        <w:r w:rsidRPr="007C1EDE">
          <w:rPr>
            <w:rStyle w:val="Hyperlink"/>
            <w:rFonts w:ascii="Arial" w:hAnsi="Arial" w:cs="Arial"/>
            <w:color w:val="auto"/>
            <w:sz w:val="20"/>
            <w:szCs w:val="20"/>
            <w:u w:val="none"/>
          </w:rPr>
          <w:t>/</w:t>
        </w:r>
        <w:r w:rsidRPr="007C1EDE">
          <w:rPr>
            <w:rStyle w:val="Hyperlink"/>
            <w:rFonts w:ascii="Arial" w:eastAsia="Calibri" w:hAnsi="Arial" w:cs="Arial"/>
            <w:color w:val="auto"/>
            <w:sz w:val="20"/>
            <w:szCs w:val="20"/>
            <w:u w:val="none"/>
          </w:rPr>
          <w:t>pdf</w:t>
        </w:r>
        <w:r w:rsidRPr="007C1EDE">
          <w:rPr>
            <w:rStyle w:val="Hyperlink"/>
            <w:rFonts w:ascii="Arial" w:hAnsi="Arial" w:cs="Arial"/>
            <w:color w:val="auto"/>
            <w:sz w:val="20"/>
            <w:szCs w:val="20"/>
            <w:u w:val="none"/>
          </w:rPr>
          <w:t>/</w:t>
        </w:r>
        <w:r w:rsidRPr="007C1EDE">
          <w:rPr>
            <w:rStyle w:val="Hyperlink"/>
            <w:rFonts w:ascii="Arial" w:eastAsia="Calibri" w:hAnsi="Arial" w:cs="Arial"/>
            <w:color w:val="auto"/>
            <w:sz w:val="20"/>
            <w:szCs w:val="20"/>
            <w:u w:val="none"/>
          </w:rPr>
          <w:t>library</w:t>
        </w:r>
        <w:r w:rsidRPr="007C1EDE">
          <w:rPr>
            <w:rStyle w:val="Hyperlink"/>
            <w:rFonts w:ascii="Arial" w:hAnsi="Arial" w:cs="Arial"/>
            <w:color w:val="auto"/>
            <w:sz w:val="20"/>
            <w:szCs w:val="20"/>
            <w:u w:val="none"/>
          </w:rPr>
          <w:t>/</w:t>
        </w:r>
        <w:r w:rsidRPr="007C1EDE">
          <w:rPr>
            <w:rStyle w:val="Hyperlink"/>
            <w:rFonts w:ascii="Arial" w:eastAsia="Calibri" w:hAnsi="Arial" w:cs="Arial"/>
            <w:color w:val="auto"/>
            <w:sz w:val="20"/>
            <w:szCs w:val="20"/>
            <w:u w:val="none"/>
          </w:rPr>
          <w:t>slidesets</w:t>
        </w:r>
        <w:r w:rsidRPr="007C1EDE">
          <w:rPr>
            <w:rStyle w:val="Hyperlink"/>
            <w:rFonts w:ascii="Arial" w:hAnsi="Arial" w:cs="Arial"/>
            <w:color w:val="auto"/>
            <w:sz w:val="20"/>
            <w:szCs w:val="20"/>
            <w:u w:val="none"/>
          </w:rPr>
          <w:t>/</w:t>
        </w:r>
        <w:r w:rsidRPr="007C1EDE">
          <w:rPr>
            <w:rStyle w:val="Hyperlink"/>
            <w:rFonts w:ascii="Arial" w:eastAsia="Calibri" w:hAnsi="Arial" w:cs="Arial"/>
            <w:color w:val="auto"/>
            <w:sz w:val="20"/>
            <w:szCs w:val="20"/>
            <w:u w:val="none"/>
          </w:rPr>
          <w:t>cdc</w:t>
        </w:r>
        <w:r w:rsidRPr="007C1EDE">
          <w:rPr>
            <w:rStyle w:val="Hyperlink"/>
            <w:rFonts w:ascii="Arial" w:hAnsi="Arial" w:cs="Arial"/>
            <w:color w:val="auto"/>
            <w:sz w:val="20"/>
            <w:szCs w:val="20"/>
            <w:u w:val="none"/>
          </w:rPr>
          <w:t>-</w:t>
        </w:r>
        <w:r w:rsidRPr="007C1EDE">
          <w:rPr>
            <w:rStyle w:val="Hyperlink"/>
            <w:rFonts w:ascii="Arial" w:eastAsia="Calibri" w:hAnsi="Arial" w:cs="Arial"/>
            <w:color w:val="auto"/>
            <w:sz w:val="20"/>
            <w:szCs w:val="20"/>
            <w:u w:val="none"/>
          </w:rPr>
          <w:t>hiv</w:t>
        </w:r>
        <w:r w:rsidRPr="007C1EDE">
          <w:rPr>
            <w:rStyle w:val="Hyperlink"/>
            <w:rFonts w:ascii="Arial" w:hAnsi="Arial" w:cs="Arial"/>
            <w:color w:val="auto"/>
            <w:sz w:val="20"/>
            <w:szCs w:val="20"/>
            <w:u w:val="none"/>
          </w:rPr>
          <w:t>-</w:t>
        </w:r>
        <w:r w:rsidRPr="007C1EDE">
          <w:rPr>
            <w:rStyle w:val="Hyperlink"/>
            <w:rFonts w:ascii="Arial" w:eastAsia="Calibri" w:hAnsi="Arial" w:cs="Arial"/>
            <w:color w:val="auto"/>
            <w:sz w:val="20"/>
            <w:szCs w:val="20"/>
            <w:u w:val="none"/>
          </w:rPr>
          <w:t>prevention</w:t>
        </w:r>
        <w:r w:rsidRPr="007C1EDE">
          <w:rPr>
            <w:rStyle w:val="Hyperlink"/>
            <w:rFonts w:ascii="Arial" w:hAnsi="Arial" w:cs="Arial"/>
            <w:color w:val="auto"/>
            <w:sz w:val="20"/>
            <w:szCs w:val="20"/>
            <w:u w:val="none"/>
          </w:rPr>
          <w:t>-</w:t>
        </w:r>
        <w:r w:rsidRPr="007C1EDE">
          <w:rPr>
            <w:rStyle w:val="Hyperlink"/>
            <w:rFonts w:ascii="Arial" w:eastAsia="Calibri" w:hAnsi="Arial" w:cs="Arial"/>
            <w:color w:val="auto"/>
            <w:sz w:val="20"/>
            <w:szCs w:val="20"/>
            <w:u w:val="none"/>
          </w:rPr>
          <w:t>and</w:t>
        </w:r>
        <w:r w:rsidRPr="007C1EDE">
          <w:rPr>
            <w:rStyle w:val="Hyperlink"/>
            <w:rFonts w:ascii="Arial" w:hAnsi="Arial" w:cs="Arial"/>
            <w:color w:val="auto"/>
            <w:sz w:val="20"/>
            <w:szCs w:val="20"/>
            <w:u w:val="none"/>
          </w:rPr>
          <w:t>-</w:t>
        </w:r>
        <w:r w:rsidRPr="007C1EDE">
          <w:rPr>
            <w:rStyle w:val="Hyperlink"/>
            <w:rFonts w:ascii="Arial" w:eastAsia="Calibri" w:hAnsi="Arial" w:cs="Arial"/>
            <w:color w:val="auto"/>
            <w:sz w:val="20"/>
            <w:szCs w:val="20"/>
            <w:u w:val="none"/>
          </w:rPr>
          <w:t>care</w:t>
        </w:r>
        <w:r w:rsidRPr="007C1EDE">
          <w:rPr>
            <w:rStyle w:val="Hyperlink"/>
            <w:rFonts w:ascii="Arial" w:hAnsi="Arial" w:cs="Arial"/>
            <w:color w:val="auto"/>
            <w:sz w:val="20"/>
            <w:szCs w:val="20"/>
            <w:u w:val="none"/>
          </w:rPr>
          <w:t>-</w:t>
        </w:r>
        <w:r w:rsidRPr="007C1EDE">
          <w:rPr>
            <w:rStyle w:val="Hyperlink"/>
            <w:rFonts w:ascii="Arial" w:eastAsia="Calibri" w:hAnsi="Arial" w:cs="Arial"/>
            <w:color w:val="auto"/>
            <w:sz w:val="20"/>
            <w:szCs w:val="20"/>
            <w:u w:val="none"/>
          </w:rPr>
          <w:t>outcomes</w:t>
        </w:r>
        <w:r w:rsidRPr="007C1EDE">
          <w:rPr>
            <w:rStyle w:val="Hyperlink"/>
            <w:rFonts w:ascii="Arial" w:hAnsi="Arial" w:cs="Arial"/>
            <w:color w:val="auto"/>
            <w:sz w:val="20"/>
            <w:szCs w:val="20"/>
            <w:u w:val="none"/>
          </w:rPr>
          <w:t>.</w:t>
        </w:r>
        <w:r w:rsidRPr="007C1EDE">
          <w:rPr>
            <w:rStyle w:val="Hyperlink"/>
            <w:rFonts w:ascii="Arial" w:eastAsia="Calibri" w:hAnsi="Arial" w:cs="Arial"/>
            <w:color w:val="auto"/>
            <w:sz w:val="20"/>
            <w:szCs w:val="20"/>
            <w:u w:val="none"/>
          </w:rPr>
          <w:t>pdf</w:t>
        </w:r>
      </w:hyperlink>
      <w:r w:rsidRPr="007C1EDE">
        <w:rPr>
          <w:rStyle w:val="Hyperlink"/>
          <w:rFonts w:ascii="Arial" w:eastAsia="Calibri" w:hAnsi="Arial" w:cs="Arial"/>
          <w:color w:val="auto"/>
          <w:sz w:val="20"/>
          <w:szCs w:val="20"/>
          <w:u w:val="none"/>
        </w:rPr>
        <w:t xml:space="preserve"> </w:t>
      </w:r>
      <w:r w:rsidRPr="007C1EDE">
        <w:rPr>
          <w:rFonts w:ascii="Arial" w:hAnsi="Arial" w:cs="Arial"/>
          <w:sz w:val="20"/>
          <w:szCs w:val="20"/>
        </w:rPr>
        <w:t xml:space="preserve"> </w:t>
      </w:r>
    </w:p>
  </w:endnote>
  <w:endnote w:id="165">
    <w:p w14:paraId="53E6C5DA" w14:textId="77777777" w:rsidR="00411ECA" w:rsidRPr="007C1EDE" w:rsidRDefault="00411ECA" w:rsidP="007C1EDE">
      <w:pPr>
        <w:pStyle w:val="Heading2"/>
        <w:spacing w:before="0" w:after="80" w:line="240" w:lineRule="auto"/>
        <w:textAlignment w:val="baseline"/>
        <w:rPr>
          <w:rFonts w:eastAsia="Times New Roman" w:cs="Arial"/>
          <w:b w:val="0"/>
          <w:color w:val="auto"/>
          <w:sz w:val="20"/>
          <w:szCs w:val="20"/>
        </w:rPr>
      </w:pPr>
      <w:r w:rsidRPr="007C1EDE">
        <w:rPr>
          <w:rFonts w:eastAsia="Calibri" w:cs="Arial"/>
          <w:b w:val="0"/>
          <w:color w:val="auto"/>
          <w:sz w:val="20"/>
          <w:szCs w:val="20"/>
          <w:vertAlign w:val="superscript"/>
        </w:rPr>
        <w:endnoteRef/>
      </w:r>
      <w:r w:rsidRPr="007C1EDE">
        <w:rPr>
          <w:rFonts w:cs="Arial"/>
          <w:b w:val="0"/>
          <w:color w:val="auto"/>
          <w:sz w:val="20"/>
          <w:szCs w:val="20"/>
        </w:rPr>
        <w:t xml:space="preserve"> </w:t>
      </w:r>
      <w:r w:rsidRPr="007C1EDE">
        <w:rPr>
          <w:rFonts w:eastAsia="Calibri" w:cs="Arial"/>
          <w:b w:val="0"/>
          <w:color w:val="auto"/>
          <w:sz w:val="20"/>
          <w:szCs w:val="20"/>
        </w:rPr>
        <w:t>Hamel,</w:t>
      </w:r>
      <w:r w:rsidRPr="007C1EDE">
        <w:rPr>
          <w:rFonts w:cs="Arial"/>
          <w:b w:val="0"/>
          <w:color w:val="auto"/>
          <w:sz w:val="20"/>
          <w:szCs w:val="20"/>
        </w:rPr>
        <w:t xml:space="preserve"> </w:t>
      </w:r>
      <w:r w:rsidRPr="007C1EDE">
        <w:rPr>
          <w:rFonts w:eastAsia="Calibri" w:cs="Arial"/>
          <w:b w:val="0"/>
          <w:color w:val="auto"/>
          <w:sz w:val="20"/>
          <w:szCs w:val="20"/>
        </w:rPr>
        <w:t>L.</w:t>
      </w:r>
      <w:r w:rsidRPr="007C1EDE">
        <w:rPr>
          <w:rFonts w:cs="Arial"/>
          <w:b w:val="0"/>
          <w:color w:val="auto"/>
          <w:sz w:val="20"/>
          <w:szCs w:val="20"/>
        </w:rPr>
        <w:t xml:space="preserve">, </w:t>
      </w:r>
      <w:r w:rsidRPr="007C1EDE">
        <w:rPr>
          <w:rFonts w:eastAsia="Calibri" w:cs="Arial"/>
          <w:b w:val="0"/>
          <w:color w:val="auto"/>
          <w:sz w:val="20"/>
          <w:szCs w:val="20"/>
        </w:rPr>
        <w:t>Firth,</w:t>
      </w:r>
      <w:r w:rsidRPr="007C1EDE">
        <w:rPr>
          <w:rFonts w:cs="Arial"/>
          <w:b w:val="0"/>
          <w:color w:val="auto"/>
          <w:sz w:val="20"/>
          <w:szCs w:val="20"/>
        </w:rPr>
        <w:t xml:space="preserve"> </w:t>
      </w:r>
      <w:r w:rsidRPr="007C1EDE">
        <w:rPr>
          <w:rFonts w:eastAsia="Calibri" w:cs="Arial"/>
          <w:b w:val="0"/>
          <w:color w:val="auto"/>
          <w:sz w:val="20"/>
          <w:szCs w:val="20"/>
        </w:rPr>
        <w:t>J.</w:t>
      </w:r>
      <w:r w:rsidRPr="007C1EDE">
        <w:rPr>
          <w:rFonts w:cs="Arial"/>
          <w:b w:val="0"/>
          <w:color w:val="auto"/>
          <w:sz w:val="20"/>
          <w:szCs w:val="20"/>
        </w:rPr>
        <w:t xml:space="preserve">, </w:t>
      </w:r>
      <w:r w:rsidRPr="007C1EDE">
        <w:rPr>
          <w:rFonts w:eastAsia="Calibri" w:cs="Arial"/>
          <w:b w:val="0"/>
          <w:color w:val="auto"/>
          <w:sz w:val="20"/>
          <w:szCs w:val="20"/>
        </w:rPr>
        <w:t>Hoff,</w:t>
      </w:r>
      <w:r w:rsidRPr="007C1EDE">
        <w:rPr>
          <w:rFonts w:cs="Arial"/>
          <w:b w:val="0"/>
          <w:color w:val="auto"/>
          <w:sz w:val="20"/>
          <w:szCs w:val="20"/>
        </w:rPr>
        <w:t xml:space="preserve"> </w:t>
      </w:r>
      <w:r w:rsidRPr="007C1EDE">
        <w:rPr>
          <w:rFonts w:eastAsia="Calibri" w:cs="Arial"/>
          <w:b w:val="0"/>
          <w:color w:val="auto"/>
          <w:sz w:val="20"/>
          <w:szCs w:val="20"/>
        </w:rPr>
        <w:t>T.</w:t>
      </w:r>
      <w:r w:rsidRPr="007C1EDE">
        <w:rPr>
          <w:rFonts w:cs="Arial"/>
          <w:b w:val="0"/>
          <w:color w:val="auto"/>
          <w:sz w:val="20"/>
          <w:szCs w:val="20"/>
        </w:rPr>
        <w:t xml:space="preserve">, </w:t>
      </w:r>
      <w:r w:rsidRPr="007C1EDE">
        <w:rPr>
          <w:rFonts w:eastAsia="Calibri" w:cs="Arial"/>
          <w:b w:val="0"/>
          <w:color w:val="auto"/>
          <w:sz w:val="20"/>
          <w:szCs w:val="20"/>
        </w:rPr>
        <w:t>Kates,</w:t>
      </w:r>
      <w:r w:rsidRPr="007C1EDE">
        <w:rPr>
          <w:rFonts w:cs="Arial"/>
          <w:b w:val="0"/>
          <w:color w:val="auto"/>
          <w:sz w:val="20"/>
          <w:szCs w:val="20"/>
        </w:rPr>
        <w:t xml:space="preserve"> </w:t>
      </w:r>
      <w:r w:rsidRPr="007C1EDE">
        <w:rPr>
          <w:rFonts w:eastAsia="Calibri" w:cs="Arial"/>
          <w:b w:val="0"/>
          <w:color w:val="auto"/>
          <w:sz w:val="20"/>
          <w:szCs w:val="20"/>
        </w:rPr>
        <w:t>J.</w:t>
      </w:r>
      <w:r w:rsidRPr="007C1EDE">
        <w:rPr>
          <w:rFonts w:cs="Arial"/>
          <w:b w:val="0"/>
          <w:color w:val="auto"/>
          <w:sz w:val="20"/>
          <w:szCs w:val="20"/>
        </w:rPr>
        <w:t xml:space="preserve">, </w:t>
      </w:r>
      <w:r w:rsidRPr="007C1EDE">
        <w:rPr>
          <w:rFonts w:eastAsia="Calibri" w:cs="Arial"/>
          <w:b w:val="0"/>
          <w:color w:val="auto"/>
          <w:sz w:val="20"/>
          <w:szCs w:val="20"/>
        </w:rPr>
        <w:t>Levine,</w:t>
      </w:r>
      <w:r w:rsidRPr="007C1EDE">
        <w:rPr>
          <w:rFonts w:cs="Arial"/>
          <w:b w:val="0"/>
          <w:color w:val="auto"/>
          <w:sz w:val="20"/>
          <w:szCs w:val="20"/>
        </w:rPr>
        <w:t xml:space="preserve"> </w:t>
      </w:r>
      <w:r w:rsidRPr="007C1EDE">
        <w:rPr>
          <w:rFonts w:eastAsia="Calibri" w:cs="Arial"/>
          <w:b w:val="0"/>
          <w:color w:val="auto"/>
          <w:sz w:val="20"/>
          <w:szCs w:val="20"/>
        </w:rPr>
        <w:t>S.</w:t>
      </w:r>
      <w:r w:rsidRPr="007C1EDE">
        <w:rPr>
          <w:rFonts w:cs="Arial"/>
          <w:b w:val="0"/>
          <w:color w:val="auto"/>
          <w:sz w:val="20"/>
          <w:szCs w:val="20"/>
        </w:rPr>
        <w:t xml:space="preserve">, </w:t>
      </w:r>
      <w:r w:rsidRPr="007C1EDE">
        <w:rPr>
          <w:rFonts w:eastAsia="Calibri" w:cs="Arial"/>
          <w:b w:val="0"/>
          <w:color w:val="auto"/>
          <w:sz w:val="20"/>
          <w:szCs w:val="20"/>
        </w:rPr>
        <w:t>&amp;</w:t>
      </w:r>
      <w:r w:rsidRPr="007C1EDE">
        <w:rPr>
          <w:rFonts w:cs="Arial"/>
          <w:b w:val="0"/>
          <w:color w:val="auto"/>
          <w:sz w:val="20"/>
          <w:szCs w:val="20"/>
        </w:rPr>
        <w:t xml:space="preserve"> </w:t>
      </w:r>
      <w:r w:rsidRPr="007C1EDE">
        <w:rPr>
          <w:rFonts w:eastAsia="Calibri" w:cs="Arial"/>
          <w:b w:val="0"/>
          <w:color w:val="auto"/>
          <w:sz w:val="20"/>
          <w:szCs w:val="20"/>
        </w:rPr>
        <w:t>Dawson,</w:t>
      </w:r>
      <w:r w:rsidRPr="007C1EDE">
        <w:rPr>
          <w:rFonts w:cs="Arial"/>
          <w:b w:val="0"/>
          <w:color w:val="auto"/>
          <w:sz w:val="20"/>
          <w:szCs w:val="20"/>
        </w:rPr>
        <w:t xml:space="preserve"> </w:t>
      </w:r>
      <w:r w:rsidRPr="007C1EDE">
        <w:rPr>
          <w:rFonts w:eastAsia="Calibri" w:cs="Arial"/>
          <w:b w:val="0"/>
          <w:color w:val="auto"/>
          <w:sz w:val="20"/>
          <w:szCs w:val="20"/>
        </w:rPr>
        <w:t>L</w:t>
      </w:r>
      <w:r w:rsidRPr="007C1EDE">
        <w:rPr>
          <w:rFonts w:cs="Arial"/>
          <w:b w:val="0"/>
          <w:color w:val="auto"/>
          <w:sz w:val="20"/>
          <w:szCs w:val="20"/>
        </w:rPr>
        <w:t xml:space="preserve">. (2014). </w:t>
      </w:r>
      <w:r w:rsidRPr="007C1EDE">
        <w:rPr>
          <w:rFonts w:eastAsia="Calibri" w:cs="Arial"/>
          <w:b w:val="0"/>
          <w:color w:val="auto"/>
          <w:sz w:val="20"/>
          <w:szCs w:val="20"/>
        </w:rPr>
        <w:t>HIV</w:t>
      </w:r>
      <w:r w:rsidRPr="007C1EDE">
        <w:rPr>
          <w:rFonts w:eastAsia="Times New Roman" w:cs="Arial"/>
          <w:b w:val="0"/>
          <w:color w:val="auto"/>
          <w:sz w:val="20"/>
          <w:szCs w:val="20"/>
        </w:rPr>
        <w:t>/</w:t>
      </w:r>
      <w:r w:rsidRPr="007C1EDE">
        <w:rPr>
          <w:rFonts w:eastAsia="Calibri" w:cs="Arial"/>
          <w:b w:val="0"/>
          <w:color w:val="auto"/>
          <w:sz w:val="20"/>
          <w:szCs w:val="20"/>
        </w:rPr>
        <w:t>AIDS</w:t>
      </w:r>
      <w:r w:rsidRPr="007C1EDE">
        <w:rPr>
          <w:rFonts w:eastAsia="Times New Roman" w:cs="Arial"/>
          <w:b w:val="0"/>
          <w:color w:val="auto"/>
          <w:sz w:val="20"/>
          <w:szCs w:val="20"/>
        </w:rPr>
        <w:t xml:space="preserve"> </w:t>
      </w:r>
      <w:r w:rsidRPr="007C1EDE">
        <w:rPr>
          <w:rFonts w:eastAsia="Calibri" w:cs="Arial"/>
          <w:b w:val="0"/>
          <w:color w:val="auto"/>
          <w:sz w:val="20"/>
          <w:szCs w:val="20"/>
        </w:rPr>
        <w:t>In</w:t>
      </w:r>
      <w:r w:rsidRPr="007C1EDE">
        <w:rPr>
          <w:rFonts w:eastAsia="Times New Roman" w:cs="Arial"/>
          <w:b w:val="0"/>
          <w:color w:val="auto"/>
          <w:sz w:val="20"/>
          <w:szCs w:val="20"/>
        </w:rPr>
        <w:t xml:space="preserve"> </w:t>
      </w:r>
      <w:r w:rsidRPr="007C1EDE">
        <w:rPr>
          <w:rFonts w:eastAsia="Calibri" w:cs="Arial"/>
          <w:b w:val="0"/>
          <w:color w:val="auto"/>
          <w:sz w:val="20"/>
          <w:szCs w:val="20"/>
        </w:rPr>
        <w:t>The</w:t>
      </w:r>
      <w:r w:rsidRPr="007C1EDE">
        <w:rPr>
          <w:rFonts w:eastAsia="Times New Roman" w:cs="Arial"/>
          <w:b w:val="0"/>
          <w:color w:val="auto"/>
          <w:sz w:val="20"/>
          <w:szCs w:val="20"/>
        </w:rPr>
        <w:t xml:space="preserve"> </w:t>
      </w:r>
      <w:r w:rsidRPr="007C1EDE">
        <w:rPr>
          <w:rFonts w:eastAsia="Calibri" w:cs="Arial"/>
          <w:b w:val="0"/>
          <w:color w:val="auto"/>
          <w:sz w:val="20"/>
          <w:szCs w:val="20"/>
        </w:rPr>
        <w:t>Lives</w:t>
      </w:r>
      <w:r w:rsidRPr="007C1EDE">
        <w:rPr>
          <w:rFonts w:eastAsia="Times New Roman" w:cs="Arial"/>
          <w:b w:val="0"/>
          <w:color w:val="auto"/>
          <w:sz w:val="20"/>
          <w:szCs w:val="20"/>
        </w:rPr>
        <w:t xml:space="preserve"> </w:t>
      </w:r>
      <w:r w:rsidRPr="007C1EDE">
        <w:rPr>
          <w:rFonts w:eastAsia="Calibri" w:cs="Arial"/>
          <w:b w:val="0"/>
          <w:color w:val="auto"/>
          <w:sz w:val="20"/>
          <w:szCs w:val="20"/>
        </w:rPr>
        <w:t>Of</w:t>
      </w:r>
      <w:r w:rsidRPr="007C1EDE">
        <w:rPr>
          <w:rFonts w:eastAsia="Times New Roman" w:cs="Arial"/>
          <w:b w:val="0"/>
          <w:color w:val="auto"/>
          <w:sz w:val="20"/>
          <w:szCs w:val="20"/>
        </w:rPr>
        <w:t xml:space="preserve"> </w:t>
      </w:r>
      <w:r w:rsidRPr="007C1EDE">
        <w:rPr>
          <w:rFonts w:eastAsia="Calibri" w:cs="Arial"/>
          <w:b w:val="0"/>
          <w:color w:val="auto"/>
          <w:sz w:val="20"/>
          <w:szCs w:val="20"/>
        </w:rPr>
        <w:t>Gay</w:t>
      </w:r>
      <w:r w:rsidRPr="007C1EDE">
        <w:rPr>
          <w:rFonts w:eastAsia="Times New Roman" w:cs="Arial"/>
          <w:b w:val="0"/>
          <w:color w:val="auto"/>
          <w:sz w:val="20"/>
          <w:szCs w:val="20"/>
        </w:rPr>
        <w:t xml:space="preserve"> </w:t>
      </w:r>
      <w:r w:rsidRPr="007C1EDE">
        <w:rPr>
          <w:rFonts w:eastAsia="Calibri" w:cs="Arial"/>
          <w:b w:val="0"/>
          <w:color w:val="auto"/>
          <w:sz w:val="20"/>
          <w:szCs w:val="20"/>
        </w:rPr>
        <w:t>And</w:t>
      </w:r>
      <w:r w:rsidRPr="007C1EDE">
        <w:rPr>
          <w:rFonts w:eastAsia="Times New Roman" w:cs="Arial"/>
          <w:b w:val="0"/>
          <w:color w:val="auto"/>
          <w:sz w:val="20"/>
          <w:szCs w:val="20"/>
        </w:rPr>
        <w:t xml:space="preserve"> </w:t>
      </w:r>
      <w:r w:rsidRPr="007C1EDE">
        <w:rPr>
          <w:rFonts w:eastAsia="Calibri" w:cs="Arial"/>
          <w:b w:val="0"/>
          <w:color w:val="auto"/>
          <w:sz w:val="20"/>
          <w:szCs w:val="20"/>
        </w:rPr>
        <w:t>Bisexual</w:t>
      </w:r>
      <w:r w:rsidRPr="007C1EDE">
        <w:rPr>
          <w:rFonts w:eastAsia="Times New Roman" w:cs="Arial"/>
          <w:b w:val="0"/>
          <w:color w:val="auto"/>
          <w:sz w:val="20"/>
          <w:szCs w:val="20"/>
        </w:rPr>
        <w:t xml:space="preserve"> </w:t>
      </w:r>
      <w:r w:rsidRPr="007C1EDE">
        <w:rPr>
          <w:rFonts w:eastAsia="Calibri" w:cs="Arial"/>
          <w:b w:val="0"/>
          <w:color w:val="auto"/>
          <w:sz w:val="20"/>
          <w:szCs w:val="20"/>
        </w:rPr>
        <w:t>Men</w:t>
      </w:r>
      <w:r w:rsidRPr="007C1EDE">
        <w:rPr>
          <w:rFonts w:eastAsia="Times New Roman" w:cs="Arial"/>
          <w:b w:val="0"/>
          <w:color w:val="auto"/>
          <w:sz w:val="20"/>
          <w:szCs w:val="20"/>
        </w:rPr>
        <w:t xml:space="preserve"> </w:t>
      </w:r>
      <w:r w:rsidRPr="007C1EDE">
        <w:rPr>
          <w:rFonts w:eastAsia="Calibri" w:cs="Arial"/>
          <w:b w:val="0"/>
          <w:color w:val="auto"/>
          <w:sz w:val="20"/>
          <w:szCs w:val="20"/>
        </w:rPr>
        <w:t>In</w:t>
      </w:r>
      <w:r w:rsidRPr="007C1EDE">
        <w:rPr>
          <w:rFonts w:eastAsia="Times New Roman" w:cs="Arial"/>
          <w:b w:val="0"/>
          <w:color w:val="auto"/>
          <w:sz w:val="20"/>
          <w:szCs w:val="20"/>
        </w:rPr>
        <w:t xml:space="preserve"> </w:t>
      </w:r>
      <w:r w:rsidRPr="007C1EDE">
        <w:rPr>
          <w:rFonts w:eastAsia="Calibri" w:cs="Arial"/>
          <w:b w:val="0"/>
          <w:color w:val="auto"/>
          <w:sz w:val="20"/>
          <w:szCs w:val="20"/>
        </w:rPr>
        <w:t>The</w:t>
      </w:r>
      <w:r w:rsidRPr="007C1EDE">
        <w:rPr>
          <w:rFonts w:eastAsia="Times New Roman" w:cs="Arial"/>
          <w:b w:val="0"/>
          <w:color w:val="auto"/>
          <w:sz w:val="20"/>
          <w:szCs w:val="20"/>
        </w:rPr>
        <w:t xml:space="preserve"> </w:t>
      </w:r>
      <w:r w:rsidRPr="007C1EDE">
        <w:rPr>
          <w:rFonts w:eastAsia="Calibri" w:cs="Arial"/>
          <w:b w:val="0"/>
          <w:color w:val="auto"/>
          <w:sz w:val="20"/>
          <w:szCs w:val="20"/>
        </w:rPr>
        <w:t>United</w:t>
      </w:r>
      <w:r w:rsidRPr="007C1EDE">
        <w:rPr>
          <w:rFonts w:eastAsia="Times New Roman" w:cs="Arial"/>
          <w:b w:val="0"/>
          <w:color w:val="auto"/>
          <w:sz w:val="20"/>
          <w:szCs w:val="20"/>
        </w:rPr>
        <w:t xml:space="preserve"> </w:t>
      </w:r>
      <w:r w:rsidRPr="007C1EDE">
        <w:rPr>
          <w:rFonts w:eastAsia="Calibri" w:cs="Arial"/>
          <w:b w:val="0"/>
          <w:color w:val="auto"/>
          <w:sz w:val="20"/>
          <w:szCs w:val="20"/>
        </w:rPr>
        <w:t>States</w:t>
      </w:r>
      <w:r w:rsidRPr="007C1EDE">
        <w:rPr>
          <w:rFonts w:eastAsia="Times New Roman" w:cs="Arial"/>
          <w:b w:val="0"/>
          <w:color w:val="auto"/>
          <w:sz w:val="20"/>
          <w:szCs w:val="20"/>
        </w:rPr>
        <w:t xml:space="preserve">. </w:t>
      </w:r>
      <w:r w:rsidRPr="007C1EDE">
        <w:rPr>
          <w:rFonts w:eastAsia="Calibri" w:cs="Arial"/>
          <w:b w:val="0"/>
          <w:color w:val="auto"/>
          <w:sz w:val="20"/>
          <w:szCs w:val="20"/>
        </w:rPr>
        <w:t>The</w:t>
      </w:r>
      <w:r w:rsidRPr="007C1EDE">
        <w:rPr>
          <w:rFonts w:eastAsia="Times New Roman" w:cs="Arial"/>
          <w:b w:val="0"/>
          <w:color w:val="auto"/>
          <w:sz w:val="20"/>
          <w:szCs w:val="20"/>
        </w:rPr>
        <w:t xml:space="preserve"> </w:t>
      </w:r>
      <w:r w:rsidRPr="007C1EDE">
        <w:rPr>
          <w:rFonts w:eastAsia="Calibri" w:cs="Arial"/>
          <w:b w:val="0"/>
          <w:color w:val="auto"/>
          <w:sz w:val="20"/>
          <w:szCs w:val="20"/>
        </w:rPr>
        <w:t>Kaiser</w:t>
      </w:r>
      <w:r w:rsidRPr="007C1EDE">
        <w:rPr>
          <w:rFonts w:cs="Arial"/>
          <w:b w:val="0"/>
          <w:color w:val="auto"/>
          <w:sz w:val="20"/>
          <w:szCs w:val="20"/>
        </w:rPr>
        <w:t xml:space="preserve"> </w:t>
      </w:r>
      <w:r w:rsidRPr="007C1EDE">
        <w:rPr>
          <w:rFonts w:eastAsia="Calibri" w:cs="Arial"/>
          <w:b w:val="0"/>
          <w:color w:val="auto"/>
          <w:sz w:val="20"/>
          <w:szCs w:val="20"/>
        </w:rPr>
        <w:t>Family</w:t>
      </w:r>
      <w:r w:rsidRPr="007C1EDE">
        <w:rPr>
          <w:rFonts w:cs="Arial"/>
          <w:b w:val="0"/>
          <w:color w:val="auto"/>
          <w:sz w:val="20"/>
          <w:szCs w:val="20"/>
        </w:rPr>
        <w:t xml:space="preserve"> </w:t>
      </w:r>
      <w:r w:rsidRPr="007C1EDE">
        <w:rPr>
          <w:rFonts w:eastAsia="Calibri" w:cs="Arial"/>
          <w:b w:val="0"/>
          <w:color w:val="auto"/>
          <w:sz w:val="20"/>
          <w:szCs w:val="20"/>
        </w:rPr>
        <w:t>Foundation</w:t>
      </w:r>
      <w:r w:rsidRPr="007C1EDE">
        <w:rPr>
          <w:rFonts w:cs="Arial"/>
          <w:b w:val="0"/>
          <w:color w:val="auto"/>
          <w:sz w:val="20"/>
          <w:szCs w:val="20"/>
        </w:rPr>
        <w:t xml:space="preserve">. </w:t>
      </w:r>
      <w:r w:rsidRPr="007C1EDE">
        <w:rPr>
          <w:rFonts w:eastAsia="Calibri" w:cs="Arial"/>
          <w:b w:val="0"/>
          <w:color w:val="auto"/>
          <w:sz w:val="20"/>
          <w:szCs w:val="20"/>
          <w:bdr w:val="none" w:sz="0" w:space="0" w:color="auto" w:frame="1"/>
        </w:rPr>
        <w:t>Retrieved</w:t>
      </w:r>
      <w:r w:rsidRPr="007C1EDE">
        <w:rPr>
          <w:rFonts w:cs="Arial"/>
          <w:b w:val="0"/>
          <w:color w:val="auto"/>
          <w:sz w:val="20"/>
          <w:szCs w:val="20"/>
          <w:bdr w:val="none" w:sz="0" w:space="0" w:color="auto" w:frame="1"/>
        </w:rPr>
        <w:t xml:space="preserve"> </w:t>
      </w:r>
      <w:r w:rsidRPr="007C1EDE">
        <w:rPr>
          <w:rFonts w:eastAsia="Calibri" w:cs="Arial"/>
          <w:b w:val="0"/>
          <w:color w:val="auto"/>
          <w:sz w:val="20"/>
          <w:szCs w:val="20"/>
          <w:bdr w:val="none" w:sz="0" w:space="0" w:color="auto" w:frame="1"/>
        </w:rPr>
        <w:t xml:space="preserve">from </w:t>
      </w:r>
      <w:hyperlink r:id="rId52" w:history="1">
        <w:r w:rsidRPr="007C1EDE">
          <w:rPr>
            <w:rStyle w:val="Hyperlink"/>
            <w:rFonts w:eastAsia="Calibri" w:cs="Arial"/>
            <w:b w:val="0"/>
            <w:color w:val="auto"/>
            <w:sz w:val="20"/>
            <w:szCs w:val="20"/>
            <w:u w:val="none"/>
          </w:rPr>
          <w:t>https</w:t>
        </w:r>
        <w:r w:rsidRPr="007C1EDE">
          <w:rPr>
            <w:rStyle w:val="Hyperlink"/>
            <w:rFonts w:cs="Arial"/>
            <w:b w:val="0"/>
            <w:color w:val="auto"/>
            <w:sz w:val="20"/>
            <w:szCs w:val="20"/>
            <w:u w:val="none"/>
          </w:rPr>
          <w:t>://</w:t>
        </w:r>
        <w:r w:rsidRPr="007C1EDE">
          <w:rPr>
            <w:rStyle w:val="Hyperlink"/>
            <w:rFonts w:eastAsia="Calibri" w:cs="Arial"/>
            <w:b w:val="0"/>
            <w:color w:val="auto"/>
            <w:sz w:val="20"/>
            <w:szCs w:val="20"/>
            <w:u w:val="none"/>
          </w:rPr>
          <w:t>www</w:t>
        </w:r>
        <w:r w:rsidRPr="007C1EDE">
          <w:rPr>
            <w:rStyle w:val="Hyperlink"/>
            <w:rFonts w:cs="Arial"/>
            <w:b w:val="0"/>
            <w:color w:val="auto"/>
            <w:sz w:val="20"/>
            <w:szCs w:val="20"/>
            <w:u w:val="none"/>
          </w:rPr>
          <w:t>.</w:t>
        </w:r>
        <w:r w:rsidRPr="007C1EDE">
          <w:rPr>
            <w:rStyle w:val="Hyperlink"/>
            <w:rFonts w:eastAsia="Calibri" w:cs="Arial"/>
            <w:b w:val="0"/>
            <w:color w:val="auto"/>
            <w:sz w:val="20"/>
            <w:szCs w:val="20"/>
            <w:u w:val="none"/>
          </w:rPr>
          <w:t>kff</w:t>
        </w:r>
        <w:r w:rsidRPr="007C1EDE">
          <w:rPr>
            <w:rStyle w:val="Hyperlink"/>
            <w:rFonts w:cs="Arial"/>
            <w:b w:val="0"/>
            <w:color w:val="auto"/>
            <w:sz w:val="20"/>
            <w:szCs w:val="20"/>
            <w:u w:val="none"/>
          </w:rPr>
          <w:t>.</w:t>
        </w:r>
        <w:r w:rsidRPr="007C1EDE">
          <w:rPr>
            <w:rStyle w:val="Hyperlink"/>
            <w:rFonts w:eastAsia="Calibri" w:cs="Arial"/>
            <w:b w:val="0"/>
            <w:color w:val="auto"/>
            <w:sz w:val="20"/>
            <w:szCs w:val="20"/>
            <w:u w:val="none"/>
          </w:rPr>
          <w:t>org</w:t>
        </w:r>
        <w:r w:rsidRPr="007C1EDE">
          <w:rPr>
            <w:rStyle w:val="Hyperlink"/>
            <w:rFonts w:cs="Arial"/>
            <w:b w:val="0"/>
            <w:color w:val="auto"/>
            <w:sz w:val="20"/>
            <w:szCs w:val="20"/>
            <w:u w:val="none"/>
          </w:rPr>
          <w:t>/</w:t>
        </w:r>
        <w:r w:rsidRPr="007C1EDE">
          <w:rPr>
            <w:rStyle w:val="Hyperlink"/>
            <w:rFonts w:eastAsia="Calibri" w:cs="Arial"/>
            <w:b w:val="0"/>
            <w:color w:val="auto"/>
            <w:sz w:val="20"/>
            <w:szCs w:val="20"/>
            <w:u w:val="none"/>
          </w:rPr>
          <w:t>hivaids</w:t>
        </w:r>
        <w:r w:rsidRPr="007C1EDE">
          <w:rPr>
            <w:rStyle w:val="Hyperlink"/>
            <w:rFonts w:cs="Arial"/>
            <w:b w:val="0"/>
            <w:color w:val="auto"/>
            <w:sz w:val="20"/>
            <w:szCs w:val="20"/>
            <w:u w:val="none"/>
          </w:rPr>
          <w:t>/</w:t>
        </w:r>
        <w:r w:rsidRPr="007C1EDE">
          <w:rPr>
            <w:rStyle w:val="Hyperlink"/>
            <w:rFonts w:eastAsia="Calibri" w:cs="Arial"/>
            <w:b w:val="0"/>
            <w:color w:val="auto"/>
            <w:sz w:val="20"/>
            <w:szCs w:val="20"/>
            <w:u w:val="none"/>
          </w:rPr>
          <w:t>report</w:t>
        </w:r>
        <w:r w:rsidRPr="007C1EDE">
          <w:rPr>
            <w:rStyle w:val="Hyperlink"/>
            <w:rFonts w:cs="Arial"/>
            <w:b w:val="0"/>
            <w:color w:val="auto"/>
            <w:sz w:val="20"/>
            <w:szCs w:val="20"/>
            <w:u w:val="none"/>
          </w:rPr>
          <w:t>/</w:t>
        </w:r>
        <w:r w:rsidRPr="007C1EDE">
          <w:rPr>
            <w:rStyle w:val="Hyperlink"/>
            <w:rFonts w:eastAsia="Calibri" w:cs="Arial"/>
            <w:b w:val="0"/>
            <w:color w:val="auto"/>
            <w:sz w:val="20"/>
            <w:szCs w:val="20"/>
            <w:u w:val="none"/>
          </w:rPr>
          <w:t>hivaids</w:t>
        </w:r>
        <w:r w:rsidRPr="007C1EDE">
          <w:rPr>
            <w:rStyle w:val="Hyperlink"/>
            <w:rFonts w:cs="Arial"/>
            <w:b w:val="0"/>
            <w:color w:val="auto"/>
            <w:sz w:val="20"/>
            <w:szCs w:val="20"/>
            <w:u w:val="none"/>
          </w:rPr>
          <w:t>-</w:t>
        </w:r>
        <w:r w:rsidRPr="007C1EDE">
          <w:rPr>
            <w:rStyle w:val="Hyperlink"/>
            <w:rFonts w:eastAsia="Calibri" w:cs="Arial"/>
            <w:b w:val="0"/>
            <w:color w:val="auto"/>
            <w:sz w:val="20"/>
            <w:szCs w:val="20"/>
            <w:u w:val="none"/>
          </w:rPr>
          <w:t>in</w:t>
        </w:r>
        <w:r w:rsidRPr="007C1EDE">
          <w:rPr>
            <w:rStyle w:val="Hyperlink"/>
            <w:rFonts w:cs="Arial"/>
            <w:b w:val="0"/>
            <w:color w:val="auto"/>
            <w:sz w:val="20"/>
            <w:szCs w:val="20"/>
            <w:u w:val="none"/>
          </w:rPr>
          <w:t>-</w:t>
        </w:r>
        <w:r w:rsidRPr="007C1EDE">
          <w:rPr>
            <w:rStyle w:val="Hyperlink"/>
            <w:rFonts w:eastAsia="Calibri" w:cs="Arial"/>
            <w:b w:val="0"/>
            <w:color w:val="auto"/>
            <w:sz w:val="20"/>
            <w:szCs w:val="20"/>
            <w:u w:val="none"/>
          </w:rPr>
          <w:t>the</w:t>
        </w:r>
        <w:r w:rsidRPr="007C1EDE">
          <w:rPr>
            <w:rStyle w:val="Hyperlink"/>
            <w:rFonts w:cs="Arial"/>
            <w:b w:val="0"/>
            <w:color w:val="auto"/>
            <w:sz w:val="20"/>
            <w:szCs w:val="20"/>
            <w:u w:val="none"/>
          </w:rPr>
          <w:t>-</w:t>
        </w:r>
        <w:r w:rsidRPr="007C1EDE">
          <w:rPr>
            <w:rStyle w:val="Hyperlink"/>
            <w:rFonts w:eastAsia="Calibri" w:cs="Arial"/>
            <w:b w:val="0"/>
            <w:color w:val="auto"/>
            <w:sz w:val="20"/>
            <w:szCs w:val="20"/>
            <w:u w:val="none"/>
          </w:rPr>
          <w:t>lives</w:t>
        </w:r>
        <w:r w:rsidRPr="007C1EDE">
          <w:rPr>
            <w:rStyle w:val="Hyperlink"/>
            <w:rFonts w:cs="Arial"/>
            <w:b w:val="0"/>
            <w:color w:val="auto"/>
            <w:sz w:val="20"/>
            <w:szCs w:val="20"/>
            <w:u w:val="none"/>
          </w:rPr>
          <w:t>-</w:t>
        </w:r>
        <w:r w:rsidRPr="007C1EDE">
          <w:rPr>
            <w:rStyle w:val="Hyperlink"/>
            <w:rFonts w:eastAsia="Calibri" w:cs="Arial"/>
            <w:b w:val="0"/>
            <w:color w:val="auto"/>
            <w:sz w:val="20"/>
            <w:szCs w:val="20"/>
            <w:u w:val="none"/>
          </w:rPr>
          <w:t>of</w:t>
        </w:r>
        <w:r w:rsidRPr="007C1EDE">
          <w:rPr>
            <w:rStyle w:val="Hyperlink"/>
            <w:rFonts w:cs="Arial"/>
            <w:b w:val="0"/>
            <w:color w:val="auto"/>
            <w:sz w:val="20"/>
            <w:szCs w:val="20"/>
            <w:u w:val="none"/>
          </w:rPr>
          <w:t>-</w:t>
        </w:r>
        <w:r w:rsidRPr="007C1EDE">
          <w:rPr>
            <w:rStyle w:val="Hyperlink"/>
            <w:rFonts w:eastAsia="Calibri" w:cs="Arial"/>
            <w:b w:val="0"/>
            <w:color w:val="auto"/>
            <w:sz w:val="20"/>
            <w:szCs w:val="20"/>
            <w:u w:val="none"/>
          </w:rPr>
          <w:t>gay</w:t>
        </w:r>
        <w:r w:rsidRPr="007C1EDE">
          <w:rPr>
            <w:rStyle w:val="Hyperlink"/>
            <w:rFonts w:cs="Arial"/>
            <w:b w:val="0"/>
            <w:color w:val="auto"/>
            <w:sz w:val="20"/>
            <w:szCs w:val="20"/>
            <w:u w:val="none"/>
          </w:rPr>
          <w:t>-</w:t>
        </w:r>
        <w:r w:rsidRPr="007C1EDE">
          <w:rPr>
            <w:rStyle w:val="Hyperlink"/>
            <w:rFonts w:eastAsia="Calibri" w:cs="Arial"/>
            <w:b w:val="0"/>
            <w:color w:val="auto"/>
            <w:sz w:val="20"/>
            <w:szCs w:val="20"/>
            <w:u w:val="none"/>
          </w:rPr>
          <w:t>and</w:t>
        </w:r>
        <w:r w:rsidRPr="007C1EDE">
          <w:rPr>
            <w:rStyle w:val="Hyperlink"/>
            <w:rFonts w:cs="Arial"/>
            <w:b w:val="0"/>
            <w:color w:val="auto"/>
            <w:sz w:val="20"/>
            <w:szCs w:val="20"/>
            <w:u w:val="none"/>
          </w:rPr>
          <w:t>-</w:t>
        </w:r>
        <w:r w:rsidRPr="007C1EDE">
          <w:rPr>
            <w:rStyle w:val="Hyperlink"/>
            <w:rFonts w:eastAsia="Calibri" w:cs="Arial"/>
            <w:b w:val="0"/>
            <w:color w:val="auto"/>
            <w:sz w:val="20"/>
            <w:szCs w:val="20"/>
            <w:u w:val="none"/>
          </w:rPr>
          <w:t>bisexual</w:t>
        </w:r>
        <w:r w:rsidRPr="007C1EDE">
          <w:rPr>
            <w:rStyle w:val="Hyperlink"/>
            <w:rFonts w:cs="Arial"/>
            <w:b w:val="0"/>
            <w:color w:val="auto"/>
            <w:sz w:val="20"/>
            <w:szCs w:val="20"/>
            <w:u w:val="none"/>
          </w:rPr>
          <w:t>-</w:t>
        </w:r>
        <w:r w:rsidRPr="007C1EDE">
          <w:rPr>
            <w:rStyle w:val="Hyperlink"/>
            <w:rFonts w:eastAsia="Calibri" w:cs="Arial"/>
            <w:b w:val="0"/>
            <w:color w:val="auto"/>
            <w:sz w:val="20"/>
            <w:szCs w:val="20"/>
            <w:u w:val="none"/>
          </w:rPr>
          <w:t>men</w:t>
        </w:r>
        <w:r w:rsidRPr="007C1EDE">
          <w:rPr>
            <w:rStyle w:val="Hyperlink"/>
            <w:rFonts w:cs="Arial"/>
            <w:b w:val="0"/>
            <w:color w:val="auto"/>
            <w:sz w:val="20"/>
            <w:szCs w:val="20"/>
            <w:u w:val="none"/>
          </w:rPr>
          <w:t>-</w:t>
        </w:r>
        <w:r w:rsidRPr="007C1EDE">
          <w:rPr>
            <w:rStyle w:val="Hyperlink"/>
            <w:rFonts w:eastAsia="Calibri" w:cs="Arial"/>
            <w:b w:val="0"/>
            <w:color w:val="auto"/>
            <w:sz w:val="20"/>
            <w:szCs w:val="20"/>
            <w:u w:val="none"/>
          </w:rPr>
          <w:t>in</w:t>
        </w:r>
        <w:r w:rsidRPr="007C1EDE">
          <w:rPr>
            <w:rStyle w:val="Hyperlink"/>
            <w:rFonts w:cs="Arial"/>
            <w:b w:val="0"/>
            <w:color w:val="auto"/>
            <w:sz w:val="20"/>
            <w:szCs w:val="20"/>
            <w:u w:val="none"/>
          </w:rPr>
          <w:t>-</w:t>
        </w:r>
        <w:r w:rsidRPr="007C1EDE">
          <w:rPr>
            <w:rStyle w:val="Hyperlink"/>
            <w:rFonts w:eastAsia="Calibri" w:cs="Arial"/>
            <w:b w:val="0"/>
            <w:color w:val="auto"/>
            <w:sz w:val="20"/>
            <w:szCs w:val="20"/>
            <w:u w:val="none"/>
          </w:rPr>
          <w:t>the</w:t>
        </w:r>
        <w:r w:rsidRPr="007C1EDE">
          <w:rPr>
            <w:rStyle w:val="Hyperlink"/>
            <w:rFonts w:cs="Arial"/>
            <w:b w:val="0"/>
            <w:color w:val="auto"/>
            <w:sz w:val="20"/>
            <w:szCs w:val="20"/>
            <w:u w:val="none"/>
          </w:rPr>
          <w:t>-</w:t>
        </w:r>
        <w:r w:rsidRPr="007C1EDE">
          <w:rPr>
            <w:rStyle w:val="Hyperlink"/>
            <w:rFonts w:eastAsia="Calibri" w:cs="Arial"/>
            <w:b w:val="0"/>
            <w:color w:val="auto"/>
            <w:sz w:val="20"/>
            <w:szCs w:val="20"/>
            <w:u w:val="none"/>
          </w:rPr>
          <w:t>united</w:t>
        </w:r>
        <w:r w:rsidRPr="007C1EDE">
          <w:rPr>
            <w:rStyle w:val="Hyperlink"/>
            <w:rFonts w:cs="Arial"/>
            <w:b w:val="0"/>
            <w:color w:val="auto"/>
            <w:sz w:val="20"/>
            <w:szCs w:val="20"/>
            <w:u w:val="none"/>
          </w:rPr>
          <w:t>-</w:t>
        </w:r>
        <w:r w:rsidRPr="007C1EDE">
          <w:rPr>
            <w:rStyle w:val="Hyperlink"/>
            <w:rFonts w:eastAsia="Calibri" w:cs="Arial"/>
            <w:b w:val="0"/>
            <w:color w:val="auto"/>
            <w:sz w:val="20"/>
            <w:szCs w:val="20"/>
            <w:u w:val="none"/>
          </w:rPr>
          <w:t>states</w:t>
        </w:r>
        <w:r w:rsidRPr="007C1EDE">
          <w:rPr>
            <w:rStyle w:val="Hyperlink"/>
            <w:rFonts w:cs="Arial"/>
            <w:b w:val="0"/>
            <w:color w:val="auto"/>
            <w:sz w:val="20"/>
            <w:szCs w:val="20"/>
            <w:u w:val="none"/>
          </w:rPr>
          <w:t>/</w:t>
        </w:r>
      </w:hyperlink>
      <w:r w:rsidRPr="007C1EDE">
        <w:rPr>
          <w:rFonts w:cs="Arial"/>
          <w:color w:val="auto"/>
          <w:sz w:val="20"/>
          <w:szCs w:val="20"/>
        </w:rPr>
        <w:t xml:space="preserve"> </w:t>
      </w:r>
    </w:p>
  </w:endnote>
  <w:endnote w:id="166">
    <w:p w14:paraId="57411270" w14:textId="77777777" w:rsidR="00411ECA" w:rsidRPr="007C1EDE" w:rsidRDefault="00411ECA" w:rsidP="007C1EDE">
      <w:pPr>
        <w:pStyle w:val="Heading2"/>
        <w:spacing w:before="0" w:after="80" w:line="240" w:lineRule="auto"/>
        <w:textAlignment w:val="baseline"/>
        <w:rPr>
          <w:rFonts w:eastAsia="Times New Roman" w:cs="Arial"/>
          <w:b w:val="0"/>
          <w:color w:val="auto"/>
          <w:sz w:val="20"/>
          <w:szCs w:val="20"/>
        </w:rPr>
      </w:pPr>
      <w:r w:rsidRPr="007C1EDE">
        <w:rPr>
          <w:rFonts w:eastAsia="Calibri" w:cs="Arial"/>
          <w:b w:val="0"/>
          <w:color w:val="auto"/>
          <w:sz w:val="20"/>
          <w:szCs w:val="20"/>
          <w:vertAlign w:val="superscript"/>
        </w:rPr>
        <w:endnoteRef/>
      </w:r>
      <w:r w:rsidRPr="007C1EDE">
        <w:rPr>
          <w:rFonts w:cs="Arial"/>
          <w:b w:val="0"/>
          <w:color w:val="auto"/>
          <w:sz w:val="20"/>
          <w:szCs w:val="20"/>
        </w:rPr>
        <w:t xml:space="preserve"> </w:t>
      </w:r>
      <w:r w:rsidRPr="007C1EDE">
        <w:rPr>
          <w:rFonts w:eastAsia="Calibri" w:cs="Arial"/>
          <w:b w:val="0"/>
          <w:i/>
          <w:color w:val="auto"/>
          <w:sz w:val="20"/>
          <w:szCs w:val="20"/>
        </w:rPr>
        <w:t>Ibid.</w:t>
      </w:r>
      <w:r w:rsidRPr="007C1EDE">
        <w:rPr>
          <w:rFonts w:cs="Arial"/>
          <w:color w:val="auto"/>
          <w:sz w:val="20"/>
          <w:szCs w:val="20"/>
        </w:rPr>
        <w:t xml:space="preserve"> </w:t>
      </w:r>
    </w:p>
  </w:endnote>
  <w:endnote w:id="167">
    <w:p w14:paraId="766D2F25" w14:textId="77777777" w:rsidR="00411ECA" w:rsidRPr="007C1EDE" w:rsidRDefault="00411ECA" w:rsidP="007C1EDE">
      <w:pPr>
        <w:pStyle w:val="Heading2"/>
        <w:spacing w:before="0" w:after="80" w:line="240" w:lineRule="auto"/>
        <w:textAlignment w:val="baseline"/>
        <w:rPr>
          <w:rFonts w:cs="Arial"/>
          <w:b w:val="0"/>
          <w:color w:val="auto"/>
          <w:sz w:val="20"/>
          <w:szCs w:val="20"/>
        </w:rPr>
      </w:pPr>
      <w:r w:rsidRPr="007C1EDE">
        <w:rPr>
          <w:rFonts w:eastAsia="Calibri" w:cs="Arial"/>
          <w:b w:val="0"/>
          <w:color w:val="auto"/>
          <w:sz w:val="20"/>
          <w:szCs w:val="20"/>
          <w:vertAlign w:val="superscript"/>
        </w:rPr>
        <w:endnoteRef/>
      </w:r>
      <w:r w:rsidRPr="007C1EDE">
        <w:rPr>
          <w:rFonts w:cs="Arial"/>
          <w:b w:val="0"/>
          <w:color w:val="auto"/>
          <w:sz w:val="20"/>
          <w:szCs w:val="20"/>
        </w:rPr>
        <w:t xml:space="preserve"> </w:t>
      </w:r>
      <w:r w:rsidRPr="007C1EDE">
        <w:rPr>
          <w:rFonts w:eastAsia="Calibri" w:cs="Arial"/>
          <w:b w:val="0"/>
          <w:i/>
          <w:color w:val="auto"/>
          <w:sz w:val="20"/>
          <w:szCs w:val="20"/>
        </w:rPr>
        <w:t>Ibid</w:t>
      </w:r>
      <w:r w:rsidRPr="007C1EDE">
        <w:rPr>
          <w:rFonts w:cs="Arial"/>
          <w:b w:val="0"/>
          <w:color w:val="auto"/>
          <w:sz w:val="20"/>
          <w:szCs w:val="20"/>
        </w:rPr>
        <w:t>.</w:t>
      </w:r>
    </w:p>
  </w:endnote>
  <w:endnote w:id="168">
    <w:p w14:paraId="55B6A430"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Wilson, B. D.M., et al. (2014). </w:t>
      </w:r>
    </w:p>
  </w:endnote>
  <w:endnote w:id="169">
    <w:p w14:paraId="5AC5A81E"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603 CMR 26.00: M.G.L. c. 76, § 5. (Amended June 25, 2012). Retrieved from </w:t>
      </w:r>
      <w:hyperlink r:id="rId53" w:history="1">
        <w:r w:rsidRPr="007C1EDE">
          <w:rPr>
            <w:rStyle w:val="Hyperlink"/>
            <w:rFonts w:ascii="Arial" w:hAnsi="Arial" w:cs="Arial"/>
            <w:color w:val="auto"/>
          </w:rPr>
          <w:t>http://www.doe.mass.edu/lawsregs/603cmr26.html</w:t>
        </w:r>
      </w:hyperlink>
      <w:r w:rsidRPr="007C1EDE">
        <w:rPr>
          <w:rFonts w:ascii="Arial" w:hAnsi="Arial" w:cs="Arial"/>
        </w:rPr>
        <w:t xml:space="preserve"> </w:t>
      </w:r>
    </w:p>
  </w:endnote>
  <w:endnote w:id="170">
    <w:p w14:paraId="6BCF6934"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Massachusetts Department of Elementary and Secondary Education. </w:t>
      </w:r>
      <w:r w:rsidRPr="007C1EDE">
        <w:rPr>
          <w:rFonts w:ascii="Arial" w:hAnsi="Arial" w:cs="Arial"/>
          <w:i/>
        </w:rPr>
        <w:t>Principles for Ensuring Safe and Supportive Learning Environments for Lesbian, Gay, Bisexual, Transgender, Queer, and Questioning (LGBTQ) Students.</w:t>
      </w:r>
      <w:r w:rsidRPr="007C1EDE">
        <w:rPr>
          <w:rFonts w:ascii="Arial" w:hAnsi="Arial" w:cs="Arial"/>
        </w:rPr>
        <w:t xml:space="preserve"> March 24, 2015. Retrieved from </w:t>
      </w:r>
      <w:hyperlink r:id="rId54" w:history="1">
        <w:r w:rsidRPr="007C1EDE">
          <w:rPr>
            <w:rStyle w:val="Hyperlink"/>
            <w:rFonts w:ascii="Arial" w:hAnsi="Arial" w:cs="Arial"/>
            <w:color w:val="auto"/>
            <w:u w:val="none"/>
          </w:rPr>
          <w:t>http://www.doe.mass.edu/sfs/lgbtq/LearningEnvironments.pdf</w:t>
        </w:r>
      </w:hyperlink>
      <w:r w:rsidRPr="007C1EDE">
        <w:rPr>
          <w:rFonts w:ascii="Arial" w:hAnsi="Arial" w:cs="Arial"/>
        </w:rPr>
        <w:t xml:space="preserve"> </w:t>
      </w:r>
    </w:p>
  </w:endnote>
  <w:endnote w:id="171">
    <w:p w14:paraId="0F03D5B9"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Rankin, S., Weber, G., Blumenfeld, W., &amp; Frazer, S. (2010). 2010 state of higher education for lesbian, gay, bisexual, and transgender people. Campus Pride. Retrieved from http://www.campuspride.org/ Campus%20Pride%202010%20LGBT%20Report%20Summary.pdf</w:t>
      </w:r>
    </w:p>
  </w:endnote>
  <w:endnote w:id="172">
    <w:p w14:paraId="212AC7FE"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Rankin, S. (2003). Campus climate for gay, lesbian, bisexual, and transgender people: A national perspective. National Gay and Lesbian Task Force. Retrieved from http://www.thetaskforce.org /downloads/ reports/ reports/ Campus Climate.pdf  </w:t>
      </w:r>
    </w:p>
  </w:endnote>
  <w:endnote w:id="173">
    <w:p w14:paraId="01470E14"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Salem State University. (n.d,). </w:t>
      </w:r>
      <w:r w:rsidRPr="007C1EDE">
        <w:rPr>
          <w:rFonts w:ascii="Arial" w:hAnsi="Arial" w:cs="Arial"/>
          <w:i/>
        </w:rPr>
        <w:t>Campus Pride.</w:t>
      </w:r>
      <w:r w:rsidRPr="007C1EDE">
        <w:rPr>
          <w:rFonts w:ascii="Arial" w:hAnsi="Arial" w:cs="Arial"/>
        </w:rPr>
        <w:t xml:space="preserve"> Retrieved from https://www.campusprideindex.org/campuses/details/588?campus=salem-state-university</w:t>
      </w:r>
    </w:p>
  </w:endnote>
  <w:endnote w:id="174">
    <w:p w14:paraId="1DF3CE97"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University of Massachusetts Dartmouth. (n.d). </w:t>
      </w:r>
      <w:r w:rsidRPr="007C1EDE">
        <w:rPr>
          <w:rFonts w:ascii="Arial" w:hAnsi="Arial" w:cs="Arial"/>
          <w:i/>
        </w:rPr>
        <w:t>Campus Pride.</w:t>
      </w:r>
      <w:r w:rsidRPr="007C1EDE">
        <w:rPr>
          <w:rFonts w:ascii="Arial" w:hAnsi="Arial" w:cs="Arial"/>
        </w:rPr>
        <w:t xml:space="preserve"> Retrieved from https://www.campusprideindex.org/campuses/details/105?campus=university-of-massachusetts-dartmouth</w:t>
      </w:r>
    </w:p>
  </w:endnote>
  <w:endnote w:id="175">
    <w:p w14:paraId="2D49289C"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Bridgewater State University. (n.d). </w:t>
      </w:r>
      <w:r w:rsidRPr="007C1EDE">
        <w:rPr>
          <w:rFonts w:ascii="Arial" w:hAnsi="Arial" w:cs="Arial"/>
          <w:i/>
        </w:rPr>
        <w:t>Campus Pride.</w:t>
      </w:r>
      <w:r w:rsidRPr="007C1EDE">
        <w:rPr>
          <w:rFonts w:ascii="Arial" w:hAnsi="Arial" w:cs="Arial"/>
        </w:rPr>
        <w:t xml:space="preserve"> Retrieved from https://www.campusprideindex.org/campuses/details/66?campus=bridgewater-state-university</w:t>
      </w:r>
    </w:p>
  </w:endnote>
  <w:endnote w:id="176">
    <w:p w14:paraId="6AA7BF06"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University of Massachusetts Amherst. (n.d). </w:t>
      </w:r>
      <w:r w:rsidRPr="007C1EDE">
        <w:rPr>
          <w:rFonts w:ascii="Arial" w:hAnsi="Arial" w:cs="Arial"/>
          <w:i/>
        </w:rPr>
        <w:t>Campus Pride</w:t>
      </w:r>
      <w:r w:rsidRPr="007C1EDE">
        <w:rPr>
          <w:rFonts w:ascii="Arial" w:hAnsi="Arial" w:cs="Arial"/>
        </w:rPr>
        <w:t>. Retrieved from https://www.campusprideindex.org/campuses/details/84?campus=university-of-massachusetts,-amherst</w:t>
      </w:r>
    </w:p>
  </w:endnote>
  <w:endnote w:id="177">
    <w:p w14:paraId="40584347"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FAQs. (n.d). </w:t>
      </w:r>
      <w:r w:rsidRPr="007C1EDE">
        <w:rPr>
          <w:rFonts w:ascii="Arial" w:hAnsi="Arial" w:cs="Arial"/>
          <w:i/>
        </w:rPr>
        <w:t>Campus Pride.</w:t>
      </w:r>
      <w:r w:rsidRPr="007C1EDE">
        <w:rPr>
          <w:rFonts w:ascii="Arial" w:hAnsi="Arial" w:cs="Arial"/>
        </w:rPr>
        <w:t>Retrieved from https://www.campusprideindex.org/faqs/index</w:t>
      </w:r>
    </w:p>
  </w:endnote>
  <w:endnote w:id="178">
    <w:p w14:paraId="1519C0C7"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Lust, K. (2011). College Student Health Survey Report 2007–2011: Health and Health-Related Behaviors Minnesota Postsecondary Lesbian, Gay, and Bisexual Students. Boynton Health Service, University of Minnesota. Retrieved from http://www.bhs.umn.edu/surveys/survey-results/2007-2011_LGB_CSHSReport.pdf</w:t>
      </w:r>
    </w:p>
  </w:endnote>
  <w:endnote w:id="179">
    <w:p w14:paraId="18055ECC"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w:t>
      </w:r>
      <w:r w:rsidRPr="007C1EDE">
        <w:rPr>
          <w:rFonts w:ascii="Arial" w:hAnsi="Arial" w:cs="Arial"/>
          <w:i/>
        </w:rPr>
        <w:t>Ibid.</w:t>
      </w:r>
    </w:p>
  </w:endnote>
  <w:endnote w:id="180">
    <w:p w14:paraId="21127D0C"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Goodenow, C. (2016). </w:t>
      </w:r>
    </w:p>
  </w:endnote>
  <w:endnote w:id="181">
    <w:p w14:paraId="5D53ED08"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Wilson, B. D. M., et al. (2014). </w:t>
      </w:r>
    </w:p>
  </w:endnote>
  <w:endnote w:id="182">
    <w:p w14:paraId="77B9242B"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Ray, N. (2006). Lesbian, Gay, Bisexual, and Transgender Youth: An Epidemic of Homelessness. New York: National Gay and Lesbian Task Force Policy Institute and National Coalition for the Homeless. Retrieved from </w:t>
      </w:r>
      <w:hyperlink r:id="rId55" w:history="1">
        <w:r w:rsidRPr="007C1EDE">
          <w:rPr>
            <w:rStyle w:val="Hyperlink"/>
            <w:rFonts w:ascii="Arial" w:hAnsi="Arial" w:cs="Arial"/>
            <w:color w:val="auto"/>
            <w:u w:val="none"/>
          </w:rPr>
          <w:t>http://www.thetaskforce.org/static_html/downloads/HomelessYouth.pdf</w:t>
        </w:r>
      </w:hyperlink>
      <w:r w:rsidRPr="007C1EDE">
        <w:rPr>
          <w:rFonts w:ascii="Arial" w:hAnsi="Arial" w:cs="Arial"/>
        </w:rPr>
        <w:t xml:space="preserve"> </w:t>
      </w:r>
    </w:p>
  </w:endnote>
  <w:endnote w:id="183">
    <w:p w14:paraId="14AD84C7" w14:textId="77777777" w:rsidR="00411ECA" w:rsidRPr="007C1EDE" w:rsidRDefault="00411ECA" w:rsidP="007C1EDE">
      <w:pPr>
        <w:spacing w:after="80" w:line="240" w:lineRule="auto"/>
        <w:rPr>
          <w:rFonts w:ascii="Arial" w:hAnsi="Arial" w:cs="Arial"/>
          <w:sz w:val="20"/>
          <w:szCs w:val="20"/>
        </w:rPr>
      </w:pPr>
      <w:r w:rsidRPr="007C1EDE">
        <w:rPr>
          <w:rFonts w:ascii="Arial" w:eastAsia="Calibri" w:hAnsi="Arial" w:cs="Arial"/>
          <w:sz w:val="20"/>
          <w:szCs w:val="20"/>
          <w:vertAlign w:val="superscript"/>
        </w:rPr>
        <w:endnoteRef/>
      </w:r>
      <w:r w:rsidRPr="007C1EDE">
        <w:rPr>
          <w:rFonts w:ascii="Arial" w:hAnsi="Arial" w:cs="Arial"/>
          <w:sz w:val="20"/>
          <w:szCs w:val="20"/>
        </w:rPr>
        <w:t xml:space="preserve"> Mallon, G. P. (1998). </w:t>
      </w:r>
      <w:r w:rsidRPr="007C1EDE">
        <w:rPr>
          <w:rFonts w:ascii="Arial" w:hAnsi="Arial" w:cs="Arial"/>
          <w:iCs/>
          <w:sz w:val="20"/>
          <w:szCs w:val="20"/>
        </w:rPr>
        <w:t>We Don’t Exactly Get the Welcome Wagon: The Experiences of Gay and Lesbian Adolescents in Child Welfare Systems</w:t>
      </w:r>
      <w:r w:rsidRPr="007C1EDE">
        <w:rPr>
          <w:rFonts w:ascii="Arial" w:hAnsi="Arial" w:cs="Arial"/>
          <w:sz w:val="20"/>
          <w:szCs w:val="20"/>
        </w:rPr>
        <w:t xml:space="preserve">. New York: Columbia University Press. </w:t>
      </w:r>
    </w:p>
  </w:endnote>
  <w:endnote w:id="184">
    <w:p w14:paraId="5FCB8335"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w:t>
      </w:r>
      <w:r w:rsidRPr="007C1EDE">
        <w:rPr>
          <w:rFonts w:ascii="Arial" w:eastAsia="Calibri" w:hAnsi="Arial" w:cs="Arial"/>
        </w:rPr>
        <w:t>National</w:t>
      </w:r>
      <w:r w:rsidRPr="007C1EDE">
        <w:rPr>
          <w:rFonts w:ascii="Arial" w:hAnsi="Arial" w:cs="Arial"/>
        </w:rPr>
        <w:t xml:space="preserve"> </w:t>
      </w:r>
      <w:r w:rsidRPr="007C1EDE">
        <w:rPr>
          <w:rFonts w:ascii="Arial" w:eastAsia="Calibri" w:hAnsi="Arial" w:cs="Arial"/>
        </w:rPr>
        <w:t>Alliance</w:t>
      </w:r>
      <w:r w:rsidRPr="007C1EDE">
        <w:rPr>
          <w:rFonts w:ascii="Arial" w:hAnsi="Arial" w:cs="Arial"/>
        </w:rPr>
        <w:t xml:space="preserve"> </w:t>
      </w:r>
      <w:r w:rsidRPr="007C1EDE">
        <w:rPr>
          <w:rFonts w:ascii="Arial" w:eastAsia="Calibri" w:hAnsi="Arial" w:cs="Arial"/>
        </w:rPr>
        <w:t>to</w:t>
      </w:r>
      <w:r w:rsidRPr="007C1EDE">
        <w:rPr>
          <w:rFonts w:ascii="Arial" w:hAnsi="Arial" w:cs="Arial"/>
        </w:rPr>
        <w:t xml:space="preserve"> </w:t>
      </w:r>
      <w:r w:rsidRPr="007C1EDE">
        <w:rPr>
          <w:rFonts w:ascii="Arial" w:eastAsia="Calibri" w:hAnsi="Arial" w:cs="Arial"/>
        </w:rPr>
        <w:t>End</w:t>
      </w:r>
      <w:r w:rsidRPr="007C1EDE">
        <w:rPr>
          <w:rFonts w:ascii="Arial" w:hAnsi="Arial" w:cs="Arial"/>
        </w:rPr>
        <w:t xml:space="preserve"> </w:t>
      </w:r>
      <w:r w:rsidRPr="007C1EDE">
        <w:rPr>
          <w:rFonts w:ascii="Arial" w:eastAsia="Calibri" w:hAnsi="Arial" w:cs="Arial"/>
        </w:rPr>
        <w:t>Youth</w:t>
      </w:r>
      <w:r w:rsidRPr="007C1EDE">
        <w:rPr>
          <w:rFonts w:ascii="Arial" w:hAnsi="Arial" w:cs="Arial"/>
        </w:rPr>
        <w:t xml:space="preserve"> </w:t>
      </w:r>
      <w:r w:rsidRPr="007C1EDE">
        <w:rPr>
          <w:rFonts w:ascii="Arial" w:eastAsia="Calibri" w:hAnsi="Arial" w:cs="Arial"/>
        </w:rPr>
        <w:t>Homelessness</w:t>
      </w:r>
      <w:r w:rsidRPr="007C1EDE">
        <w:rPr>
          <w:rFonts w:ascii="Arial" w:hAnsi="Arial" w:cs="Arial"/>
        </w:rPr>
        <w:t xml:space="preserve">. (n.d.). </w:t>
      </w:r>
      <w:r w:rsidRPr="007C1EDE">
        <w:rPr>
          <w:rFonts w:ascii="Arial" w:eastAsia="Calibri" w:hAnsi="Arial" w:cs="Arial"/>
          <w:bCs/>
        </w:rPr>
        <w:t>LGBTQ</w:t>
      </w:r>
      <w:r w:rsidRPr="007C1EDE">
        <w:rPr>
          <w:rFonts w:ascii="Arial" w:hAnsi="Arial" w:cs="Arial"/>
          <w:bCs/>
        </w:rPr>
        <w:t xml:space="preserve"> </w:t>
      </w:r>
      <w:r w:rsidRPr="007C1EDE">
        <w:rPr>
          <w:rFonts w:ascii="Arial" w:eastAsia="Calibri" w:hAnsi="Arial" w:cs="Arial"/>
          <w:bCs/>
        </w:rPr>
        <w:t>Homeless</w:t>
      </w:r>
      <w:r w:rsidRPr="007C1EDE">
        <w:rPr>
          <w:rFonts w:ascii="Arial" w:hAnsi="Arial" w:cs="Arial"/>
          <w:bCs/>
        </w:rPr>
        <w:t xml:space="preserve"> </w:t>
      </w:r>
      <w:r w:rsidRPr="007C1EDE">
        <w:rPr>
          <w:rFonts w:ascii="Arial" w:eastAsia="Calibri" w:hAnsi="Arial" w:cs="Arial"/>
          <w:bCs/>
        </w:rPr>
        <w:t>Youth</w:t>
      </w:r>
      <w:r w:rsidRPr="007C1EDE">
        <w:rPr>
          <w:rFonts w:ascii="Arial" w:hAnsi="Arial" w:cs="Arial"/>
          <w:bCs/>
        </w:rPr>
        <w:t xml:space="preserve"> </w:t>
      </w:r>
      <w:r w:rsidRPr="007C1EDE">
        <w:rPr>
          <w:rFonts w:ascii="Arial" w:eastAsia="Calibri" w:hAnsi="Arial" w:cs="Arial"/>
          <w:bCs/>
        </w:rPr>
        <w:t>Fact</w:t>
      </w:r>
      <w:r w:rsidRPr="007C1EDE">
        <w:rPr>
          <w:rFonts w:ascii="Arial" w:hAnsi="Arial" w:cs="Arial"/>
          <w:bCs/>
        </w:rPr>
        <w:t xml:space="preserve"> </w:t>
      </w:r>
      <w:r w:rsidRPr="007C1EDE">
        <w:rPr>
          <w:rFonts w:ascii="Arial" w:eastAsia="Calibri" w:hAnsi="Arial" w:cs="Arial"/>
          <w:bCs/>
        </w:rPr>
        <w:t>Sheet</w:t>
      </w:r>
      <w:r w:rsidRPr="007C1EDE">
        <w:rPr>
          <w:rFonts w:ascii="Arial" w:hAnsi="Arial" w:cs="Arial"/>
          <w:bCs/>
        </w:rPr>
        <w:t>.</w:t>
      </w:r>
      <w:r w:rsidRPr="007C1EDE">
        <w:rPr>
          <w:rFonts w:ascii="Arial" w:hAnsi="Arial" w:cs="Arial"/>
        </w:rPr>
        <w:t xml:space="preserve"> </w:t>
      </w:r>
      <w:r w:rsidRPr="007C1EDE">
        <w:rPr>
          <w:rFonts w:ascii="Arial" w:eastAsia="Calibri" w:hAnsi="Arial" w:cs="Arial"/>
        </w:rPr>
        <w:t>Retrieved</w:t>
      </w:r>
      <w:r w:rsidRPr="007C1EDE">
        <w:rPr>
          <w:rFonts w:ascii="Arial" w:hAnsi="Arial" w:cs="Arial"/>
        </w:rPr>
        <w:t xml:space="preserve"> </w:t>
      </w:r>
      <w:r w:rsidRPr="007C1EDE">
        <w:rPr>
          <w:rFonts w:ascii="Arial" w:eastAsia="Calibri" w:hAnsi="Arial" w:cs="Arial"/>
        </w:rPr>
        <w:t>from</w:t>
      </w:r>
      <w:r w:rsidRPr="007C1EDE">
        <w:rPr>
          <w:rFonts w:ascii="Arial" w:hAnsi="Arial" w:cs="Arial"/>
        </w:rPr>
        <w:t xml:space="preserve"> </w:t>
      </w:r>
      <w:r w:rsidRPr="007C1EDE">
        <w:rPr>
          <w:rFonts w:ascii="Arial" w:eastAsia="Calibri" w:hAnsi="Arial" w:cs="Arial"/>
        </w:rPr>
        <w:t>http</w:t>
      </w:r>
      <w:r w:rsidRPr="007C1EDE">
        <w:rPr>
          <w:rFonts w:ascii="Arial" w:hAnsi="Arial" w:cs="Arial"/>
        </w:rPr>
        <w:t>://</w:t>
      </w:r>
      <w:r w:rsidRPr="007C1EDE">
        <w:rPr>
          <w:rFonts w:ascii="Arial" w:eastAsia="Calibri" w:hAnsi="Arial" w:cs="Arial"/>
        </w:rPr>
        <w:t>www</w:t>
      </w:r>
      <w:r w:rsidRPr="007C1EDE">
        <w:rPr>
          <w:rFonts w:ascii="Arial" w:hAnsi="Arial" w:cs="Arial"/>
        </w:rPr>
        <w:t>.</w:t>
      </w:r>
      <w:r w:rsidRPr="007C1EDE">
        <w:rPr>
          <w:rFonts w:ascii="Arial" w:eastAsia="Calibri" w:hAnsi="Arial" w:cs="Arial"/>
        </w:rPr>
        <w:t>safeschoolscoalition</w:t>
      </w:r>
      <w:r w:rsidRPr="007C1EDE">
        <w:rPr>
          <w:rFonts w:ascii="Arial" w:hAnsi="Arial" w:cs="Arial"/>
        </w:rPr>
        <w:t>.</w:t>
      </w:r>
      <w:r w:rsidRPr="007C1EDE">
        <w:rPr>
          <w:rFonts w:ascii="Arial" w:eastAsia="Calibri" w:hAnsi="Arial" w:cs="Arial"/>
        </w:rPr>
        <w:t>org</w:t>
      </w:r>
      <w:r w:rsidRPr="007C1EDE">
        <w:rPr>
          <w:rFonts w:ascii="Arial" w:hAnsi="Arial" w:cs="Arial"/>
        </w:rPr>
        <w:t>/</w:t>
      </w:r>
      <w:r w:rsidRPr="007C1EDE">
        <w:rPr>
          <w:rFonts w:ascii="Arial" w:eastAsia="Calibri" w:hAnsi="Arial" w:cs="Arial"/>
        </w:rPr>
        <w:t>LGBTQhomelessFactSheetbyNAEH</w:t>
      </w:r>
      <w:r w:rsidRPr="007C1EDE">
        <w:rPr>
          <w:rFonts w:ascii="Arial" w:hAnsi="Arial" w:cs="Arial"/>
        </w:rPr>
        <w:t>.</w:t>
      </w:r>
      <w:r w:rsidRPr="007C1EDE">
        <w:rPr>
          <w:rFonts w:ascii="Arial" w:eastAsia="Calibri" w:hAnsi="Arial" w:cs="Arial"/>
        </w:rPr>
        <w:t>pdf</w:t>
      </w:r>
      <w:r w:rsidRPr="007C1EDE">
        <w:rPr>
          <w:rFonts w:ascii="Arial" w:hAnsi="Arial" w:cs="Arial"/>
        </w:rPr>
        <w:tab/>
      </w:r>
    </w:p>
  </w:endnote>
  <w:endnote w:id="185">
    <w:p w14:paraId="1D757BF2"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Massachusetts Department of Children &amp; Families. (2015). LGBTQ A Guide for Working with Youth and Families. Retrieved from </w:t>
      </w:r>
      <w:hyperlink r:id="rId56" w:history="1">
        <w:r w:rsidRPr="007C1EDE">
          <w:rPr>
            <w:rStyle w:val="Hyperlink"/>
            <w:rFonts w:ascii="Arial" w:hAnsi="Arial" w:cs="Arial"/>
            <w:color w:val="auto"/>
            <w:u w:val="none"/>
          </w:rPr>
          <w:t>http://www.mass.gov/eohhs/docs/dcf/lgbtq-guide.pdf</w:t>
        </w:r>
      </w:hyperlink>
      <w:r w:rsidRPr="007C1EDE">
        <w:rPr>
          <w:rFonts w:ascii="Arial" w:hAnsi="Arial" w:cs="Arial"/>
        </w:rPr>
        <w:t xml:space="preserve">  </w:t>
      </w:r>
    </w:p>
  </w:endnote>
  <w:endnote w:id="186">
    <w:p w14:paraId="3F20B7C6"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About Us. (2018). </w:t>
      </w:r>
      <w:r w:rsidRPr="007C1EDE">
        <w:rPr>
          <w:rFonts w:ascii="Arial" w:hAnsi="Arial" w:cs="Arial"/>
          <w:i/>
        </w:rPr>
        <w:t>Blind LGBT Pride International</w:t>
      </w:r>
      <w:r w:rsidRPr="007C1EDE">
        <w:rPr>
          <w:rFonts w:ascii="Arial" w:hAnsi="Arial" w:cs="Arial"/>
        </w:rPr>
        <w:t xml:space="preserve">. Retrieved from </w:t>
      </w:r>
      <w:hyperlink r:id="rId57" w:history="1">
        <w:r w:rsidRPr="007C1EDE">
          <w:rPr>
            <w:rStyle w:val="Hyperlink"/>
            <w:rFonts w:ascii="Arial" w:hAnsi="Arial" w:cs="Arial"/>
            <w:color w:val="auto"/>
            <w:u w:val="none"/>
          </w:rPr>
          <w:t>http://blindlgbtpride.org/about-us/</w:t>
        </w:r>
      </w:hyperlink>
      <w:r w:rsidRPr="007C1EDE">
        <w:rPr>
          <w:rFonts w:ascii="Arial" w:hAnsi="Arial" w:cs="Arial"/>
        </w:rPr>
        <w:t xml:space="preserve"> </w:t>
      </w:r>
    </w:p>
  </w:endnote>
  <w:endnote w:id="187">
    <w:p w14:paraId="6536FDFF"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Upcoming events. (2018). </w:t>
      </w:r>
      <w:r w:rsidRPr="007C1EDE">
        <w:rPr>
          <w:rFonts w:ascii="Arial" w:hAnsi="Arial" w:cs="Arial"/>
          <w:i/>
        </w:rPr>
        <w:t>Blind LGBT Pride International</w:t>
      </w:r>
      <w:r w:rsidRPr="007C1EDE">
        <w:rPr>
          <w:rFonts w:ascii="Arial" w:hAnsi="Arial" w:cs="Arial"/>
        </w:rPr>
        <w:t xml:space="preserve">, Retrieved from </w:t>
      </w:r>
      <w:hyperlink r:id="rId58" w:history="1">
        <w:r w:rsidRPr="007C1EDE">
          <w:rPr>
            <w:rStyle w:val="Hyperlink"/>
            <w:rFonts w:ascii="Arial" w:hAnsi="Arial" w:cs="Arial"/>
            <w:color w:val="auto"/>
            <w:u w:val="none"/>
          </w:rPr>
          <w:t>http://blindlgbtpride.org/events/categories/upcoming/</w:t>
        </w:r>
      </w:hyperlink>
      <w:r w:rsidRPr="007C1EDE">
        <w:rPr>
          <w:rFonts w:ascii="Arial" w:hAnsi="Arial" w:cs="Arial"/>
        </w:rPr>
        <w:t xml:space="preserve"> </w:t>
      </w:r>
    </w:p>
  </w:endnote>
  <w:endnote w:id="188">
    <w:p w14:paraId="09BAFC07"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Schaad, A. L. (2016). An Interview with Three Deaf Lesbians: Intersectionality and Saliency of Identity Variables. Dissertation, Wright State University School of Professional Psychology. Retrieved from https://etd.ohiolink.edu/!etd.send_file?accession=wsupsych1435740841&amp;disposition=inline</w:t>
      </w:r>
    </w:p>
  </w:endnote>
  <w:endnote w:id="189">
    <w:p w14:paraId="65634A98"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Goodenow, C. (2016).</w:t>
      </w:r>
    </w:p>
  </w:endnote>
  <w:endnote w:id="190">
    <w:p w14:paraId="2D318FF2" w14:textId="77777777" w:rsidR="00411ECA" w:rsidRPr="007C1EDE" w:rsidRDefault="00411ECA" w:rsidP="007C1EDE">
      <w:pPr>
        <w:spacing w:after="80" w:line="240" w:lineRule="auto"/>
        <w:rPr>
          <w:rFonts w:ascii="Arial" w:eastAsia="Times New Roman" w:hAnsi="Arial" w:cs="Arial"/>
          <w:sz w:val="20"/>
          <w:szCs w:val="20"/>
        </w:rPr>
      </w:pPr>
      <w:r w:rsidRPr="007C1EDE">
        <w:rPr>
          <w:rStyle w:val="EndnoteReference"/>
          <w:rFonts w:ascii="Arial" w:hAnsi="Arial" w:cs="Arial"/>
          <w:sz w:val="20"/>
          <w:szCs w:val="20"/>
        </w:rPr>
        <w:endnoteRef/>
      </w:r>
      <w:r w:rsidRPr="007C1EDE">
        <w:rPr>
          <w:rFonts w:ascii="Arial" w:hAnsi="Arial" w:cs="Arial"/>
          <w:sz w:val="20"/>
          <w:szCs w:val="20"/>
        </w:rPr>
        <w:t xml:space="preserve"> Fredriksen-Goldsen, K. I., Kim, H., and Barkan, S. E. (2012). Disability Among Lesbian, Gay, and Bisexual Adults: Disparities in Prevalence and Risk. </w:t>
      </w:r>
      <w:r w:rsidRPr="007C1EDE">
        <w:rPr>
          <w:rFonts w:ascii="Arial" w:hAnsi="Arial" w:cs="Arial"/>
          <w:i/>
          <w:sz w:val="20"/>
          <w:szCs w:val="20"/>
        </w:rPr>
        <w:t>American Journal of Public Health, 102</w:t>
      </w:r>
      <w:r w:rsidRPr="007C1EDE">
        <w:rPr>
          <w:rFonts w:ascii="Arial" w:hAnsi="Arial" w:cs="Arial"/>
          <w:sz w:val="20"/>
          <w:szCs w:val="20"/>
        </w:rPr>
        <w:t xml:space="preserve">(1): e16–21. </w:t>
      </w:r>
      <w:r w:rsidRPr="007C1EDE">
        <w:rPr>
          <w:rFonts w:ascii="Arial" w:eastAsia="Times New Roman" w:hAnsi="Arial" w:cs="Arial"/>
          <w:sz w:val="20"/>
          <w:szCs w:val="20"/>
          <w:shd w:val="clear" w:color="auto" w:fill="FFFFFF"/>
        </w:rPr>
        <w:t>http://doi.org/10.2105/AJPH.2011.300379</w:t>
      </w:r>
    </w:p>
  </w:endnote>
  <w:endnote w:id="191">
    <w:p w14:paraId="616C11E0"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Goodenow, C. (2016).</w:t>
      </w:r>
    </w:p>
  </w:endnote>
  <w:endnote w:id="192">
    <w:p w14:paraId="09F6ABD9" w14:textId="77777777" w:rsidR="00411ECA" w:rsidRPr="007C1EDE" w:rsidRDefault="00411ECA" w:rsidP="007C1EDE">
      <w:pPr>
        <w:spacing w:after="80" w:line="240" w:lineRule="auto"/>
        <w:rPr>
          <w:rFonts w:ascii="Arial" w:eastAsia="Times New Roman" w:hAnsi="Arial" w:cs="Arial"/>
          <w:sz w:val="20"/>
          <w:szCs w:val="20"/>
        </w:rPr>
      </w:pPr>
      <w:r w:rsidRPr="007C1EDE">
        <w:rPr>
          <w:rStyle w:val="EndnoteReference"/>
          <w:rFonts w:ascii="Arial" w:hAnsi="Arial" w:cs="Arial"/>
          <w:sz w:val="20"/>
          <w:szCs w:val="20"/>
        </w:rPr>
        <w:endnoteRef/>
      </w:r>
      <w:r w:rsidRPr="007C1EDE">
        <w:rPr>
          <w:rFonts w:ascii="Arial" w:hAnsi="Arial" w:cs="Arial"/>
          <w:sz w:val="20"/>
          <w:szCs w:val="20"/>
        </w:rPr>
        <w:t xml:space="preserve"> </w:t>
      </w:r>
      <w:r w:rsidRPr="007C1EDE">
        <w:rPr>
          <w:rFonts w:ascii="Arial" w:eastAsia="Times New Roman" w:hAnsi="Arial" w:cs="Arial"/>
          <w:sz w:val="20"/>
          <w:szCs w:val="20"/>
          <w:shd w:val="clear" w:color="auto" w:fill="FFFFFF"/>
        </w:rPr>
        <w:t xml:space="preserve">Haas, A. et al. (2011). </w:t>
      </w:r>
    </w:p>
  </w:endnote>
  <w:endnote w:id="193">
    <w:p w14:paraId="572B65C5"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Haas, A., et al. (2014). </w:t>
      </w:r>
    </w:p>
  </w:endnote>
  <w:endnote w:id="194">
    <w:p w14:paraId="36EC0A69"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Halpern, C. T., Young, M. L., Waller, M. W., Martin, S. L., &amp; Kupper, L. L. (2004). Prevalence of partner violence in same-sex romantic and sexual relationships in a national sample of adolescents. </w:t>
      </w:r>
      <w:r w:rsidRPr="007C1EDE">
        <w:rPr>
          <w:rFonts w:ascii="Arial" w:hAnsi="Arial" w:cs="Arial"/>
          <w:i/>
        </w:rPr>
        <w:t>Journal of Adolescent Health, 35</w:t>
      </w:r>
      <w:r w:rsidRPr="007C1EDE">
        <w:rPr>
          <w:rFonts w:ascii="Arial" w:hAnsi="Arial" w:cs="Arial"/>
        </w:rPr>
        <w:t>(2),124-131. https://doi.org/10.1016/j.jadohealth.2003.09.003</w:t>
      </w:r>
      <w:r w:rsidRPr="007C1EDE">
        <w:rPr>
          <w:rFonts w:ascii="Arial" w:hAnsi="Arial" w:cs="Arial"/>
        </w:rPr>
        <w:tab/>
      </w:r>
    </w:p>
  </w:endnote>
  <w:endnote w:id="195">
    <w:p w14:paraId="185841CD"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Centers for Disease Control and Prevention, National Center for Chronic Disease Prevention and Health Promotion, Division of Adolescent and School Health. (2011). </w:t>
      </w:r>
      <w:r w:rsidRPr="007C1EDE">
        <w:rPr>
          <w:rFonts w:ascii="Arial" w:hAnsi="Arial" w:cs="Arial"/>
          <w:i/>
        </w:rPr>
        <w:t>Youth Risk Behavior Surveillance System</w:t>
      </w:r>
      <w:r w:rsidRPr="007C1EDE">
        <w:rPr>
          <w:rFonts w:ascii="Arial" w:hAnsi="Arial" w:cs="Arial"/>
        </w:rPr>
        <w:t>. Retrieved from http://www.cdc.gov/HealthyYouth/yrbs/index.htm</w:t>
      </w:r>
    </w:p>
  </w:endnote>
  <w:endnote w:id="196">
    <w:p w14:paraId="0CE11F48"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Valentine, S. E., Shipherd, J. C. (2018). A systematic review of social stress and mental health among transgender and gender non-conforming people in the United States. </w:t>
      </w:r>
      <w:r w:rsidRPr="007C1EDE">
        <w:rPr>
          <w:rFonts w:ascii="Arial" w:hAnsi="Arial" w:cs="Arial"/>
          <w:i/>
        </w:rPr>
        <w:t>Clinical Psychology Review</w:t>
      </w:r>
      <w:r w:rsidRPr="007C1EDE">
        <w:rPr>
          <w:rFonts w:ascii="Arial" w:hAnsi="Arial" w:cs="Arial"/>
        </w:rPr>
        <w:t>. https://doi.org/10.1016/j.cpr.2018.03.003</w:t>
      </w:r>
    </w:p>
    <w:p w14:paraId="3379BD69" w14:textId="77777777" w:rsidR="00411ECA" w:rsidRPr="007C1EDE" w:rsidRDefault="00411ECA" w:rsidP="007C1EDE">
      <w:pPr>
        <w:pStyle w:val="EndnoteText"/>
        <w:spacing w:after="80"/>
        <w:rPr>
          <w:rFonts w:ascii="Arial" w:hAnsi="Arial" w:cs="Arial"/>
          <w:lang w:val="es-CO"/>
        </w:rPr>
      </w:pPr>
      <w:r w:rsidRPr="007C1EDE">
        <w:rPr>
          <w:rFonts w:ascii="Arial" w:hAnsi="Arial" w:cs="Arial"/>
        </w:rPr>
        <w:t xml:space="preserve">Chapin Hall at the University of Chicago. </w:t>
      </w:r>
      <w:r w:rsidRPr="007C1EDE">
        <w:rPr>
          <w:rFonts w:ascii="Arial" w:hAnsi="Arial" w:cs="Arial"/>
          <w:lang w:val="es-CO"/>
        </w:rPr>
        <w:t>(2018).</w:t>
      </w:r>
    </w:p>
  </w:endnote>
  <w:endnote w:id="197">
    <w:p w14:paraId="60643E15" w14:textId="77777777" w:rsidR="00411ECA" w:rsidRPr="007C1EDE" w:rsidRDefault="00411ECA" w:rsidP="007C1EDE">
      <w:pPr>
        <w:pStyle w:val="EndnoteText"/>
        <w:spacing w:after="80"/>
        <w:rPr>
          <w:rFonts w:ascii="Arial" w:hAnsi="Arial" w:cs="Arial"/>
          <w:lang w:val="es-CO"/>
        </w:rPr>
      </w:pPr>
      <w:r w:rsidRPr="007C1EDE">
        <w:rPr>
          <w:rStyle w:val="EndnoteReference"/>
          <w:rFonts w:ascii="Arial" w:hAnsi="Arial" w:cs="Arial"/>
        </w:rPr>
        <w:endnoteRef/>
      </w:r>
      <w:r w:rsidRPr="007C1EDE">
        <w:rPr>
          <w:rFonts w:ascii="Arial" w:hAnsi="Arial" w:cs="Arial"/>
          <w:lang w:val="es-CO"/>
        </w:rPr>
        <w:t xml:space="preserve"> Hamel, L., et al. (2014). </w:t>
      </w:r>
    </w:p>
  </w:endnote>
  <w:endnote w:id="198">
    <w:p w14:paraId="00AE9CC6"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lang w:val="es-CO"/>
        </w:rPr>
        <w:t xml:space="preserve"> Chayes, M. (2014). </w:t>
      </w:r>
      <w:r w:rsidRPr="007C1EDE">
        <w:rPr>
          <w:rFonts w:ascii="Arial" w:hAnsi="Arial" w:cs="Arial"/>
          <w:i/>
        </w:rPr>
        <w:t>NYC Promotes Acceptance of Controversial HIV Drug</w:t>
      </w:r>
      <w:r w:rsidRPr="007C1EDE">
        <w:rPr>
          <w:rFonts w:ascii="Arial" w:hAnsi="Arial" w:cs="Arial"/>
        </w:rPr>
        <w:t xml:space="preserve">. Newsday. Retrieved from </w:t>
      </w:r>
      <w:hyperlink r:id="rId59" w:history="1">
        <w:r w:rsidRPr="007C1EDE">
          <w:rPr>
            <w:rStyle w:val="Hyperlink"/>
            <w:rFonts w:ascii="Arial" w:hAnsi="Arial" w:cs="Arial"/>
            <w:color w:val="auto"/>
            <w:u w:val="none"/>
          </w:rPr>
          <w:t>http://www.newsday.com/news/new-york/nyc-promoting-acceptance-of -controversial -hiv-drug-1.9447395</w:t>
        </w:r>
      </w:hyperlink>
      <w:r w:rsidRPr="007C1EDE">
        <w:rPr>
          <w:rFonts w:ascii="Arial" w:hAnsi="Arial" w:cs="Arial"/>
        </w:rPr>
        <w:t xml:space="preserve">  </w:t>
      </w:r>
    </w:p>
    <w:p w14:paraId="45C1160C" w14:textId="77777777" w:rsidR="00411ECA" w:rsidRPr="007C1EDE" w:rsidRDefault="00411ECA" w:rsidP="007C1EDE">
      <w:pPr>
        <w:pStyle w:val="EndnoteText"/>
        <w:spacing w:after="80"/>
        <w:rPr>
          <w:rFonts w:ascii="Arial" w:hAnsi="Arial" w:cs="Arial"/>
        </w:rPr>
      </w:pPr>
      <w:r w:rsidRPr="007C1EDE">
        <w:rPr>
          <w:rFonts w:ascii="Arial" w:hAnsi="Arial" w:cs="Arial"/>
        </w:rPr>
        <w:t xml:space="preserve">Caccamo, A., Friedman, A., and Witbart, L. (2016). </w:t>
      </w:r>
      <w:r w:rsidRPr="007C1EDE">
        <w:rPr>
          <w:rFonts w:ascii="Arial" w:hAnsi="Arial" w:cs="Arial"/>
          <w:i/>
        </w:rPr>
        <w:t>Using Market Research to Reach Young Adult Dating-App Users for Sexual Health Promotion</w:t>
      </w:r>
      <w:r w:rsidRPr="007C1EDE">
        <w:rPr>
          <w:rFonts w:ascii="Arial" w:hAnsi="Arial" w:cs="Arial"/>
        </w:rPr>
        <w:t xml:space="preserve">. 2016 National Conference on Health Communication, Marketing, and Media. Retrieved from </w:t>
      </w:r>
      <w:hyperlink r:id="rId60" w:history="1">
        <w:r w:rsidRPr="007C1EDE">
          <w:rPr>
            <w:rStyle w:val="Hyperlink"/>
            <w:rFonts w:ascii="Arial" w:hAnsi="Arial" w:cs="Arial"/>
            <w:color w:val="auto"/>
            <w:u w:val="none"/>
          </w:rPr>
          <w:t>https://nphic.confex.com/cdc/nphic16/webprogram/Paper37178.html</w:t>
        </w:r>
      </w:hyperlink>
    </w:p>
    <w:p w14:paraId="1B779418" w14:textId="77777777" w:rsidR="00411ECA" w:rsidRPr="007C1EDE" w:rsidRDefault="00411ECA" w:rsidP="007C1EDE">
      <w:pPr>
        <w:pStyle w:val="EndnoteText"/>
        <w:spacing w:after="80"/>
        <w:rPr>
          <w:rFonts w:ascii="Arial" w:hAnsi="Arial" w:cs="Arial"/>
        </w:rPr>
      </w:pPr>
      <w:r w:rsidRPr="007C1EDE">
        <w:rPr>
          <w:rFonts w:ascii="Arial" w:hAnsi="Arial" w:cs="Arial"/>
        </w:rPr>
        <w:t xml:space="preserve">Holloway, I., Rice, E., Gibbs, J., Winetrobe, H., Dunlap, S., and Rhoades, H. (2014). Acceptability of Smartphone Application-Based HIV Prevention among Young Men Who Have Sex with Men. </w:t>
      </w:r>
      <w:r w:rsidRPr="007C1EDE">
        <w:rPr>
          <w:rFonts w:ascii="Arial" w:hAnsi="Arial" w:cs="Arial"/>
          <w:i/>
        </w:rPr>
        <w:t>AIDS and Behavior 18</w:t>
      </w:r>
      <w:r w:rsidRPr="007C1EDE">
        <w:rPr>
          <w:rFonts w:ascii="Arial" w:hAnsi="Arial" w:cs="Arial"/>
        </w:rPr>
        <w:t xml:space="preserve">(2): 285-296. </w:t>
      </w:r>
      <w:hyperlink r:id="rId61" w:history="1">
        <w:r w:rsidRPr="007C1EDE">
          <w:rPr>
            <w:rStyle w:val="Hyperlink"/>
            <w:rFonts w:ascii="Arial" w:hAnsi="Arial" w:cs="Arial"/>
            <w:color w:val="auto"/>
            <w:u w:val="none"/>
          </w:rPr>
          <w:t>https://www.ncbi.nlm.nih.gov/pmc/articles/PMC3946790/</w:t>
        </w:r>
      </w:hyperlink>
    </w:p>
    <w:p w14:paraId="55791178" w14:textId="77777777" w:rsidR="00411ECA" w:rsidRPr="007C1EDE" w:rsidRDefault="00411ECA" w:rsidP="007C1EDE">
      <w:pPr>
        <w:pStyle w:val="EndnoteText"/>
        <w:spacing w:after="80"/>
        <w:rPr>
          <w:rFonts w:ascii="Arial" w:hAnsi="Arial" w:cs="Arial"/>
        </w:rPr>
      </w:pPr>
      <w:r w:rsidRPr="007C1EDE">
        <w:rPr>
          <w:rFonts w:ascii="Arial" w:hAnsi="Arial" w:cs="Arial"/>
        </w:rPr>
        <w:t xml:space="preserve">Su, J., Holt, J., Payne, R., Gates, K., and Ryder, N. (2015). Effectiveness of Using Grindr to Increase Syphilis Testing among Men Who Have Sex with Men in Darwin, Australia. </w:t>
      </w:r>
      <w:r w:rsidRPr="007C1EDE">
        <w:rPr>
          <w:rFonts w:ascii="Arial" w:hAnsi="Arial" w:cs="Arial"/>
          <w:i/>
        </w:rPr>
        <w:t>Australian and New Zealand Journal of Public Health 39</w:t>
      </w:r>
      <w:r w:rsidRPr="007C1EDE">
        <w:rPr>
          <w:rFonts w:ascii="Arial" w:hAnsi="Arial" w:cs="Arial"/>
        </w:rPr>
        <w:t xml:space="preserve">(3):293- 294. </w:t>
      </w:r>
      <w:hyperlink r:id="rId62" w:history="1">
        <w:r w:rsidRPr="007C1EDE">
          <w:rPr>
            <w:rStyle w:val="Hyperlink"/>
            <w:rFonts w:ascii="Arial" w:hAnsi="Arial" w:cs="Arial"/>
            <w:color w:val="auto"/>
            <w:u w:val="none"/>
          </w:rPr>
          <w:t>http://onlinelibrary.wiley.com/doi/10.1111/1753-6405.12342/full</w:t>
        </w:r>
      </w:hyperlink>
    </w:p>
    <w:p w14:paraId="209FFDA4" w14:textId="77777777" w:rsidR="00411ECA" w:rsidRPr="007C1EDE" w:rsidRDefault="00411ECA" w:rsidP="007C1EDE">
      <w:pPr>
        <w:pStyle w:val="EndnoteText"/>
        <w:spacing w:after="80"/>
        <w:rPr>
          <w:rFonts w:ascii="Arial" w:hAnsi="Arial" w:cs="Arial"/>
        </w:rPr>
      </w:pPr>
      <w:r w:rsidRPr="007C1EDE">
        <w:rPr>
          <w:rFonts w:ascii="Arial" w:hAnsi="Arial" w:cs="Arial"/>
        </w:rPr>
        <w:t xml:space="preserve">Massachusetts Getting to Zero Coalition. (2017). </w:t>
      </w:r>
      <w:r w:rsidRPr="007C1EDE">
        <w:rPr>
          <w:rFonts w:ascii="Arial" w:hAnsi="Arial" w:cs="Arial"/>
          <w:i/>
        </w:rPr>
        <w:t>Massachusetts Comprehensive Plan to Eliminate HIV Discrimination, AIDS Related Deaths, and New HIV Infections: A Report of the Massachusetts Getting to Zero Coalition</w:t>
      </w:r>
      <w:r w:rsidRPr="007C1EDE">
        <w:rPr>
          <w:rFonts w:ascii="Arial" w:hAnsi="Arial" w:cs="Arial"/>
        </w:rPr>
        <w:t xml:space="preserve">. Retrieved from </w:t>
      </w:r>
      <w:hyperlink r:id="rId63" w:history="1">
        <w:r w:rsidRPr="007C1EDE">
          <w:rPr>
            <w:rStyle w:val="Hyperlink"/>
            <w:rFonts w:ascii="Arial" w:hAnsi="Arial" w:cs="Arial"/>
            <w:color w:val="auto"/>
            <w:u w:val="none"/>
          </w:rPr>
          <w:t>http://www.gettingtozeroma.org/wp-content/uploads/2017/01/Getting-To-Zero-MA-Comprehensive-HIV-Plan_2016_v1.pdf</w:t>
        </w:r>
      </w:hyperlink>
      <w:r w:rsidRPr="007C1EDE">
        <w:rPr>
          <w:rFonts w:ascii="Arial" w:hAnsi="Arial" w:cs="Arial"/>
        </w:rPr>
        <w:t xml:space="preserve">  </w:t>
      </w:r>
    </w:p>
  </w:endnote>
  <w:endnote w:id="199">
    <w:p w14:paraId="34D23646"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Wong, T. &amp; Valdivia, C. (2014). In Their Own Words: A Nationwide Survey of Undocumented Millennials. Washington and New York: United We Dream Network and Unbound Philanthropy. Retrieved from </w:t>
      </w:r>
      <w:hyperlink r:id="rId64" w:history="1">
        <w:r w:rsidRPr="007C1EDE">
          <w:rPr>
            <w:rStyle w:val="Hyperlink"/>
            <w:rFonts w:ascii="Arial" w:hAnsi="Arial" w:cs="Arial"/>
            <w:color w:val="auto"/>
            <w:u w:val="none"/>
          </w:rPr>
          <w:t>http://unitedwedream.org/wp-content/uploads/2014/05/Undocumented-Millennials-Survey-Summary.pdf</w:t>
        </w:r>
      </w:hyperlink>
      <w:r w:rsidRPr="007C1EDE">
        <w:rPr>
          <w:rFonts w:ascii="Arial" w:hAnsi="Arial" w:cs="Arial"/>
        </w:rPr>
        <w:t xml:space="preserve"> </w:t>
      </w:r>
    </w:p>
  </w:endnote>
  <w:endnote w:id="200">
    <w:p w14:paraId="7F78F005"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Hopkinson, R. A., Keatley, E., Glaeser, E., Erickson-Schroth, L., Fattal, O., Nicholson Sullivan, M. (2016). Persecution Experiences and Mental Health of LGBT Asylum Seekers. </w:t>
      </w:r>
      <w:r w:rsidRPr="007C1EDE">
        <w:rPr>
          <w:rFonts w:ascii="Arial" w:hAnsi="Arial" w:cs="Arial"/>
          <w:i/>
        </w:rPr>
        <w:t>Journal of Homosexuality</w:t>
      </w:r>
      <w:r w:rsidRPr="007C1EDE">
        <w:rPr>
          <w:rFonts w:ascii="Arial" w:hAnsi="Arial" w:cs="Arial"/>
        </w:rPr>
        <w:t xml:space="preserve">, </w:t>
      </w:r>
      <w:r w:rsidRPr="007C1EDE">
        <w:rPr>
          <w:rFonts w:ascii="Arial" w:hAnsi="Arial" w:cs="Arial"/>
          <w:i/>
        </w:rPr>
        <w:t>64</w:t>
      </w:r>
      <w:r w:rsidRPr="007C1EDE">
        <w:rPr>
          <w:rFonts w:ascii="Arial" w:hAnsi="Arial" w:cs="Arial"/>
        </w:rPr>
        <w:t>(12): 1650-1666. DOI: 10.1080/00918369.2016.1253392</w:t>
      </w:r>
    </w:p>
  </w:endnote>
  <w:endnote w:id="201">
    <w:p w14:paraId="5D9CF2CA"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Jaimes Pérez, Z., Marrero Hi, D., &amp; Padilla, C. (2016). No More Closets: Experiences of Discrimination among the LGBTQ Immigrant Community. United We Dream. Retrieved from </w:t>
      </w:r>
      <w:hyperlink r:id="rId65" w:history="1">
        <w:r w:rsidRPr="007C1EDE">
          <w:rPr>
            <w:rStyle w:val="Hyperlink"/>
            <w:rFonts w:ascii="Arial" w:hAnsi="Arial" w:cs="Arial"/>
            <w:color w:val="auto"/>
            <w:u w:val="none"/>
          </w:rPr>
          <w:t>http://unitedwedream.org/wp-content/uploads/2016/01/Report-No-More-Closets-1.pdf</w:t>
        </w:r>
      </w:hyperlink>
      <w:r w:rsidRPr="007C1EDE">
        <w:rPr>
          <w:rFonts w:ascii="Arial" w:hAnsi="Arial" w:cs="Arial"/>
        </w:rPr>
        <w:t xml:space="preserve"> </w:t>
      </w:r>
    </w:p>
  </w:endnote>
  <w:endnote w:id="202">
    <w:p w14:paraId="691B1CB3"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Goodenow, C. (2017). </w:t>
      </w:r>
      <w:r w:rsidRPr="007C1EDE">
        <w:rPr>
          <w:rFonts w:ascii="Arial" w:hAnsi="Arial" w:cs="Arial"/>
          <w:i/>
        </w:rPr>
        <w:t>Analysis of 2009 and 2013 Combined YRBS Data on behalf of the Massachusetts Commission on LGBTQ Youth</w:t>
      </w:r>
      <w:r w:rsidRPr="007C1EDE">
        <w:rPr>
          <w:rFonts w:ascii="Arial" w:hAnsi="Arial" w:cs="Arial"/>
        </w:rPr>
        <w:t>. Unpublished.</w:t>
      </w:r>
    </w:p>
  </w:endnote>
  <w:endnote w:id="203">
    <w:p w14:paraId="5028FFC1"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Gruberg, S., Rooney, C., McGovern, A., Mirza, S., and Durso, L. (2018). </w:t>
      </w:r>
      <w:r w:rsidRPr="007C1EDE">
        <w:rPr>
          <w:rFonts w:ascii="Arial" w:hAnsi="Arial" w:cs="Arial"/>
          <w:i/>
        </w:rPr>
        <w:t>Serving LGBTQ Immigrants and Building Welcoming Communities</w:t>
      </w:r>
      <w:r w:rsidRPr="007C1EDE">
        <w:rPr>
          <w:rFonts w:ascii="Arial" w:hAnsi="Arial" w:cs="Arial"/>
        </w:rPr>
        <w:t xml:space="preserve">. Retrieved from </w:t>
      </w:r>
      <w:hyperlink r:id="rId66" w:history="1">
        <w:r w:rsidRPr="007C1EDE">
          <w:rPr>
            <w:rStyle w:val="Hyperlink"/>
            <w:rFonts w:ascii="Arial" w:hAnsi="Arial" w:cs="Arial"/>
            <w:color w:val="auto"/>
            <w:u w:val="none"/>
          </w:rPr>
          <w:t>https://www.americanprogress.org/issues/</w:t>
        </w:r>
        <w:r w:rsidRPr="007C1EDE">
          <w:rPr>
            <w:rStyle w:val="Hyperlink"/>
            <w:rFonts w:ascii="Arial" w:hAnsi="Arial" w:cs="Arial"/>
            <w:color w:val="auto"/>
            <w:u w:val="none"/>
          </w:rPr>
          <w:br/>
          <w:t>lgbt/reports/2018/01/24/445308/serving-lgbtq-immigrants-building-welcoming-communities/</w:t>
        </w:r>
      </w:hyperlink>
    </w:p>
  </w:endnote>
  <w:endnote w:id="204">
    <w:p w14:paraId="4FE86B33"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Gates, G. J. (2014). </w:t>
      </w:r>
      <w:r w:rsidRPr="007C1EDE">
        <w:rPr>
          <w:rFonts w:ascii="Arial" w:hAnsi="Arial" w:cs="Arial"/>
          <w:i/>
        </w:rPr>
        <w:t>Food Insecurity and SNAP (Food Stamps) Participation in LGBT Communities</w:t>
      </w:r>
      <w:r w:rsidRPr="007C1EDE">
        <w:rPr>
          <w:rFonts w:ascii="Arial" w:hAnsi="Arial" w:cs="Arial"/>
        </w:rPr>
        <w:t xml:space="preserve">. Williams Institute. Retrieved from </w:t>
      </w:r>
      <w:hyperlink r:id="rId67" w:history="1">
        <w:r w:rsidRPr="007C1EDE">
          <w:rPr>
            <w:rStyle w:val="Hyperlink"/>
            <w:rFonts w:ascii="Arial" w:hAnsi="Arial" w:cs="Arial"/>
            <w:color w:val="auto"/>
            <w:u w:val="none"/>
          </w:rPr>
          <w:t>http://williamsinstitute.law.ucla.edu/research/health-and-hiv-aids/lgbt-people-are-disproportionately-food-insecure/</w:t>
        </w:r>
      </w:hyperlink>
      <w:r w:rsidRPr="007C1EDE">
        <w:rPr>
          <w:rFonts w:ascii="Arial" w:hAnsi="Arial" w:cs="Arial"/>
        </w:rPr>
        <w:t xml:space="preserve"> </w:t>
      </w:r>
    </w:p>
  </w:endnote>
  <w:endnote w:id="205">
    <w:p w14:paraId="2265666F"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w:t>
      </w:r>
      <w:r w:rsidRPr="007C1EDE">
        <w:rPr>
          <w:rFonts w:ascii="Arial" w:hAnsi="Arial" w:cs="Arial"/>
          <w:i/>
        </w:rPr>
        <w:t>Ibid.</w:t>
      </w:r>
    </w:p>
  </w:endnote>
  <w:endnote w:id="206">
    <w:p w14:paraId="2717812C"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Badgett, L. M.V., Durso, L. E., &amp; Schneebaum, A. (2013). </w:t>
      </w:r>
      <w:r w:rsidRPr="007C1EDE">
        <w:rPr>
          <w:rFonts w:ascii="Arial" w:hAnsi="Arial" w:cs="Arial"/>
          <w:i/>
        </w:rPr>
        <w:t>New Patterns of Poverty in the Lesbian, Gay, and Bisexual Community</w:t>
      </w:r>
      <w:r w:rsidRPr="007C1EDE">
        <w:rPr>
          <w:rFonts w:ascii="Arial" w:hAnsi="Arial" w:cs="Arial"/>
        </w:rPr>
        <w:t xml:space="preserve">. Williams Institute. Retrieved from </w:t>
      </w:r>
      <w:hyperlink r:id="rId68" w:history="1">
        <w:r w:rsidRPr="007C1EDE">
          <w:rPr>
            <w:rStyle w:val="Hyperlink"/>
            <w:rFonts w:ascii="Arial" w:hAnsi="Arial" w:cs="Arial"/>
            <w:color w:val="auto"/>
            <w:u w:val="none"/>
          </w:rPr>
          <w:t>http://williamsinstitute.law.ucla.edu/wp-content/uploads/LGB-Poverty-Update-Jun-2013.pdf</w:t>
        </w:r>
      </w:hyperlink>
      <w:r w:rsidRPr="007C1EDE">
        <w:rPr>
          <w:rFonts w:ascii="Arial" w:hAnsi="Arial" w:cs="Arial"/>
        </w:rPr>
        <w:t xml:space="preserve"> </w:t>
      </w:r>
    </w:p>
  </w:endnote>
  <w:endnote w:id="207">
    <w:p w14:paraId="4BC34E73"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Center for American Progress and the Movement Advancement Project. (2014</w:t>
      </w:r>
      <w:r w:rsidRPr="007C1EDE">
        <w:rPr>
          <w:rFonts w:ascii="Arial" w:hAnsi="Arial" w:cs="Arial"/>
          <w:i/>
        </w:rPr>
        <w:t xml:space="preserve">). </w:t>
      </w:r>
      <w:r w:rsidRPr="007C1EDE">
        <w:rPr>
          <w:rFonts w:ascii="Arial" w:hAnsi="Arial" w:cs="Arial"/>
        </w:rPr>
        <w:t xml:space="preserve">Paying an Unfair Price: the Financial Penalty for Being LGBT in America. Retrieved from </w:t>
      </w:r>
      <w:hyperlink r:id="rId69" w:history="1">
        <w:r w:rsidRPr="007C1EDE">
          <w:rPr>
            <w:rStyle w:val="Hyperlink"/>
            <w:rFonts w:ascii="Arial" w:hAnsi="Arial" w:cs="Arial"/>
            <w:color w:val="auto"/>
            <w:u w:val="none"/>
          </w:rPr>
          <w:t>http://www.lgbtmap.org/file/paying-an-unfair-price-full-report.pdf</w:t>
        </w:r>
      </w:hyperlink>
      <w:r w:rsidRPr="007C1EDE">
        <w:rPr>
          <w:rFonts w:ascii="Arial" w:hAnsi="Arial" w:cs="Arial"/>
        </w:rPr>
        <w:t xml:space="preserve"> </w:t>
      </w:r>
    </w:p>
  </w:endnote>
  <w:endnote w:id="208">
    <w:p w14:paraId="1EA566F9"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Cray, A., Miller, K., and Durso, L. E. (2013). Seeking Shelter: The Experiences and Unmet Needs of LGBT Homeless Youth. Center for American Progress. Retrieved from </w:t>
      </w:r>
      <w:hyperlink r:id="rId70" w:history="1">
        <w:r w:rsidRPr="007C1EDE">
          <w:rPr>
            <w:rStyle w:val="Hyperlink"/>
            <w:rFonts w:ascii="Arial" w:hAnsi="Arial" w:cs="Arial"/>
            <w:color w:val="auto"/>
            <w:u w:val="none"/>
          </w:rPr>
          <w:t>https://www.americanprogress.org/wp-content/uploads/2013/09/LGBTHomelessYouth.pdf</w:t>
        </w:r>
      </w:hyperlink>
    </w:p>
    <w:p w14:paraId="4A6C2617" w14:textId="77777777" w:rsidR="00411ECA" w:rsidRPr="007C1EDE" w:rsidRDefault="00411ECA" w:rsidP="007C1EDE">
      <w:pPr>
        <w:pStyle w:val="EndnoteText"/>
        <w:spacing w:after="80"/>
        <w:rPr>
          <w:rFonts w:ascii="Arial" w:hAnsi="Arial" w:cs="Arial"/>
        </w:rPr>
      </w:pPr>
      <w:r w:rsidRPr="007C1EDE">
        <w:rPr>
          <w:rFonts w:ascii="Arial" w:hAnsi="Arial" w:cs="Arial"/>
        </w:rPr>
        <w:t xml:space="preserve">Hussey, H. (2015). </w:t>
      </w:r>
      <w:r w:rsidRPr="007C1EDE">
        <w:rPr>
          <w:rFonts w:ascii="Arial" w:hAnsi="Arial" w:cs="Arial"/>
          <w:i/>
        </w:rPr>
        <w:t>Beyond 4 Walls and a Roof: Addressing Homelessness among Transgender Youth</w:t>
      </w:r>
      <w:r w:rsidRPr="007C1EDE">
        <w:rPr>
          <w:rFonts w:ascii="Arial" w:hAnsi="Arial" w:cs="Arial"/>
        </w:rPr>
        <w:t xml:space="preserve">. Center for American Progress. Retrieved from </w:t>
      </w:r>
      <w:hyperlink r:id="rId71" w:history="1">
        <w:r w:rsidRPr="007C1EDE">
          <w:rPr>
            <w:rStyle w:val="Hyperlink"/>
            <w:rFonts w:ascii="Arial" w:hAnsi="Arial" w:cs="Arial"/>
            <w:color w:val="auto"/>
            <w:u w:val="none"/>
          </w:rPr>
          <w:t>https://cdn.americanprogress.org/wp-content/uploads/2015/02/TransgenderHomeless-report2.pdf</w:t>
        </w:r>
      </w:hyperlink>
      <w:r w:rsidRPr="007C1EDE">
        <w:rPr>
          <w:rFonts w:ascii="Arial" w:hAnsi="Arial" w:cs="Arial"/>
        </w:rPr>
        <w:t xml:space="preserve"> </w:t>
      </w:r>
    </w:p>
  </w:endnote>
  <w:endnote w:id="209">
    <w:p w14:paraId="31FE0CB5"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Irving, A. &amp; Gilbert, C. (2015). LGBT and Gender-Nonconforming Youth in Juvenile Justice: Building an Equitable System with Data, Training, and Policy. Center for Juvenile Justice. Retrieved from </w:t>
      </w:r>
      <w:hyperlink r:id="rId72" w:history="1">
        <w:r w:rsidRPr="007C1EDE">
          <w:rPr>
            <w:rStyle w:val="Hyperlink"/>
            <w:rFonts w:ascii="Arial" w:hAnsi="Arial" w:cs="Arial"/>
            <w:color w:val="auto"/>
            <w:u w:val="none"/>
          </w:rPr>
          <w:t>http://www.juvjustice.org/webinars-and-trainings/resources</w:t>
        </w:r>
      </w:hyperlink>
      <w:r w:rsidRPr="007C1EDE">
        <w:rPr>
          <w:rFonts w:ascii="Arial" w:hAnsi="Arial" w:cs="Arial"/>
        </w:rPr>
        <w:t xml:space="preserve"> </w:t>
      </w:r>
    </w:p>
  </w:endnote>
  <w:endnote w:id="210">
    <w:p w14:paraId="7A3A591D"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Goodenow, C. (2016).</w:t>
      </w:r>
    </w:p>
  </w:endnote>
  <w:endnote w:id="211">
    <w:p w14:paraId="2B7993D0"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Irvine, A. (2015). </w:t>
      </w:r>
      <w:r w:rsidRPr="007C1EDE">
        <w:rPr>
          <w:rFonts w:ascii="Arial" w:hAnsi="Arial" w:cs="Arial"/>
          <w:i/>
        </w:rPr>
        <w:t>Time to Expand the Lens on Girls in the Juvenile Justice System</w:t>
      </w:r>
      <w:r w:rsidRPr="007C1EDE">
        <w:rPr>
          <w:rFonts w:ascii="Arial" w:hAnsi="Arial" w:cs="Arial"/>
        </w:rPr>
        <w:t>. National Council on Crime and Delinquency. Retrieved from http://www.nccdglobal.org/blog/time-to-expand-the-lens-on-girls-in-the-juvenile-justice-system</w:t>
      </w:r>
    </w:p>
  </w:endnote>
  <w:endnote w:id="212">
    <w:p w14:paraId="72286A27"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Himmelstein, K. E. W., et al. (2011).</w:t>
      </w:r>
    </w:p>
  </w:endnote>
  <w:endnote w:id="213">
    <w:p w14:paraId="137D40F9"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w:t>
      </w:r>
      <w:r w:rsidRPr="007C1EDE">
        <w:rPr>
          <w:rFonts w:ascii="Arial" w:hAnsi="Arial" w:cs="Arial"/>
          <w:i/>
        </w:rPr>
        <w:t>Ibid.</w:t>
      </w:r>
    </w:p>
  </w:endnote>
  <w:endnote w:id="214">
    <w:p w14:paraId="47324C06"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Majd, K., et al. (2009). </w:t>
      </w:r>
    </w:p>
  </w:endnote>
  <w:endnote w:id="215">
    <w:p w14:paraId="6F9B6B87"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Irvine, A. (2010). We’ve Had Three of Them. </w:t>
      </w:r>
      <w:r w:rsidRPr="007C1EDE">
        <w:rPr>
          <w:rFonts w:ascii="Arial" w:hAnsi="Arial" w:cs="Arial"/>
          <w:i/>
        </w:rPr>
        <w:t>Columbia Journal of Gender and Law, 19</w:t>
      </w:r>
      <w:r w:rsidRPr="007C1EDE">
        <w:rPr>
          <w:rFonts w:ascii="Arial" w:hAnsi="Arial" w:cs="Arial"/>
        </w:rPr>
        <w:t xml:space="preserve">(3): 675-701. Retrieved from </w:t>
      </w:r>
      <w:hyperlink r:id="rId73" w:history="1">
        <w:r w:rsidRPr="007C1EDE">
          <w:rPr>
            <w:rStyle w:val="Hyperlink"/>
            <w:rFonts w:ascii="Arial" w:hAnsi="Arial" w:cs="Arial"/>
            <w:color w:val="auto"/>
            <w:u w:val="none"/>
          </w:rPr>
          <w:t>http://www.nccdglobal.org/sites/default/files/content/weve-had-three-of-them.pdf</w:t>
        </w:r>
      </w:hyperlink>
      <w:r w:rsidRPr="007C1EDE">
        <w:rPr>
          <w:rFonts w:ascii="Arial" w:hAnsi="Arial" w:cs="Arial"/>
        </w:rPr>
        <w:t xml:space="preserve"> </w:t>
      </w:r>
    </w:p>
  </w:endnote>
  <w:endnote w:id="216">
    <w:p w14:paraId="387902B8"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Gilbert, C. &amp; Hussey, H. (2015). Young, Queer, and Locked Up: LGBT Youth in the Adult Criminal Justice System. Campaign for Youth Justice. Retrieved from </w:t>
      </w:r>
      <w:hyperlink r:id="rId74" w:history="1">
        <w:r w:rsidRPr="007C1EDE">
          <w:rPr>
            <w:rStyle w:val="Hyperlink"/>
            <w:rFonts w:ascii="Arial" w:hAnsi="Arial" w:cs="Arial"/>
            <w:color w:val="auto"/>
            <w:u w:val="none"/>
          </w:rPr>
          <w:t>http://campaignforyouthjustice.org/news/blog/item/young-queer-and-locked-up-lgbt-youth-in-the-adult-criminal-justice-system</w:t>
        </w:r>
      </w:hyperlink>
      <w:r w:rsidRPr="007C1EDE">
        <w:rPr>
          <w:rFonts w:ascii="Arial" w:hAnsi="Arial" w:cs="Arial"/>
        </w:rPr>
        <w:t xml:space="preserve"> </w:t>
      </w:r>
    </w:p>
  </w:endnote>
  <w:endnote w:id="217">
    <w:p w14:paraId="156A1D3F" w14:textId="77777777" w:rsidR="00411ECA" w:rsidRPr="007C1EDE" w:rsidRDefault="00411ECA" w:rsidP="007C1EDE">
      <w:pPr>
        <w:spacing w:after="80" w:line="240" w:lineRule="auto"/>
        <w:rPr>
          <w:rFonts w:ascii="Arial" w:hAnsi="Arial" w:cs="Arial"/>
          <w:sz w:val="20"/>
          <w:szCs w:val="20"/>
        </w:rPr>
      </w:pPr>
      <w:r w:rsidRPr="007C1EDE">
        <w:rPr>
          <w:rStyle w:val="EndnoteReference"/>
          <w:rFonts w:ascii="Arial" w:hAnsi="Arial" w:cs="Arial"/>
          <w:sz w:val="20"/>
          <w:szCs w:val="20"/>
        </w:rPr>
        <w:endnoteRef/>
      </w:r>
      <w:r w:rsidRPr="007C1EDE">
        <w:rPr>
          <w:rFonts w:ascii="Arial" w:hAnsi="Arial" w:cs="Arial"/>
          <w:sz w:val="20"/>
          <w:szCs w:val="20"/>
        </w:rPr>
        <w:t xml:space="preserve"> Hanssens, C., Moodie-MIlls, A., Ritchie, A., Spade, D., &amp; Vaid, U. (2014). </w:t>
      </w:r>
      <w:r w:rsidRPr="007C1EDE">
        <w:rPr>
          <w:rFonts w:ascii="Arial" w:hAnsi="Arial" w:cs="Arial"/>
          <w:i/>
          <w:sz w:val="20"/>
          <w:szCs w:val="20"/>
        </w:rPr>
        <w:t>A Roadmap for Change: Federal Policy Recommendations for Addressing the Criminalization of LGBT People and People Living with HIV</w:t>
      </w:r>
      <w:r w:rsidRPr="007C1EDE">
        <w:rPr>
          <w:rFonts w:ascii="Arial" w:hAnsi="Arial" w:cs="Arial"/>
          <w:sz w:val="20"/>
          <w:szCs w:val="20"/>
        </w:rPr>
        <w:t xml:space="preserve">. New York: Center for Gender and Sexuality Law at Columbia Law School. Retrieved from </w:t>
      </w:r>
      <w:hyperlink r:id="rId75" w:history="1">
        <w:r w:rsidRPr="007C1EDE">
          <w:rPr>
            <w:rStyle w:val="Hyperlink"/>
            <w:rFonts w:ascii="Arial" w:hAnsi="Arial" w:cs="Arial"/>
            <w:color w:val="auto"/>
            <w:sz w:val="20"/>
            <w:szCs w:val="20"/>
            <w:u w:val="none"/>
          </w:rPr>
          <w:t>https://web.law.columbia.edu/sites/default/files/microsites/gender-sexuality/files/roadmap_for_change_full_report.pdf</w:t>
        </w:r>
      </w:hyperlink>
      <w:r w:rsidRPr="007C1EDE">
        <w:rPr>
          <w:rFonts w:ascii="Arial" w:hAnsi="Arial" w:cs="Arial"/>
          <w:sz w:val="20"/>
          <w:szCs w:val="20"/>
        </w:rPr>
        <w:t xml:space="preserve">  </w:t>
      </w:r>
    </w:p>
  </w:endnote>
  <w:endnote w:id="218">
    <w:p w14:paraId="22F0A98B" w14:textId="77777777" w:rsidR="00411ECA" w:rsidRPr="007C1EDE" w:rsidRDefault="00411ECA" w:rsidP="007C1EDE">
      <w:pPr>
        <w:spacing w:after="80" w:line="240" w:lineRule="auto"/>
        <w:rPr>
          <w:rFonts w:ascii="Arial" w:hAnsi="Arial" w:cs="Arial"/>
          <w:sz w:val="20"/>
          <w:szCs w:val="20"/>
        </w:rPr>
      </w:pPr>
      <w:r w:rsidRPr="007C1EDE">
        <w:rPr>
          <w:rStyle w:val="EndnoteReference"/>
          <w:rFonts w:ascii="Arial" w:hAnsi="Arial" w:cs="Arial"/>
          <w:sz w:val="20"/>
          <w:szCs w:val="20"/>
        </w:rPr>
        <w:endnoteRef/>
      </w:r>
      <w:r w:rsidRPr="007C1EDE">
        <w:rPr>
          <w:rFonts w:ascii="Arial" w:hAnsi="Arial" w:cs="Arial"/>
          <w:sz w:val="20"/>
          <w:szCs w:val="20"/>
        </w:rPr>
        <w:t xml:space="preserve"> </w:t>
      </w:r>
      <w:r w:rsidRPr="007C1EDE">
        <w:rPr>
          <w:rFonts w:ascii="Arial" w:hAnsi="Arial" w:cs="Arial"/>
          <w:i/>
          <w:sz w:val="20"/>
          <w:szCs w:val="20"/>
        </w:rPr>
        <w:t>Ibid.</w:t>
      </w:r>
      <w:r w:rsidRPr="007C1EDE">
        <w:rPr>
          <w:rFonts w:ascii="Arial" w:hAnsi="Arial" w:cs="Arial"/>
          <w:sz w:val="20"/>
          <w:szCs w:val="20"/>
        </w:rPr>
        <w:t xml:space="preserve"> </w:t>
      </w:r>
    </w:p>
  </w:endnote>
  <w:endnote w:id="219">
    <w:p w14:paraId="05A5010E"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Beck, A. J., Berzofsky, M., Caspar, R., &amp; Krebs, C. (2013</w:t>
      </w:r>
      <w:r w:rsidRPr="007C1EDE">
        <w:rPr>
          <w:rFonts w:ascii="Arial" w:hAnsi="Arial" w:cs="Arial"/>
          <w:i/>
        </w:rPr>
        <w:t>). Sexual Victimization in Prisons and Jails Reported by Inmates, 2011-12</w:t>
      </w:r>
      <w:r w:rsidRPr="007C1EDE">
        <w:rPr>
          <w:rFonts w:ascii="Arial" w:hAnsi="Arial" w:cs="Arial"/>
        </w:rPr>
        <w:t xml:space="preserve">. U.S. Department of Justice, Bureau of Justice Statistics. Retrieved from </w:t>
      </w:r>
      <w:hyperlink r:id="rId76" w:history="1">
        <w:r w:rsidRPr="007C1EDE">
          <w:rPr>
            <w:rStyle w:val="Hyperlink"/>
            <w:rFonts w:ascii="Arial" w:hAnsi="Arial" w:cs="Arial"/>
            <w:color w:val="auto"/>
            <w:u w:val="none"/>
          </w:rPr>
          <w:t>http://www.bjs.gov/content/pub/pdf/svpjri1112.pdf</w:t>
        </w:r>
      </w:hyperlink>
      <w:r w:rsidRPr="007C1EDE">
        <w:rPr>
          <w:rFonts w:ascii="Arial" w:hAnsi="Arial" w:cs="Arial"/>
        </w:rPr>
        <w:t xml:space="preserve"> </w:t>
      </w:r>
    </w:p>
  </w:endnote>
  <w:endnote w:id="220">
    <w:p w14:paraId="26263B79"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Lyndon, J., et al. (2015).</w:t>
      </w:r>
    </w:p>
  </w:endnote>
  <w:endnote w:id="221">
    <w:p w14:paraId="338E2D54" w14:textId="612109AE" w:rsidR="00411ECA" w:rsidRPr="007C1EDE" w:rsidRDefault="00411ECA" w:rsidP="007C1EDE">
      <w:pPr>
        <w:pStyle w:val="EndnoteText"/>
        <w:rPr>
          <w:rFonts w:ascii="Arial" w:hAnsi="Arial" w:cs="Arial"/>
        </w:rPr>
      </w:pPr>
      <w:r w:rsidRPr="007C1EDE">
        <w:rPr>
          <w:rStyle w:val="EndnoteReference"/>
          <w:rFonts w:ascii="Arial" w:hAnsi="Arial" w:cs="Arial"/>
        </w:rPr>
        <w:endnoteRef/>
      </w:r>
      <w:r w:rsidRPr="007C1EDE">
        <w:rPr>
          <w:rFonts w:ascii="Arial" w:hAnsi="Arial" w:cs="Arial"/>
        </w:rPr>
        <w:t xml:space="preserve"> Massachusetts Commission on LGBTQ Youth.  (2018, March 28). LGBTQ Youth Commission Commends Criminal Justice Reform Effort. Retrieved from </w:t>
      </w:r>
      <w:hyperlink r:id="rId77" w:history="1">
        <w:r w:rsidRPr="007C1EDE">
          <w:rPr>
            <w:rStyle w:val="Hyperlink"/>
            <w:rFonts w:ascii="Arial" w:hAnsi="Arial" w:cs="Arial"/>
            <w:color w:val="auto"/>
            <w:u w:val="none"/>
          </w:rPr>
          <w:t>https://www.mass.gov/news/lgbtq-youth-commission-commends-criminal-justice-reform-effort</w:t>
        </w:r>
      </w:hyperlink>
    </w:p>
  </w:endnote>
  <w:endnote w:id="222">
    <w:p w14:paraId="3CA75ACE" w14:textId="2B0BE9AA" w:rsidR="00411ECA" w:rsidRPr="007C1EDE" w:rsidRDefault="00411ECA" w:rsidP="007C1EDE">
      <w:pPr>
        <w:spacing w:after="0" w:line="240" w:lineRule="auto"/>
        <w:rPr>
          <w:rFonts w:ascii="Arial" w:hAnsi="Arial" w:cs="Arial"/>
          <w:sz w:val="12"/>
          <w:szCs w:val="12"/>
        </w:rPr>
      </w:pPr>
    </w:p>
  </w:endnote>
  <w:endnote w:id="223">
    <w:p w14:paraId="7B536BDF"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lang w:val="es-CO"/>
        </w:rPr>
        <w:t xml:space="preserve"> James, S.E., et al. </w:t>
      </w:r>
      <w:r w:rsidRPr="007C1EDE">
        <w:rPr>
          <w:rFonts w:ascii="Arial" w:hAnsi="Arial" w:cs="Arial"/>
        </w:rPr>
        <w:t xml:space="preserve">(2016). </w:t>
      </w:r>
    </w:p>
  </w:endnote>
  <w:endnote w:id="224">
    <w:p w14:paraId="4A5E3E73"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w:t>
      </w:r>
      <w:r w:rsidRPr="007C1EDE">
        <w:rPr>
          <w:rFonts w:ascii="Arial" w:eastAsia="Calibri" w:hAnsi="Arial" w:cs="Arial"/>
        </w:rPr>
        <w:t>Massachusetts</w:t>
      </w:r>
      <w:r w:rsidRPr="007C1EDE">
        <w:rPr>
          <w:rFonts w:ascii="Arial" w:hAnsi="Arial" w:cs="Arial"/>
        </w:rPr>
        <w:t xml:space="preserve"> </w:t>
      </w:r>
      <w:r w:rsidRPr="007C1EDE">
        <w:rPr>
          <w:rFonts w:ascii="Arial" w:eastAsia="Calibri" w:hAnsi="Arial" w:cs="Arial"/>
        </w:rPr>
        <w:t>Commission</w:t>
      </w:r>
      <w:r w:rsidRPr="007C1EDE">
        <w:rPr>
          <w:rFonts w:ascii="Arial" w:hAnsi="Arial" w:cs="Arial"/>
        </w:rPr>
        <w:t xml:space="preserve"> </w:t>
      </w:r>
      <w:r w:rsidRPr="007C1EDE">
        <w:rPr>
          <w:rFonts w:ascii="Arial" w:eastAsia="Calibri" w:hAnsi="Arial" w:cs="Arial"/>
        </w:rPr>
        <w:t>on</w:t>
      </w:r>
      <w:r w:rsidRPr="007C1EDE">
        <w:rPr>
          <w:rFonts w:ascii="Arial" w:hAnsi="Arial" w:cs="Arial"/>
        </w:rPr>
        <w:t xml:space="preserve"> </w:t>
      </w:r>
      <w:r w:rsidRPr="007C1EDE">
        <w:rPr>
          <w:rFonts w:ascii="Arial" w:eastAsia="Calibri" w:hAnsi="Arial" w:cs="Arial"/>
        </w:rPr>
        <w:t>Unaccompanied</w:t>
      </w:r>
      <w:r w:rsidRPr="007C1EDE">
        <w:rPr>
          <w:rFonts w:ascii="Arial" w:hAnsi="Arial" w:cs="Arial"/>
        </w:rPr>
        <w:t xml:space="preserve"> </w:t>
      </w:r>
      <w:r w:rsidRPr="007C1EDE">
        <w:rPr>
          <w:rFonts w:ascii="Arial" w:eastAsia="Calibri" w:hAnsi="Arial" w:cs="Arial"/>
        </w:rPr>
        <w:t>Homeless</w:t>
      </w:r>
      <w:r w:rsidRPr="007C1EDE">
        <w:rPr>
          <w:rFonts w:ascii="Arial" w:hAnsi="Arial" w:cs="Arial"/>
        </w:rPr>
        <w:t xml:space="preserve"> </w:t>
      </w:r>
      <w:r w:rsidRPr="007C1EDE">
        <w:rPr>
          <w:rFonts w:ascii="Arial" w:eastAsia="Calibri" w:hAnsi="Arial" w:cs="Arial"/>
        </w:rPr>
        <w:t>Youth. (2015).</w:t>
      </w:r>
      <w:r w:rsidRPr="007C1EDE">
        <w:rPr>
          <w:rFonts w:ascii="Arial" w:eastAsia="Calibri" w:hAnsi="Arial" w:cs="Arial"/>
          <w:i/>
        </w:rPr>
        <w:t xml:space="preserve"> </w:t>
      </w:r>
      <w:r w:rsidRPr="007C1EDE">
        <w:rPr>
          <w:rFonts w:ascii="Arial" w:eastAsia="Calibri" w:hAnsi="Arial" w:cs="Arial"/>
        </w:rPr>
        <w:t>Massachusetts</w:t>
      </w:r>
      <w:r w:rsidRPr="007C1EDE">
        <w:rPr>
          <w:rFonts w:ascii="Arial" w:hAnsi="Arial" w:cs="Arial"/>
        </w:rPr>
        <w:t xml:space="preserve"> </w:t>
      </w:r>
      <w:r w:rsidRPr="007C1EDE">
        <w:rPr>
          <w:rFonts w:ascii="Arial" w:eastAsia="Calibri" w:hAnsi="Arial" w:cs="Arial"/>
        </w:rPr>
        <w:t>Youth</w:t>
      </w:r>
      <w:r w:rsidRPr="007C1EDE">
        <w:rPr>
          <w:rFonts w:ascii="Arial" w:hAnsi="Arial" w:cs="Arial"/>
        </w:rPr>
        <w:t xml:space="preserve"> </w:t>
      </w:r>
      <w:r w:rsidRPr="007C1EDE">
        <w:rPr>
          <w:rFonts w:ascii="Arial" w:eastAsia="Calibri" w:hAnsi="Arial" w:cs="Arial"/>
        </w:rPr>
        <w:t>Count</w:t>
      </w:r>
      <w:r w:rsidRPr="007C1EDE">
        <w:rPr>
          <w:rFonts w:ascii="Arial" w:hAnsi="Arial" w:cs="Arial"/>
        </w:rPr>
        <w:t xml:space="preserve"> 2017. Retrieved from http://www.mahomeless.org/images/2017_Youth_Count_Report_-_Final.pdf</w:t>
      </w:r>
    </w:p>
  </w:endnote>
  <w:endnote w:id="225">
    <w:p w14:paraId="1C8EA61C"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Owens, M. (2016). Enhancing Access to Legal Services for Youth Experiencing Homelessness. United States Interagency Council on Homelessness. Retrieved from </w:t>
      </w:r>
      <w:hyperlink r:id="rId78" w:history="1">
        <w:r w:rsidRPr="007C1EDE">
          <w:rPr>
            <w:rStyle w:val="Hyperlink"/>
            <w:rFonts w:ascii="Arial" w:hAnsi="Arial" w:cs="Arial"/>
            <w:color w:val="auto"/>
            <w:u w:val="none"/>
          </w:rPr>
          <w:t>https://www.usich.gov/news/enhancing-access-to-legal-services-for-youth-experiencing-homelessness</w:t>
        </w:r>
      </w:hyperlink>
      <w:r w:rsidRPr="007C1EDE">
        <w:rPr>
          <w:rFonts w:ascii="Arial" w:hAnsi="Arial" w:cs="Arial"/>
        </w:rPr>
        <w:t xml:space="preserve"> </w:t>
      </w:r>
    </w:p>
  </w:endnote>
  <w:endnote w:id="226">
    <w:p w14:paraId="27873BF7"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Massachusetts Commission on LGBTQ Youth. (2017). Commission Testifies on ID Access for the Homeless. Retrieved from </w:t>
      </w:r>
      <w:hyperlink r:id="rId79" w:history="1">
        <w:r w:rsidRPr="007C1EDE">
          <w:rPr>
            <w:rStyle w:val="Hyperlink"/>
            <w:rFonts w:ascii="Arial" w:hAnsi="Arial" w:cs="Arial"/>
            <w:color w:val="auto"/>
            <w:u w:val="none"/>
          </w:rPr>
          <w:t>https://www.mass.gov/news/commission-testifies-on-id-access-for-the-homeless</w:t>
        </w:r>
      </w:hyperlink>
      <w:r w:rsidRPr="007C1EDE">
        <w:rPr>
          <w:rFonts w:ascii="Arial" w:hAnsi="Arial" w:cs="Arial"/>
        </w:rPr>
        <w:t xml:space="preserve"> </w:t>
      </w:r>
    </w:p>
  </w:endnote>
  <w:endnote w:id="227">
    <w:p w14:paraId="0A144AA0"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Mirza, S. A. (2016). State ID Card Policies for LGBTQ Youths Experiencing Homelessness. Center for American Progress. Retrieved from </w:t>
      </w:r>
      <w:hyperlink r:id="rId80" w:history="1">
        <w:r w:rsidRPr="007C1EDE">
          <w:rPr>
            <w:rStyle w:val="Hyperlink"/>
            <w:rFonts w:ascii="Arial" w:hAnsi="Arial" w:cs="Arial"/>
            <w:color w:val="auto"/>
            <w:u w:val="none"/>
          </w:rPr>
          <w:t>https://www.americanprogress.org/issues/lgbt/reports/</w:t>
        </w:r>
        <w:r w:rsidRPr="007C1EDE">
          <w:rPr>
            <w:rStyle w:val="Hyperlink"/>
            <w:rFonts w:ascii="Arial" w:hAnsi="Arial" w:cs="Arial"/>
            <w:color w:val="auto"/>
            <w:u w:val="none"/>
          </w:rPr>
          <w:br/>
          <w:t>2016/09/28/144928/state-id-card-policies-for-lgbtq-youths-experiencing-homelessness/</w:t>
        </w:r>
      </w:hyperlink>
    </w:p>
  </w:endnote>
  <w:endnote w:id="228">
    <w:p w14:paraId="477F9213"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Ebbert, S.  (2018, March 11). Change in Gender Norms Brings a Pronoun Revolution. </w:t>
      </w:r>
      <w:r w:rsidRPr="007C1EDE">
        <w:rPr>
          <w:rFonts w:ascii="Arial" w:hAnsi="Arial" w:cs="Arial"/>
          <w:i/>
        </w:rPr>
        <w:t>Boston Globe</w:t>
      </w:r>
      <w:r w:rsidRPr="007C1EDE">
        <w:rPr>
          <w:rFonts w:ascii="Arial" w:hAnsi="Arial" w:cs="Arial"/>
        </w:rPr>
        <w:t xml:space="preserve">. Retrieved from </w:t>
      </w:r>
      <w:hyperlink r:id="rId81" w:history="1">
        <w:r w:rsidRPr="007C1EDE">
          <w:rPr>
            <w:rStyle w:val="Hyperlink"/>
            <w:rFonts w:ascii="Arial" w:hAnsi="Arial" w:cs="Arial"/>
            <w:color w:val="auto"/>
            <w:u w:val="none"/>
          </w:rPr>
          <w:t>https://www.bostonglobe.com/metro/2018/03/10/change-gender-norms-brings-pronoun-revolution/IKhxVBptQUwaDJ1IcZszUN/story.html</w:t>
        </w:r>
      </w:hyperlink>
      <w:r w:rsidRPr="007C1EDE">
        <w:rPr>
          <w:rFonts w:ascii="Arial" w:hAnsi="Arial" w:cs="Arial"/>
        </w:rPr>
        <w:t xml:space="preserve"> </w:t>
      </w:r>
    </w:p>
  </w:endnote>
  <w:endnote w:id="229">
    <w:p w14:paraId="0413B45A"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Massachusetts Commission on LGBTQ Youth. (2017). Commission Testifies on ID Access for the Homeless. Retrieved from </w:t>
      </w:r>
      <w:hyperlink r:id="rId82" w:history="1">
        <w:r w:rsidRPr="007C1EDE">
          <w:rPr>
            <w:rStyle w:val="Hyperlink"/>
            <w:rFonts w:ascii="Arial" w:hAnsi="Arial" w:cs="Arial"/>
            <w:color w:val="auto"/>
            <w:u w:val="none"/>
          </w:rPr>
          <w:t>https://www.mass.gov/news/commission-testifies-on-id-access-for-the-homeless</w:t>
        </w:r>
      </w:hyperlink>
      <w:r w:rsidRPr="007C1EDE">
        <w:rPr>
          <w:rFonts w:ascii="Arial" w:hAnsi="Arial" w:cs="Arial"/>
        </w:rPr>
        <w:t xml:space="preserve"> </w:t>
      </w:r>
    </w:p>
  </w:endnote>
  <w:endnote w:id="230">
    <w:p w14:paraId="02FAA52F"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Corey Prachniak-Rincón. (2018). Beyond Invisibility: Gender and Sexual Diversity in Rural Places. [Unpublished oral presentation at the Harvard Graduate School of Education]</w:t>
      </w:r>
    </w:p>
  </w:endnote>
  <w:endnote w:id="231">
    <w:p w14:paraId="649FB04C" w14:textId="77777777" w:rsidR="00411ECA" w:rsidRPr="007C1EDE" w:rsidRDefault="00411ECA" w:rsidP="007C1EDE">
      <w:pPr>
        <w:spacing w:after="80" w:line="240" w:lineRule="auto"/>
        <w:rPr>
          <w:rFonts w:ascii="Arial" w:hAnsi="Arial" w:cs="Arial"/>
          <w:sz w:val="20"/>
          <w:szCs w:val="20"/>
        </w:rPr>
      </w:pPr>
      <w:r w:rsidRPr="007C1EDE">
        <w:rPr>
          <w:rStyle w:val="EndnoteReference"/>
          <w:rFonts w:ascii="Arial" w:hAnsi="Arial" w:cs="Arial"/>
          <w:sz w:val="20"/>
          <w:szCs w:val="20"/>
        </w:rPr>
        <w:endnoteRef/>
      </w:r>
      <w:r w:rsidRPr="007C1EDE">
        <w:rPr>
          <w:rFonts w:ascii="Arial" w:hAnsi="Arial" w:cs="Arial"/>
          <w:sz w:val="20"/>
          <w:szCs w:val="20"/>
        </w:rPr>
        <w:t xml:space="preserve"> Palmer, N. A., Kosciw, J. G., &amp; Bartkiewicz, M. J. (2012). Strengths and Silences: The Experiences of Lesbian, Gay, Bisexual and Transgender Students in Rural and Small Town Schools. GLSEN. Retrieved from </w:t>
      </w:r>
      <w:hyperlink r:id="rId83" w:history="1">
        <w:r w:rsidRPr="007C1EDE">
          <w:rPr>
            <w:rStyle w:val="Hyperlink"/>
            <w:rFonts w:ascii="Arial" w:hAnsi="Arial" w:cs="Arial"/>
            <w:color w:val="auto"/>
            <w:sz w:val="20"/>
            <w:szCs w:val="20"/>
            <w:u w:val="none"/>
          </w:rPr>
          <w:t>http://glsen.org/sites/default/files/Strengths%20%26%20Silences.pdf</w:t>
        </w:r>
      </w:hyperlink>
      <w:r w:rsidRPr="007C1EDE">
        <w:rPr>
          <w:rFonts w:ascii="Arial" w:hAnsi="Arial" w:cs="Arial"/>
          <w:sz w:val="20"/>
          <w:szCs w:val="20"/>
        </w:rPr>
        <w:t xml:space="preserve"> </w:t>
      </w:r>
    </w:p>
  </w:endnote>
  <w:endnote w:id="232">
    <w:p w14:paraId="5D3B449A"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American Library Association. (n.d.) Rainbow Project Book List. Retrieved from </w:t>
      </w:r>
      <w:hyperlink r:id="rId84" w:history="1">
        <w:r w:rsidRPr="007C1EDE">
          <w:rPr>
            <w:rStyle w:val="Hyperlink"/>
            <w:rFonts w:ascii="Arial" w:hAnsi="Arial" w:cs="Arial"/>
            <w:color w:val="auto"/>
            <w:u w:val="none"/>
          </w:rPr>
          <w:t>http://www.ala.org/awardsgrants/rainbow-project-book-list</w:t>
        </w:r>
      </w:hyperlink>
      <w:r w:rsidRPr="007C1EDE">
        <w:rPr>
          <w:rFonts w:ascii="Arial" w:hAnsi="Arial" w:cs="Arial"/>
        </w:rPr>
        <w:t xml:space="preserve"> </w:t>
      </w:r>
    </w:p>
  </w:endnote>
  <w:endnote w:id="233">
    <w:p w14:paraId="45C3B57E" w14:textId="77777777" w:rsidR="00411ECA" w:rsidRPr="007C1EDE" w:rsidRDefault="00411ECA" w:rsidP="007C1EDE">
      <w:pPr>
        <w:spacing w:after="80" w:line="240" w:lineRule="auto"/>
        <w:rPr>
          <w:rFonts w:ascii="Arial" w:hAnsi="Arial" w:cs="Arial"/>
          <w:sz w:val="20"/>
          <w:szCs w:val="20"/>
        </w:rPr>
      </w:pPr>
      <w:r w:rsidRPr="007C1EDE">
        <w:rPr>
          <w:rStyle w:val="EndnoteReference"/>
          <w:rFonts w:ascii="Arial" w:hAnsi="Arial" w:cs="Arial"/>
          <w:sz w:val="20"/>
          <w:szCs w:val="20"/>
        </w:rPr>
        <w:endnoteRef/>
      </w:r>
      <w:r w:rsidRPr="007C1EDE">
        <w:rPr>
          <w:rFonts w:ascii="Arial" w:hAnsi="Arial" w:cs="Arial"/>
          <w:sz w:val="20"/>
          <w:szCs w:val="20"/>
        </w:rPr>
        <w:t xml:space="preserve"> Hackl, A. (2014). Helping Homeless Youth Stay Connected: LGBT Tech Connect 4 Life Program and Research</w:t>
      </w:r>
      <w:r w:rsidRPr="007C1EDE">
        <w:rPr>
          <w:rFonts w:ascii="Arial" w:hAnsi="Arial" w:cs="Arial"/>
          <w:i/>
          <w:sz w:val="20"/>
          <w:szCs w:val="20"/>
        </w:rPr>
        <w:t>.</w:t>
      </w:r>
      <w:r w:rsidRPr="007C1EDE">
        <w:rPr>
          <w:rFonts w:ascii="Arial" w:hAnsi="Arial" w:cs="Arial"/>
          <w:sz w:val="20"/>
          <w:szCs w:val="20"/>
        </w:rPr>
        <w:t xml:space="preserve"> Retrieved from </w:t>
      </w:r>
      <w:hyperlink r:id="rId85" w:history="1">
        <w:r w:rsidRPr="007C1EDE">
          <w:rPr>
            <w:rStyle w:val="Hyperlink"/>
            <w:rFonts w:ascii="Arial" w:hAnsi="Arial" w:cs="Arial"/>
            <w:color w:val="auto"/>
            <w:sz w:val="20"/>
            <w:szCs w:val="20"/>
            <w:u w:val="none"/>
          </w:rPr>
          <w:t>http://lgbttechpartnership.org/wp-content/uploads/2014/08/LGBT-Tech_LGBT-Homeless-Youth-Connect-4-Life-Program-and-Research-2014.pdf</w:t>
        </w:r>
      </w:hyperlink>
      <w:r w:rsidRPr="007C1EDE">
        <w:rPr>
          <w:rFonts w:ascii="Arial" w:hAnsi="Arial" w:cs="Arial"/>
          <w:sz w:val="20"/>
          <w:szCs w:val="20"/>
        </w:rPr>
        <w:t xml:space="preserve">   </w:t>
      </w:r>
    </w:p>
  </w:endnote>
  <w:endnote w:id="234">
    <w:p w14:paraId="00166BAF"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American Library Association. (2012). </w:t>
      </w:r>
      <w:r w:rsidRPr="007C1EDE">
        <w:rPr>
          <w:rFonts w:ascii="Arial" w:hAnsi="Arial" w:cs="Arial"/>
          <w:i/>
        </w:rPr>
        <w:t>Extending Our Reach: Reducing Homelessness Through Library Engagement</w:t>
      </w:r>
      <w:r w:rsidRPr="007C1EDE">
        <w:rPr>
          <w:rFonts w:ascii="Arial" w:hAnsi="Arial" w:cs="Arial"/>
        </w:rPr>
        <w:t xml:space="preserve">. Retrieved from </w:t>
      </w:r>
      <w:hyperlink r:id="rId86" w:history="1">
        <w:r w:rsidRPr="007C1EDE">
          <w:rPr>
            <w:rStyle w:val="Hyperlink"/>
            <w:rFonts w:ascii="Arial" w:hAnsi="Arial" w:cs="Arial"/>
            <w:color w:val="auto"/>
            <w:u w:val="none"/>
          </w:rPr>
          <w:t>http://www.ala.org/aboutala/offices/extending-our-reach-reducing-homelessness-through-library-engagement-7</w:t>
        </w:r>
      </w:hyperlink>
      <w:r w:rsidRPr="007C1EDE">
        <w:rPr>
          <w:rFonts w:ascii="Arial" w:hAnsi="Arial" w:cs="Arial"/>
        </w:rPr>
        <w:t xml:space="preserve"> </w:t>
      </w:r>
    </w:p>
  </w:endnote>
  <w:endnote w:id="235">
    <w:p w14:paraId="772DC1EE"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Massachusetts Commission on Unaccompanied Homeless Youth. (2015). Massachusetts Youth Count 2017. Retrieved from </w:t>
      </w:r>
      <w:hyperlink r:id="rId87" w:history="1">
        <w:r w:rsidRPr="007C1EDE">
          <w:rPr>
            <w:rStyle w:val="Hyperlink"/>
            <w:rFonts w:ascii="Arial" w:hAnsi="Arial" w:cs="Arial"/>
            <w:color w:val="auto"/>
            <w:u w:val="none"/>
          </w:rPr>
          <w:t>http://www.mahomeless.org/images/2017_Youth_Count_Report_-_Final.pdf</w:t>
        </w:r>
      </w:hyperlink>
      <w:r w:rsidRPr="007C1EDE">
        <w:rPr>
          <w:rFonts w:ascii="Arial" w:hAnsi="Arial" w:cs="Arial"/>
        </w:rPr>
        <w:t xml:space="preserve"> </w:t>
      </w:r>
    </w:p>
  </w:endnote>
  <w:endnote w:id="236">
    <w:p w14:paraId="3175D1DB" w14:textId="77777777" w:rsidR="00411ECA" w:rsidRPr="007C1EDE" w:rsidRDefault="00411ECA" w:rsidP="007C1EDE">
      <w:pPr>
        <w:pStyle w:val="EndnoteText"/>
        <w:spacing w:after="80"/>
        <w:rPr>
          <w:rFonts w:ascii="Arial" w:hAnsi="Arial" w:cs="Arial"/>
          <w:i/>
        </w:rPr>
      </w:pPr>
      <w:r w:rsidRPr="007C1EDE">
        <w:rPr>
          <w:rStyle w:val="EndnoteReference"/>
          <w:rFonts w:ascii="Arial" w:hAnsi="Arial" w:cs="Arial"/>
        </w:rPr>
        <w:endnoteRef/>
      </w:r>
      <w:r w:rsidRPr="007C1EDE">
        <w:rPr>
          <w:rFonts w:ascii="Arial" w:hAnsi="Arial" w:cs="Arial"/>
        </w:rPr>
        <w:t xml:space="preserve"> </w:t>
      </w:r>
      <w:r w:rsidRPr="007C1EDE">
        <w:rPr>
          <w:rFonts w:ascii="Arial" w:eastAsia="Times New Roman" w:hAnsi="Arial" w:cs="Arial"/>
          <w:i/>
          <w:shd w:val="clear" w:color="auto" w:fill="FFFFFF"/>
        </w:rPr>
        <w:t>Ibid.</w:t>
      </w:r>
    </w:p>
  </w:endnote>
  <w:endnote w:id="237">
    <w:p w14:paraId="1000928E"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Goodenow, C. (2016).</w:t>
      </w:r>
    </w:p>
  </w:endnote>
  <w:endnote w:id="238">
    <w:p w14:paraId="01031CD1"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Choi, S. K., et al. (2015).</w:t>
      </w:r>
    </w:p>
  </w:endnote>
  <w:endnote w:id="239">
    <w:p w14:paraId="6F753F7C" w14:textId="77777777" w:rsidR="00411ECA" w:rsidRPr="007C1EDE" w:rsidRDefault="00411ECA" w:rsidP="007C1EDE">
      <w:pPr>
        <w:spacing w:after="80" w:line="240" w:lineRule="auto"/>
        <w:rPr>
          <w:rFonts w:ascii="Arial" w:hAnsi="Arial" w:cs="Arial"/>
          <w:sz w:val="20"/>
          <w:szCs w:val="20"/>
        </w:rPr>
      </w:pPr>
      <w:r w:rsidRPr="007C1EDE">
        <w:rPr>
          <w:rStyle w:val="EndnoteReference"/>
          <w:rFonts w:ascii="Arial" w:hAnsi="Arial" w:cs="Arial"/>
          <w:sz w:val="20"/>
          <w:szCs w:val="20"/>
        </w:rPr>
        <w:endnoteRef/>
      </w:r>
      <w:r w:rsidRPr="007C1EDE">
        <w:rPr>
          <w:rFonts w:ascii="Arial" w:hAnsi="Arial" w:cs="Arial"/>
          <w:sz w:val="20"/>
          <w:szCs w:val="20"/>
        </w:rPr>
        <w:t xml:space="preserve"> Movement Advancement Project. (2013). A Broken Bargain for LGBT Workers of Color. Retrieved from </w:t>
      </w:r>
      <w:hyperlink r:id="rId88" w:history="1">
        <w:r w:rsidRPr="007C1EDE">
          <w:rPr>
            <w:rStyle w:val="Hyperlink"/>
            <w:rFonts w:ascii="Arial" w:hAnsi="Arial" w:cs="Arial"/>
            <w:color w:val="auto"/>
            <w:sz w:val="20"/>
            <w:szCs w:val="20"/>
            <w:u w:val="none"/>
          </w:rPr>
          <w:t>http://www.lgbtmap.org/flle/a-broken-bargain-for-lgbt-workers-of-color.pdf</w:t>
        </w:r>
      </w:hyperlink>
      <w:r w:rsidRPr="007C1EDE">
        <w:rPr>
          <w:rFonts w:ascii="Arial" w:hAnsi="Arial" w:cs="Arial"/>
          <w:sz w:val="20"/>
          <w:szCs w:val="20"/>
        </w:rPr>
        <w:t xml:space="preserve"> </w:t>
      </w:r>
    </w:p>
  </w:endnote>
  <w:endnote w:id="240">
    <w:p w14:paraId="001175C8" w14:textId="77777777" w:rsidR="00411ECA" w:rsidRPr="007C1EDE" w:rsidRDefault="00411ECA" w:rsidP="007C1EDE">
      <w:pPr>
        <w:spacing w:after="80" w:line="240" w:lineRule="auto"/>
        <w:rPr>
          <w:rFonts w:ascii="Arial" w:hAnsi="Arial" w:cs="Arial"/>
          <w:sz w:val="20"/>
          <w:szCs w:val="20"/>
          <w:lang w:val="es-CO"/>
        </w:rPr>
      </w:pPr>
      <w:r w:rsidRPr="007C1EDE">
        <w:rPr>
          <w:rStyle w:val="EndnoteReference"/>
          <w:rFonts w:ascii="Arial" w:hAnsi="Arial" w:cs="Arial"/>
          <w:sz w:val="20"/>
          <w:szCs w:val="20"/>
        </w:rPr>
        <w:endnoteRef/>
      </w:r>
      <w:r w:rsidRPr="007C1EDE">
        <w:rPr>
          <w:rFonts w:ascii="Arial" w:hAnsi="Arial" w:cs="Arial"/>
          <w:sz w:val="20"/>
          <w:szCs w:val="20"/>
          <w:lang w:val="es-CO"/>
        </w:rPr>
        <w:t xml:space="preserve"> Conron, K., et al. (2015).</w:t>
      </w:r>
    </w:p>
  </w:endnote>
  <w:endnote w:id="241">
    <w:p w14:paraId="38E030BB" w14:textId="5622B3FB" w:rsidR="00411ECA" w:rsidRPr="007C1EDE" w:rsidRDefault="00411ECA" w:rsidP="007C1EDE">
      <w:pPr>
        <w:pStyle w:val="EndnoteText"/>
        <w:tabs>
          <w:tab w:val="left" w:pos="7503"/>
        </w:tabs>
        <w:spacing w:after="80"/>
        <w:rPr>
          <w:rFonts w:ascii="Arial" w:hAnsi="Arial" w:cs="Arial"/>
          <w:i/>
          <w:lang w:val="es-CO"/>
        </w:rPr>
      </w:pPr>
      <w:r w:rsidRPr="007C1EDE">
        <w:rPr>
          <w:rStyle w:val="EndnoteReference"/>
          <w:rFonts w:ascii="Arial" w:hAnsi="Arial" w:cs="Arial"/>
        </w:rPr>
        <w:endnoteRef/>
      </w:r>
      <w:r w:rsidRPr="007C1EDE">
        <w:rPr>
          <w:rFonts w:ascii="Arial" w:hAnsi="Arial" w:cs="Arial"/>
          <w:lang w:val="es-CO"/>
        </w:rPr>
        <w:t xml:space="preserve"> </w:t>
      </w:r>
      <w:r w:rsidRPr="007C1EDE">
        <w:rPr>
          <w:rFonts w:ascii="Arial" w:hAnsi="Arial" w:cs="Arial"/>
          <w:i/>
          <w:lang w:val="es-CO"/>
        </w:rPr>
        <w:t>Ibid.</w:t>
      </w:r>
      <w:r w:rsidRPr="007C1EDE">
        <w:rPr>
          <w:rFonts w:ascii="Arial" w:hAnsi="Arial" w:cs="Arial"/>
          <w:i/>
          <w:lang w:val="es-CO"/>
        </w:rPr>
        <w:tab/>
      </w:r>
    </w:p>
  </w:endnote>
  <w:endnote w:id="242">
    <w:p w14:paraId="0BBA3CD2" w14:textId="77777777" w:rsidR="00411ECA" w:rsidRPr="007C1ED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Human Rights Campaign. (n.d.). LGBTQ Professional Recruitment Events. Retrieved from </w:t>
      </w:r>
      <w:hyperlink r:id="rId89" w:history="1">
        <w:r w:rsidRPr="007C1EDE">
          <w:rPr>
            <w:rStyle w:val="Hyperlink"/>
            <w:rFonts w:ascii="Arial" w:hAnsi="Arial" w:cs="Arial"/>
            <w:color w:val="auto"/>
            <w:u w:val="none"/>
          </w:rPr>
          <w:t>https://www.hrc.org/resources/lgbt-professional-recruitment-events</w:t>
        </w:r>
      </w:hyperlink>
      <w:r w:rsidRPr="007C1EDE">
        <w:rPr>
          <w:rFonts w:ascii="Arial" w:hAnsi="Arial" w:cs="Arial"/>
        </w:rPr>
        <w:t xml:space="preserve"> </w:t>
      </w:r>
    </w:p>
  </w:endnote>
  <w:endnote w:id="243">
    <w:p w14:paraId="02BBFEF6" w14:textId="77777777" w:rsidR="00411ECA" w:rsidRPr="0088680E" w:rsidRDefault="00411ECA" w:rsidP="007C1EDE">
      <w:pPr>
        <w:pStyle w:val="EndnoteText"/>
        <w:spacing w:after="80"/>
        <w:rPr>
          <w:rFonts w:ascii="Arial" w:hAnsi="Arial" w:cs="Arial"/>
        </w:rPr>
      </w:pPr>
      <w:r w:rsidRPr="007C1EDE">
        <w:rPr>
          <w:rStyle w:val="EndnoteReference"/>
          <w:rFonts w:ascii="Arial" w:hAnsi="Arial" w:cs="Arial"/>
        </w:rPr>
        <w:endnoteRef/>
      </w:r>
      <w:r w:rsidRPr="007C1EDE">
        <w:rPr>
          <w:rFonts w:ascii="Arial" w:hAnsi="Arial" w:cs="Arial"/>
        </w:rPr>
        <w:t xml:space="preserve"> New York Department of Labor. (2013). State Labor Department Announces At-Risk LGBTQ Youth Employment Initiative. Retrieved from </w:t>
      </w:r>
      <w:hyperlink r:id="rId90" w:history="1">
        <w:r w:rsidRPr="007C1EDE">
          <w:rPr>
            <w:rStyle w:val="Hyperlink"/>
            <w:rFonts w:ascii="Arial" w:hAnsi="Arial" w:cs="Arial"/>
            <w:color w:val="auto"/>
            <w:u w:val="none"/>
          </w:rPr>
          <w:t>http://labor.ny.gov/pressreleases/2013/june-4-2013.shtm</w:t>
        </w:r>
      </w:hyperlink>
      <w:r w:rsidRPr="007C1EDE">
        <w:rPr>
          <w:rFonts w:ascii="Arial" w:hAnsi="Arial" w:cs="Arial"/>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Neu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UnicodeMS">
    <w:charset w:val="0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333298"/>
      <w:docPartObj>
        <w:docPartGallery w:val="Page Numbers (Bottom of Page)"/>
        <w:docPartUnique/>
      </w:docPartObj>
    </w:sdtPr>
    <w:sdtEndPr/>
    <w:sdtContent>
      <w:p w14:paraId="125DFD1A" w14:textId="5BC29B3A" w:rsidR="00411ECA" w:rsidRDefault="00411ECA">
        <w:r>
          <w:rPr>
            <w:noProof/>
          </w:rPr>
          <mc:AlternateContent>
            <mc:Choice Requires="wps">
              <w:drawing>
                <wp:anchor distT="0" distB="0" distL="114300" distR="114300" simplePos="0" relativeHeight="251660288" behindDoc="0" locked="0" layoutInCell="1" allowOverlap="1" wp14:anchorId="495CFAD9" wp14:editId="17E588ED">
                  <wp:simplePos x="0" y="0"/>
                  <wp:positionH relativeFrom="margin">
                    <wp:align>center</wp:align>
                  </wp:positionH>
                  <wp:positionV relativeFrom="bottomMargin">
                    <wp:align>center</wp:align>
                  </wp:positionV>
                  <wp:extent cx="55562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625" cy="238760"/>
                          </a:xfrm>
                          <a:prstGeom prst="bracketPair">
                            <a:avLst>
                              <a:gd name="adj" fmla="val 16667"/>
                            </a:avLst>
                          </a:prstGeom>
                          <a:solidFill>
                            <a:srgbClr val="FFFFFF"/>
                          </a:solidFill>
                          <a:ln w="28575">
                            <a:solidFill>
                              <a:srgbClr val="FFBC37"/>
                            </a:solidFill>
                            <a:round/>
                            <a:headEnd/>
                            <a:tailEnd/>
                          </a:ln>
                        </wps:spPr>
                        <wps:txbx>
                          <w:txbxContent>
                            <w:p w14:paraId="7575D339" w14:textId="77777777" w:rsidR="00411ECA" w:rsidRPr="009D5C1B" w:rsidRDefault="00411ECA">
                              <w:pPr>
                                <w:jc w:val="center"/>
                                <w:rPr>
                                  <w:color w:val="244061" w:themeColor="accent1" w:themeShade="80"/>
                                </w:rPr>
                              </w:pPr>
                              <w:r>
                                <w:fldChar w:fldCharType="begin"/>
                              </w:r>
                              <w:r>
                                <w:instrText xml:space="preserve"> PAGE    \* MERGEFORMAT </w:instrText>
                              </w:r>
                              <w:r>
                                <w:fldChar w:fldCharType="separate"/>
                              </w:r>
                              <w:r w:rsidR="002E44A6" w:rsidRPr="002E44A6">
                                <w:rPr>
                                  <w:noProof/>
                                  <w:color w:val="244061" w:themeColor="accent1" w:themeShade="80"/>
                                </w:rPr>
                                <w:t>1</w:t>
                              </w:r>
                              <w:r>
                                <w:rPr>
                                  <w:noProof/>
                                  <w:color w:val="244061" w:themeColor="accent1" w:themeShade="8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56" type="#_x0000_t185" style="position:absolute;margin-left:0;margin-top:0;width:43.7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" filled="t" strokecolor="#ffbc37" strokeweight="2.25pt">
                  <v:textbox inset=",0,,0">
                    <w:txbxContent>
                      <w:p w14:paraId="7575D339" w14:textId="77777777" w:rsidR="00411ECA" w:rsidRPr="009D5C1B" w:rsidRDefault="00411ECA">
                        <w:pPr>
                          <w:jc w:val="center"/>
                          <w:rPr>
                            <w:color w:val="244061" w:themeColor="accent1" w:themeShade="80"/>
                          </w:rPr>
                        </w:pPr>
                        <w:r>
                          <w:fldChar w:fldCharType="begin"/>
                        </w:r>
                        <w:r>
                          <w:instrText xml:space="preserve"> PAGE    \* MERGEFORMAT </w:instrText>
                        </w:r>
                        <w:r>
                          <w:fldChar w:fldCharType="separate"/>
                        </w:r>
                        <w:r w:rsidR="002E44A6" w:rsidRPr="002E44A6">
                          <w:rPr>
                            <w:noProof/>
                            <w:color w:val="244061" w:themeColor="accent1" w:themeShade="80"/>
                          </w:rPr>
                          <w:t>1</w:t>
                        </w:r>
                        <w:r>
                          <w:rPr>
                            <w:noProof/>
                            <w:color w:val="244061" w:themeColor="accent1" w:themeShade="80"/>
                          </w:rPr>
                          <w:fldChar w:fldCharType="end"/>
                        </w:r>
                      </w:p>
                    </w:txbxContent>
                  </v:textbox>
                  <w10:wrap anchorx="margin" anchory="margin"/>
                </v:shape>
              </w:pict>
            </mc:Fallback>
          </mc:AlternateContent>
        </w:r>
        <w:r>
          <w:rPr>
            <w:noProof/>
          </w:rPr>
          <mc:AlternateContent>
            <mc:Choice Requires="wps">
              <w:drawing>
                <wp:anchor distT="4294967295" distB="4294967295" distL="114300" distR="114300" simplePos="0" relativeHeight="251659264" behindDoc="0" locked="0" layoutInCell="1" allowOverlap="1" wp14:anchorId="0F102FC6" wp14:editId="440F14F3">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FFBC37"/>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3e-5mm;mso-wrap-distance-right:9pt;mso-wrap-distance-bottom:-3e-5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" strokecolor="#ffbc37"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60938E" w14:textId="77777777" w:rsidR="00AD3491" w:rsidRDefault="00AD3491" w:rsidP="00400468">
      <w:pPr>
        <w:spacing w:after="0" w:line="240" w:lineRule="auto"/>
      </w:pPr>
      <w:r>
        <w:separator/>
      </w:r>
    </w:p>
  </w:footnote>
  <w:footnote w:type="continuationSeparator" w:id="0">
    <w:p w14:paraId="09C3BAC8" w14:textId="77777777" w:rsidR="00AD3491" w:rsidRDefault="00AD3491" w:rsidP="004004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D41B1"/>
    <w:multiLevelType w:val="hybridMultilevel"/>
    <w:tmpl w:val="349A75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B4E32F5"/>
    <w:multiLevelType w:val="hybridMultilevel"/>
    <w:tmpl w:val="CC22ED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D5D26FC"/>
    <w:multiLevelType w:val="hybridMultilevel"/>
    <w:tmpl w:val="4072D6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1C6703E"/>
    <w:multiLevelType w:val="hybridMultilevel"/>
    <w:tmpl w:val="9A6A7C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1F976FC"/>
    <w:multiLevelType w:val="hybridMultilevel"/>
    <w:tmpl w:val="CC22ED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3192014"/>
    <w:multiLevelType w:val="hybridMultilevel"/>
    <w:tmpl w:val="CDBAE0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3D674BD"/>
    <w:multiLevelType w:val="hybridMultilevel"/>
    <w:tmpl w:val="9FB8F1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62C2BB8"/>
    <w:multiLevelType w:val="hybridMultilevel"/>
    <w:tmpl w:val="0E869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7900DD"/>
    <w:multiLevelType w:val="hybridMultilevel"/>
    <w:tmpl w:val="3EB4EB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B4B1169"/>
    <w:multiLevelType w:val="hybridMultilevel"/>
    <w:tmpl w:val="32F2FA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B9705EE"/>
    <w:multiLevelType w:val="hybridMultilevel"/>
    <w:tmpl w:val="A328B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3119C0"/>
    <w:multiLevelType w:val="hybridMultilevel"/>
    <w:tmpl w:val="E4427C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11C46F6"/>
    <w:multiLevelType w:val="hybridMultilevel"/>
    <w:tmpl w:val="01ECF6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49572EE"/>
    <w:multiLevelType w:val="hybridMultilevel"/>
    <w:tmpl w:val="070473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5694BE5"/>
    <w:multiLevelType w:val="hybridMultilevel"/>
    <w:tmpl w:val="01ECF6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7D52153"/>
    <w:multiLevelType w:val="hybridMultilevel"/>
    <w:tmpl w:val="32F2FA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9E40DDA"/>
    <w:multiLevelType w:val="hybridMultilevel"/>
    <w:tmpl w:val="B46622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286534F"/>
    <w:multiLevelType w:val="hybridMultilevel"/>
    <w:tmpl w:val="7E7CFB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4204369"/>
    <w:multiLevelType w:val="hybridMultilevel"/>
    <w:tmpl w:val="B46622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8C27190"/>
    <w:multiLevelType w:val="hybridMultilevel"/>
    <w:tmpl w:val="E4427C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9784506"/>
    <w:multiLevelType w:val="hybridMultilevel"/>
    <w:tmpl w:val="070473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F8160B0"/>
    <w:multiLevelType w:val="hybridMultilevel"/>
    <w:tmpl w:val="4072D6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FCB689C"/>
    <w:multiLevelType w:val="hybridMultilevel"/>
    <w:tmpl w:val="3EB4EB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0290221"/>
    <w:multiLevelType w:val="hybridMultilevel"/>
    <w:tmpl w:val="A328B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36046C"/>
    <w:multiLevelType w:val="hybridMultilevel"/>
    <w:tmpl w:val="2EB8D55C"/>
    <w:lvl w:ilvl="0" w:tplc="E53CF622">
      <w:start w:val="1"/>
      <w:numFmt w:val="decimal"/>
      <w:lvlText w:val="%1."/>
      <w:lvlJc w:val="left"/>
      <w:pPr>
        <w:ind w:left="360" w:hanging="360"/>
      </w:pPr>
      <w:rPr>
        <w:rFonts w:hint="default"/>
        <w:b/>
        <w:color w:val="365F91" w:themeColor="accent1" w:themeShade="B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C851EE1"/>
    <w:multiLevelType w:val="hybridMultilevel"/>
    <w:tmpl w:val="E670D6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D990CAC"/>
    <w:multiLevelType w:val="hybridMultilevel"/>
    <w:tmpl w:val="CDBAE0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DC106CF"/>
    <w:multiLevelType w:val="hybridMultilevel"/>
    <w:tmpl w:val="194A8F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EDF5634"/>
    <w:multiLevelType w:val="hybridMultilevel"/>
    <w:tmpl w:val="9A6A7C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2CA379A"/>
    <w:multiLevelType w:val="hybridMultilevel"/>
    <w:tmpl w:val="7E7CFB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9953E73"/>
    <w:multiLevelType w:val="hybridMultilevel"/>
    <w:tmpl w:val="C3A420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6003560"/>
    <w:multiLevelType w:val="hybridMultilevel"/>
    <w:tmpl w:val="E670D6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6A617F0"/>
    <w:multiLevelType w:val="hybridMultilevel"/>
    <w:tmpl w:val="349A75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BD27A25"/>
    <w:multiLevelType w:val="multilevel"/>
    <w:tmpl w:val="846827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nsid w:val="7CCA2576"/>
    <w:multiLevelType w:val="hybridMultilevel"/>
    <w:tmpl w:val="C3A420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D630316"/>
    <w:multiLevelType w:val="hybridMultilevel"/>
    <w:tmpl w:val="12583B92"/>
    <w:lvl w:ilvl="0" w:tplc="BDF4F330">
      <w:start w:val="1"/>
      <w:numFmt w:val="decimal"/>
      <w:lvlText w:val="%1."/>
      <w:lvlJc w:val="left"/>
      <w:pPr>
        <w:ind w:left="360" w:hanging="360"/>
      </w:pPr>
      <w:rPr>
        <w:b/>
        <w:color w:val="365F91" w:themeColor="accent1" w:themeShade="B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4"/>
  </w:num>
  <w:num w:numId="2">
    <w:abstractNumId w:val="19"/>
  </w:num>
  <w:num w:numId="3">
    <w:abstractNumId w:val="4"/>
  </w:num>
  <w:num w:numId="4">
    <w:abstractNumId w:val="26"/>
  </w:num>
  <w:num w:numId="5">
    <w:abstractNumId w:val="6"/>
  </w:num>
  <w:num w:numId="6">
    <w:abstractNumId w:val="20"/>
  </w:num>
  <w:num w:numId="7">
    <w:abstractNumId w:val="9"/>
  </w:num>
  <w:num w:numId="8">
    <w:abstractNumId w:val="35"/>
  </w:num>
  <w:num w:numId="9">
    <w:abstractNumId w:val="32"/>
  </w:num>
  <w:num w:numId="10">
    <w:abstractNumId w:val="30"/>
  </w:num>
  <w:num w:numId="11">
    <w:abstractNumId w:val="2"/>
  </w:num>
  <w:num w:numId="12">
    <w:abstractNumId w:val="12"/>
  </w:num>
  <w:num w:numId="13">
    <w:abstractNumId w:val="17"/>
  </w:num>
  <w:num w:numId="14">
    <w:abstractNumId w:val="3"/>
  </w:num>
  <w:num w:numId="15">
    <w:abstractNumId w:val="31"/>
  </w:num>
  <w:num w:numId="16">
    <w:abstractNumId w:val="18"/>
  </w:num>
  <w:num w:numId="17">
    <w:abstractNumId w:val="29"/>
  </w:num>
  <w:num w:numId="18">
    <w:abstractNumId w:val="34"/>
  </w:num>
  <w:num w:numId="19">
    <w:abstractNumId w:val="1"/>
  </w:num>
  <w:num w:numId="20">
    <w:abstractNumId w:val="21"/>
  </w:num>
  <w:num w:numId="21">
    <w:abstractNumId w:val="14"/>
  </w:num>
  <w:num w:numId="22">
    <w:abstractNumId w:val="13"/>
  </w:num>
  <w:num w:numId="23">
    <w:abstractNumId w:val="28"/>
  </w:num>
  <w:num w:numId="24">
    <w:abstractNumId w:val="22"/>
  </w:num>
  <w:num w:numId="25">
    <w:abstractNumId w:val="8"/>
  </w:num>
  <w:num w:numId="26">
    <w:abstractNumId w:val="16"/>
  </w:num>
  <w:num w:numId="27">
    <w:abstractNumId w:val="27"/>
  </w:num>
  <w:num w:numId="28">
    <w:abstractNumId w:val="0"/>
  </w:num>
  <w:num w:numId="29">
    <w:abstractNumId w:val="5"/>
  </w:num>
  <w:num w:numId="30">
    <w:abstractNumId w:val="25"/>
  </w:num>
  <w:num w:numId="31">
    <w:abstractNumId w:val="7"/>
  </w:num>
  <w:num w:numId="32">
    <w:abstractNumId w:val="11"/>
  </w:num>
  <w:num w:numId="33">
    <w:abstractNumId w:val="33"/>
  </w:num>
  <w:num w:numId="34">
    <w:abstractNumId w:val="15"/>
  </w:num>
  <w:num w:numId="35">
    <w:abstractNumId w:val="23"/>
  </w:num>
  <w:num w:numId="36">
    <w:abstractNumId w:val="10"/>
  </w:num>
  <w:numIdMacAtCleanup w:val="36"/>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15:person w15:author="Dharani Persaud">
    <w15:presenceInfo w15:providerId="None" w15:userId="Dharani Persau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0" w:nlCheck="1" w:checkStyle="0"/>
  <w:activeWritingStyle w:appName="MSWord" w:lang="it-IT" w:vendorID="64" w:dllVersion="0" w:nlCheck="1" w:checkStyle="0"/>
  <w:activeWritingStyle w:appName="MSWord" w:lang="en-US" w:vendorID="64" w:dllVersion="131078" w:nlCheck="1" w:checkStyle="1"/>
  <w:activeWritingStyle w:appName="MSWord" w:lang="es-CO" w:vendorID="64" w:dllVersion="131078" w:nlCheck="1" w:checkStyle="1"/>
  <w:defaultTabStop w:val="720"/>
  <w:characterSpacingControl w:val="doNotCompress"/>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468"/>
    <w:rsid w:val="00000604"/>
    <w:rsid w:val="0000094F"/>
    <w:rsid w:val="000045CB"/>
    <w:rsid w:val="00006A1E"/>
    <w:rsid w:val="00012308"/>
    <w:rsid w:val="00013A03"/>
    <w:rsid w:val="00015BC3"/>
    <w:rsid w:val="000170F7"/>
    <w:rsid w:val="0002425F"/>
    <w:rsid w:val="00024DBF"/>
    <w:rsid w:val="00025253"/>
    <w:rsid w:val="000263ED"/>
    <w:rsid w:val="000264F3"/>
    <w:rsid w:val="00030456"/>
    <w:rsid w:val="00033AB3"/>
    <w:rsid w:val="00035184"/>
    <w:rsid w:val="00042305"/>
    <w:rsid w:val="00043BA4"/>
    <w:rsid w:val="00044854"/>
    <w:rsid w:val="00045CA0"/>
    <w:rsid w:val="0004643E"/>
    <w:rsid w:val="000511F2"/>
    <w:rsid w:val="00056937"/>
    <w:rsid w:val="0005733A"/>
    <w:rsid w:val="00061EBC"/>
    <w:rsid w:val="000637C3"/>
    <w:rsid w:val="000701B2"/>
    <w:rsid w:val="00071225"/>
    <w:rsid w:val="00072735"/>
    <w:rsid w:val="00076216"/>
    <w:rsid w:val="000762F0"/>
    <w:rsid w:val="0008013D"/>
    <w:rsid w:val="00082670"/>
    <w:rsid w:val="00083703"/>
    <w:rsid w:val="000863A3"/>
    <w:rsid w:val="00093E24"/>
    <w:rsid w:val="000A10BD"/>
    <w:rsid w:val="000A23DD"/>
    <w:rsid w:val="000A3705"/>
    <w:rsid w:val="000A73BD"/>
    <w:rsid w:val="000B0982"/>
    <w:rsid w:val="000B0C84"/>
    <w:rsid w:val="000B2713"/>
    <w:rsid w:val="000B32B1"/>
    <w:rsid w:val="000B4F15"/>
    <w:rsid w:val="000C2ADA"/>
    <w:rsid w:val="000C392B"/>
    <w:rsid w:val="000C3DBA"/>
    <w:rsid w:val="000C6E9B"/>
    <w:rsid w:val="000C703F"/>
    <w:rsid w:val="000D1070"/>
    <w:rsid w:val="000D2852"/>
    <w:rsid w:val="000D321E"/>
    <w:rsid w:val="000D3720"/>
    <w:rsid w:val="000D430D"/>
    <w:rsid w:val="000E0C70"/>
    <w:rsid w:val="000E154E"/>
    <w:rsid w:val="000E1AFA"/>
    <w:rsid w:val="000E2D07"/>
    <w:rsid w:val="000E5A5E"/>
    <w:rsid w:val="000E6764"/>
    <w:rsid w:val="000F73BC"/>
    <w:rsid w:val="00101027"/>
    <w:rsid w:val="00106E80"/>
    <w:rsid w:val="00107FF6"/>
    <w:rsid w:val="0011098F"/>
    <w:rsid w:val="001152C9"/>
    <w:rsid w:val="001158FB"/>
    <w:rsid w:val="0011594F"/>
    <w:rsid w:val="001170A8"/>
    <w:rsid w:val="00117118"/>
    <w:rsid w:val="001171C9"/>
    <w:rsid w:val="001222CB"/>
    <w:rsid w:val="0012305E"/>
    <w:rsid w:val="00123868"/>
    <w:rsid w:val="001243C9"/>
    <w:rsid w:val="0012548C"/>
    <w:rsid w:val="00126FFD"/>
    <w:rsid w:val="0014026A"/>
    <w:rsid w:val="00147C80"/>
    <w:rsid w:val="00152057"/>
    <w:rsid w:val="00160424"/>
    <w:rsid w:val="00163884"/>
    <w:rsid w:val="00165B20"/>
    <w:rsid w:val="00165CE7"/>
    <w:rsid w:val="001671E4"/>
    <w:rsid w:val="0017102D"/>
    <w:rsid w:val="001710F4"/>
    <w:rsid w:val="001716C5"/>
    <w:rsid w:val="00172454"/>
    <w:rsid w:val="001738B4"/>
    <w:rsid w:val="0017483B"/>
    <w:rsid w:val="0018176B"/>
    <w:rsid w:val="00181DB3"/>
    <w:rsid w:val="001821F4"/>
    <w:rsid w:val="00183F82"/>
    <w:rsid w:val="0018546E"/>
    <w:rsid w:val="0018684B"/>
    <w:rsid w:val="001904F9"/>
    <w:rsid w:val="00192F49"/>
    <w:rsid w:val="0019793C"/>
    <w:rsid w:val="00197F89"/>
    <w:rsid w:val="001A05CA"/>
    <w:rsid w:val="001A25D0"/>
    <w:rsid w:val="001A4985"/>
    <w:rsid w:val="001A4A42"/>
    <w:rsid w:val="001A5018"/>
    <w:rsid w:val="001A501C"/>
    <w:rsid w:val="001A5D73"/>
    <w:rsid w:val="001A68C1"/>
    <w:rsid w:val="001B3C30"/>
    <w:rsid w:val="001B40DD"/>
    <w:rsid w:val="001B51B7"/>
    <w:rsid w:val="001B771C"/>
    <w:rsid w:val="001C1AEE"/>
    <w:rsid w:val="001C4527"/>
    <w:rsid w:val="001C56DB"/>
    <w:rsid w:val="001C6873"/>
    <w:rsid w:val="001C6877"/>
    <w:rsid w:val="001C6DDF"/>
    <w:rsid w:val="001D69C5"/>
    <w:rsid w:val="001D7776"/>
    <w:rsid w:val="001D7843"/>
    <w:rsid w:val="001D790C"/>
    <w:rsid w:val="001E0983"/>
    <w:rsid w:val="001E4C25"/>
    <w:rsid w:val="001E6360"/>
    <w:rsid w:val="001E6836"/>
    <w:rsid w:val="001F5B89"/>
    <w:rsid w:val="002017BD"/>
    <w:rsid w:val="00204030"/>
    <w:rsid w:val="00207CF9"/>
    <w:rsid w:val="00212576"/>
    <w:rsid w:val="002125FF"/>
    <w:rsid w:val="00213266"/>
    <w:rsid w:val="0021450A"/>
    <w:rsid w:val="002156C7"/>
    <w:rsid w:val="002206D2"/>
    <w:rsid w:val="00221BA0"/>
    <w:rsid w:val="002223D0"/>
    <w:rsid w:val="002262F7"/>
    <w:rsid w:val="00234773"/>
    <w:rsid w:val="002355FF"/>
    <w:rsid w:val="00242422"/>
    <w:rsid w:val="002438CD"/>
    <w:rsid w:val="00245435"/>
    <w:rsid w:val="00246D1F"/>
    <w:rsid w:val="002478D7"/>
    <w:rsid w:val="002539AF"/>
    <w:rsid w:val="002550C8"/>
    <w:rsid w:val="0025521A"/>
    <w:rsid w:val="00257908"/>
    <w:rsid w:val="0026073E"/>
    <w:rsid w:val="00262EC5"/>
    <w:rsid w:val="002634E9"/>
    <w:rsid w:val="00263D74"/>
    <w:rsid w:val="002667C6"/>
    <w:rsid w:val="002721E9"/>
    <w:rsid w:val="00275A5C"/>
    <w:rsid w:val="002775A1"/>
    <w:rsid w:val="002825BB"/>
    <w:rsid w:val="002932B6"/>
    <w:rsid w:val="00293C32"/>
    <w:rsid w:val="00294445"/>
    <w:rsid w:val="002A0989"/>
    <w:rsid w:val="002A2FC0"/>
    <w:rsid w:val="002A4291"/>
    <w:rsid w:val="002A4FD7"/>
    <w:rsid w:val="002B2E0A"/>
    <w:rsid w:val="002B3A44"/>
    <w:rsid w:val="002D194E"/>
    <w:rsid w:val="002D1F4A"/>
    <w:rsid w:val="002D5B02"/>
    <w:rsid w:val="002D759D"/>
    <w:rsid w:val="002E2D05"/>
    <w:rsid w:val="002E37A1"/>
    <w:rsid w:val="002E44A6"/>
    <w:rsid w:val="002F37D1"/>
    <w:rsid w:val="00300337"/>
    <w:rsid w:val="00300347"/>
    <w:rsid w:val="003016EE"/>
    <w:rsid w:val="00304F0D"/>
    <w:rsid w:val="00305B85"/>
    <w:rsid w:val="00306690"/>
    <w:rsid w:val="00310021"/>
    <w:rsid w:val="0031151E"/>
    <w:rsid w:val="00312DB8"/>
    <w:rsid w:val="003133DA"/>
    <w:rsid w:val="00314435"/>
    <w:rsid w:val="00316B12"/>
    <w:rsid w:val="0032044A"/>
    <w:rsid w:val="00322AF8"/>
    <w:rsid w:val="0033297F"/>
    <w:rsid w:val="00335AB1"/>
    <w:rsid w:val="00335E15"/>
    <w:rsid w:val="003372F4"/>
    <w:rsid w:val="003430EC"/>
    <w:rsid w:val="00343416"/>
    <w:rsid w:val="00343712"/>
    <w:rsid w:val="00345686"/>
    <w:rsid w:val="00346DA5"/>
    <w:rsid w:val="0035278E"/>
    <w:rsid w:val="00354DAF"/>
    <w:rsid w:val="00365F80"/>
    <w:rsid w:val="003663ED"/>
    <w:rsid w:val="00367096"/>
    <w:rsid w:val="00370452"/>
    <w:rsid w:val="00370BE2"/>
    <w:rsid w:val="00370E9C"/>
    <w:rsid w:val="0037151C"/>
    <w:rsid w:val="00376640"/>
    <w:rsid w:val="00376682"/>
    <w:rsid w:val="00381E4A"/>
    <w:rsid w:val="0038780B"/>
    <w:rsid w:val="00390788"/>
    <w:rsid w:val="00392519"/>
    <w:rsid w:val="00397548"/>
    <w:rsid w:val="003A2356"/>
    <w:rsid w:val="003A57D8"/>
    <w:rsid w:val="003A7335"/>
    <w:rsid w:val="003B2E04"/>
    <w:rsid w:val="003B48A9"/>
    <w:rsid w:val="003C1A45"/>
    <w:rsid w:val="003C390A"/>
    <w:rsid w:val="003C4D49"/>
    <w:rsid w:val="003C7438"/>
    <w:rsid w:val="003D28B1"/>
    <w:rsid w:val="003D4C2D"/>
    <w:rsid w:val="003D4EDB"/>
    <w:rsid w:val="003D4EF0"/>
    <w:rsid w:val="003E1682"/>
    <w:rsid w:val="003E2090"/>
    <w:rsid w:val="003E6AA1"/>
    <w:rsid w:val="003F544F"/>
    <w:rsid w:val="00400468"/>
    <w:rsid w:val="00400AE1"/>
    <w:rsid w:val="0040378E"/>
    <w:rsid w:val="00404442"/>
    <w:rsid w:val="004071C8"/>
    <w:rsid w:val="00410C6B"/>
    <w:rsid w:val="00411EA7"/>
    <w:rsid w:val="00411ECA"/>
    <w:rsid w:val="00412236"/>
    <w:rsid w:val="0041555F"/>
    <w:rsid w:val="00417351"/>
    <w:rsid w:val="004209C9"/>
    <w:rsid w:val="00420E6B"/>
    <w:rsid w:val="00421ECC"/>
    <w:rsid w:val="00431D91"/>
    <w:rsid w:val="00435451"/>
    <w:rsid w:val="00437718"/>
    <w:rsid w:val="00441E14"/>
    <w:rsid w:val="00446F40"/>
    <w:rsid w:val="00451A77"/>
    <w:rsid w:val="00453867"/>
    <w:rsid w:val="00454B8C"/>
    <w:rsid w:val="00457F0F"/>
    <w:rsid w:val="00467ECB"/>
    <w:rsid w:val="00471750"/>
    <w:rsid w:val="004733DF"/>
    <w:rsid w:val="00473EC6"/>
    <w:rsid w:val="00476B4B"/>
    <w:rsid w:val="00480249"/>
    <w:rsid w:val="004831C5"/>
    <w:rsid w:val="004845EF"/>
    <w:rsid w:val="004913E5"/>
    <w:rsid w:val="00491A6B"/>
    <w:rsid w:val="00495C0F"/>
    <w:rsid w:val="00495D66"/>
    <w:rsid w:val="00495D9F"/>
    <w:rsid w:val="00496200"/>
    <w:rsid w:val="004963CC"/>
    <w:rsid w:val="004964E3"/>
    <w:rsid w:val="00497BF5"/>
    <w:rsid w:val="00497C1D"/>
    <w:rsid w:val="004A0403"/>
    <w:rsid w:val="004A043E"/>
    <w:rsid w:val="004A230A"/>
    <w:rsid w:val="004A47C9"/>
    <w:rsid w:val="004A4C86"/>
    <w:rsid w:val="004B028D"/>
    <w:rsid w:val="004B1CAE"/>
    <w:rsid w:val="004B3725"/>
    <w:rsid w:val="004B7808"/>
    <w:rsid w:val="004C05D1"/>
    <w:rsid w:val="004C6ED3"/>
    <w:rsid w:val="004D08AA"/>
    <w:rsid w:val="004D497B"/>
    <w:rsid w:val="004D7262"/>
    <w:rsid w:val="004E0D48"/>
    <w:rsid w:val="004E4A6F"/>
    <w:rsid w:val="004E6B4B"/>
    <w:rsid w:val="004E7AF6"/>
    <w:rsid w:val="004E7E0B"/>
    <w:rsid w:val="004F2BEC"/>
    <w:rsid w:val="004F3DFB"/>
    <w:rsid w:val="004F4A8E"/>
    <w:rsid w:val="005007ED"/>
    <w:rsid w:val="0050186B"/>
    <w:rsid w:val="00510B28"/>
    <w:rsid w:val="00511088"/>
    <w:rsid w:val="00516203"/>
    <w:rsid w:val="0052092D"/>
    <w:rsid w:val="005212DA"/>
    <w:rsid w:val="00525DA7"/>
    <w:rsid w:val="00532F4B"/>
    <w:rsid w:val="00533C1A"/>
    <w:rsid w:val="00533D09"/>
    <w:rsid w:val="005351BC"/>
    <w:rsid w:val="00540E2A"/>
    <w:rsid w:val="005430B5"/>
    <w:rsid w:val="00543EE8"/>
    <w:rsid w:val="0054496E"/>
    <w:rsid w:val="005463A9"/>
    <w:rsid w:val="00551BAF"/>
    <w:rsid w:val="00557064"/>
    <w:rsid w:val="00557A54"/>
    <w:rsid w:val="005605C9"/>
    <w:rsid w:val="00573680"/>
    <w:rsid w:val="00573F0C"/>
    <w:rsid w:val="00576CFE"/>
    <w:rsid w:val="00580506"/>
    <w:rsid w:val="00581A39"/>
    <w:rsid w:val="00586742"/>
    <w:rsid w:val="00587ADD"/>
    <w:rsid w:val="0059070D"/>
    <w:rsid w:val="00592F48"/>
    <w:rsid w:val="0059635C"/>
    <w:rsid w:val="005A07CA"/>
    <w:rsid w:val="005A10E5"/>
    <w:rsid w:val="005A49CA"/>
    <w:rsid w:val="005A52B9"/>
    <w:rsid w:val="005B1EF6"/>
    <w:rsid w:val="005B701F"/>
    <w:rsid w:val="005C22F1"/>
    <w:rsid w:val="005D63CC"/>
    <w:rsid w:val="005D7844"/>
    <w:rsid w:val="005E13AB"/>
    <w:rsid w:val="005E28E9"/>
    <w:rsid w:val="005E45A9"/>
    <w:rsid w:val="005E56CD"/>
    <w:rsid w:val="005E7C6F"/>
    <w:rsid w:val="005F4C44"/>
    <w:rsid w:val="005F6CF5"/>
    <w:rsid w:val="005F7147"/>
    <w:rsid w:val="00604271"/>
    <w:rsid w:val="00604A7B"/>
    <w:rsid w:val="006116C6"/>
    <w:rsid w:val="0061191B"/>
    <w:rsid w:val="006141F0"/>
    <w:rsid w:val="00615B28"/>
    <w:rsid w:val="006226C5"/>
    <w:rsid w:val="00623437"/>
    <w:rsid w:val="00623992"/>
    <w:rsid w:val="00625DB5"/>
    <w:rsid w:val="00627420"/>
    <w:rsid w:val="00631090"/>
    <w:rsid w:val="00633FD6"/>
    <w:rsid w:val="00635992"/>
    <w:rsid w:val="006404BB"/>
    <w:rsid w:val="006409E8"/>
    <w:rsid w:val="00641759"/>
    <w:rsid w:val="00643D4F"/>
    <w:rsid w:val="00646ACE"/>
    <w:rsid w:val="00650EDE"/>
    <w:rsid w:val="006533EB"/>
    <w:rsid w:val="00655321"/>
    <w:rsid w:val="00657296"/>
    <w:rsid w:val="00657525"/>
    <w:rsid w:val="00663DCE"/>
    <w:rsid w:val="0066695A"/>
    <w:rsid w:val="00672347"/>
    <w:rsid w:val="00674F57"/>
    <w:rsid w:val="00675DD3"/>
    <w:rsid w:val="00676BE9"/>
    <w:rsid w:val="00680CDC"/>
    <w:rsid w:val="0068217E"/>
    <w:rsid w:val="00685FBA"/>
    <w:rsid w:val="006901B3"/>
    <w:rsid w:val="00692E0F"/>
    <w:rsid w:val="006938A4"/>
    <w:rsid w:val="0069596A"/>
    <w:rsid w:val="006A00FD"/>
    <w:rsid w:val="006A0C98"/>
    <w:rsid w:val="006A12A0"/>
    <w:rsid w:val="006B6BE9"/>
    <w:rsid w:val="006B6DCE"/>
    <w:rsid w:val="006B781B"/>
    <w:rsid w:val="006C0289"/>
    <w:rsid w:val="006C6AF7"/>
    <w:rsid w:val="006C71B4"/>
    <w:rsid w:val="006C72B5"/>
    <w:rsid w:val="006D2326"/>
    <w:rsid w:val="006D2586"/>
    <w:rsid w:val="006D6D40"/>
    <w:rsid w:val="006E1972"/>
    <w:rsid w:val="006E385A"/>
    <w:rsid w:val="006E5A77"/>
    <w:rsid w:val="006F1D3E"/>
    <w:rsid w:val="006F2D9E"/>
    <w:rsid w:val="006F5B08"/>
    <w:rsid w:val="006F66DB"/>
    <w:rsid w:val="00701DC7"/>
    <w:rsid w:val="0071016E"/>
    <w:rsid w:val="007108B6"/>
    <w:rsid w:val="00710ECE"/>
    <w:rsid w:val="00712923"/>
    <w:rsid w:val="0071600C"/>
    <w:rsid w:val="0071692C"/>
    <w:rsid w:val="0072112D"/>
    <w:rsid w:val="00727070"/>
    <w:rsid w:val="0073094A"/>
    <w:rsid w:val="0073159E"/>
    <w:rsid w:val="007321FD"/>
    <w:rsid w:val="00737BDC"/>
    <w:rsid w:val="007427D8"/>
    <w:rsid w:val="007471A5"/>
    <w:rsid w:val="007503A8"/>
    <w:rsid w:val="00750B2F"/>
    <w:rsid w:val="0075178D"/>
    <w:rsid w:val="007579CF"/>
    <w:rsid w:val="00760926"/>
    <w:rsid w:val="007625ED"/>
    <w:rsid w:val="00763100"/>
    <w:rsid w:val="00763DD1"/>
    <w:rsid w:val="00763E83"/>
    <w:rsid w:val="00766FEC"/>
    <w:rsid w:val="00771606"/>
    <w:rsid w:val="007736EB"/>
    <w:rsid w:val="0077615F"/>
    <w:rsid w:val="00776B04"/>
    <w:rsid w:val="007810C7"/>
    <w:rsid w:val="007826B3"/>
    <w:rsid w:val="00791D3E"/>
    <w:rsid w:val="007A048B"/>
    <w:rsid w:val="007A0DED"/>
    <w:rsid w:val="007A13AC"/>
    <w:rsid w:val="007A61A7"/>
    <w:rsid w:val="007B5B2F"/>
    <w:rsid w:val="007C1EDE"/>
    <w:rsid w:val="007D4622"/>
    <w:rsid w:val="007E34F0"/>
    <w:rsid w:val="007E4ABF"/>
    <w:rsid w:val="007E50F3"/>
    <w:rsid w:val="007E54A8"/>
    <w:rsid w:val="007E59AA"/>
    <w:rsid w:val="007E6460"/>
    <w:rsid w:val="007E7547"/>
    <w:rsid w:val="007F2B55"/>
    <w:rsid w:val="007F34BD"/>
    <w:rsid w:val="007F6F89"/>
    <w:rsid w:val="007F73F0"/>
    <w:rsid w:val="00804DE4"/>
    <w:rsid w:val="008054E0"/>
    <w:rsid w:val="008057D9"/>
    <w:rsid w:val="0081005E"/>
    <w:rsid w:val="00810BCD"/>
    <w:rsid w:val="008159A7"/>
    <w:rsid w:val="00816E6F"/>
    <w:rsid w:val="00821074"/>
    <w:rsid w:val="0082348E"/>
    <w:rsid w:val="00824598"/>
    <w:rsid w:val="00826896"/>
    <w:rsid w:val="00830526"/>
    <w:rsid w:val="008307CD"/>
    <w:rsid w:val="00832B22"/>
    <w:rsid w:val="00837DFE"/>
    <w:rsid w:val="00840CFE"/>
    <w:rsid w:val="008411F0"/>
    <w:rsid w:val="00841892"/>
    <w:rsid w:val="00843531"/>
    <w:rsid w:val="00843A37"/>
    <w:rsid w:val="00844427"/>
    <w:rsid w:val="008450E3"/>
    <w:rsid w:val="008472DE"/>
    <w:rsid w:val="00851126"/>
    <w:rsid w:val="008511B3"/>
    <w:rsid w:val="008528EE"/>
    <w:rsid w:val="00856307"/>
    <w:rsid w:val="00862B9A"/>
    <w:rsid w:val="00865EDF"/>
    <w:rsid w:val="00866294"/>
    <w:rsid w:val="00867184"/>
    <w:rsid w:val="0087116D"/>
    <w:rsid w:val="00872175"/>
    <w:rsid w:val="00884325"/>
    <w:rsid w:val="00884755"/>
    <w:rsid w:val="00886124"/>
    <w:rsid w:val="0088680E"/>
    <w:rsid w:val="00887A95"/>
    <w:rsid w:val="00892097"/>
    <w:rsid w:val="00892706"/>
    <w:rsid w:val="00893F8B"/>
    <w:rsid w:val="00896253"/>
    <w:rsid w:val="008A2548"/>
    <w:rsid w:val="008A47DE"/>
    <w:rsid w:val="008A56E6"/>
    <w:rsid w:val="008A71C8"/>
    <w:rsid w:val="008B0634"/>
    <w:rsid w:val="008B2CED"/>
    <w:rsid w:val="008B43E4"/>
    <w:rsid w:val="008C0E56"/>
    <w:rsid w:val="008C1843"/>
    <w:rsid w:val="008C4965"/>
    <w:rsid w:val="008D220E"/>
    <w:rsid w:val="008D418E"/>
    <w:rsid w:val="008D4422"/>
    <w:rsid w:val="008D6D37"/>
    <w:rsid w:val="008E0F2E"/>
    <w:rsid w:val="008E3B5C"/>
    <w:rsid w:val="008E5EA7"/>
    <w:rsid w:val="008E5F2E"/>
    <w:rsid w:val="008E6D16"/>
    <w:rsid w:val="008E6D26"/>
    <w:rsid w:val="008E79F1"/>
    <w:rsid w:val="008F403D"/>
    <w:rsid w:val="008F6770"/>
    <w:rsid w:val="008F733A"/>
    <w:rsid w:val="00900A27"/>
    <w:rsid w:val="0090312A"/>
    <w:rsid w:val="0090490F"/>
    <w:rsid w:val="0090508C"/>
    <w:rsid w:val="009076E1"/>
    <w:rsid w:val="00907872"/>
    <w:rsid w:val="009210C8"/>
    <w:rsid w:val="009224C4"/>
    <w:rsid w:val="009231BF"/>
    <w:rsid w:val="00923871"/>
    <w:rsid w:val="009258EA"/>
    <w:rsid w:val="00926B60"/>
    <w:rsid w:val="009300E4"/>
    <w:rsid w:val="009307F8"/>
    <w:rsid w:val="009344AC"/>
    <w:rsid w:val="0094008B"/>
    <w:rsid w:val="00941C32"/>
    <w:rsid w:val="00941CD4"/>
    <w:rsid w:val="009454B1"/>
    <w:rsid w:val="00945993"/>
    <w:rsid w:val="009471ED"/>
    <w:rsid w:val="009505C1"/>
    <w:rsid w:val="00950824"/>
    <w:rsid w:val="009510FA"/>
    <w:rsid w:val="009512A5"/>
    <w:rsid w:val="00952F0F"/>
    <w:rsid w:val="00954453"/>
    <w:rsid w:val="00961938"/>
    <w:rsid w:val="009619C1"/>
    <w:rsid w:val="00961B5D"/>
    <w:rsid w:val="00962711"/>
    <w:rsid w:val="009662F1"/>
    <w:rsid w:val="00966B6A"/>
    <w:rsid w:val="00970088"/>
    <w:rsid w:val="00970A0A"/>
    <w:rsid w:val="00973A94"/>
    <w:rsid w:val="00983FF1"/>
    <w:rsid w:val="009846DC"/>
    <w:rsid w:val="009910B3"/>
    <w:rsid w:val="00991A51"/>
    <w:rsid w:val="00992056"/>
    <w:rsid w:val="00994175"/>
    <w:rsid w:val="009A1508"/>
    <w:rsid w:val="009A4A4B"/>
    <w:rsid w:val="009A59CA"/>
    <w:rsid w:val="009A6CC8"/>
    <w:rsid w:val="009B2188"/>
    <w:rsid w:val="009B796D"/>
    <w:rsid w:val="009C15FA"/>
    <w:rsid w:val="009C1604"/>
    <w:rsid w:val="009C41D2"/>
    <w:rsid w:val="009C5594"/>
    <w:rsid w:val="009C61FC"/>
    <w:rsid w:val="009D2DE4"/>
    <w:rsid w:val="009D5AC3"/>
    <w:rsid w:val="009D5C1B"/>
    <w:rsid w:val="009D6276"/>
    <w:rsid w:val="009E04E4"/>
    <w:rsid w:val="009E4399"/>
    <w:rsid w:val="009E4F82"/>
    <w:rsid w:val="009F6A54"/>
    <w:rsid w:val="009F7E7F"/>
    <w:rsid w:val="00A00EE9"/>
    <w:rsid w:val="00A027D4"/>
    <w:rsid w:val="00A02DF6"/>
    <w:rsid w:val="00A030B6"/>
    <w:rsid w:val="00A044E7"/>
    <w:rsid w:val="00A05C97"/>
    <w:rsid w:val="00A06381"/>
    <w:rsid w:val="00A07650"/>
    <w:rsid w:val="00A117DF"/>
    <w:rsid w:val="00A1276B"/>
    <w:rsid w:val="00A141F3"/>
    <w:rsid w:val="00A155A6"/>
    <w:rsid w:val="00A169AC"/>
    <w:rsid w:val="00A17FD2"/>
    <w:rsid w:val="00A20EC7"/>
    <w:rsid w:val="00A210E3"/>
    <w:rsid w:val="00A21774"/>
    <w:rsid w:val="00A2496E"/>
    <w:rsid w:val="00A24C31"/>
    <w:rsid w:val="00A27B98"/>
    <w:rsid w:val="00A32502"/>
    <w:rsid w:val="00A348E3"/>
    <w:rsid w:val="00A34ACA"/>
    <w:rsid w:val="00A40DCF"/>
    <w:rsid w:val="00A46185"/>
    <w:rsid w:val="00A53803"/>
    <w:rsid w:val="00A55FF4"/>
    <w:rsid w:val="00A6026D"/>
    <w:rsid w:val="00A6527B"/>
    <w:rsid w:val="00A6673E"/>
    <w:rsid w:val="00A66821"/>
    <w:rsid w:val="00A715AF"/>
    <w:rsid w:val="00A7198C"/>
    <w:rsid w:val="00A72E38"/>
    <w:rsid w:val="00A819D3"/>
    <w:rsid w:val="00A8299A"/>
    <w:rsid w:val="00A8483E"/>
    <w:rsid w:val="00A87766"/>
    <w:rsid w:val="00AA0B2F"/>
    <w:rsid w:val="00AA121F"/>
    <w:rsid w:val="00AA15D1"/>
    <w:rsid w:val="00AA19D0"/>
    <w:rsid w:val="00AA245D"/>
    <w:rsid w:val="00AA3486"/>
    <w:rsid w:val="00AB41C1"/>
    <w:rsid w:val="00AB4728"/>
    <w:rsid w:val="00AC20A8"/>
    <w:rsid w:val="00AC4930"/>
    <w:rsid w:val="00AC5422"/>
    <w:rsid w:val="00AC6954"/>
    <w:rsid w:val="00AC6B8F"/>
    <w:rsid w:val="00AC7202"/>
    <w:rsid w:val="00AD2C92"/>
    <w:rsid w:val="00AD3491"/>
    <w:rsid w:val="00AD710C"/>
    <w:rsid w:val="00AE24F2"/>
    <w:rsid w:val="00AE4965"/>
    <w:rsid w:val="00AE516D"/>
    <w:rsid w:val="00AF638F"/>
    <w:rsid w:val="00B0476C"/>
    <w:rsid w:val="00B06C57"/>
    <w:rsid w:val="00B10023"/>
    <w:rsid w:val="00B11139"/>
    <w:rsid w:val="00B15877"/>
    <w:rsid w:val="00B15C38"/>
    <w:rsid w:val="00B17BF1"/>
    <w:rsid w:val="00B226ED"/>
    <w:rsid w:val="00B344FA"/>
    <w:rsid w:val="00B355A7"/>
    <w:rsid w:val="00B422C6"/>
    <w:rsid w:val="00B42FB2"/>
    <w:rsid w:val="00B43C3B"/>
    <w:rsid w:val="00B440DB"/>
    <w:rsid w:val="00B45C50"/>
    <w:rsid w:val="00B46ECE"/>
    <w:rsid w:val="00B54CA5"/>
    <w:rsid w:val="00B55000"/>
    <w:rsid w:val="00B60838"/>
    <w:rsid w:val="00B7283D"/>
    <w:rsid w:val="00B76BC1"/>
    <w:rsid w:val="00B770AA"/>
    <w:rsid w:val="00B801C0"/>
    <w:rsid w:val="00B8328E"/>
    <w:rsid w:val="00B85205"/>
    <w:rsid w:val="00B90AA2"/>
    <w:rsid w:val="00B95A90"/>
    <w:rsid w:val="00B9618F"/>
    <w:rsid w:val="00BA0679"/>
    <w:rsid w:val="00BA10B8"/>
    <w:rsid w:val="00BA4D6C"/>
    <w:rsid w:val="00BA7E86"/>
    <w:rsid w:val="00BB06A6"/>
    <w:rsid w:val="00BB2B2D"/>
    <w:rsid w:val="00BB4759"/>
    <w:rsid w:val="00BC30CF"/>
    <w:rsid w:val="00BD05DE"/>
    <w:rsid w:val="00BD38F6"/>
    <w:rsid w:val="00BE3894"/>
    <w:rsid w:val="00BE6AE0"/>
    <w:rsid w:val="00BE7136"/>
    <w:rsid w:val="00BE73E5"/>
    <w:rsid w:val="00BE7909"/>
    <w:rsid w:val="00BF51BA"/>
    <w:rsid w:val="00BF6294"/>
    <w:rsid w:val="00BF6B59"/>
    <w:rsid w:val="00C00447"/>
    <w:rsid w:val="00C0119B"/>
    <w:rsid w:val="00C015FF"/>
    <w:rsid w:val="00C06F39"/>
    <w:rsid w:val="00C155BB"/>
    <w:rsid w:val="00C161D4"/>
    <w:rsid w:val="00C23BEB"/>
    <w:rsid w:val="00C27A34"/>
    <w:rsid w:val="00C336B3"/>
    <w:rsid w:val="00C33A87"/>
    <w:rsid w:val="00C35571"/>
    <w:rsid w:val="00C36051"/>
    <w:rsid w:val="00C40C26"/>
    <w:rsid w:val="00C4599E"/>
    <w:rsid w:val="00C517BD"/>
    <w:rsid w:val="00C523CB"/>
    <w:rsid w:val="00C55105"/>
    <w:rsid w:val="00C556E7"/>
    <w:rsid w:val="00C57A42"/>
    <w:rsid w:val="00C62E00"/>
    <w:rsid w:val="00C64403"/>
    <w:rsid w:val="00C64411"/>
    <w:rsid w:val="00C64EFD"/>
    <w:rsid w:val="00C6564A"/>
    <w:rsid w:val="00C7120B"/>
    <w:rsid w:val="00C719E1"/>
    <w:rsid w:val="00C72B66"/>
    <w:rsid w:val="00C84528"/>
    <w:rsid w:val="00C84E4E"/>
    <w:rsid w:val="00C8686D"/>
    <w:rsid w:val="00C871AE"/>
    <w:rsid w:val="00C9267D"/>
    <w:rsid w:val="00C939FB"/>
    <w:rsid w:val="00C93A16"/>
    <w:rsid w:val="00C946D2"/>
    <w:rsid w:val="00CA06F3"/>
    <w:rsid w:val="00CA634C"/>
    <w:rsid w:val="00CB053A"/>
    <w:rsid w:val="00CC0FE4"/>
    <w:rsid w:val="00CC22B0"/>
    <w:rsid w:val="00CC4ACA"/>
    <w:rsid w:val="00CC79B6"/>
    <w:rsid w:val="00CD204D"/>
    <w:rsid w:val="00CE1510"/>
    <w:rsid w:val="00CE23E5"/>
    <w:rsid w:val="00CE5186"/>
    <w:rsid w:val="00CF217F"/>
    <w:rsid w:val="00CF6509"/>
    <w:rsid w:val="00D00896"/>
    <w:rsid w:val="00D01874"/>
    <w:rsid w:val="00D01B7B"/>
    <w:rsid w:val="00D01BDC"/>
    <w:rsid w:val="00D047A0"/>
    <w:rsid w:val="00D06999"/>
    <w:rsid w:val="00D06E2C"/>
    <w:rsid w:val="00D07DBD"/>
    <w:rsid w:val="00D10D28"/>
    <w:rsid w:val="00D13393"/>
    <w:rsid w:val="00D153E8"/>
    <w:rsid w:val="00D16FD3"/>
    <w:rsid w:val="00D20FAC"/>
    <w:rsid w:val="00D21276"/>
    <w:rsid w:val="00D22227"/>
    <w:rsid w:val="00D22BAE"/>
    <w:rsid w:val="00D23AB6"/>
    <w:rsid w:val="00D246E8"/>
    <w:rsid w:val="00D252B7"/>
    <w:rsid w:val="00D258B4"/>
    <w:rsid w:val="00D31C14"/>
    <w:rsid w:val="00D32A8F"/>
    <w:rsid w:val="00D37342"/>
    <w:rsid w:val="00D374E7"/>
    <w:rsid w:val="00D422B2"/>
    <w:rsid w:val="00D46E35"/>
    <w:rsid w:val="00D505C1"/>
    <w:rsid w:val="00D553EC"/>
    <w:rsid w:val="00D55968"/>
    <w:rsid w:val="00D622BA"/>
    <w:rsid w:val="00D62848"/>
    <w:rsid w:val="00D738B4"/>
    <w:rsid w:val="00D74A61"/>
    <w:rsid w:val="00D768EC"/>
    <w:rsid w:val="00D80888"/>
    <w:rsid w:val="00D85C1F"/>
    <w:rsid w:val="00D8610A"/>
    <w:rsid w:val="00D92135"/>
    <w:rsid w:val="00D92921"/>
    <w:rsid w:val="00D97D1C"/>
    <w:rsid w:val="00DA39C6"/>
    <w:rsid w:val="00DA72A9"/>
    <w:rsid w:val="00DB56FD"/>
    <w:rsid w:val="00DC01B6"/>
    <w:rsid w:val="00DC0294"/>
    <w:rsid w:val="00DC448F"/>
    <w:rsid w:val="00DC6379"/>
    <w:rsid w:val="00DD029A"/>
    <w:rsid w:val="00DD1F89"/>
    <w:rsid w:val="00DD27E1"/>
    <w:rsid w:val="00DD42A5"/>
    <w:rsid w:val="00DD4D48"/>
    <w:rsid w:val="00DD704C"/>
    <w:rsid w:val="00DE30A9"/>
    <w:rsid w:val="00DE394C"/>
    <w:rsid w:val="00DE3C40"/>
    <w:rsid w:val="00DE48EB"/>
    <w:rsid w:val="00DF024A"/>
    <w:rsid w:val="00DF1E0A"/>
    <w:rsid w:val="00DF2688"/>
    <w:rsid w:val="00DF3F46"/>
    <w:rsid w:val="00DF5300"/>
    <w:rsid w:val="00E00FF8"/>
    <w:rsid w:val="00E04D82"/>
    <w:rsid w:val="00E05DE6"/>
    <w:rsid w:val="00E06353"/>
    <w:rsid w:val="00E06F70"/>
    <w:rsid w:val="00E077DF"/>
    <w:rsid w:val="00E10B73"/>
    <w:rsid w:val="00E1394D"/>
    <w:rsid w:val="00E156B1"/>
    <w:rsid w:val="00E179E0"/>
    <w:rsid w:val="00E22499"/>
    <w:rsid w:val="00E233AB"/>
    <w:rsid w:val="00E316E8"/>
    <w:rsid w:val="00E31A98"/>
    <w:rsid w:val="00E32B91"/>
    <w:rsid w:val="00E3535A"/>
    <w:rsid w:val="00E376AC"/>
    <w:rsid w:val="00E4071D"/>
    <w:rsid w:val="00E40F27"/>
    <w:rsid w:val="00E41F83"/>
    <w:rsid w:val="00E43945"/>
    <w:rsid w:val="00E45684"/>
    <w:rsid w:val="00E456D0"/>
    <w:rsid w:val="00E463CE"/>
    <w:rsid w:val="00E47388"/>
    <w:rsid w:val="00E47776"/>
    <w:rsid w:val="00E50173"/>
    <w:rsid w:val="00E517A5"/>
    <w:rsid w:val="00E71974"/>
    <w:rsid w:val="00E7214E"/>
    <w:rsid w:val="00E730EF"/>
    <w:rsid w:val="00E73480"/>
    <w:rsid w:val="00E74EC8"/>
    <w:rsid w:val="00E74FD6"/>
    <w:rsid w:val="00E8222F"/>
    <w:rsid w:val="00E85950"/>
    <w:rsid w:val="00E87F71"/>
    <w:rsid w:val="00E90686"/>
    <w:rsid w:val="00E91177"/>
    <w:rsid w:val="00E93394"/>
    <w:rsid w:val="00E95CEF"/>
    <w:rsid w:val="00E96C0A"/>
    <w:rsid w:val="00E97414"/>
    <w:rsid w:val="00EA2DB8"/>
    <w:rsid w:val="00EA38BE"/>
    <w:rsid w:val="00EA3923"/>
    <w:rsid w:val="00EA3A9C"/>
    <w:rsid w:val="00EA6D49"/>
    <w:rsid w:val="00EB09DD"/>
    <w:rsid w:val="00EB1A0A"/>
    <w:rsid w:val="00EB2689"/>
    <w:rsid w:val="00EB2F4B"/>
    <w:rsid w:val="00EB547D"/>
    <w:rsid w:val="00EB6504"/>
    <w:rsid w:val="00EB6F09"/>
    <w:rsid w:val="00EC1185"/>
    <w:rsid w:val="00EC4314"/>
    <w:rsid w:val="00EC50AC"/>
    <w:rsid w:val="00EC795D"/>
    <w:rsid w:val="00ED04AF"/>
    <w:rsid w:val="00ED0E1F"/>
    <w:rsid w:val="00ED1B5A"/>
    <w:rsid w:val="00ED2134"/>
    <w:rsid w:val="00ED2A19"/>
    <w:rsid w:val="00ED7524"/>
    <w:rsid w:val="00EE3900"/>
    <w:rsid w:val="00EE5094"/>
    <w:rsid w:val="00EE5A1E"/>
    <w:rsid w:val="00EE5D2B"/>
    <w:rsid w:val="00EF532A"/>
    <w:rsid w:val="00EF564B"/>
    <w:rsid w:val="00EF6D34"/>
    <w:rsid w:val="00F00603"/>
    <w:rsid w:val="00F00EAF"/>
    <w:rsid w:val="00F01748"/>
    <w:rsid w:val="00F0190E"/>
    <w:rsid w:val="00F053A8"/>
    <w:rsid w:val="00F10805"/>
    <w:rsid w:val="00F115F6"/>
    <w:rsid w:val="00F137A6"/>
    <w:rsid w:val="00F14262"/>
    <w:rsid w:val="00F15508"/>
    <w:rsid w:val="00F159C0"/>
    <w:rsid w:val="00F22C72"/>
    <w:rsid w:val="00F2464F"/>
    <w:rsid w:val="00F25BA7"/>
    <w:rsid w:val="00F2747A"/>
    <w:rsid w:val="00F30878"/>
    <w:rsid w:val="00F3567A"/>
    <w:rsid w:val="00F36E46"/>
    <w:rsid w:val="00F37159"/>
    <w:rsid w:val="00F37FB7"/>
    <w:rsid w:val="00F408C8"/>
    <w:rsid w:val="00F433F5"/>
    <w:rsid w:val="00F465B3"/>
    <w:rsid w:val="00F4671B"/>
    <w:rsid w:val="00F50C50"/>
    <w:rsid w:val="00F5279C"/>
    <w:rsid w:val="00F532D2"/>
    <w:rsid w:val="00F54668"/>
    <w:rsid w:val="00F54963"/>
    <w:rsid w:val="00F55E9B"/>
    <w:rsid w:val="00F6279B"/>
    <w:rsid w:val="00F64DB3"/>
    <w:rsid w:val="00F67735"/>
    <w:rsid w:val="00F71D40"/>
    <w:rsid w:val="00F71EA0"/>
    <w:rsid w:val="00F738A1"/>
    <w:rsid w:val="00F73CFE"/>
    <w:rsid w:val="00F76305"/>
    <w:rsid w:val="00F77355"/>
    <w:rsid w:val="00F834D7"/>
    <w:rsid w:val="00F867D7"/>
    <w:rsid w:val="00F925DC"/>
    <w:rsid w:val="00F93281"/>
    <w:rsid w:val="00F94896"/>
    <w:rsid w:val="00FA2A5B"/>
    <w:rsid w:val="00FA2E59"/>
    <w:rsid w:val="00FA467B"/>
    <w:rsid w:val="00FA523B"/>
    <w:rsid w:val="00FA7155"/>
    <w:rsid w:val="00FA7B00"/>
    <w:rsid w:val="00FB135E"/>
    <w:rsid w:val="00FB5BF1"/>
    <w:rsid w:val="00FC29A1"/>
    <w:rsid w:val="00FD0682"/>
    <w:rsid w:val="00FD1149"/>
    <w:rsid w:val="00FD42CE"/>
    <w:rsid w:val="00FD5DC1"/>
    <w:rsid w:val="00FD6B28"/>
    <w:rsid w:val="00FD7486"/>
    <w:rsid w:val="00FE2E20"/>
    <w:rsid w:val="00FE79C7"/>
    <w:rsid w:val="00FF2903"/>
    <w:rsid w:val="00FF53C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0C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964E3"/>
    <w:pPr>
      <w:keepNext/>
      <w:keepLines/>
      <w:pageBreakBefore/>
      <w:spacing w:before="240" w:after="0"/>
      <w:outlineLvl w:val="0"/>
    </w:pPr>
    <w:rPr>
      <w:rFonts w:ascii="Arial" w:eastAsiaTheme="majorEastAsia" w:hAnsi="Arial" w:cstheme="majorBidi"/>
      <w:b/>
      <w:color w:val="000000" w:themeColor="text1"/>
      <w:sz w:val="32"/>
      <w:szCs w:val="32"/>
    </w:rPr>
  </w:style>
  <w:style w:type="paragraph" w:styleId="Heading2">
    <w:name w:val="heading 2"/>
    <w:basedOn w:val="Normal"/>
    <w:next w:val="Normal"/>
    <w:link w:val="Heading2Char"/>
    <w:uiPriority w:val="9"/>
    <w:unhideWhenUsed/>
    <w:qFormat/>
    <w:rsid w:val="000511F2"/>
    <w:pPr>
      <w:keepNext/>
      <w:keepLines/>
      <w:spacing w:before="200" w:after="0"/>
      <w:outlineLvl w:val="1"/>
    </w:pPr>
    <w:rPr>
      <w:rFonts w:ascii="Arial" w:eastAsiaTheme="majorEastAsia" w:hAnsi="Arial" w:cstheme="majorBidi"/>
      <w:b/>
      <w:bCs/>
      <w:color w:val="000000" w:themeColor="text1"/>
      <w:sz w:val="26"/>
      <w:szCs w:val="26"/>
    </w:rPr>
  </w:style>
  <w:style w:type="paragraph" w:styleId="Heading3">
    <w:name w:val="heading 3"/>
    <w:basedOn w:val="Normal"/>
    <w:next w:val="Normal"/>
    <w:link w:val="Heading3Char"/>
    <w:uiPriority w:val="9"/>
    <w:unhideWhenUsed/>
    <w:qFormat/>
    <w:rsid w:val="0059635C"/>
    <w:pPr>
      <w:keepNext/>
      <w:keepLines/>
      <w:spacing w:before="40" w:after="0"/>
      <w:outlineLvl w:val="2"/>
    </w:pPr>
    <w:rPr>
      <w:rFonts w:ascii="Arial" w:eastAsiaTheme="majorEastAsia" w:hAnsi="Arial" w:cstheme="majorBidi"/>
      <w:i/>
      <w:color w:val="000000" w:themeColor="text1"/>
      <w:sz w:val="24"/>
      <w:szCs w:val="24"/>
    </w:rPr>
  </w:style>
  <w:style w:type="paragraph" w:styleId="Heading4">
    <w:name w:val="heading 4"/>
    <w:basedOn w:val="Normal"/>
    <w:next w:val="Normal"/>
    <w:link w:val="Heading4Char"/>
    <w:uiPriority w:val="9"/>
    <w:unhideWhenUsed/>
    <w:qFormat/>
    <w:rsid w:val="00172454"/>
    <w:pPr>
      <w:keepNext/>
      <w:keepLines/>
      <w:spacing w:before="40" w:after="0"/>
      <w:outlineLvl w:val="3"/>
    </w:pPr>
    <w:rPr>
      <w:rFonts w:ascii="Arial" w:eastAsiaTheme="majorEastAsia" w:hAnsi="Arial" w:cstheme="majorBidi"/>
      <w:i/>
      <w:iCs/>
      <w:color w:val="000000" w:themeColor="text1"/>
    </w:rPr>
  </w:style>
  <w:style w:type="paragraph" w:styleId="Heading7">
    <w:name w:val="heading 7"/>
    <w:basedOn w:val="Normal"/>
    <w:next w:val="Normal"/>
    <w:link w:val="Heading7Char"/>
    <w:uiPriority w:val="9"/>
    <w:unhideWhenUsed/>
    <w:qFormat/>
    <w:rsid w:val="00172454"/>
    <w:pPr>
      <w:keepNext/>
      <w:keepLines/>
      <w:spacing w:before="40" w:after="0"/>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04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468"/>
  </w:style>
  <w:style w:type="paragraph" w:styleId="Footer">
    <w:name w:val="footer"/>
    <w:basedOn w:val="Normal"/>
    <w:link w:val="FooterChar"/>
    <w:uiPriority w:val="99"/>
    <w:unhideWhenUsed/>
    <w:rsid w:val="004004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468"/>
  </w:style>
  <w:style w:type="character" w:styleId="Hyperlink">
    <w:name w:val="Hyperlink"/>
    <w:basedOn w:val="DefaultParagraphFont"/>
    <w:uiPriority w:val="99"/>
    <w:unhideWhenUsed/>
    <w:rsid w:val="00400468"/>
    <w:rPr>
      <w:color w:val="0000FF" w:themeColor="hyperlink"/>
      <w:u w:val="single"/>
    </w:rPr>
  </w:style>
  <w:style w:type="paragraph" w:styleId="EndnoteText">
    <w:name w:val="endnote text"/>
    <w:basedOn w:val="Normal"/>
    <w:link w:val="EndnoteTextChar"/>
    <w:uiPriority w:val="99"/>
    <w:unhideWhenUsed/>
    <w:rsid w:val="009512A5"/>
    <w:pPr>
      <w:spacing w:after="0" w:line="240" w:lineRule="auto"/>
    </w:pPr>
    <w:rPr>
      <w:sz w:val="20"/>
      <w:szCs w:val="20"/>
    </w:rPr>
  </w:style>
  <w:style w:type="character" w:customStyle="1" w:styleId="EndnoteTextChar">
    <w:name w:val="Endnote Text Char"/>
    <w:basedOn w:val="DefaultParagraphFont"/>
    <w:link w:val="EndnoteText"/>
    <w:uiPriority w:val="99"/>
    <w:rsid w:val="009512A5"/>
    <w:rPr>
      <w:sz w:val="20"/>
      <w:szCs w:val="20"/>
    </w:rPr>
  </w:style>
  <w:style w:type="character" w:styleId="EndnoteReference">
    <w:name w:val="endnote reference"/>
    <w:basedOn w:val="DefaultParagraphFont"/>
    <w:uiPriority w:val="99"/>
    <w:unhideWhenUsed/>
    <w:rsid w:val="009512A5"/>
    <w:rPr>
      <w:vertAlign w:val="superscript"/>
    </w:rPr>
  </w:style>
  <w:style w:type="paragraph" w:styleId="ListParagraph">
    <w:name w:val="List Paragraph"/>
    <w:basedOn w:val="Normal"/>
    <w:uiPriority w:val="34"/>
    <w:qFormat/>
    <w:rsid w:val="004B3725"/>
    <w:pPr>
      <w:ind w:left="720"/>
      <w:contextualSpacing/>
    </w:pPr>
  </w:style>
  <w:style w:type="character" w:styleId="CommentReference">
    <w:name w:val="annotation reference"/>
    <w:basedOn w:val="DefaultParagraphFont"/>
    <w:uiPriority w:val="99"/>
    <w:semiHidden/>
    <w:unhideWhenUsed/>
    <w:rsid w:val="007810C7"/>
    <w:rPr>
      <w:sz w:val="16"/>
      <w:szCs w:val="16"/>
    </w:rPr>
  </w:style>
  <w:style w:type="paragraph" w:styleId="CommentText">
    <w:name w:val="annotation text"/>
    <w:basedOn w:val="Normal"/>
    <w:link w:val="CommentTextChar"/>
    <w:uiPriority w:val="99"/>
    <w:unhideWhenUsed/>
    <w:rsid w:val="007810C7"/>
    <w:pPr>
      <w:spacing w:line="240" w:lineRule="auto"/>
    </w:pPr>
    <w:rPr>
      <w:sz w:val="20"/>
      <w:szCs w:val="20"/>
    </w:rPr>
  </w:style>
  <w:style w:type="character" w:customStyle="1" w:styleId="CommentTextChar">
    <w:name w:val="Comment Text Char"/>
    <w:basedOn w:val="DefaultParagraphFont"/>
    <w:link w:val="CommentText"/>
    <w:uiPriority w:val="99"/>
    <w:rsid w:val="007810C7"/>
    <w:rPr>
      <w:sz w:val="20"/>
      <w:szCs w:val="20"/>
    </w:rPr>
  </w:style>
  <w:style w:type="paragraph" w:styleId="CommentSubject">
    <w:name w:val="annotation subject"/>
    <w:basedOn w:val="CommentText"/>
    <w:next w:val="CommentText"/>
    <w:link w:val="CommentSubjectChar"/>
    <w:uiPriority w:val="99"/>
    <w:semiHidden/>
    <w:unhideWhenUsed/>
    <w:rsid w:val="007810C7"/>
    <w:rPr>
      <w:b/>
      <w:bCs/>
    </w:rPr>
  </w:style>
  <w:style w:type="character" w:customStyle="1" w:styleId="CommentSubjectChar">
    <w:name w:val="Comment Subject Char"/>
    <w:basedOn w:val="CommentTextChar"/>
    <w:link w:val="CommentSubject"/>
    <w:uiPriority w:val="99"/>
    <w:semiHidden/>
    <w:rsid w:val="007810C7"/>
    <w:rPr>
      <w:b/>
      <w:bCs/>
      <w:sz w:val="20"/>
      <w:szCs w:val="20"/>
    </w:rPr>
  </w:style>
  <w:style w:type="paragraph" w:styleId="BalloonText">
    <w:name w:val="Balloon Text"/>
    <w:basedOn w:val="Normal"/>
    <w:link w:val="BalloonTextChar"/>
    <w:uiPriority w:val="99"/>
    <w:semiHidden/>
    <w:unhideWhenUsed/>
    <w:rsid w:val="007810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0C7"/>
    <w:rPr>
      <w:rFonts w:ascii="Tahoma" w:hAnsi="Tahoma" w:cs="Tahoma"/>
      <w:sz w:val="16"/>
      <w:szCs w:val="16"/>
    </w:rPr>
  </w:style>
  <w:style w:type="paragraph" w:styleId="NormalWeb">
    <w:name w:val="Normal (Web)"/>
    <w:basedOn w:val="Normal"/>
    <w:uiPriority w:val="99"/>
    <w:unhideWhenUsed/>
    <w:rsid w:val="00D8610A"/>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1B3C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3C30"/>
    <w:rPr>
      <w:sz w:val="20"/>
      <w:szCs w:val="20"/>
    </w:rPr>
  </w:style>
  <w:style w:type="character" w:styleId="FootnoteReference">
    <w:name w:val="footnote reference"/>
    <w:basedOn w:val="DefaultParagraphFont"/>
    <w:uiPriority w:val="99"/>
    <w:semiHidden/>
    <w:unhideWhenUsed/>
    <w:rsid w:val="001B3C30"/>
    <w:rPr>
      <w:vertAlign w:val="superscript"/>
    </w:rPr>
  </w:style>
  <w:style w:type="paragraph" w:customStyle="1" w:styleId="Body">
    <w:name w:val="Body"/>
    <w:rsid w:val="001B3C3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customStyle="1" w:styleId="Footnote">
    <w:name w:val="Footnote"/>
    <w:rsid w:val="001B3C30"/>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character" w:styleId="HTMLCite">
    <w:name w:val="HTML Cite"/>
    <w:basedOn w:val="DefaultParagraphFont"/>
    <w:uiPriority w:val="99"/>
    <w:semiHidden/>
    <w:unhideWhenUsed/>
    <w:rsid w:val="00495D66"/>
    <w:rPr>
      <w:i/>
      <w:iCs/>
    </w:rPr>
  </w:style>
  <w:style w:type="character" w:customStyle="1" w:styleId="Heading2Char">
    <w:name w:val="Heading 2 Char"/>
    <w:basedOn w:val="DefaultParagraphFont"/>
    <w:link w:val="Heading2"/>
    <w:uiPriority w:val="9"/>
    <w:rsid w:val="000511F2"/>
    <w:rPr>
      <w:rFonts w:ascii="Arial" w:eastAsiaTheme="majorEastAsia" w:hAnsi="Arial" w:cstheme="majorBidi"/>
      <w:b/>
      <w:bCs/>
      <w:color w:val="000000" w:themeColor="text1"/>
      <w:sz w:val="26"/>
      <w:szCs w:val="26"/>
    </w:rPr>
  </w:style>
  <w:style w:type="character" w:customStyle="1" w:styleId="apple-converted-space">
    <w:name w:val="apple-converted-space"/>
    <w:basedOn w:val="DefaultParagraphFont"/>
    <w:rsid w:val="00C523CB"/>
  </w:style>
  <w:style w:type="character" w:customStyle="1" w:styleId="element-citation">
    <w:name w:val="element-citation"/>
    <w:basedOn w:val="DefaultParagraphFont"/>
    <w:rsid w:val="00C523CB"/>
  </w:style>
  <w:style w:type="character" w:customStyle="1" w:styleId="ref-journal">
    <w:name w:val="ref-journal"/>
    <w:basedOn w:val="DefaultParagraphFont"/>
    <w:rsid w:val="00C523CB"/>
  </w:style>
  <w:style w:type="character" w:styleId="FollowedHyperlink">
    <w:name w:val="FollowedHyperlink"/>
    <w:basedOn w:val="DefaultParagraphFont"/>
    <w:uiPriority w:val="99"/>
    <w:semiHidden/>
    <w:unhideWhenUsed/>
    <w:rsid w:val="00886124"/>
    <w:rPr>
      <w:color w:val="800080" w:themeColor="followedHyperlink"/>
      <w:u w:val="single"/>
    </w:rPr>
  </w:style>
  <w:style w:type="character" w:customStyle="1" w:styleId="Heading1Char">
    <w:name w:val="Heading 1 Char"/>
    <w:basedOn w:val="DefaultParagraphFont"/>
    <w:link w:val="Heading1"/>
    <w:uiPriority w:val="9"/>
    <w:rsid w:val="004964E3"/>
    <w:rPr>
      <w:rFonts w:ascii="Arial" w:eastAsiaTheme="majorEastAsia" w:hAnsi="Arial" w:cstheme="majorBidi"/>
      <w:b/>
      <w:color w:val="000000" w:themeColor="text1"/>
      <w:sz w:val="32"/>
      <w:szCs w:val="32"/>
    </w:rPr>
  </w:style>
  <w:style w:type="character" w:customStyle="1" w:styleId="UnresolvedMention1">
    <w:name w:val="Unresolved Mention1"/>
    <w:basedOn w:val="DefaultParagraphFont"/>
    <w:uiPriority w:val="99"/>
    <w:semiHidden/>
    <w:unhideWhenUsed/>
    <w:rsid w:val="00587ADD"/>
    <w:rPr>
      <w:color w:val="808080"/>
      <w:shd w:val="clear" w:color="auto" w:fill="E6E6E6"/>
    </w:rPr>
  </w:style>
  <w:style w:type="paragraph" w:styleId="TOCHeading">
    <w:name w:val="TOC Heading"/>
    <w:basedOn w:val="Heading1"/>
    <w:next w:val="Normal"/>
    <w:uiPriority w:val="39"/>
    <w:unhideWhenUsed/>
    <w:qFormat/>
    <w:rsid w:val="00ED2A19"/>
    <w:pPr>
      <w:spacing w:before="480"/>
      <w:outlineLvl w:val="9"/>
    </w:pPr>
    <w:rPr>
      <w:b w:val="0"/>
      <w:bCs/>
      <w:sz w:val="28"/>
      <w:szCs w:val="28"/>
    </w:rPr>
  </w:style>
  <w:style w:type="paragraph" w:styleId="TOC1">
    <w:name w:val="toc 1"/>
    <w:basedOn w:val="Normal"/>
    <w:next w:val="Normal"/>
    <w:autoRedefine/>
    <w:uiPriority w:val="39"/>
    <w:unhideWhenUsed/>
    <w:rsid w:val="00A155A6"/>
    <w:pPr>
      <w:tabs>
        <w:tab w:val="right" w:leader="dot" w:pos="9350"/>
      </w:tabs>
      <w:spacing w:before="120" w:after="120"/>
    </w:pPr>
    <w:rPr>
      <w:rFonts w:cstheme="minorHAnsi"/>
      <w:b/>
      <w:bCs/>
      <w:caps/>
      <w:sz w:val="20"/>
      <w:szCs w:val="20"/>
    </w:rPr>
  </w:style>
  <w:style w:type="paragraph" w:styleId="TOC2">
    <w:name w:val="toc 2"/>
    <w:basedOn w:val="Normal"/>
    <w:next w:val="Normal"/>
    <w:autoRedefine/>
    <w:uiPriority w:val="39"/>
    <w:unhideWhenUsed/>
    <w:rsid w:val="00ED2A19"/>
    <w:pPr>
      <w:spacing w:after="0"/>
      <w:ind w:left="220"/>
    </w:pPr>
    <w:rPr>
      <w:rFonts w:cstheme="minorHAnsi"/>
      <w:smallCaps/>
      <w:sz w:val="20"/>
      <w:szCs w:val="20"/>
    </w:rPr>
  </w:style>
  <w:style w:type="paragraph" w:styleId="TOC3">
    <w:name w:val="toc 3"/>
    <w:basedOn w:val="Normal"/>
    <w:next w:val="Normal"/>
    <w:autoRedefine/>
    <w:uiPriority w:val="39"/>
    <w:unhideWhenUsed/>
    <w:rsid w:val="00ED2A19"/>
    <w:pPr>
      <w:spacing w:after="0"/>
      <w:ind w:left="440"/>
    </w:pPr>
    <w:rPr>
      <w:rFonts w:cstheme="minorHAnsi"/>
      <w:i/>
      <w:iCs/>
      <w:sz w:val="20"/>
      <w:szCs w:val="20"/>
    </w:rPr>
  </w:style>
  <w:style w:type="paragraph" w:styleId="TOC4">
    <w:name w:val="toc 4"/>
    <w:basedOn w:val="Normal"/>
    <w:next w:val="Normal"/>
    <w:autoRedefine/>
    <w:uiPriority w:val="39"/>
    <w:semiHidden/>
    <w:unhideWhenUsed/>
    <w:rsid w:val="00ED2A19"/>
    <w:pPr>
      <w:spacing w:after="0"/>
      <w:ind w:left="660"/>
    </w:pPr>
    <w:rPr>
      <w:rFonts w:cstheme="minorHAnsi"/>
      <w:sz w:val="18"/>
      <w:szCs w:val="18"/>
    </w:rPr>
  </w:style>
  <w:style w:type="paragraph" w:styleId="TOC5">
    <w:name w:val="toc 5"/>
    <w:basedOn w:val="Normal"/>
    <w:next w:val="Normal"/>
    <w:autoRedefine/>
    <w:uiPriority w:val="39"/>
    <w:semiHidden/>
    <w:unhideWhenUsed/>
    <w:rsid w:val="00ED2A19"/>
    <w:pPr>
      <w:spacing w:after="0"/>
      <w:ind w:left="880"/>
    </w:pPr>
    <w:rPr>
      <w:rFonts w:cstheme="minorHAnsi"/>
      <w:sz w:val="18"/>
      <w:szCs w:val="18"/>
    </w:rPr>
  </w:style>
  <w:style w:type="paragraph" w:styleId="TOC6">
    <w:name w:val="toc 6"/>
    <w:basedOn w:val="Normal"/>
    <w:next w:val="Normal"/>
    <w:autoRedefine/>
    <w:uiPriority w:val="39"/>
    <w:semiHidden/>
    <w:unhideWhenUsed/>
    <w:rsid w:val="00ED2A19"/>
    <w:pPr>
      <w:spacing w:after="0"/>
      <w:ind w:left="1100"/>
    </w:pPr>
    <w:rPr>
      <w:rFonts w:cstheme="minorHAnsi"/>
      <w:sz w:val="18"/>
      <w:szCs w:val="18"/>
    </w:rPr>
  </w:style>
  <w:style w:type="paragraph" w:styleId="TOC7">
    <w:name w:val="toc 7"/>
    <w:basedOn w:val="Normal"/>
    <w:next w:val="Normal"/>
    <w:autoRedefine/>
    <w:uiPriority w:val="39"/>
    <w:semiHidden/>
    <w:unhideWhenUsed/>
    <w:rsid w:val="00ED2A19"/>
    <w:pPr>
      <w:spacing w:after="0"/>
      <w:ind w:left="1320"/>
    </w:pPr>
    <w:rPr>
      <w:rFonts w:cstheme="minorHAnsi"/>
      <w:sz w:val="18"/>
      <w:szCs w:val="18"/>
    </w:rPr>
  </w:style>
  <w:style w:type="paragraph" w:styleId="TOC8">
    <w:name w:val="toc 8"/>
    <w:basedOn w:val="Normal"/>
    <w:next w:val="Normal"/>
    <w:autoRedefine/>
    <w:uiPriority w:val="39"/>
    <w:semiHidden/>
    <w:unhideWhenUsed/>
    <w:rsid w:val="00ED2A19"/>
    <w:pPr>
      <w:spacing w:after="0"/>
      <w:ind w:left="1540"/>
    </w:pPr>
    <w:rPr>
      <w:rFonts w:cstheme="minorHAnsi"/>
      <w:sz w:val="18"/>
      <w:szCs w:val="18"/>
    </w:rPr>
  </w:style>
  <w:style w:type="paragraph" w:styleId="TOC9">
    <w:name w:val="toc 9"/>
    <w:basedOn w:val="Normal"/>
    <w:next w:val="Normal"/>
    <w:autoRedefine/>
    <w:uiPriority w:val="39"/>
    <w:semiHidden/>
    <w:unhideWhenUsed/>
    <w:rsid w:val="00ED2A19"/>
    <w:pPr>
      <w:spacing w:after="0"/>
      <w:ind w:left="1760"/>
    </w:pPr>
    <w:rPr>
      <w:rFonts w:cstheme="minorHAnsi"/>
      <w:sz w:val="18"/>
      <w:szCs w:val="18"/>
    </w:rPr>
  </w:style>
  <w:style w:type="character" w:customStyle="1" w:styleId="Heading3Char">
    <w:name w:val="Heading 3 Char"/>
    <w:basedOn w:val="DefaultParagraphFont"/>
    <w:link w:val="Heading3"/>
    <w:uiPriority w:val="9"/>
    <w:rsid w:val="0059635C"/>
    <w:rPr>
      <w:rFonts w:ascii="Arial" w:eastAsiaTheme="majorEastAsia" w:hAnsi="Arial" w:cstheme="majorBidi"/>
      <w:i/>
      <w:color w:val="000000" w:themeColor="text1"/>
      <w:sz w:val="24"/>
      <w:szCs w:val="24"/>
    </w:rPr>
  </w:style>
  <w:style w:type="character" w:customStyle="1" w:styleId="Heading4Char">
    <w:name w:val="Heading 4 Char"/>
    <w:basedOn w:val="DefaultParagraphFont"/>
    <w:link w:val="Heading4"/>
    <w:uiPriority w:val="9"/>
    <w:rsid w:val="00172454"/>
    <w:rPr>
      <w:rFonts w:ascii="Arial" w:eastAsiaTheme="majorEastAsia" w:hAnsi="Arial" w:cstheme="majorBidi"/>
      <w:i/>
      <w:iCs/>
      <w:color w:val="000000" w:themeColor="text1"/>
    </w:rPr>
  </w:style>
  <w:style w:type="character" w:customStyle="1" w:styleId="Heading7Char">
    <w:name w:val="Heading 7 Char"/>
    <w:basedOn w:val="DefaultParagraphFont"/>
    <w:link w:val="Heading7"/>
    <w:uiPriority w:val="9"/>
    <w:rsid w:val="00172454"/>
    <w:rPr>
      <w:rFonts w:asciiTheme="majorHAnsi" w:eastAsiaTheme="majorEastAsia" w:hAnsiTheme="majorHAnsi" w:cstheme="majorBidi"/>
      <w:i/>
      <w:iCs/>
      <w:color w:val="000000" w:themeColor="text1"/>
    </w:rPr>
  </w:style>
  <w:style w:type="character" w:customStyle="1" w:styleId="UnresolvedMention2">
    <w:name w:val="Unresolved Mention2"/>
    <w:basedOn w:val="DefaultParagraphFont"/>
    <w:uiPriority w:val="99"/>
    <w:semiHidden/>
    <w:unhideWhenUsed/>
    <w:rsid w:val="007A0DED"/>
    <w:rPr>
      <w:color w:val="808080"/>
      <w:shd w:val="clear" w:color="auto" w:fill="E6E6E6"/>
    </w:rPr>
  </w:style>
  <w:style w:type="character" w:styleId="Emphasis">
    <w:name w:val="Emphasis"/>
    <w:basedOn w:val="DefaultParagraphFont"/>
    <w:uiPriority w:val="20"/>
    <w:qFormat/>
    <w:rsid w:val="0052092D"/>
    <w:rPr>
      <w:i/>
      <w:iCs/>
    </w:rPr>
  </w:style>
  <w:style w:type="character" w:customStyle="1" w:styleId="UnresolvedMention">
    <w:name w:val="Unresolved Mention"/>
    <w:basedOn w:val="DefaultParagraphFont"/>
    <w:uiPriority w:val="99"/>
    <w:semiHidden/>
    <w:unhideWhenUsed/>
    <w:rsid w:val="009076E1"/>
    <w:rPr>
      <w:color w:val="808080"/>
      <w:shd w:val="clear" w:color="auto" w:fill="E6E6E6"/>
    </w:rPr>
  </w:style>
  <w:style w:type="table" w:styleId="TableGrid">
    <w:name w:val="Table Grid"/>
    <w:basedOn w:val="TableNormal"/>
    <w:uiPriority w:val="59"/>
    <w:rsid w:val="009C4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9C41D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964E3"/>
    <w:pPr>
      <w:keepNext/>
      <w:keepLines/>
      <w:pageBreakBefore/>
      <w:spacing w:before="240" w:after="0"/>
      <w:outlineLvl w:val="0"/>
    </w:pPr>
    <w:rPr>
      <w:rFonts w:ascii="Arial" w:eastAsiaTheme="majorEastAsia" w:hAnsi="Arial" w:cstheme="majorBidi"/>
      <w:b/>
      <w:color w:val="000000" w:themeColor="text1"/>
      <w:sz w:val="32"/>
      <w:szCs w:val="32"/>
    </w:rPr>
  </w:style>
  <w:style w:type="paragraph" w:styleId="Heading2">
    <w:name w:val="heading 2"/>
    <w:basedOn w:val="Normal"/>
    <w:next w:val="Normal"/>
    <w:link w:val="Heading2Char"/>
    <w:uiPriority w:val="9"/>
    <w:unhideWhenUsed/>
    <w:qFormat/>
    <w:rsid w:val="000511F2"/>
    <w:pPr>
      <w:keepNext/>
      <w:keepLines/>
      <w:spacing w:before="200" w:after="0"/>
      <w:outlineLvl w:val="1"/>
    </w:pPr>
    <w:rPr>
      <w:rFonts w:ascii="Arial" w:eastAsiaTheme="majorEastAsia" w:hAnsi="Arial" w:cstheme="majorBidi"/>
      <w:b/>
      <w:bCs/>
      <w:color w:val="000000" w:themeColor="text1"/>
      <w:sz w:val="26"/>
      <w:szCs w:val="26"/>
    </w:rPr>
  </w:style>
  <w:style w:type="paragraph" w:styleId="Heading3">
    <w:name w:val="heading 3"/>
    <w:basedOn w:val="Normal"/>
    <w:next w:val="Normal"/>
    <w:link w:val="Heading3Char"/>
    <w:uiPriority w:val="9"/>
    <w:unhideWhenUsed/>
    <w:qFormat/>
    <w:rsid w:val="0059635C"/>
    <w:pPr>
      <w:keepNext/>
      <w:keepLines/>
      <w:spacing w:before="40" w:after="0"/>
      <w:outlineLvl w:val="2"/>
    </w:pPr>
    <w:rPr>
      <w:rFonts w:ascii="Arial" w:eastAsiaTheme="majorEastAsia" w:hAnsi="Arial" w:cstheme="majorBidi"/>
      <w:i/>
      <w:color w:val="000000" w:themeColor="text1"/>
      <w:sz w:val="24"/>
      <w:szCs w:val="24"/>
    </w:rPr>
  </w:style>
  <w:style w:type="paragraph" w:styleId="Heading4">
    <w:name w:val="heading 4"/>
    <w:basedOn w:val="Normal"/>
    <w:next w:val="Normal"/>
    <w:link w:val="Heading4Char"/>
    <w:uiPriority w:val="9"/>
    <w:unhideWhenUsed/>
    <w:qFormat/>
    <w:rsid w:val="00172454"/>
    <w:pPr>
      <w:keepNext/>
      <w:keepLines/>
      <w:spacing w:before="40" w:after="0"/>
      <w:outlineLvl w:val="3"/>
    </w:pPr>
    <w:rPr>
      <w:rFonts w:ascii="Arial" w:eastAsiaTheme="majorEastAsia" w:hAnsi="Arial" w:cstheme="majorBidi"/>
      <w:i/>
      <w:iCs/>
      <w:color w:val="000000" w:themeColor="text1"/>
    </w:rPr>
  </w:style>
  <w:style w:type="paragraph" w:styleId="Heading7">
    <w:name w:val="heading 7"/>
    <w:basedOn w:val="Normal"/>
    <w:next w:val="Normal"/>
    <w:link w:val="Heading7Char"/>
    <w:uiPriority w:val="9"/>
    <w:unhideWhenUsed/>
    <w:qFormat/>
    <w:rsid w:val="00172454"/>
    <w:pPr>
      <w:keepNext/>
      <w:keepLines/>
      <w:spacing w:before="40" w:after="0"/>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04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468"/>
  </w:style>
  <w:style w:type="paragraph" w:styleId="Footer">
    <w:name w:val="footer"/>
    <w:basedOn w:val="Normal"/>
    <w:link w:val="FooterChar"/>
    <w:uiPriority w:val="99"/>
    <w:unhideWhenUsed/>
    <w:rsid w:val="004004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468"/>
  </w:style>
  <w:style w:type="character" w:styleId="Hyperlink">
    <w:name w:val="Hyperlink"/>
    <w:basedOn w:val="DefaultParagraphFont"/>
    <w:uiPriority w:val="99"/>
    <w:unhideWhenUsed/>
    <w:rsid w:val="00400468"/>
    <w:rPr>
      <w:color w:val="0000FF" w:themeColor="hyperlink"/>
      <w:u w:val="single"/>
    </w:rPr>
  </w:style>
  <w:style w:type="paragraph" w:styleId="EndnoteText">
    <w:name w:val="endnote text"/>
    <w:basedOn w:val="Normal"/>
    <w:link w:val="EndnoteTextChar"/>
    <w:uiPriority w:val="99"/>
    <w:unhideWhenUsed/>
    <w:rsid w:val="009512A5"/>
    <w:pPr>
      <w:spacing w:after="0" w:line="240" w:lineRule="auto"/>
    </w:pPr>
    <w:rPr>
      <w:sz w:val="20"/>
      <w:szCs w:val="20"/>
    </w:rPr>
  </w:style>
  <w:style w:type="character" w:customStyle="1" w:styleId="EndnoteTextChar">
    <w:name w:val="Endnote Text Char"/>
    <w:basedOn w:val="DefaultParagraphFont"/>
    <w:link w:val="EndnoteText"/>
    <w:uiPriority w:val="99"/>
    <w:rsid w:val="009512A5"/>
    <w:rPr>
      <w:sz w:val="20"/>
      <w:szCs w:val="20"/>
    </w:rPr>
  </w:style>
  <w:style w:type="character" w:styleId="EndnoteReference">
    <w:name w:val="endnote reference"/>
    <w:basedOn w:val="DefaultParagraphFont"/>
    <w:uiPriority w:val="99"/>
    <w:unhideWhenUsed/>
    <w:rsid w:val="009512A5"/>
    <w:rPr>
      <w:vertAlign w:val="superscript"/>
    </w:rPr>
  </w:style>
  <w:style w:type="paragraph" w:styleId="ListParagraph">
    <w:name w:val="List Paragraph"/>
    <w:basedOn w:val="Normal"/>
    <w:uiPriority w:val="34"/>
    <w:qFormat/>
    <w:rsid w:val="004B3725"/>
    <w:pPr>
      <w:ind w:left="720"/>
      <w:contextualSpacing/>
    </w:pPr>
  </w:style>
  <w:style w:type="character" w:styleId="CommentReference">
    <w:name w:val="annotation reference"/>
    <w:basedOn w:val="DefaultParagraphFont"/>
    <w:uiPriority w:val="99"/>
    <w:semiHidden/>
    <w:unhideWhenUsed/>
    <w:rsid w:val="007810C7"/>
    <w:rPr>
      <w:sz w:val="16"/>
      <w:szCs w:val="16"/>
    </w:rPr>
  </w:style>
  <w:style w:type="paragraph" w:styleId="CommentText">
    <w:name w:val="annotation text"/>
    <w:basedOn w:val="Normal"/>
    <w:link w:val="CommentTextChar"/>
    <w:uiPriority w:val="99"/>
    <w:unhideWhenUsed/>
    <w:rsid w:val="007810C7"/>
    <w:pPr>
      <w:spacing w:line="240" w:lineRule="auto"/>
    </w:pPr>
    <w:rPr>
      <w:sz w:val="20"/>
      <w:szCs w:val="20"/>
    </w:rPr>
  </w:style>
  <w:style w:type="character" w:customStyle="1" w:styleId="CommentTextChar">
    <w:name w:val="Comment Text Char"/>
    <w:basedOn w:val="DefaultParagraphFont"/>
    <w:link w:val="CommentText"/>
    <w:uiPriority w:val="99"/>
    <w:rsid w:val="007810C7"/>
    <w:rPr>
      <w:sz w:val="20"/>
      <w:szCs w:val="20"/>
    </w:rPr>
  </w:style>
  <w:style w:type="paragraph" w:styleId="CommentSubject">
    <w:name w:val="annotation subject"/>
    <w:basedOn w:val="CommentText"/>
    <w:next w:val="CommentText"/>
    <w:link w:val="CommentSubjectChar"/>
    <w:uiPriority w:val="99"/>
    <w:semiHidden/>
    <w:unhideWhenUsed/>
    <w:rsid w:val="007810C7"/>
    <w:rPr>
      <w:b/>
      <w:bCs/>
    </w:rPr>
  </w:style>
  <w:style w:type="character" w:customStyle="1" w:styleId="CommentSubjectChar">
    <w:name w:val="Comment Subject Char"/>
    <w:basedOn w:val="CommentTextChar"/>
    <w:link w:val="CommentSubject"/>
    <w:uiPriority w:val="99"/>
    <w:semiHidden/>
    <w:rsid w:val="007810C7"/>
    <w:rPr>
      <w:b/>
      <w:bCs/>
      <w:sz w:val="20"/>
      <w:szCs w:val="20"/>
    </w:rPr>
  </w:style>
  <w:style w:type="paragraph" w:styleId="BalloonText">
    <w:name w:val="Balloon Text"/>
    <w:basedOn w:val="Normal"/>
    <w:link w:val="BalloonTextChar"/>
    <w:uiPriority w:val="99"/>
    <w:semiHidden/>
    <w:unhideWhenUsed/>
    <w:rsid w:val="007810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0C7"/>
    <w:rPr>
      <w:rFonts w:ascii="Tahoma" w:hAnsi="Tahoma" w:cs="Tahoma"/>
      <w:sz w:val="16"/>
      <w:szCs w:val="16"/>
    </w:rPr>
  </w:style>
  <w:style w:type="paragraph" w:styleId="NormalWeb">
    <w:name w:val="Normal (Web)"/>
    <w:basedOn w:val="Normal"/>
    <w:uiPriority w:val="99"/>
    <w:unhideWhenUsed/>
    <w:rsid w:val="00D8610A"/>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1B3C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3C30"/>
    <w:rPr>
      <w:sz w:val="20"/>
      <w:szCs w:val="20"/>
    </w:rPr>
  </w:style>
  <w:style w:type="character" w:styleId="FootnoteReference">
    <w:name w:val="footnote reference"/>
    <w:basedOn w:val="DefaultParagraphFont"/>
    <w:uiPriority w:val="99"/>
    <w:semiHidden/>
    <w:unhideWhenUsed/>
    <w:rsid w:val="001B3C30"/>
    <w:rPr>
      <w:vertAlign w:val="superscript"/>
    </w:rPr>
  </w:style>
  <w:style w:type="paragraph" w:customStyle="1" w:styleId="Body">
    <w:name w:val="Body"/>
    <w:rsid w:val="001B3C3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customStyle="1" w:styleId="Footnote">
    <w:name w:val="Footnote"/>
    <w:rsid w:val="001B3C30"/>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character" w:styleId="HTMLCite">
    <w:name w:val="HTML Cite"/>
    <w:basedOn w:val="DefaultParagraphFont"/>
    <w:uiPriority w:val="99"/>
    <w:semiHidden/>
    <w:unhideWhenUsed/>
    <w:rsid w:val="00495D66"/>
    <w:rPr>
      <w:i/>
      <w:iCs/>
    </w:rPr>
  </w:style>
  <w:style w:type="character" w:customStyle="1" w:styleId="Heading2Char">
    <w:name w:val="Heading 2 Char"/>
    <w:basedOn w:val="DefaultParagraphFont"/>
    <w:link w:val="Heading2"/>
    <w:uiPriority w:val="9"/>
    <w:rsid w:val="000511F2"/>
    <w:rPr>
      <w:rFonts w:ascii="Arial" w:eastAsiaTheme="majorEastAsia" w:hAnsi="Arial" w:cstheme="majorBidi"/>
      <w:b/>
      <w:bCs/>
      <w:color w:val="000000" w:themeColor="text1"/>
      <w:sz w:val="26"/>
      <w:szCs w:val="26"/>
    </w:rPr>
  </w:style>
  <w:style w:type="character" w:customStyle="1" w:styleId="apple-converted-space">
    <w:name w:val="apple-converted-space"/>
    <w:basedOn w:val="DefaultParagraphFont"/>
    <w:rsid w:val="00C523CB"/>
  </w:style>
  <w:style w:type="character" w:customStyle="1" w:styleId="element-citation">
    <w:name w:val="element-citation"/>
    <w:basedOn w:val="DefaultParagraphFont"/>
    <w:rsid w:val="00C523CB"/>
  </w:style>
  <w:style w:type="character" w:customStyle="1" w:styleId="ref-journal">
    <w:name w:val="ref-journal"/>
    <w:basedOn w:val="DefaultParagraphFont"/>
    <w:rsid w:val="00C523CB"/>
  </w:style>
  <w:style w:type="character" w:styleId="FollowedHyperlink">
    <w:name w:val="FollowedHyperlink"/>
    <w:basedOn w:val="DefaultParagraphFont"/>
    <w:uiPriority w:val="99"/>
    <w:semiHidden/>
    <w:unhideWhenUsed/>
    <w:rsid w:val="00886124"/>
    <w:rPr>
      <w:color w:val="800080" w:themeColor="followedHyperlink"/>
      <w:u w:val="single"/>
    </w:rPr>
  </w:style>
  <w:style w:type="character" w:customStyle="1" w:styleId="Heading1Char">
    <w:name w:val="Heading 1 Char"/>
    <w:basedOn w:val="DefaultParagraphFont"/>
    <w:link w:val="Heading1"/>
    <w:uiPriority w:val="9"/>
    <w:rsid w:val="004964E3"/>
    <w:rPr>
      <w:rFonts w:ascii="Arial" w:eastAsiaTheme="majorEastAsia" w:hAnsi="Arial" w:cstheme="majorBidi"/>
      <w:b/>
      <w:color w:val="000000" w:themeColor="text1"/>
      <w:sz w:val="32"/>
      <w:szCs w:val="32"/>
    </w:rPr>
  </w:style>
  <w:style w:type="character" w:customStyle="1" w:styleId="UnresolvedMention1">
    <w:name w:val="Unresolved Mention1"/>
    <w:basedOn w:val="DefaultParagraphFont"/>
    <w:uiPriority w:val="99"/>
    <w:semiHidden/>
    <w:unhideWhenUsed/>
    <w:rsid w:val="00587ADD"/>
    <w:rPr>
      <w:color w:val="808080"/>
      <w:shd w:val="clear" w:color="auto" w:fill="E6E6E6"/>
    </w:rPr>
  </w:style>
  <w:style w:type="paragraph" w:styleId="TOCHeading">
    <w:name w:val="TOC Heading"/>
    <w:basedOn w:val="Heading1"/>
    <w:next w:val="Normal"/>
    <w:uiPriority w:val="39"/>
    <w:unhideWhenUsed/>
    <w:qFormat/>
    <w:rsid w:val="00ED2A19"/>
    <w:pPr>
      <w:spacing w:before="480"/>
      <w:outlineLvl w:val="9"/>
    </w:pPr>
    <w:rPr>
      <w:b w:val="0"/>
      <w:bCs/>
      <w:sz w:val="28"/>
      <w:szCs w:val="28"/>
    </w:rPr>
  </w:style>
  <w:style w:type="paragraph" w:styleId="TOC1">
    <w:name w:val="toc 1"/>
    <w:basedOn w:val="Normal"/>
    <w:next w:val="Normal"/>
    <w:autoRedefine/>
    <w:uiPriority w:val="39"/>
    <w:unhideWhenUsed/>
    <w:rsid w:val="00A155A6"/>
    <w:pPr>
      <w:tabs>
        <w:tab w:val="right" w:leader="dot" w:pos="9350"/>
      </w:tabs>
      <w:spacing w:before="120" w:after="120"/>
    </w:pPr>
    <w:rPr>
      <w:rFonts w:cstheme="minorHAnsi"/>
      <w:b/>
      <w:bCs/>
      <w:caps/>
      <w:sz w:val="20"/>
      <w:szCs w:val="20"/>
    </w:rPr>
  </w:style>
  <w:style w:type="paragraph" w:styleId="TOC2">
    <w:name w:val="toc 2"/>
    <w:basedOn w:val="Normal"/>
    <w:next w:val="Normal"/>
    <w:autoRedefine/>
    <w:uiPriority w:val="39"/>
    <w:unhideWhenUsed/>
    <w:rsid w:val="00ED2A19"/>
    <w:pPr>
      <w:spacing w:after="0"/>
      <w:ind w:left="220"/>
    </w:pPr>
    <w:rPr>
      <w:rFonts w:cstheme="minorHAnsi"/>
      <w:smallCaps/>
      <w:sz w:val="20"/>
      <w:szCs w:val="20"/>
    </w:rPr>
  </w:style>
  <w:style w:type="paragraph" w:styleId="TOC3">
    <w:name w:val="toc 3"/>
    <w:basedOn w:val="Normal"/>
    <w:next w:val="Normal"/>
    <w:autoRedefine/>
    <w:uiPriority w:val="39"/>
    <w:unhideWhenUsed/>
    <w:rsid w:val="00ED2A19"/>
    <w:pPr>
      <w:spacing w:after="0"/>
      <w:ind w:left="440"/>
    </w:pPr>
    <w:rPr>
      <w:rFonts w:cstheme="minorHAnsi"/>
      <w:i/>
      <w:iCs/>
      <w:sz w:val="20"/>
      <w:szCs w:val="20"/>
    </w:rPr>
  </w:style>
  <w:style w:type="paragraph" w:styleId="TOC4">
    <w:name w:val="toc 4"/>
    <w:basedOn w:val="Normal"/>
    <w:next w:val="Normal"/>
    <w:autoRedefine/>
    <w:uiPriority w:val="39"/>
    <w:semiHidden/>
    <w:unhideWhenUsed/>
    <w:rsid w:val="00ED2A19"/>
    <w:pPr>
      <w:spacing w:after="0"/>
      <w:ind w:left="660"/>
    </w:pPr>
    <w:rPr>
      <w:rFonts w:cstheme="minorHAnsi"/>
      <w:sz w:val="18"/>
      <w:szCs w:val="18"/>
    </w:rPr>
  </w:style>
  <w:style w:type="paragraph" w:styleId="TOC5">
    <w:name w:val="toc 5"/>
    <w:basedOn w:val="Normal"/>
    <w:next w:val="Normal"/>
    <w:autoRedefine/>
    <w:uiPriority w:val="39"/>
    <w:semiHidden/>
    <w:unhideWhenUsed/>
    <w:rsid w:val="00ED2A19"/>
    <w:pPr>
      <w:spacing w:after="0"/>
      <w:ind w:left="880"/>
    </w:pPr>
    <w:rPr>
      <w:rFonts w:cstheme="minorHAnsi"/>
      <w:sz w:val="18"/>
      <w:szCs w:val="18"/>
    </w:rPr>
  </w:style>
  <w:style w:type="paragraph" w:styleId="TOC6">
    <w:name w:val="toc 6"/>
    <w:basedOn w:val="Normal"/>
    <w:next w:val="Normal"/>
    <w:autoRedefine/>
    <w:uiPriority w:val="39"/>
    <w:semiHidden/>
    <w:unhideWhenUsed/>
    <w:rsid w:val="00ED2A19"/>
    <w:pPr>
      <w:spacing w:after="0"/>
      <w:ind w:left="1100"/>
    </w:pPr>
    <w:rPr>
      <w:rFonts w:cstheme="minorHAnsi"/>
      <w:sz w:val="18"/>
      <w:szCs w:val="18"/>
    </w:rPr>
  </w:style>
  <w:style w:type="paragraph" w:styleId="TOC7">
    <w:name w:val="toc 7"/>
    <w:basedOn w:val="Normal"/>
    <w:next w:val="Normal"/>
    <w:autoRedefine/>
    <w:uiPriority w:val="39"/>
    <w:semiHidden/>
    <w:unhideWhenUsed/>
    <w:rsid w:val="00ED2A19"/>
    <w:pPr>
      <w:spacing w:after="0"/>
      <w:ind w:left="1320"/>
    </w:pPr>
    <w:rPr>
      <w:rFonts w:cstheme="minorHAnsi"/>
      <w:sz w:val="18"/>
      <w:szCs w:val="18"/>
    </w:rPr>
  </w:style>
  <w:style w:type="paragraph" w:styleId="TOC8">
    <w:name w:val="toc 8"/>
    <w:basedOn w:val="Normal"/>
    <w:next w:val="Normal"/>
    <w:autoRedefine/>
    <w:uiPriority w:val="39"/>
    <w:semiHidden/>
    <w:unhideWhenUsed/>
    <w:rsid w:val="00ED2A19"/>
    <w:pPr>
      <w:spacing w:after="0"/>
      <w:ind w:left="1540"/>
    </w:pPr>
    <w:rPr>
      <w:rFonts w:cstheme="minorHAnsi"/>
      <w:sz w:val="18"/>
      <w:szCs w:val="18"/>
    </w:rPr>
  </w:style>
  <w:style w:type="paragraph" w:styleId="TOC9">
    <w:name w:val="toc 9"/>
    <w:basedOn w:val="Normal"/>
    <w:next w:val="Normal"/>
    <w:autoRedefine/>
    <w:uiPriority w:val="39"/>
    <w:semiHidden/>
    <w:unhideWhenUsed/>
    <w:rsid w:val="00ED2A19"/>
    <w:pPr>
      <w:spacing w:after="0"/>
      <w:ind w:left="1760"/>
    </w:pPr>
    <w:rPr>
      <w:rFonts w:cstheme="minorHAnsi"/>
      <w:sz w:val="18"/>
      <w:szCs w:val="18"/>
    </w:rPr>
  </w:style>
  <w:style w:type="character" w:customStyle="1" w:styleId="Heading3Char">
    <w:name w:val="Heading 3 Char"/>
    <w:basedOn w:val="DefaultParagraphFont"/>
    <w:link w:val="Heading3"/>
    <w:uiPriority w:val="9"/>
    <w:rsid w:val="0059635C"/>
    <w:rPr>
      <w:rFonts w:ascii="Arial" w:eastAsiaTheme="majorEastAsia" w:hAnsi="Arial" w:cstheme="majorBidi"/>
      <w:i/>
      <w:color w:val="000000" w:themeColor="text1"/>
      <w:sz w:val="24"/>
      <w:szCs w:val="24"/>
    </w:rPr>
  </w:style>
  <w:style w:type="character" w:customStyle="1" w:styleId="Heading4Char">
    <w:name w:val="Heading 4 Char"/>
    <w:basedOn w:val="DefaultParagraphFont"/>
    <w:link w:val="Heading4"/>
    <w:uiPriority w:val="9"/>
    <w:rsid w:val="00172454"/>
    <w:rPr>
      <w:rFonts w:ascii="Arial" w:eastAsiaTheme="majorEastAsia" w:hAnsi="Arial" w:cstheme="majorBidi"/>
      <w:i/>
      <w:iCs/>
      <w:color w:val="000000" w:themeColor="text1"/>
    </w:rPr>
  </w:style>
  <w:style w:type="character" w:customStyle="1" w:styleId="Heading7Char">
    <w:name w:val="Heading 7 Char"/>
    <w:basedOn w:val="DefaultParagraphFont"/>
    <w:link w:val="Heading7"/>
    <w:uiPriority w:val="9"/>
    <w:rsid w:val="00172454"/>
    <w:rPr>
      <w:rFonts w:asciiTheme="majorHAnsi" w:eastAsiaTheme="majorEastAsia" w:hAnsiTheme="majorHAnsi" w:cstheme="majorBidi"/>
      <w:i/>
      <w:iCs/>
      <w:color w:val="000000" w:themeColor="text1"/>
    </w:rPr>
  </w:style>
  <w:style w:type="character" w:customStyle="1" w:styleId="UnresolvedMention2">
    <w:name w:val="Unresolved Mention2"/>
    <w:basedOn w:val="DefaultParagraphFont"/>
    <w:uiPriority w:val="99"/>
    <w:semiHidden/>
    <w:unhideWhenUsed/>
    <w:rsid w:val="007A0DED"/>
    <w:rPr>
      <w:color w:val="808080"/>
      <w:shd w:val="clear" w:color="auto" w:fill="E6E6E6"/>
    </w:rPr>
  </w:style>
  <w:style w:type="character" w:styleId="Emphasis">
    <w:name w:val="Emphasis"/>
    <w:basedOn w:val="DefaultParagraphFont"/>
    <w:uiPriority w:val="20"/>
    <w:qFormat/>
    <w:rsid w:val="0052092D"/>
    <w:rPr>
      <w:i/>
      <w:iCs/>
    </w:rPr>
  </w:style>
  <w:style w:type="character" w:customStyle="1" w:styleId="UnresolvedMention">
    <w:name w:val="Unresolved Mention"/>
    <w:basedOn w:val="DefaultParagraphFont"/>
    <w:uiPriority w:val="99"/>
    <w:semiHidden/>
    <w:unhideWhenUsed/>
    <w:rsid w:val="009076E1"/>
    <w:rPr>
      <w:color w:val="808080"/>
      <w:shd w:val="clear" w:color="auto" w:fill="E6E6E6"/>
    </w:rPr>
  </w:style>
  <w:style w:type="table" w:styleId="TableGrid">
    <w:name w:val="Table Grid"/>
    <w:basedOn w:val="TableNormal"/>
    <w:uiPriority w:val="59"/>
    <w:rsid w:val="009C4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9C41D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8702">
      <w:bodyDiv w:val="1"/>
      <w:marLeft w:val="0"/>
      <w:marRight w:val="0"/>
      <w:marTop w:val="0"/>
      <w:marBottom w:val="0"/>
      <w:divBdr>
        <w:top w:val="none" w:sz="0" w:space="0" w:color="auto"/>
        <w:left w:val="none" w:sz="0" w:space="0" w:color="auto"/>
        <w:bottom w:val="none" w:sz="0" w:space="0" w:color="auto"/>
        <w:right w:val="none" w:sz="0" w:space="0" w:color="auto"/>
      </w:divBdr>
      <w:divsChild>
        <w:div w:id="238367290">
          <w:marLeft w:val="0"/>
          <w:marRight w:val="0"/>
          <w:marTop w:val="0"/>
          <w:marBottom w:val="0"/>
          <w:divBdr>
            <w:top w:val="none" w:sz="0" w:space="0" w:color="auto"/>
            <w:left w:val="none" w:sz="0" w:space="0" w:color="auto"/>
            <w:bottom w:val="none" w:sz="0" w:space="0" w:color="auto"/>
            <w:right w:val="none" w:sz="0" w:space="0" w:color="auto"/>
          </w:divBdr>
        </w:div>
      </w:divsChild>
    </w:div>
    <w:div w:id="43255594">
      <w:bodyDiv w:val="1"/>
      <w:marLeft w:val="0"/>
      <w:marRight w:val="0"/>
      <w:marTop w:val="0"/>
      <w:marBottom w:val="0"/>
      <w:divBdr>
        <w:top w:val="none" w:sz="0" w:space="0" w:color="auto"/>
        <w:left w:val="none" w:sz="0" w:space="0" w:color="auto"/>
        <w:bottom w:val="none" w:sz="0" w:space="0" w:color="auto"/>
        <w:right w:val="none" w:sz="0" w:space="0" w:color="auto"/>
      </w:divBdr>
    </w:div>
    <w:div w:id="168298138">
      <w:bodyDiv w:val="1"/>
      <w:marLeft w:val="0"/>
      <w:marRight w:val="0"/>
      <w:marTop w:val="0"/>
      <w:marBottom w:val="0"/>
      <w:divBdr>
        <w:top w:val="none" w:sz="0" w:space="0" w:color="auto"/>
        <w:left w:val="none" w:sz="0" w:space="0" w:color="auto"/>
        <w:bottom w:val="none" w:sz="0" w:space="0" w:color="auto"/>
        <w:right w:val="none" w:sz="0" w:space="0" w:color="auto"/>
      </w:divBdr>
    </w:div>
    <w:div w:id="262956354">
      <w:bodyDiv w:val="1"/>
      <w:marLeft w:val="0"/>
      <w:marRight w:val="0"/>
      <w:marTop w:val="0"/>
      <w:marBottom w:val="0"/>
      <w:divBdr>
        <w:top w:val="none" w:sz="0" w:space="0" w:color="auto"/>
        <w:left w:val="none" w:sz="0" w:space="0" w:color="auto"/>
        <w:bottom w:val="none" w:sz="0" w:space="0" w:color="auto"/>
        <w:right w:val="none" w:sz="0" w:space="0" w:color="auto"/>
      </w:divBdr>
    </w:div>
    <w:div w:id="336809797">
      <w:bodyDiv w:val="1"/>
      <w:marLeft w:val="0"/>
      <w:marRight w:val="0"/>
      <w:marTop w:val="0"/>
      <w:marBottom w:val="0"/>
      <w:divBdr>
        <w:top w:val="none" w:sz="0" w:space="0" w:color="auto"/>
        <w:left w:val="none" w:sz="0" w:space="0" w:color="auto"/>
        <w:bottom w:val="none" w:sz="0" w:space="0" w:color="auto"/>
        <w:right w:val="none" w:sz="0" w:space="0" w:color="auto"/>
      </w:divBdr>
      <w:divsChild>
        <w:div w:id="327095598">
          <w:marLeft w:val="0"/>
          <w:marRight w:val="0"/>
          <w:marTop w:val="0"/>
          <w:marBottom w:val="0"/>
          <w:divBdr>
            <w:top w:val="none" w:sz="0" w:space="0" w:color="auto"/>
            <w:left w:val="none" w:sz="0" w:space="0" w:color="auto"/>
            <w:bottom w:val="none" w:sz="0" w:space="0" w:color="auto"/>
            <w:right w:val="none" w:sz="0" w:space="0" w:color="auto"/>
          </w:divBdr>
        </w:div>
      </w:divsChild>
    </w:div>
    <w:div w:id="362635930">
      <w:bodyDiv w:val="1"/>
      <w:marLeft w:val="0"/>
      <w:marRight w:val="0"/>
      <w:marTop w:val="0"/>
      <w:marBottom w:val="0"/>
      <w:divBdr>
        <w:top w:val="none" w:sz="0" w:space="0" w:color="auto"/>
        <w:left w:val="none" w:sz="0" w:space="0" w:color="auto"/>
        <w:bottom w:val="none" w:sz="0" w:space="0" w:color="auto"/>
        <w:right w:val="none" w:sz="0" w:space="0" w:color="auto"/>
      </w:divBdr>
    </w:div>
    <w:div w:id="363412339">
      <w:bodyDiv w:val="1"/>
      <w:marLeft w:val="0"/>
      <w:marRight w:val="0"/>
      <w:marTop w:val="0"/>
      <w:marBottom w:val="0"/>
      <w:divBdr>
        <w:top w:val="none" w:sz="0" w:space="0" w:color="auto"/>
        <w:left w:val="none" w:sz="0" w:space="0" w:color="auto"/>
        <w:bottom w:val="none" w:sz="0" w:space="0" w:color="auto"/>
        <w:right w:val="none" w:sz="0" w:space="0" w:color="auto"/>
      </w:divBdr>
    </w:div>
    <w:div w:id="366418309">
      <w:bodyDiv w:val="1"/>
      <w:marLeft w:val="0"/>
      <w:marRight w:val="0"/>
      <w:marTop w:val="0"/>
      <w:marBottom w:val="0"/>
      <w:divBdr>
        <w:top w:val="none" w:sz="0" w:space="0" w:color="auto"/>
        <w:left w:val="none" w:sz="0" w:space="0" w:color="auto"/>
        <w:bottom w:val="none" w:sz="0" w:space="0" w:color="auto"/>
        <w:right w:val="none" w:sz="0" w:space="0" w:color="auto"/>
      </w:divBdr>
    </w:div>
    <w:div w:id="379986140">
      <w:bodyDiv w:val="1"/>
      <w:marLeft w:val="0"/>
      <w:marRight w:val="0"/>
      <w:marTop w:val="0"/>
      <w:marBottom w:val="0"/>
      <w:divBdr>
        <w:top w:val="none" w:sz="0" w:space="0" w:color="auto"/>
        <w:left w:val="none" w:sz="0" w:space="0" w:color="auto"/>
        <w:bottom w:val="none" w:sz="0" w:space="0" w:color="auto"/>
        <w:right w:val="none" w:sz="0" w:space="0" w:color="auto"/>
      </w:divBdr>
    </w:div>
    <w:div w:id="426266347">
      <w:bodyDiv w:val="1"/>
      <w:marLeft w:val="0"/>
      <w:marRight w:val="0"/>
      <w:marTop w:val="0"/>
      <w:marBottom w:val="0"/>
      <w:divBdr>
        <w:top w:val="none" w:sz="0" w:space="0" w:color="auto"/>
        <w:left w:val="none" w:sz="0" w:space="0" w:color="auto"/>
        <w:bottom w:val="none" w:sz="0" w:space="0" w:color="auto"/>
        <w:right w:val="none" w:sz="0" w:space="0" w:color="auto"/>
      </w:divBdr>
    </w:div>
    <w:div w:id="432752073">
      <w:bodyDiv w:val="1"/>
      <w:marLeft w:val="0"/>
      <w:marRight w:val="0"/>
      <w:marTop w:val="0"/>
      <w:marBottom w:val="0"/>
      <w:divBdr>
        <w:top w:val="none" w:sz="0" w:space="0" w:color="auto"/>
        <w:left w:val="none" w:sz="0" w:space="0" w:color="auto"/>
        <w:bottom w:val="none" w:sz="0" w:space="0" w:color="auto"/>
        <w:right w:val="none" w:sz="0" w:space="0" w:color="auto"/>
      </w:divBdr>
    </w:div>
    <w:div w:id="450975581">
      <w:bodyDiv w:val="1"/>
      <w:marLeft w:val="0"/>
      <w:marRight w:val="0"/>
      <w:marTop w:val="0"/>
      <w:marBottom w:val="0"/>
      <w:divBdr>
        <w:top w:val="none" w:sz="0" w:space="0" w:color="auto"/>
        <w:left w:val="none" w:sz="0" w:space="0" w:color="auto"/>
        <w:bottom w:val="none" w:sz="0" w:space="0" w:color="auto"/>
        <w:right w:val="none" w:sz="0" w:space="0" w:color="auto"/>
      </w:divBdr>
    </w:div>
    <w:div w:id="456682233">
      <w:bodyDiv w:val="1"/>
      <w:marLeft w:val="0"/>
      <w:marRight w:val="0"/>
      <w:marTop w:val="0"/>
      <w:marBottom w:val="0"/>
      <w:divBdr>
        <w:top w:val="none" w:sz="0" w:space="0" w:color="auto"/>
        <w:left w:val="none" w:sz="0" w:space="0" w:color="auto"/>
        <w:bottom w:val="none" w:sz="0" w:space="0" w:color="auto"/>
        <w:right w:val="none" w:sz="0" w:space="0" w:color="auto"/>
      </w:divBdr>
    </w:div>
    <w:div w:id="475877996">
      <w:bodyDiv w:val="1"/>
      <w:marLeft w:val="0"/>
      <w:marRight w:val="0"/>
      <w:marTop w:val="0"/>
      <w:marBottom w:val="0"/>
      <w:divBdr>
        <w:top w:val="none" w:sz="0" w:space="0" w:color="auto"/>
        <w:left w:val="none" w:sz="0" w:space="0" w:color="auto"/>
        <w:bottom w:val="none" w:sz="0" w:space="0" w:color="auto"/>
        <w:right w:val="none" w:sz="0" w:space="0" w:color="auto"/>
      </w:divBdr>
      <w:divsChild>
        <w:div w:id="160702233">
          <w:marLeft w:val="0"/>
          <w:marRight w:val="0"/>
          <w:marTop w:val="0"/>
          <w:marBottom w:val="0"/>
          <w:divBdr>
            <w:top w:val="none" w:sz="0" w:space="0" w:color="auto"/>
            <w:left w:val="none" w:sz="0" w:space="0" w:color="auto"/>
            <w:bottom w:val="none" w:sz="0" w:space="0" w:color="auto"/>
            <w:right w:val="none" w:sz="0" w:space="0" w:color="auto"/>
          </w:divBdr>
          <w:divsChild>
            <w:div w:id="1415668937">
              <w:marLeft w:val="0"/>
              <w:marRight w:val="0"/>
              <w:marTop w:val="0"/>
              <w:marBottom w:val="0"/>
              <w:divBdr>
                <w:top w:val="none" w:sz="0" w:space="0" w:color="auto"/>
                <w:left w:val="none" w:sz="0" w:space="0" w:color="auto"/>
                <w:bottom w:val="none" w:sz="0" w:space="0" w:color="auto"/>
                <w:right w:val="none" w:sz="0" w:space="0" w:color="auto"/>
              </w:divBdr>
              <w:divsChild>
                <w:div w:id="1602564035">
                  <w:marLeft w:val="0"/>
                  <w:marRight w:val="0"/>
                  <w:marTop w:val="0"/>
                  <w:marBottom w:val="0"/>
                  <w:divBdr>
                    <w:top w:val="none" w:sz="0" w:space="0" w:color="auto"/>
                    <w:left w:val="none" w:sz="0" w:space="0" w:color="auto"/>
                    <w:bottom w:val="none" w:sz="0" w:space="0" w:color="auto"/>
                    <w:right w:val="none" w:sz="0" w:space="0" w:color="auto"/>
                  </w:divBdr>
                  <w:divsChild>
                    <w:div w:id="148662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315160">
      <w:bodyDiv w:val="1"/>
      <w:marLeft w:val="0"/>
      <w:marRight w:val="0"/>
      <w:marTop w:val="0"/>
      <w:marBottom w:val="0"/>
      <w:divBdr>
        <w:top w:val="none" w:sz="0" w:space="0" w:color="auto"/>
        <w:left w:val="none" w:sz="0" w:space="0" w:color="auto"/>
        <w:bottom w:val="none" w:sz="0" w:space="0" w:color="auto"/>
        <w:right w:val="none" w:sz="0" w:space="0" w:color="auto"/>
      </w:divBdr>
    </w:div>
    <w:div w:id="559368663">
      <w:bodyDiv w:val="1"/>
      <w:marLeft w:val="0"/>
      <w:marRight w:val="0"/>
      <w:marTop w:val="0"/>
      <w:marBottom w:val="0"/>
      <w:divBdr>
        <w:top w:val="none" w:sz="0" w:space="0" w:color="auto"/>
        <w:left w:val="none" w:sz="0" w:space="0" w:color="auto"/>
        <w:bottom w:val="none" w:sz="0" w:space="0" w:color="auto"/>
        <w:right w:val="none" w:sz="0" w:space="0" w:color="auto"/>
      </w:divBdr>
    </w:div>
    <w:div w:id="586574545">
      <w:bodyDiv w:val="1"/>
      <w:marLeft w:val="0"/>
      <w:marRight w:val="0"/>
      <w:marTop w:val="0"/>
      <w:marBottom w:val="0"/>
      <w:divBdr>
        <w:top w:val="none" w:sz="0" w:space="0" w:color="auto"/>
        <w:left w:val="none" w:sz="0" w:space="0" w:color="auto"/>
        <w:bottom w:val="none" w:sz="0" w:space="0" w:color="auto"/>
        <w:right w:val="none" w:sz="0" w:space="0" w:color="auto"/>
      </w:divBdr>
    </w:div>
    <w:div w:id="608708481">
      <w:bodyDiv w:val="1"/>
      <w:marLeft w:val="0"/>
      <w:marRight w:val="0"/>
      <w:marTop w:val="0"/>
      <w:marBottom w:val="0"/>
      <w:divBdr>
        <w:top w:val="none" w:sz="0" w:space="0" w:color="auto"/>
        <w:left w:val="none" w:sz="0" w:space="0" w:color="auto"/>
        <w:bottom w:val="none" w:sz="0" w:space="0" w:color="auto"/>
        <w:right w:val="none" w:sz="0" w:space="0" w:color="auto"/>
      </w:divBdr>
    </w:div>
    <w:div w:id="622154632">
      <w:bodyDiv w:val="1"/>
      <w:marLeft w:val="0"/>
      <w:marRight w:val="0"/>
      <w:marTop w:val="0"/>
      <w:marBottom w:val="0"/>
      <w:divBdr>
        <w:top w:val="none" w:sz="0" w:space="0" w:color="auto"/>
        <w:left w:val="none" w:sz="0" w:space="0" w:color="auto"/>
        <w:bottom w:val="none" w:sz="0" w:space="0" w:color="auto"/>
        <w:right w:val="none" w:sz="0" w:space="0" w:color="auto"/>
      </w:divBdr>
      <w:divsChild>
        <w:div w:id="1443457561">
          <w:marLeft w:val="0"/>
          <w:marRight w:val="0"/>
          <w:marTop w:val="0"/>
          <w:marBottom w:val="48"/>
          <w:divBdr>
            <w:top w:val="none" w:sz="0" w:space="0" w:color="auto"/>
            <w:left w:val="none" w:sz="0" w:space="0" w:color="auto"/>
            <w:bottom w:val="none" w:sz="0" w:space="0" w:color="auto"/>
            <w:right w:val="none" w:sz="0" w:space="0" w:color="auto"/>
          </w:divBdr>
        </w:div>
        <w:div w:id="1855000738">
          <w:marLeft w:val="0"/>
          <w:marRight w:val="0"/>
          <w:marTop w:val="0"/>
          <w:marBottom w:val="48"/>
          <w:divBdr>
            <w:top w:val="none" w:sz="0" w:space="0" w:color="auto"/>
            <w:left w:val="none" w:sz="0" w:space="0" w:color="auto"/>
            <w:bottom w:val="none" w:sz="0" w:space="0" w:color="auto"/>
            <w:right w:val="none" w:sz="0" w:space="0" w:color="auto"/>
          </w:divBdr>
        </w:div>
      </w:divsChild>
    </w:div>
    <w:div w:id="636184519">
      <w:bodyDiv w:val="1"/>
      <w:marLeft w:val="0"/>
      <w:marRight w:val="0"/>
      <w:marTop w:val="0"/>
      <w:marBottom w:val="0"/>
      <w:divBdr>
        <w:top w:val="none" w:sz="0" w:space="0" w:color="auto"/>
        <w:left w:val="none" w:sz="0" w:space="0" w:color="auto"/>
        <w:bottom w:val="none" w:sz="0" w:space="0" w:color="auto"/>
        <w:right w:val="none" w:sz="0" w:space="0" w:color="auto"/>
      </w:divBdr>
    </w:div>
    <w:div w:id="649597182">
      <w:bodyDiv w:val="1"/>
      <w:marLeft w:val="0"/>
      <w:marRight w:val="0"/>
      <w:marTop w:val="0"/>
      <w:marBottom w:val="0"/>
      <w:divBdr>
        <w:top w:val="none" w:sz="0" w:space="0" w:color="auto"/>
        <w:left w:val="none" w:sz="0" w:space="0" w:color="auto"/>
        <w:bottom w:val="none" w:sz="0" w:space="0" w:color="auto"/>
        <w:right w:val="none" w:sz="0" w:space="0" w:color="auto"/>
      </w:divBdr>
    </w:div>
    <w:div w:id="672609934">
      <w:bodyDiv w:val="1"/>
      <w:marLeft w:val="0"/>
      <w:marRight w:val="0"/>
      <w:marTop w:val="0"/>
      <w:marBottom w:val="0"/>
      <w:divBdr>
        <w:top w:val="none" w:sz="0" w:space="0" w:color="auto"/>
        <w:left w:val="none" w:sz="0" w:space="0" w:color="auto"/>
        <w:bottom w:val="none" w:sz="0" w:space="0" w:color="auto"/>
        <w:right w:val="none" w:sz="0" w:space="0" w:color="auto"/>
      </w:divBdr>
    </w:div>
    <w:div w:id="673146877">
      <w:bodyDiv w:val="1"/>
      <w:marLeft w:val="0"/>
      <w:marRight w:val="0"/>
      <w:marTop w:val="0"/>
      <w:marBottom w:val="0"/>
      <w:divBdr>
        <w:top w:val="none" w:sz="0" w:space="0" w:color="auto"/>
        <w:left w:val="none" w:sz="0" w:space="0" w:color="auto"/>
        <w:bottom w:val="none" w:sz="0" w:space="0" w:color="auto"/>
        <w:right w:val="none" w:sz="0" w:space="0" w:color="auto"/>
      </w:divBdr>
    </w:div>
    <w:div w:id="674308897">
      <w:bodyDiv w:val="1"/>
      <w:marLeft w:val="0"/>
      <w:marRight w:val="0"/>
      <w:marTop w:val="0"/>
      <w:marBottom w:val="0"/>
      <w:divBdr>
        <w:top w:val="none" w:sz="0" w:space="0" w:color="auto"/>
        <w:left w:val="none" w:sz="0" w:space="0" w:color="auto"/>
        <w:bottom w:val="none" w:sz="0" w:space="0" w:color="auto"/>
        <w:right w:val="none" w:sz="0" w:space="0" w:color="auto"/>
      </w:divBdr>
    </w:div>
    <w:div w:id="755130828">
      <w:bodyDiv w:val="1"/>
      <w:marLeft w:val="0"/>
      <w:marRight w:val="0"/>
      <w:marTop w:val="0"/>
      <w:marBottom w:val="0"/>
      <w:divBdr>
        <w:top w:val="none" w:sz="0" w:space="0" w:color="auto"/>
        <w:left w:val="none" w:sz="0" w:space="0" w:color="auto"/>
        <w:bottom w:val="none" w:sz="0" w:space="0" w:color="auto"/>
        <w:right w:val="none" w:sz="0" w:space="0" w:color="auto"/>
      </w:divBdr>
    </w:div>
    <w:div w:id="755975002">
      <w:bodyDiv w:val="1"/>
      <w:marLeft w:val="0"/>
      <w:marRight w:val="0"/>
      <w:marTop w:val="0"/>
      <w:marBottom w:val="0"/>
      <w:divBdr>
        <w:top w:val="none" w:sz="0" w:space="0" w:color="auto"/>
        <w:left w:val="none" w:sz="0" w:space="0" w:color="auto"/>
        <w:bottom w:val="none" w:sz="0" w:space="0" w:color="auto"/>
        <w:right w:val="none" w:sz="0" w:space="0" w:color="auto"/>
      </w:divBdr>
    </w:div>
    <w:div w:id="784270214">
      <w:bodyDiv w:val="1"/>
      <w:marLeft w:val="0"/>
      <w:marRight w:val="0"/>
      <w:marTop w:val="0"/>
      <w:marBottom w:val="0"/>
      <w:divBdr>
        <w:top w:val="none" w:sz="0" w:space="0" w:color="auto"/>
        <w:left w:val="none" w:sz="0" w:space="0" w:color="auto"/>
        <w:bottom w:val="none" w:sz="0" w:space="0" w:color="auto"/>
        <w:right w:val="none" w:sz="0" w:space="0" w:color="auto"/>
      </w:divBdr>
    </w:div>
    <w:div w:id="869415267">
      <w:bodyDiv w:val="1"/>
      <w:marLeft w:val="0"/>
      <w:marRight w:val="0"/>
      <w:marTop w:val="0"/>
      <w:marBottom w:val="0"/>
      <w:divBdr>
        <w:top w:val="none" w:sz="0" w:space="0" w:color="auto"/>
        <w:left w:val="none" w:sz="0" w:space="0" w:color="auto"/>
        <w:bottom w:val="none" w:sz="0" w:space="0" w:color="auto"/>
        <w:right w:val="none" w:sz="0" w:space="0" w:color="auto"/>
      </w:divBdr>
      <w:divsChild>
        <w:div w:id="1668901149">
          <w:marLeft w:val="0"/>
          <w:marRight w:val="0"/>
          <w:marTop w:val="0"/>
          <w:marBottom w:val="48"/>
          <w:divBdr>
            <w:top w:val="none" w:sz="0" w:space="0" w:color="auto"/>
            <w:left w:val="none" w:sz="0" w:space="0" w:color="auto"/>
            <w:bottom w:val="none" w:sz="0" w:space="0" w:color="auto"/>
            <w:right w:val="none" w:sz="0" w:space="0" w:color="auto"/>
          </w:divBdr>
        </w:div>
        <w:div w:id="853038190">
          <w:marLeft w:val="0"/>
          <w:marRight w:val="0"/>
          <w:marTop w:val="0"/>
          <w:marBottom w:val="48"/>
          <w:divBdr>
            <w:top w:val="none" w:sz="0" w:space="0" w:color="auto"/>
            <w:left w:val="none" w:sz="0" w:space="0" w:color="auto"/>
            <w:bottom w:val="none" w:sz="0" w:space="0" w:color="auto"/>
            <w:right w:val="none" w:sz="0" w:space="0" w:color="auto"/>
          </w:divBdr>
        </w:div>
      </w:divsChild>
    </w:div>
    <w:div w:id="962813250">
      <w:bodyDiv w:val="1"/>
      <w:marLeft w:val="0"/>
      <w:marRight w:val="0"/>
      <w:marTop w:val="0"/>
      <w:marBottom w:val="0"/>
      <w:divBdr>
        <w:top w:val="none" w:sz="0" w:space="0" w:color="auto"/>
        <w:left w:val="none" w:sz="0" w:space="0" w:color="auto"/>
        <w:bottom w:val="none" w:sz="0" w:space="0" w:color="auto"/>
        <w:right w:val="none" w:sz="0" w:space="0" w:color="auto"/>
      </w:divBdr>
    </w:div>
    <w:div w:id="974457071">
      <w:bodyDiv w:val="1"/>
      <w:marLeft w:val="0"/>
      <w:marRight w:val="0"/>
      <w:marTop w:val="0"/>
      <w:marBottom w:val="0"/>
      <w:divBdr>
        <w:top w:val="none" w:sz="0" w:space="0" w:color="auto"/>
        <w:left w:val="none" w:sz="0" w:space="0" w:color="auto"/>
        <w:bottom w:val="none" w:sz="0" w:space="0" w:color="auto"/>
        <w:right w:val="none" w:sz="0" w:space="0" w:color="auto"/>
      </w:divBdr>
    </w:div>
    <w:div w:id="1024674636">
      <w:bodyDiv w:val="1"/>
      <w:marLeft w:val="0"/>
      <w:marRight w:val="0"/>
      <w:marTop w:val="0"/>
      <w:marBottom w:val="0"/>
      <w:divBdr>
        <w:top w:val="none" w:sz="0" w:space="0" w:color="auto"/>
        <w:left w:val="none" w:sz="0" w:space="0" w:color="auto"/>
        <w:bottom w:val="none" w:sz="0" w:space="0" w:color="auto"/>
        <w:right w:val="none" w:sz="0" w:space="0" w:color="auto"/>
      </w:divBdr>
    </w:div>
    <w:div w:id="1082528546">
      <w:bodyDiv w:val="1"/>
      <w:marLeft w:val="0"/>
      <w:marRight w:val="0"/>
      <w:marTop w:val="0"/>
      <w:marBottom w:val="0"/>
      <w:divBdr>
        <w:top w:val="none" w:sz="0" w:space="0" w:color="auto"/>
        <w:left w:val="none" w:sz="0" w:space="0" w:color="auto"/>
        <w:bottom w:val="none" w:sz="0" w:space="0" w:color="auto"/>
        <w:right w:val="none" w:sz="0" w:space="0" w:color="auto"/>
      </w:divBdr>
    </w:div>
    <w:div w:id="1203325154">
      <w:bodyDiv w:val="1"/>
      <w:marLeft w:val="0"/>
      <w:marRight w:val="0"/>
      <w:marTop w:val="0"/>
      <w:marBottom w:val="0"/>
      <w:divBdr>
        <w:top w:val="none" w:sz="0" w:space="0" w:color="auto"/>
        <w:left w:val="none" w:sz="0" w:space="0" w:color="auto"/>
        <w:bottom w:val="none" w:sz="0" w:space="0" w:color="auto"/>
        <w:right w:val="none" w:sz="0" w:space="0" w:color="auto"/>
      </w:divBdr>
    </w:div>
    <w:div w:id="1233855214">
      <w:bodyDiv w:val="1"/>
      <w:marLeft w:val="0"/>
      <w:marRight w:val="0"/>
      <w:marTop w:val="0"/>
      <w:marBottom w:val="0"/>
      <w:divBdr>
        <w:top w:val="none" w:sz="0" w:space="0" w:color="auto"/>
        <w:left w:val="none" w:sz="0" w:space="0" w:color="auto"/>
        <w:bottom w:val="none" w:sz="0" w:space="0" w:color="auto"/>
        <w:right w:val="none" w:sz="0" w:space="0" w:color="auto"/>
      </w:divBdr>
    </w:div>
    <w:div w:id="1243294905">
      <w:bodyDiv w:val="1"/>
      <w:marLeft w:val="0"/>
      <w:marRight w:val="0"/>
      <w:marTop w:val="0"/>
      <w:marBottom w:val="0"/>
      <w:divBdr>
        <w:top w:val="none" w:sz="0" w:space="0" w:color="auto"/>
        <w:left w:val="none" w:sz="0" w:space="0" w:color="auto"/>
        <w:bottom w:val="none" w:sz="0" w:space="0" w:color="auto"/>
        <w:right w:val="none" w:sz="0" w:space="0" w:color="auto"/>
      </w:divBdr>
    </w:div>
    <w:div w:id="1281034181">
      <w:bodyDiv w:val="1"/>
      <w:marLeft w:val="0"/>
      <w:marRight w:val="0"/>
      <w:marTop w:val="0"/>
      <w:marBottom w:val="0"/>
      <w:divBdr>
        <w:top w:val="none" w:sz="0" w:space="0" w:color="auto"/>
        <w:left w:val="none" w:sz="0" w:space="0" w:color="auto"/>
        <w:bottom w:val="none" w:sz="0" w:space="0" w:color="auto"/>
        <w:right w:val="none" w:sz="0" w:space="0" w:color="auto"/>
      </w:divBdr>
    </w:div>
    <w:div w:id="1284195980">
      <w:bodyDiv w:val="1"/>
      <w:marLeft w:val="0"/>
      <w:marRight w:val="0"/>
      <w:marTop w:val="0"/>
      <w:marBottom w:val="0"/>
      <w:divBdr>
        <w:top w:val="none" w:sz="0" w:space="0" w:color="auto"/>
        <w:left w:val="none" w:sz="0" w:space="0" w:color="auto"/>
        <w:bottom w:val="none" w:sz="0" w:space="0" w:color="auto"/>
        <w:right w:val="none" w:sz="0" w:space="0" w:color="auto"/>
      </w:divBdr>
    </w:div>
    <w:div w:id="1308823023">
      <w:bodyDiv w:val="1"/>
      <w:marLeft w:val="0"/>
      <w:marRight w:val="0"/>
      <w:marTop w:val="0"/>
      <w:marBottom w:val="0"/>
      <w:divBdr>
        <w:top w:val="none" w:sz="0" w:space="0" w:color="auto"/>
        <w:left w:val="none" w:sz="0" w:space="0" w:color="auto"/>
        <w:bottom w:val="none" w:sz="0" w:space="0" w:color="auto"/>
        <w:right w:val="none" w:sz="0" w:space="0" w:color="auto"/>
      </w:divBdr>
    </w:div>
    <w:div w:id="1327855278">
      <w:bodyDiv w:val="1"/>
      <w:marLeft w:val="0"/>
      <w:marRight w:val="0"/>
      <w:marTop w:val="0"/>
      <w:marBottom w:val="0"/>
      <w:divBdr>
        <w:top w:val="none" w:sz="0" w:space="0" w:color="auto"/>
        <w:left w:val="none" w:sz="0" w:space="0" w:color="auto"/>
        <w:bottom w:val="none" w:sz="0" w:space="0" w:color="auto"/>
        <w:right w:val="none" w:sz="0" w:space="0" w:color="auto"/>
      </w:divBdr>
    </w:div>
    <w:div w:id="1328631093">
      <w:bodyDiv w:val="1"/>
      <w:marLeft w:val="0"/>
      <w:marRight w:val="0"/>
      <w:marTop w:val="0"/>
      <w:marBottom w:val="0"/>
      <w:divBdr>
        <w:top w:val="none" w:sz="0" w:space="0" w:color="auto"/>
        <w:left w:val="none" w:sz="0" w:space="0" w:color="auto"/>
        <w:bottom w:val="none" w:sz="0" w:space="0" w:color="auto"/>
        <w:right w:val="none" w:sz="0" w:space="0" w:color="auto"/>
      </w:divBdr>
    </w:div>
    <w:div w:id="1412776210">
      <w:bodyDiv w:val="1"/>
      <w:marLeft w:val="0"/>
      <w:marRight w:val="0"/>
      <w:marTop w:val="0"/>
      <w:marBottom w:val="0"/>
      <w:divBdr>
        <w:top w:val="none" w:sz="0" w:space="0" w:color="auto"/>
        <w:left w:val="none" w:sz="0" w:space="0" w:color="auto"/>
        <w:bottom w:val="none" w:sz="0" w:space="0" w:color="auto"/>
        <w:right w:val="none" w:sz="0" w:space="0" w:color="auto"/>
      </w:divBdr>
    </w:div>
    <w:div w:id="1460026579">
      <w:bodyDiv w:val="1"/>
      <w:marLeft w:val="0"/>
      <w:marRight w:val="0"/>
      <w:marTop w:val="0"/>
      <w:marBottom w:val="0"/>
      <w:divBdr>
        <w:top w:val="none" w:sz="0" w:space="0" w:color="auto"/>
        <w:left w:val="none" w:sz="0" w:space="0" w:color="auto"/>
        <w:bottom w:val="none" w:sz="0" w:space="0" w:color="auto"/>
        <w:right w:val="none" w:sz="0" w:space="0" w:color="auto"/>
      </w:divBdr>
    </w:div>
    <w:div w:id="1483307528">
      <w:bodyDiv w:val="1"/>
      <w:marLeft w:val="0"/>
      <w:marRight w:val="0"/>
      <w:marTop w:val="0"/>
      <w:marBottom w:val="0"/>
      <w:divBdr>
        <w:top w:val="none" w:sz="0" w:space="0" w:color="auto"/>
        <w:left w:val="none" w:sz="0" w:space="0" w:color="auto"/>
        <w:bottom w:val="none" w:sz="0" w:space="0" w:color="auto"/>
        <w:right w:val="none" w:sz="0" w:space="0" w:color="auto"/>
      </w:divBdr>
    </w:div>
    <w:div w:id="1536037669">
      <w:bodyDiv w:val="1"/>
      <w:marLeft w:val="0"/>
      <w:marRight w:val="0"/>
      <w:marTop w:val="0"/>
      <w:marBottom w:val="0"/>
      <w:divBdr>
        <w:top w:val="none" w:sz="0" w:space="0" w:color="auto"/>
        <w:left w:val="none" w:sz="0" w:space="0" w:color="auto"/>
        <w:bottom w:val="none" w:sz="0" w:space="0" w:color="auto"/>
        <w:right w:val="none" w:sz="0" w:space="0" w:color="auto"/>
      </w:divBdr>
    </w:div>
    <w:div w:id="1595162085">
      <w:bodyDiv w:val="1"/>
      <w:marLeft w:val="0"/>
      <w:marRight w:val="0"/>
      <w:marTop w:val="0"/>
      <w:marBottom w:val="0"/>
      <w:divBdr>
        <w:top w:val="none" w:sz="0" w:space="0" w:color="auto"/>
        <w:left w:val="none" w:sz="0" w:space="0" w:color="auto"/>
        <w:bottom w:val="none" w:sz="0" w:space="0" w:color="auto"/>
        <w:right w:val="none" w:sz="0" w:space="0" w:color="auto"/>
      </w:divBdr>
    </w:div>
    <w:div w:id="1619678543">
      <w:bodyDiv w:val="1"/>
      <w:marLeft w:val="0"/>
      <w:marRight w:val="0"/>
      <w:marTop w:val="0"/>
      <w:marBottom w:val="0"/>
      <w:divBdr>
        <w:top w:val="none" w:sz="0" w:space="0" w:color="auto"/>
        <w:left w:val="none" w:sz="0" w:space="0" w:color="auto"/>
        <w:bottom w:val="none" w:sz="0" w:space="0" w:color="auto"/>
        <w:right w:val="none" w:sz="0" w:space="0" w:color="auto"/>
      </w:divBdr>
    </w:div>
    <w:div w:id="1631210626">
      <w:bodyDiv w:val="1"/>
      <w:marLeft w:val="0"/>
      <w:marRight w:val="0"/>
      <w:marTop w:val="0"/>
      <w:marBottom w:val="0"/>
      <w:divBdr>
        <w:top w:val="none" w:sz="0" w:space="0" w:color="auto"/>
        <w:left w:val="none" w:sz="0" w:space="0" w:color="auto"/>
        <w:bottom w:val="none" w:sz="0" w:space="0" w:color="auto"/>
        <w:right w:val="none" w:sz="0" w:space="0" w:color="auto"/>
      </w:divBdr>
    </w:div>
    <w:div w:id="1632204726">
      <w:bodyDiv w:val="1"/>
      <w:marLeft w:val="0"/>
      <w:marRight w:val="0"/>
      <w:marTop w:val="0"/>
      <w:marBottom w:val="0"/>
      <w:divBdr>
        <w:top w:val="none" w:sz="0" w:space="0" w:color="auto"/>
        <w:left w:val="none" w:sz="0" w:space="0" w:color="auto"/>
        <w:bottom w:val="none" w:sz="0" w:space="0" w:color="auto"/>
        <w:right w:val="none" w:sz="0" w:space="0" w:color="auto"/>
      </w:divBdr>
    </w:div>
    <w:div w:id="1641615691">
      <w:bodyDiv w:val="1"/>
      <w:marLeft w:val="0"/>
      <w:marRight w:val="0"/>
      <w:marTop w:val="0"/>
      <w:marBottom w:val="0"/>
      <w:divBdr>
        <w:top w:val="none" w:sz="0" w:space="0" w:color="auto"/>
        <w:left w:val="none" w:sz="0" w:space="0" w:color="auto"/>
        <w:bottom w:val="none" w:sz="0" w:space="0" w:color="auto"/>
        <w:right w:val="none" w:sz="0" w:space="0" w:color="auto"/>
      </w:divBdr>
    </w:div>
    <w:div w:id="1665746522">
      <w:bodyDiv w:val="1"/>
      <w:marLeft w:val="0"/>
      <w:marRight w:val="0"/>
      <w:marTop w:val="0"/>
      <w:marBottom w:val="0"/>
      <w:divBdr>
        <w:top w:val="none" w:sz="0" w:space="0" w:color="auto"/>
        <w:left w:val="none" w:sz="0" w:space="0" w:color="auto"/>
        <w:bottom w:val="none" w:sz="0" w:space="0" w:color="auto"/>
        <w:right w:val="none" w:sz="0" w:space="0" w:color="auto"/>
      </w:divBdr>
    </w:div>
    <w:div w:id="1669795696">
      <w:bodyDiv w:val="1"/>
      <w:marLeft w:val="0"/>
      <w:marRight w:val="0"/>
      <w:marTop w:val="0"/>
      <w:marBottom w:val="0"/>
      <w:divBdr>
        <w:top w:val="none" w:sz="0" w:space="0" w:color="auto"/>
        <w:left w:val="none" w:sz="0" w:space="0" w:color="auto"/>
        <w:bottom w:val="none" w:sz="0" w:space="0" w:color="auto"/>
        <w:right w:val="none" w:sz="0" w:space="0" w:color="auto"/>
      </w:divBdr>
    </w:div>
    <w:div w:id="1676491152">
      <w:bodyDiv w:val="1"/>
      <w:marLeft w:val="0"/>
      <w:marRight w:val="0"/>
      <w:marTop w:val="0"/>
      <w:marBottom w:val="0"/>
      <w:divBdr>
        <w:top w:val="none" w:sz="0" w:space="0" w:color="auto"/>
        <w:left w:val="none" w:sz="0" w:space="0" w:color="auto"/>
        <w:bottom w:val="none" w:sz="0" w:space="0" w:color="auto"/>
        <w:right w:val="none" w:sz="0" w:space="0" w:color="auto"/>
      </w:divBdr>
    </w:div>
    <w:div w:id="1676571752">
      <w:bodyDiv w:val="1"/>
      <w:marLeft w:val="0"/>
      <w:marRight w:val="0"/>
      <w:marTop w:val="0"/>
      <w:marBottom w:val="0"/>
      <w:divBdr>
        <w:top w:val="none" w:sz="0" w:space="0" w:color="auto"/>
        <w:left w:val="none" w:sz="0" w:space="0" w:color="auto"/>
        <w:bottom w:val="none" w:sz="0" w:space="0" w:color="auto"/>
        <w:right w:val="none" w:sz="0" w:space="0" w:color="auto"/>
      </w:divBdr>
    </w:div>
    <w:div w:id="1697805507">
      <w:bodyDiv w:val="1"/>
      <w:marLeft w:val="0"/>
      <w:marRight w:val="0"/>
      <w:marTop w:val="0"/>
      <w:marBottom w:val="0"/>
      <w:divBdr>
        <w:top w:val="none" w:sz="0" w:space="0" w:color="auto"/>
        <w:left w:val="none" w:sz="0" w:space="0" w:color="auto"/>
        <w:bottom w:val="none" w:sz="0" w:space="0" w:color="auto"/>
        <w:right w:val="none" w:sz="0" w:space="0" w:color="auto"/>
      </w:divBdr>
    </w:div>
    <w:div w:id="1783189609">
      <w:bodyDiv w:val="1"/>
      <w:marLeft w:val="0"/>
      <w:marRight w:val="0"/>
      <w:marTop w:val="0"/>
      <w:marBottom w:val="0"/>
      <w:divBdr>
        <w:top w:val="none" w:sz="0" w:space="0" w:color="auto"/>
        <w:left w:val="none" w:sz="0" w:space="0" w:color="auto"/>
        <w:bottom w:val="none" w:sz="0" w:space="0" w:color="auto"/>
        <w:right w:val="none" w:sz="0" w:space="0" w:color="auto"/>
      </w:divBdr>
    </w:div>
    <w:div w:id="1796488182">
      <w:bodyDiv w:val="1"/>
      <w:marLeft w:val="0"/>
      <w:marRight w:val="0"/>
      <w:marTop w:val="0"/>
      <w:marBottom w:val="0"/>
      <w:divBdr>
        <w:top w:val="none" w:sz="0" w:space="0" w:color="auto"/>
        <w:left w:val="none" w:sz="0" w:space="0" w:color="auto"/>
        <w:bottom w:val="none" w:sz="0" w:space="0" w:color="auto"/>
        <w:right w:val="none" w:sz="0" w:space="0" w:color="auto"/>
      </w:divBdr>
      <w:divsChild>
        <w:div w:id="598636969">
          <w:marLeft w:val="0"/>
          <w:marRight w:val="0"/>
          <w:marTop w:val="0"/>
          <w:marBottom w:val="0"/>
          <w:divBdr>
            <w:top w:val="none" w:sz="0" w:space="0" w:color="auto"/>
            <w:left w:val="none" w:sz="0" w:space="0" w:color="auto"/>
            <w:bottom w:val="none" w:sz="0" w:space="0" w:color="auto"/>
            <w:right w:val="none" w:sz="0" w:space="0" w:color="auto"/>
          </w:divBdr>
        </w:div>
        <w:div w:id="80562934">
          <w:marLeft w:val="0"/>
          <w:marRight w:val="0"/>
          <w:marTop w:val="0"/>
          <w:marBottom w:val="0"/>
          <w:divBdr>
            <w:top w:val="none" w:sz="0" w:space="0" w:color="auto"/>
            <w:left w:val="none" w:sz="0" w:space="0" w:color="auto"/>
            <w:bottom w:val="none" w:sz="0" w:space="0" w:color="auto"/>
            <w:right w:val="none" w:sz="0" w:space="0" w:color="auto"/>
          </w:divBdr>
        </w:div>
      </w:divsChild>
    </w:div>
    <w:div w:id="1803845040">
      <w:bodyDiv w:val="1"/>
      <w:marLeft w:val="0"/>
      <w:marRight w:val="0"/>
      <w:marTop w:val="0"/>
      <w:marBottom w:val="0"/>
      <w:divBdr>
        <w:top w:val="none" w:sz="0" w:space="0" w:color="auto"/>
        <w:left w:val="none" w:sz="0" w:space="0" w:color="auto"/>
        <w:bottom w:val="none" w:sz="0" w:space="0" w:color="auto"/>
        <w:right w:val="none" w:sz="0" w:space="0" w:color="auto"/>
      </w:divBdr>
    </w:div>
    <w:div w:id="1806393230">
      <w:bodyDiv w:val="1"/>
      <w:marLeft w:val="0"/>
      <w:marRight w:val="0"/>
      <w:marTop w:val="0"/>
      <w:marBottom w:val="0"/>
      <w:divBdr>
        <w:top w:val="none" w:sz="0" w:space="0" w:color="auto"/>
        <w:left w:val="none" w:sz="0" w:space="0" w:color="auto"/>
        <w:bottom w:val="none" w:sz="0" w:space="0" w:color="auto"/>
        <w:right w:val="none" w:sz="0" w:space="0" w:color="auto"/>
      </w:divBdr>
    </w:div>
    <w:div w:id="1887989942">
      <w:bodyDiv w:val="1"/>
      <w:marLeft w:val="0"/>
      <w:marRight w:val="0"/>
      <w:marTop w:val="0"/>
      <w:marBottom w:val="0"/>
      <w:divBdr>
        <w:top w:val="none" w:sz="0" w:space="0" w:color="auto"/>
        <w:left w:val="none" w:sz="0" w:space="0" w:color="auto"/>
        <w:bottom w:val="none" w:sz="0" w:space="0" w:color="auto"/>
        <w:right w:val="none" w:sz="0" w:space="0" w:color="auto"/>
      </w:divBdr>
    </w:div>
    <w:div w:id="2019967427">
      <w:bodyDiv w:val="1"/>
      <w:marLeft w:val="0"/>
      <w:marRight w:val="0"/>
      <w:marTop w:val="0"/>
      <w:marBottom w:val="0"/>
      <w:divBdr>
        <w:top w:val="none" w:sz="0" w:space="0" w:color="auto"/>
        <w:left w:val="none" w:sz="0" w:space="0" w:color="auto"/>
        <w:bottom w:val="none" w:sz="0" w:space="0" w:color="auto"/>
        <w:right w:val="none" w:sz="0" w:space="0" w:color="auto"/>
      </w:divBdr>
    </w:div>
    <w:div w:id="2026860576">
      <w:bodyDiv w:val="1"/>
      <w:marLeft w:val="0"/>
      <w:marRight w:val="0"/>
      <w:marTop w:val="0"/>
      <w:marBottom w:val="0"/>
      <w:divBdr>
        <w:top w:val="none" w:sz="0" w:space="0" w:color="auto"/>
        <w:left w:val="none" w:sz="0" w:space="0" w:color="auto"/>
        <w:bottom w:val="none" w:sz="0" w:space="0" w:color="auto"/>
        <w:right w:val="none" w:sz="0" w:space="0" w:color="auto"/>
      </w:divBdr>
    </w:div>
    <w:div w:id="2043549339">
      <w:bodyDiv w:val="1"/>
      <w:marLeft w:val="0"/>
      <w:marRight w:val="0"/>
      <w:marTop w:val="0"/>
      <w:marBottom w:val="0"/>
      <w:divBdr>
        <w:top w:val="none" w:sz="0" w:space="0" w:color="auto"/>
        <w:left w:val="none" w:sz="0" w:space="0" w:color="auto"/>
        <w:bottom w:val="none" w:sz="0" w:space="0" w:color="auto"/>
        <w:right w:val="none" w:sz="0" w:space="0" w:color="auto"/>
      </w:divBdr>
    </w:div>
    <w:div w:id="213073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www.doe.mass.edu/sfs/lgbtq/"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mass.gov/cgly"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mass.gov/childadvocat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microsoft.com/office/2011/relationships/people" Target="people.xml"/><Relationship Id="rId5" Type="http://schemas.openxmlformats.org/officeDocument/2006/relationships/settings" Target="settings.xml"/><Relationship Id="rId15" Type="http://schemas.microsoft.com/office/2007/relationships/hdphoto" Target="media/hdphoto1.wdp"/><Relationship Id="rId10" Type="http://schemas.openxmlformats.org/officeDocument/2006/relationships/footer" Target="footer1.xml"/><Relationship Id="rId19" Type="http://schemas.openxmlformats.org/officeDocument/2006/relationships/hyperlink" Target="http://ma-lgbtq.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theme" Target="theme/theme1.xml"/><Relationship Id="rId27" Type="http://schemas.microsoft.com/office/2011/relationships/commentsExtended" Target="commentsExtended.xml"/></Relationships>
</file>

<file path=word/_rels/endnotes.xml.rels><?xml version="1.0" encoding="UTF-8" standalone="yes"?>
<Relationships xmlns="http://schemas.openxmlformats.org/package/2006/relationships"><Relationship Id="rId13" Type="http://schemas.openxmlformats.org/officeDocument/2006/relationships/hyperlink" Target="http://doi.org/10.1093/jurban/jti056" TargetMode="External"/><Relationship Id="rId18" Type="http://schemas.openxmlformats.org/officeDocument/2006/relationships/hyperlink" Target="http://www.nwnetwork.org/wp-content/uploads/2014/04/TWI-Access-%20toMentoring-Programs.pdf" TargetMode="External"/><Relationship Id="rId26" Type="http://schemas.openxmlformats.org/officeDocument/2006/relationships/hyperlink" Target="https://mcclellandinstitute.arizona.edu/sites/mcclellandinstitute.arizona.edu/files/ResearchLink_Vol.%204%20No.%201_Bullying.pdf" TargetMode="External"/><Relationship Id="rId39" Type="http://schemas.openxmlformats.org/officeDocument/2006/relationships/hyperlink" Target="https://www.bjs.gov/content/pub/pdf/urhuspj1112.pdf" TargetMode="External"/><Relationship Id="rId21" Type="http://schemas.openxmlformats.org/officeDocument/2006/relationships/hyperlink" Target="https://www.census.gov/content/dam/Census/library/publications/2015/demo/p60-252.pdf" TargetMode="External"/><Relationship Id="rId34" Type="http://schemas.openxmlformats.org/officeDocument/2006/relationships/hyperlink" Target="http://thepublicintellectual.org/2011/05/02/lgbt-kids-in-the-school-to-prison-pipeline/" TargetMode="External"/><Relationship Id="rId42" Type="http://schemas.openxmlformats.org/officeDocument/2006/relationships/hyperlink" Target="http://ucicorrections.seweb.uci.edu/files/2013/06/PREA_Presentation_PREA_Report_UCI_Jenness_et_al.pdf" TargetMode="External"/><Relationship Id="rId47" Type="http://schemas.openxmlformats.org/officeDocument/2006/relationships/hyperlink" Target="https://www.cdc.gov/mmwr/volumes/65/ss/ss6509a1.htm" TargetMode="External"/><Relationship Id="rId50" Type="http://schemas.openxmlformats.org/officeDocument/2006/relationships/hyperlink" Target="https://www.cdc.gov/hiv/library/dcl/dcl/092717.html" TargetMode="External"/><Relationship Id="rId55" Type="http://schemas.openxmlformats.org/officeDocument/2006/relationships/hyperlink" Target="http://www.thetaskforce.org/static_html/downloads/HomelessYouth.pdf" TargetMode="External"/><Relationship Id="rId63" Type="http://schemas.openxmlformats.org/officeDocument/2006/relationships/hyperlink" Target="http://www.gettingtozeroma.org/wp-content/uploads/2017/01/Getting-To-Zero-MA-Comprehensive-HIV-Plan_2016_v1.pdf" TargetMode="External"/><Relationship Id="rId68" Type="http://schemas.openxmlformats.org/officeDocument/2006/relationships/hyperlink" Target="http://williamsinstitute.law.ucla.edu/wp-content/uploads/LGB-Poverty-Update-Jun-2013.pdf" TargetMode="External"/><Relationship Id="rId76" Type="http://schemas.openxmlformats.org/officeDocument/2006/relationships/hyperlink" Target="http://www.bjs.gov/content/pub/pdf/svpjri1112.pdf" TargetMode="External"/><Relationship Id="rId84" Type="http://schemas.openxmlformats.org/officeDocument/2006/relationships/hyperlink" Target="http://www.ala.org/awardsgrants/rainbow-project-book-list" TargetMode="External"/><Relationship Id="rId89" Type="http://schemas.openxmlformats.org/officeDocument/2006/relationships/hyperlink" Target="https://www.hrc.org/resources/lgbt-professional-recruitment-events" TargetMode="External"/><Relationship Id="rId7" Type="http://schemas.openxmlformats.org/officeDocument/2006/relationships/hyperlink" Target="http://www.safeschoolscoalition.org/LGBTQhomelessFactSheetbyNAEH.pdf" TargetMode="External"/><Relationship Id="rId71" Type="http://schemas.openxmlformats.org/officeDocument/2006/relationships/hyperlink" Target="https://cdn.americanprogress.org/wp-content/uploads/2015/02/TransgenderHomeless-report2.pdf" TargetMode="External"/><Relationship Id="rId2" Type="http://schemas.openxmlformats.org/officeDocument/2006/relationships/hyperlink" Target="http://www.hrc.org/youth-report/supporting-and-caring-for-our-bisexual-youth" TargetMode="External"/><Relationship Id="rId16" Type="http://schemas.openxmlformats.org/officeDocument/2006/relationships/hyperlink" Target="http://salsa4.salsalabs.com/o/51618/p/dia/action4/common/public/?action_KEY=23855" TargetMode="External"/><Relationship Id="rId29" Type="http://schemas.openxmlformats.org/officeDocument/2006/relationships/hyperlink" Target="http://www.northeastern.edu/clms/wp-content/uploads/The_Consequences_of_Dropping_Out_of_High_School.pdf" TargetMode="External"/><Relationship Id="rId11" Type="http://schemas.openxmlformats.org/officeDocument/2006/relationships/hyperlink" Target="https://www.ncbi.nlm.nih.gov/pubmed/20799134" TargetMode="External"/><Relationship Id="rId24" Type="http://schemas.openxmlformats.org/officeDocument/2006/relationships/hyperlink" Target="https://www.ojjdp.gov/ojstatbb/crime/qa05101.asp" TargetMode="External"/><Relationship Id="rId32" Type="http://schemas.openxmlformats.org/officeDocument/2006/relationships/hyperlink" Target="http://www.glapn.org/sodomylaws/sensibilities/massachusetts.htm" TargetMode="External"/><Relationship Id="rId37" Type="http://schemas.openxmlformats.org/officeDocument/2006/relationships/hyperlink" Target="https://transequality.org/sites/default/files/docs/resources/PREA_July2012.pdf" TargetMode="External"/><Relationship Id="rId40" Type="http://schemas.openxmlformats.org/officeDocument/2006/relationships/hyperlink" Target="https://www.act4jj.org/sites/default/files/ckfinder/files/ACT4JJ%20Core%20Protection%20Jail%20Removal%20and%20Sight%20Sound%20Aug%202014%20FINAL.pdf" TargetMode="External"/><Relationship Id="rId45" Type="http://schemas.openxmlformats.org/officeDocument/2006/relationships/hyperlink" Target="https://www.cdc.gov/hiv/group/msm/bmsm.html" TargetMode="External"/><Relationship Id="rId53" Type="http://schemas.openxmlformats.org/officeDocument/2006/relationships/hyperlink" Target="http://www.doe.mass.edu/lawsregs/603cmr26.html" TargetMode="External"/><Relationship Id="rId58" Type="http://schemas.openxmlformats.org/officeDocument/2006/relationships/hyperlink" Target="http://blindlgbtpride.org/events/categories/upcoming/" TargetMode="External"/><Relationship Id="rId66" Type="http://schemas.openxmlformats.org/officeDocument/2006/relationships/hyperlink" Target="https://www.americanprogress.org/issues/lgbt/reports/2018/01/24/445308/serving-lgbtq-immigrants-building-welcoming-communities/" TargetMode="External"/><Relationship Id="rId74" Type="http://schemas.openxmlformats.org/officeDocument/2006/relationships/hyperlink" Target="http://campaignforyouthjustice.org/news/blog/item/young-queer-and-locked-up-lgbt-youth-in-the-adult-criminal-justice-system" TargetMode="External"/><Relationship Id="rId79" Type="http://schemas.openxmlformats.org/officeDocument/2006/relationships/hyperlink" Target="https://www.mass.gov/news/commission-testifies-on-id-access-for-the-homeless" TargetMode="External"/><Relationship Id="rId87" Type="http://schemas.openxmlformats.org/officeDocument/2006/relationships/hyperlink" Target="http://www.mahomeless.org/images/2017_Youth_Count_Report_-_Final.pdf" TargetMode="External"/><Relationship Id="rId5" Type="http://schemas.openxmlformats.org/officeDocument/2006/relationships/hyperlink" Target="https://williamsinstitute.law.ucla.edu/wp-content/uploads/Serving-Our-Youth-June-2015.pdf" TargetMode="External"/><Relationship Id="rId61" Type="http://schemas.openxmlformats.org/officeDocument/2006/relationships/hyperlink" Target="https://www.ncbi.nlm.nih.gov/pmc/articles/PMC3946790/" TargetMode="External"/><Relationship Id="rId82" Type="http://schemas.openxmlformats.org/officeDocument/2006/relationships/hyperlink" Target="https://www.mass.gov/news/commission-testifies-on-id-access-for-the-homeless" TargetMode="External"/><Relationship Id="rId90" Type="http://schemas.openxmlformats.org/officeDocument/2006/relationships/hyperlink" Target="http://labor.ny.gov/pressreleases/2013/june-4-2013.shtm" TargetMode="External"/><Relationship Id="rId19" Type="http://schemas.openxmlformats.org/officeDocument/2006/relationships/hyperlink" Target="http://www.blackandpink.org/wp-content/upLoads/Coming-Out-of-Concrete-Closets.-Black-and-Pink.-October-21-2015..pdf" TargetMode="External"/><Relationship Id="rId4" Type="http://schemas.openxmlformats.org/officeDocument/2006/relationships/hyperlink" Target="http://williamsinstitute.law.ucla.edu/research/safe-schools-and-youth/serving-our-youth-july-2012/" TargetMode="External"/><Relationship Id="rId9" Type="http://schemas.openxmlformats.org/officeDocument/2006/relationships/hyperlink" Target="https://williamsinstitute.law.ucla.edu/wp-content/uploads/LAFYS_report_final-aug-2014.pdf" TargetMode="External"/><Relationship Id="rId14" Type="http://schemas.openxmlformats.org/officeDocument/2006/relationships/hyperlink" Target="http://doi.org/10.1007/s10508-013-0091-3" TargetMode="External"/><Relationship Id="rId22" Type="http://schemas.openxmlformats.org/officeDocument/2006/relationships/hyperlink" Target="http://www.thetaskforce.org/static_html/downloads/reports/fact_sheets/poverty_factsheet_10_8_14.pdf" TargetMode="External"/><Relationship Id="rId27" Type="http://schemas.openxmlformats.org/officeDocument/2006/relationships/hyperlink" Target="http://www.lambdalegal.org/protected-and-served/schools" TargetMode="External"/><Relationship Id="rId30" Type="http://schemas.openxmlformats.org/officeDocument/2006/relationships/hyperlink" Target="https://www.cdc.gov/mmwr/volumes/65/ss/ss6509a1.htm" TargetMode="External"/><Relationship Id="rId35" Type="http://schemas.openxmlformats.org/officeDocument/2006/relationships/hyperlink" Target="https://www.nccdglobal.org/newsroom/news-of-interest/we-deserve-better-report-policing-new-orleans-and-queer-and-trans-youth" TargetMode="External"/><Relationship Id="rId43" Type="http://schemas.openxmlformats.org/officeDocument/2006/relationships/hyperlink" Target="https://rights4girls.org/wp-content/uploads/r4g/2015/02/2015_COP_sexual-abuse_layout_web-1.pdf" TargetMode="External"/><Relationship Id="rId48" Type="http://schemas.openxmlformats.org/officeDocument/2006/relationships/hyperlink" Target="http://www.transequality.org/sites/default/files/docs/usts/USTSMAStateReport%281017%29.pdf" TargetMode="External"/><Relationship Id="rId56" Type="http://schemas.openxmlformats.org/officeDocument/2006/relationships/hyperlink" Target="http://www.mass.gov/eohhs/docs/dcf/lgbtq-guide.pdf" TargetMode="External"/><Relationship Id="rId64" Type="http://schemas.openxmlformats.org/officeDocument/2006/relationships/hyperlink" Target="http://unitedwedream.org/wp-content/uploads/2014/05/Undocumented-Millennials-Survey-Summary.pdf" TargetMode="External"/><Relationship Id="rId69" Type="http://schemas.openxmlformats.org/officeDocument/2006/relationships/hyperlink" Target="http://www.lgbtmap.org/file/paying-an-unfair-price-full-report.pdf" TargetMode="External"/><Relationship Id="rId77" Type="http://schemas.openxmlformats.org/officeDocument/2006/relationships/hyperlink" Target="https://www.mass.gov/news/lgbtq-youth-commission-commends-criminal-justice-reform-effort" TargetMode="External"/><Relationship Id="rId8" Type="http://schemas.openxmlformats.org/officeDocument/2006/relationships/hyperlink" Target="http://voicesofyouthcount.org/wp-content/uploads/2017/11/ChapinHall_VoYC_NationalReport_Final.pdf" TargetMode="External"/><Relationship Id="rId51" Type="http://schemas.openxmlformats.org/officeDocument/2006/relationships/hyperlink" Target="https://www.cdc.gov/hiv/pdf/library/slidesets/cdc-hiv-prevention-and-care-outcomes.pdf" TargetMode="External"/><Relationship Id="rId72" Type="http://schemas.openxmlformats.org/officeDocument/2006/relationships/hyperlink" Target="http://www.juvjustice.org/webinars-and-trainings/resources" TargetMode="External"/><Relationship Id="rId80" Type="http://schemas.openxmlformats.org/officeDocument/2006/relationships/hyperlink" Target="https://www.americanprogress.org/issues/lgbt/reports/2016/09/28/144928/state-id-card-policies-for-lgbtq-youths-experiencing-homelessness/" TargetMode="External"/><Relationship Id="rId85" Type="http://schemas.openxmlformats.org/officeDocument/2006/relationships/hyperlink" Target="http://lgbttechpartnership.org/wp-content/uploads/2014/08/LGBT-Tech_LGBT-Homeless-Youth-Connect-4-Life-Program-and-Research-2014.pdf" TargetMode="External"/><Relationship Id="rId3" Type="http://schemas.openxmlformats.org/officeDocument/2006/relationships/hyperlink" Target="http://voicesofyouthcount.org/wp-content/uploads/2018/04/VoYC-LGBTQ-Brief-FINAL.pdf" TargetMode="External"/><Relationship Id="rId12" Type="http://schemas.openxmlformats.org/officeDocument/2006/relationships/hyperlink" Target="https://www.ncbi.nlm.nih.gov/pmc/articles/PMC4098056/" TargetMode="External"/><Relationship Id="rId17" Type="http://schemas.openxmlformats.org/officeDocument/2006/relationships/hyperlink" Target="https://www.mass.gov/news/commission-testifies-on-id-access-for-the-homeless" TargetMode="External"/><Relationship Id="rId25" Type="http://schemas.openxmlformats.org/officeDocument/2006/relationships/hyperlink" Target="https://www.glsen.org/sites/default/files/Massachusetts%20State%20Snapshot%20-%20NSCS.pdf" TargetMode="External"/><Relationship Id="rId33" Type="http://schemas.openxmlformats.org/officeDocument/2006/relationships/hyperlink" Target="https://static1.squarespace.com/static/58ea378e414fb5fae5ba06c7/t/5907e36a9de4bbccbb46732b/1493689195189/FACTSHEET-RomeoJuliet2017.pdf" TargetMode="External"/><Relationship Id="rId38" Type="http://schemas.openxmlformats.org/officeDocument/2006/relationships/hyperlink" Target="http://www.ojjdp.gov/ojstatbb/structure_process/qa04306.asp?qaDate=2014" TargetMode="External"/><Relationship Id="rId46" Type="http://schemas.openxmlformats.org/officeDocument/2006/relationships/hyperlink" Target="https://www.cdc.gov/std/stats15/STD-Surveillance-2015-print.pdf" TargetMode="External"/><Relationship Id="rId59" Type="http://schemas.openxmlformats.org/officeDocument/2006/relationships/hyperlink" Target="http://www.newsday.com/news/new-york/nyc-promoting-acceptance-of%20-controversial%20-hiv-drug-1.9447395" TargetMode="External"/><Relationship Id="rId67" Type="http://schemas.openxmlformats.org/officeDocument/2006/relationships/hyperlink" Target="http://williamsinstitute.law.ucla.edu/research/health-and-hiv-aids/lgbt-people-are-disproportionately-food-insecure/" TargetMode="External"/><Relationship Id="rId20" Type="http://schemas.openxmlformats.org/officeDocument/2006/relationships/hyperlink" Target="http://www.burnsinstitute.org/wp-content/uploads/2016/05/Stemming-the-Rising-Tide_FINAL.pdf" TargetMode="External"/><Relationship Id="rId41" Type="http://schemas.openxmlformats.org/officeDocument/2006/relationships/hyperlink" Target="https://www.bjs.gov/content/pub/pdf/pdca16.pdf" TargetMode="External"/><Relationship Id="rId54" Type="http://schemas.openxmlformats.org/officeDocument/2006/relationships/hyperlink" Target="http://www.doe.mass.edu/sfs/lgbtq/LearningEnvironments.pdf" TargetMode="External"/><Relationship Id="rId62" Type="http://schemas.openxmlformats.org/officeDocument/2006/relationships/hyperlink" Target="http://onlinelibrary.wiley.com/doi/10.1111/1753-6405.12342/full" TargetMode="External"/><Relationship Id="rId70" Type="http://schemas.openxmlformats.org/officeDocument/2006/relationships/hyperlink" Target="https://www.americanprogress.org/wp-content/uploads/2013/09/LGBTHomelessYouth.pdf" TargetMode="External"/><Relationship Id="rId75" Type="http://schemas.openxmlformats.org/officeDocument/2006/relationships/hyperlink" Target="https://web.law.columbia.edu/sites/default/files/microsites/gender-sexuality/files/roadmap_for_change_full_report.pdf" TargetMode="External"/><Relationship Id="rId83" Type="http://schemas.openxmlformats.org/officeDocument/2006/relationships/hyperlink" Target="http://glsen.org/sites/default/files/Strengths%20%26%20Silences.pdf" TargetMode="External"/><Relationship Id="rId88" Type="http://schemas.openxmlformats.org/officeDocument/2006/relationships/hyperlink" Target="http://www.lgbtmap.org/flle/a-broken-bargain-for-lgbt-workers-of-color.pdf" TargetMode="External"/><Relationship Id="rId1" Type="http://schemas.openxmlformats.org/officeDocument/2006/relationships/hyperlink" Target="https://www.mass.gov/special-guidance-for-state-agencies" TargetMode="External"/><Relationship Id="rId6" Type="http://schemas.openxmlformats.org/officeDocument/2006/relationships/hyperlink" Target="https://www.ncbi.nlm.nih.gov/pmc/articles/PMC3279927/" TargetMode="External"/><Relationship Id="rId15" Type="http://schemas.openxmlformats.org/officeDocument/2006/relationships/hyperlink" Target="http://www.transequality.org/sites/default/files/docs/usts/USTSMAStateReport%281017%29.pdf" TargetMode="External"/><Relationship Id="rId23" Type="http://schemas.openxmlformats.org/officeDocument/2006/relationships/hyperlink" Target="https://www.ncjrs.gov/pdffiles1/nij/grants/229666.pdf" TargetMode="External"/><Relationship Id="rId28" Type="http://schemas.openxmlformats.org/officeDocument/2006/relationships/hyperlink" Target="https://www.glsen.org/sites/default/files/Educational%20Exclusion_Report_6-28-16_v4_WEB_READY_PDF.pdf" TargetMode="External"/><Relationship Id="rId36" Type="http://schemas.openxmlformats.org/officeDocument/2006/relationships/hyperlink" Target="http://avp.org/wp-content/uploads/2017/06/NCAVP_2016HateViolence_REPORT.pdf" TargetMode="External"/><Relationship Id="rId49" Type="http://schemas.openxmlformats.org/officeDocument/2006/relationships/hyperlink" Target="https://www.mass.gov/news/lgbtq-youth-to-benefit-from-patch-act-commission-voices-support-for-healthcare-privacy-fix" TargetMode="External"/><Relationship Id="rId57" Type="http://schemas.openxmlformats.org/officeDocument/2006/relationships/hyperlink" Target="http://blindlgbtpride.org/about-us/" TargetMode="External"/><Relationship Id="rId10" Type="http://schemas.openxmlformats.org/officeDocument/2006/relationships/hyperlink" Target="http://www.csh.org/wp-content/uploads/2017/03/Principles_FINAL.pdf" TargetMode="External"/><Relationship Id="rId31" Type="http://schemas.openxmlformats.org/officeDocument/2006/relationships/hyperlink" Target="https://www.glsen.org/sites/default/files/2013%20National%20School%20Climate%20Survey%20Full%20Report_0.pdf" TargetMode="External"/><Relationship Id="rId44" Type="http://schemas.openxmlformats.org/officeDocument/2006/relationships/hyperlink" Target="http://www.mass.gov/eohhs/docs/dph/aids/mass-hiv-aids-plan.pdf" TargetMode="External"/><Relationship Id="rId52" Type="http://schemas.openxmlformats.org/officeDocument/2006/relationships/hyperlink" Target="https://www.kff.org/hivaids/report/hivaids-in-the-lives-of-gay-and-bisexual-men-in-the-united-states/" TargetMode="External"/><Relationship Id="rId60" Type="http://schemas.openxmlformats.org/officeDocument/2006/relationships/hyperlink" Target="https://nphic.confex.com/cdc/nphic16/webprogram/Paper37178.html" TargetMode="External"/><Relationship Id="rId65" Type="http://schemas.openxmlformats.org/officeDocument/2006/relationships/hyperlink" Target="http://unitedwedream.org/wp-content/uploads/2016/01/Report-No-More-Closets-1.pdf" TargetMode="External"/><Relationship Id="rId73" Type="http://schemas.openxmlformats.org/officeDocument/2006/relationships/hyperlink" Target="http://www.nccdglobal.org/sites/default/files/content/weve-had-three-of-them.pdf" TargetMode="External"/><Relationship Id="rId78" Type="http://schemas.openxmlformats.org/officeDocument/2006/relationships/hyperlink" Target="https://www.usich.gov/news/enhancing-access-to-legal-services-for-youth-experiencing-homelessness" TargetMode="External"/><Relationship Id="rId81" Type="http://schemas.openxmlformats.org/officeDocument/2006/relationships/hyperlink" Target="https://www.bostonglobe.com/metro/2018/03/10/change-gender-norms-brings-pronoun-revolution/IKhxVBptQUwaDJ1IcZszUN/story.html" TargetMode="External"/><Relationship Id="rId86" Type="http://schemas.openxmlformats.org/officeDocument/2006/relationships/hyperlink" Target="http://www.ala.org/aboutala/offices/extending-our-reach-reducing-homelessness-through-library-engagement-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2D755-4F7E-4737-97BE-C2B41529F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97</Pages>
  <Words>30950</Words>
  <Characters>176415</Characters>
  <Application>Microsoft Office Word</Application>
  <DocSecurity>0</DocSecurity>
  <Lines>1470</Lines>
  <Paragraphs>413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206952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Corey Prachniak-Rincón</dc:creator>
  <cp:lastModifiedBy> Corey Prachniak-Rincón</cp:lastModifiedBy>
  <cp:revision>2</cp:revision>
  <cp:lastPrinted>2018-05-04T19:25:00Z</cp:lastPrinted>
  <dcterms:created xsi:type="dcterms:W3CDTF">2018-05-04T20:04:00Z</dcterms:created>
  <dcterms:modified xsi:type="dcterms:W3CDTF">2018-05-04T20:04:00Z</dcterms:modified>
</cp:coreProperties>
</file>