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114"/>
      </w:pPr>
      <w:r>
        <w:rPr/>
        <w:pict>
          <v:group style="position:absolute;margin-left:-.375pt;margin-top:-.000006pt;width:720.75pt;height:540pt;mso-position-horizontal-relative:page;mso-position-vertical-relative:page;z-index:-9208" coordorigin="-8,0" coordsize="14415,10800">
            <v:shape style="position:absolute;left:0;top:0;width:14400;height:10800" type="#_x0000_t75" stroked="false">
              <v:imagedata r:id="rId5" o:title=""/>
            </v:shape>
            <v:shape style="position:absolute;left:13319;top:10235;width:133;height:134" type="#_x0000_t75" stroked="false">
              <v:imagedata r:id="rId6" o:title=""/>
            </v:shape>
            <v:shape style="position:absolute;left:896;top:10235;width:133;height:134" type="#_x0000_t75" stroked="false">
              <v:imagedata r:id="rId7" o:title=""/>
            </v:shape>
            <v:shape style="position:absolute;left:0;top:4934;width:14400;height:111" type="#_x0000_t75" stroked="false">
              <v:imagedata r:id="rId8" o:title=""/>
            </v:shape>
            <v:shape style="position:absolute;left:0;top:4733;width:14400;height:39" type="#_x0000_t75" stroked="false">
              <v:imagedata r:id="rId9" o:title=""/>
            </v:shape>
            <v:shape style="position:absolute;left:0;top:4772;width:14400;height:162" type="#_x0000_t75" stroked="false">
              <v:imagedata r:id="rId10" o:title=""/>
            </v:shape>
            <v:rect style="position:absolute;left:0;top:4772;width:14400;height:162" filled="false" stroked="true" strokeweight=".75pt" strokecolor="#5c71b1">
              <v:stroke dashstyle="solid"/>
            </v:rect>
            <v:shape style="position:absolute;left:3622;top:0;width:1068;height:569" type="#_x0000_t75" stroked="false">
              <v:imagedata r:id="rId11" o:title=""/>
            </v:shape>
            <v:shape style="position:absolute;left:3622;top:0;width:1068;height:1337" type="#_x0000_t75" stroked="false">
              <v:imagedata r:id="rId12" o:title=""/>
            </v:shape>
            <v:shape style="position:absolute;left:3622;top:641;width:4075;height:1464" type="#_x0000_t75" stroked="false">
              <v:imagedata r:id="rId13" o:title=""/>
            </v:shape>
            <v:shape style="position:absolute;left:6809;top:641;width:6502;height:1464" type="#_x0000_t75" stroked="false">
              <v:imagedata r:id="rId14" o:title=""/>
            </v:shape>
            <v:shape style="position:absolute;left:3622;top:1409;width:3298;height:1464" type="#_x0000_t75" stroked="false">
              <v:imagedata r:id="rId15" o:title=""/>
            </v:shape>
            <v:shape style="position:absolute;left:6031;top:1409;width:3629;height:1464" type="#_x0000_t75" stroked="false">
              <v:imagedata r:id="rId16" o:title=""/>
            </v:shape>
            <v:shape style="position:absolute;left:8772;top:1409;width:1068;height:1464" type="#_x0000_t75" stroked="false">
              <v:imagedata r:id="rId17" o:title=""/>
            </v:shape>
            <v:shape style="position:absolute;left:3622;top:2177;width:2297;height:1464" type="#_x0000_t75" stroked="false">
              <v:imagedata r:id="rId18" o:title=""/>
            </v:shape>
            <v:shape style="position:absolute;left:5030;top:2177;width:6898;height:1464" type="#_x0000_t75" stroked="false">
              <v:imagedata r:id="rId19" o:title=""/>
            </v:shape>
            <v:shape style="position:absolute;left:3622;top:2945;width:7164;height:1464" type="#_x0000_t75" stroked="false">
              <v:imagedata r:id="rId20" o:title=""/>
            </v:shape>
            <v:shape style="position:absolute;left:9898;top:2945;width:1068;height:1464" type="#_x0000_t75" stroked="false">
              <v:imagedata r:id="rId17" o:title=""/>
            </v:shape>
            <v:shape style="position:absolute;left:0;top:5799;width:14400;height:112" type="#_x0000_t75" stroked="false">
              <v:imagedata r:id="rId21" o:title=""/>
            </v:shape>
            <v:shape style="position:absolute;left:0;top:3713;width:14400;height:1464" type="#_x0000_t75" stroked="false">
              <v:imagedata r:id="rId22" o:title=""/>
            </v:shape>
            <v:shape style="position:absolute;left:0;top:5112;width:14400;height:687" type="#_x0000_t75" stroked="false">
              <v:imagedata r:id="rId23" o:title=""/>
            </v:shape>
            <v:rect style="position:absolute;left:0;top:5112;width:14400;height:687" filled="false" stroked="true" strokeweight=".75pt" strokecolor="#5c71b1">
              <v:stroke dashstyle="solid"/>
            </v:rect>
            <v:shape style="position:absolute;left:0;top:5112;width:14400;height:106" type="#_x0000_t75" stroked="false">
              <v:imagedata r:id="rId24" o:title=""/>
            </v:shape>
            <v:shape style="position:absolute;left:0;top:4906;width:14400;height:44" type="#_x0000_t75" stroked="false">
              <v:imagedata r:id="rId25" o:title=""/>
            </v:shape>
            <v:shape style="position:absolute;left:0;top:4950;width:14400;height:162" type="#_x0000_t75" stroked="false">
              <v:imagedata r:id="rId26" o:title=""/>
            </v:shape>
            <v:rect style="position:absolute;left:0;top:4950;width:14400;height:162" filled="false" stroked="true" strokeweight=".75pt" strokecolor="#5c71b1">
              <v:stroke dashstyle="solid"/>
            </v:rect>
            <v:shape style="position:absolute;left:566;top:3214;width:3557;height:3557" type="#_x0000_t75" stroked="false">
              <v:imagedata r:id="rId27" o:title=""/>
            </v:shape>
            <v:shape style="position:absolute;left:669;top:3316;width:3268;height:3268" type="#_x0000_t75" stroked="false">
              <v:imagedata r:id="rId28" o:title=""/>
            </v:shape>
            <w10:wrap type="none"/>
          </v:group>
        </w:pict>
      </w:r>
      <w:r>
        <w:rPr>
          <w:color w:val="2E5796"/>
        </w:rPr>
        <w:t>Executive Office of Health &amp; Human Services</w:t>
      </w:r>
    </w:p>
    <w:p>
      <w:pPr>
        <w:spacing w:line="768" w:lineRule="exact" w:before="0"/>
        <w:ind w:left="2005" w:right="2423" w:firstLine="0"/>
        <w:jc w:val="left"/>
        <w:rPr>
          <w:b/>
          <w:sz w:val="64"/>
        </w:rPr>
      </w:pPr>
      <w:r>
        <w:rPr>
          <w:b/>
          <w:color w:val="2E5796"/>
          <w:sz w:val="64"/>
        </w:rPr>
        <w:t>and Executive Office of Education Highlights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spacing w:line="470" w:lineRule="auto" w:before="270"/>
        <w:ind w:left="1804" w:right="5715" w:firstLine="0"/>
        <w:jc w:val="left"/>
        <w:rPr>
          <w:b/>
          <w:sz w:val="36"/>
        </w:rPr>
      </w:pPr>
      <w:r>
        <w:rPr>
          <w:b/>
          <w:sz w:val="36"/>
        </w:rPr>
        <w:t>FY2020 Budget Proposal February 6, 2019</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2"/>
        <w:rPr>
          <w:b/>
          <w:sz w:val="14"/>
        </w:rPr>
      </w:pPr>
    </w:p>
    <w:p>
      <w:pPr>
        <w:spacing w:before="100"/>
        <w:ind w:left="0" w:right="105" w:firstLine="0"/>
        <w:jc w:val="right"/>
        <w:rPr>
          <w:sz w:val="24"/>
        </w:rPr>
      </w:pPr>
      <w:r>
        <w:rPr>
          <w:color w:val="585858"/>
          <w:sz w:val="24"/>
        </w:rPr>
        <w:t>1</w:t>
      </w:r>
    </w:p>
    <w:p>
      <w:pPr>
        <w:spacing w:after="0"/>
        <w:jc w:val="right"/>
        <w:rPr>
          <w:sz w:val="24"/>
        </w:rPr>
        <w:sectPr>
          <w:type w:val="continuous"/>
          <w:pgSz w:w="14400" w:h="10800" w:orient="landscape"/>
          <w:pgMar w:top="760" w:bottom="0" w:left="2060" w:right="660"/>
        </w:sectPr>
      </w:pPr>
    </w:p>
    <w:p>
      <w:pPr>
        <w:pStyle w:val="Heading2"/>
      </w:pPr>
      <w:r>
        <w:rPr/>
        <w:pict>
          <v:group style="position:absolute;margin-left:0pt;margin-top:-.000006pt;width:720pt;height:540pt;mso-position-horizontal-relative:page;mso-position-vertical-relative:page;z-index:-9184" coordorigin="0,0" coordsize="14400,10800">
            <v:shape style="position:absolute;left:0;top:0;width:14400;height:10800" type="#_x0000_t75" stroked="false">
              <v:imagedata r:id="rId5" o:title=""/>
            </v:shape>
            <v:shape style="position:absolute;left:13319;top:10235;width:133;height:134" type="#_x0000_t75" stroked="false">
              <v:imagedata r:id="rId6" o:title=""/>
            </v:shape>
            <v:shape style="position:absolute;left:896;top:10235;width:133;height:134" type="#_x0000_t75" stroked="false">
              <v:imagedata r:id="rId7" o:title=""/>
            </v:shape>
            <v:shape style="position:absolute;left:286;top:746;width:3329;height:1109" type="#_x0000_t75" stroked="false">
              <v:imagedata r:id="rId29" o:title=""/>
            </v:shape>
            <v:shape style="position:absolute;left:2938;top:746;width:1879;height:1109" type="#_x0000_t75" stroked="false">
              <v:imagedata r:id="rId30" o:title=""/>
            </v:shape>
            <v:shape style="position:absolute;left:4140;top:746;width:4786;height:1109" type="#_x0000_t75" stroked="false">
              <v:imagedata r:id="rId31" o:title=""/>
            </v:shape>
            <v:shape style="position:absolute;left:8249;top:746;width:917;height:1109" type="#_x0000_t75" stroked="false">
              <v:imagedata r:id="rId32" o:title=""/>
            </v:shape>
            <v:shape style="position:absolute;left:8489;top:746;width:811;height:1109" type="#_x0000_t75" stroked="false">
              <v:imagedata r:id="rId33" o:title=""/>
            </v:shape>
            <v:shape style="position:absolute;left:8623;top:746;width:2875;height:1109" type="#_x0000_t75" stroked="false">
              <v:imagedata r:id="rId34" o:title=""/>
            </v:shape>
            <v:shape style="position:absolute;left:10822;top:746;width:811;height:1109" type="#_x0000_t75" stroked="false">
              <v:imagedata r:id="rId33" o:title=""/>
            </v:shape>
            <v:shape style="position:absolute;left:360;top:2463;width:13680;height:5875" type="#_x0000_t75" stroked="false">
              <v:imagedata r:id="rId35" o:title=""/>
            </v:shape>
            <w10:wrap type="none"/>
          </v:group>
        </w:pict>
      </w:r>
      <w:r>
        <w:rPr>
          <w:color w:val="2E5796"/>
        </w:rPr>
        <w:t>Secretariat FY20 Budget Summary – Spending</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18"/>
        </w:rPr>
      </w:pPr>
    </w:p>
    <w:p>
      <w:pPr>
        <w:spacing w:before="100"/>
        <w:ind w:left="0" w:right="105" w:firstLine="0"/>
        <w:jc w:val="right"/>
        <w:rPr>
          <w:sz w:val="24"/>
        </w:rPr>
      </w:pPr>
      <w:r>
        <w:rPr>
          <w:color w:val="585858"/>
          <w:sz w:val="24"/>
        </w:rPr>
        <w:t>2</w:t>
      </w:r>
    </w:p>
    <w:p>
      <w:pPr>
        <w:spacing w:after="0"/>
        <w:jc w:val="right"/>
        <w:rPr>
          <w:sz w:val="24"/>
        </w:rPr>
        <w:sectPr>
          <w:pgSz w:w="14400" w:h="10800" w:orient="landscape"/>
          <w:pgMar w:top="820" w:bottom="0" w:left="520" w:right="660"/>
        </w:sectPr>
      </w:pPr>
    </w:p>
    <w:p>
      <w:pPr>
        <w:pStyle w:val="Heading2"/>
      </w:pPr>
      <w:r>
        <w:rPr/>
        <w:pict>
          <v:group style="position:absolute;margin-left:0pt;margin-top:-.000006pt;width:720pt;height:540pt;mso-position-horizontal-relative:page;mso-position-vertical-relative:page;z-index:-9160" coordorigin="0,0" coordsize="14400,10800">
            <v:shape style="position:absolute;left:0;top:0;width:14400;height:10800" type="#_x0000_t75" stroked="false">
              <v:imagedata r:id="rId5" o:title=""/>
            </v:shape>
            <v:shape style="position:absolute;left:13319;top:10235;width:133;height:134" type="#_x0000_t75" stroked="false">
              <v:imagedata r:id="rId6" o:title=""/>
            </v:shape>
            <v:shape style="position:absolute;left:896;top:10235;width:133;height:134" type="#_x0000_t75" stroked="false">
              <v:imagedata r:id="rId7" o:title=""/>
            </v:shape>
            <v:shape style="position:absolute;left:286;top:746;width:2746;height:1109" type="#_x0000_t75" stroked="false">
              <v:imagedata r:id="rId36" o:title=""/>
            </v:shape>
            <v:shape style="position:absolute;left:2354;top:746;width:917;height:1109" type="#_x0000_t75" stroked="false">
              <v:imagedata r:id="rId32" o:title=""/>
            </v:shape>
            <v:shape style="position:absolute;left:2594;top:746;width:814;height:1109" type="#_x0000_t75" stroked="false">
              <v:imagedata r:id="rId33" o:title=""/>
            </v:shape>
            <v:shape style="position:absolute;left:2731;top:746;width:5743;height:1109" type="#_x0000_t75" stroked="false">
              <v:imagedata r:id="rId37" o:title=""/>
            </v:shape>
            <v:shape style="position:absolute;left:7798;top:746;width:811;height:1109" type="#_x0000_t75" stroked="false">
              <v:imagedata r:id="rId33" o:title=""/>
            </v:shape>
            <w10:wrap type="none"/>
          </v:group>
        </w:pict>
      </w:r>
      <w:r>
        <w:rPr>
          <w:color w:val="2E5796"/>
        </w:rPr>
        <w:t>FY20 H.1 – Across the Secretariat</w:t>
      </w:r>
    </w:p>
    <w:p>
      <w:pPr>
        <w:pStyle w:val="Heading3"/>
        <w:ind w:left="584"/>
      </w:pPr>
      <w:r>
        <w:rPr>
          <w:color w:val="2E5796"/>
        </w:rPr>
        <w:t>House 1 (H.1) Budget</w:t>
      </w:r>
    </w:p>
    <w:p>
      <w:pPr>
        <w:pStyle w:val="ListParagraph"/>
        <w:numPr>
          <w:ilvl w:val="0"/>
          <w:numId w:val="1"/>
        </w:numPr>
        <w:tabs>
          <w:tab w:pos="1035" w:val="left" w:leader="none"/>
          <w:tab w:pos="1036" w:val="left" w:leader="none"/>
        </w:tabs>
        <w:spacing w:line="340" w:lineRule="exact" w:before="58" w:after="0"/>
        <w:ind w:left="1035" w:right="0" w:hanging="451"/>
        <w:jc w:val="left"/>
        <w:rPr>
          <w:rFonts w:ascii="Arial"/>
          <w:color w:val="2E5796"/>
          <w:sz w:val="28"/>
        </w:rPr>
      </w:pPr>
      <w:r>
        <w:rPr>
          <w:color w:val="2E5796"/>
          <w:sz w:val="28"/>
        </w:rPr>
        <w:t>H.1 funds HHS at $23.178 B, a $179.1 M (.8%) increase above FY19 spending and</w:t>
      </w:r>
      <w:r>
        <w:rPr>
          <w:color w:val="2E5796"/>
          <w:spacing w:val="-41"/>
          <w:sz w:val="28"/>
        </w:rPr>
        <w:t> </w:t>
      </w:r>
      <w:r>
        <w:rPr>
          <w:color w:val="2E5796"/>
          <w:sz w:val="28"/>
        </w:rPr>
        <w:t>a</w:t>
      </w:r>
    </w:p>
    <w:p>
      <w:pPr>
        <w:pStyle w:val="BodyText"/>
        <w:spacing w:line="340" w:lineRule="exact"/>
        <w:ind w:left="1035"/>
      </w:pPr>
      <w:r>
        <w:rPr>
          <w:color w:val="2E5796"/>
        </w:rPr>
        <w:t>$537.3  M (+2.4%) increase above FY19 GAA</w:t>
      </w:r>
    </w:p>
    <w:p>
      <w:pPr>
        <w:pStyle w:val="BodyText"/>
        <w:spacing w:before="10"/>
        <w:rPr>
          <w:sz w:val="36"/>
        </w:rPr>
      </w:pPr>
    </w:p>
    <w:p>
      <w:pPr>
        <w:spacing w:before="0"/>
        <w:ind w:left="584" w:right="0" w:firstLine="0"/>
        <w:jc w:val="left"/>
        <w:rPr>
          <w:b/>
          <w:sz w:val="28"/>
        </w:rPr>
      </w:pPr>
      <w:r>
        <w:rPr>
          <w:b/>
          <w:color w:val="2E5796"/>
          <w:sz w:val="28"/>
        </w:rPr>
        <w:t>H.1 Budget Highlights</w:t>
      </w:r>
    </w:p>
    <w:p>
      <w:pPr>
        <w:pStyle w:val="ListParagraph"/>
        <w:numPr>
          <w:ilvl w:val="0"/>
          <w:numId w:val="1"/>
        </w:numPr>
        <w:tabs>
          <w:tab w:pos="1035" w:val="left" w:leader="none"/>
          <w:tab w:pos="1036" w:val="left" w:leader="none"/>
        </w:tabs>
        <w:spacing w:line="240" w:lineRule="auto" w:before="177" w:after="0"/>
        <w:ind w:left="1035" w:right="0" w:hanging="451"/>
        <w:jc w:val="left"/>
        <w:rPr>
          <w:rFonts w:ascii="Arial"/>
          <w:sz w:val="28"/>
        </w:rPr>
      </w:pPr>
      <w:r>
        <w:rPr>
          <w:color w:val="2E5796"/>
          <w:sz w:val="28"/>
        </w:rPr>
        <w:t>Maintains MassHealth program without reducing</w:t>
      </w:r>
      <w:r>
        <w:rPr>
          <w:color w:val="2E5796"/>
          <w:spacing w:val="-30"/>
          <w:sz w:val="28"/>
        </w:rPr>
        <w:t> </w:t>
      </w:r>
      <w:r>
        <w:rPr>
          <w:color w:val="2E5796"/>
          <w:sz w:val="28"/>
        </w:rPr>
        <w:t>benefits</w:t>
      </w:r>
    </w:p>
    <w:p>
      <w:pPr>
        <w:pStyle w:val="ListParagraph"/>
        <w:numPr>
          <w:ilvl w:val="0"/>
          <w:numId w:val="1"/>
        </w:numPr>
        <w:tabs>
          <w:tab w:pos="1035" w:val="left" w:leader="none"/>
          <w:tab w:pos="1036" w:val="left" w:leader="none"/>
        </w:tabs>
        <w:spacing w:line="336" w:lineRule="exact" w:before="72" w:after="0"/>
        <w:ind w:left="1035" w:right="223" w:hanging="451"/>
        <w:jc w:val="left"/>
        <w:rPr>
          <w:rFonts w:ascii="Arial"/>
          <w:sz w:val="28"/>
        </w:rPr>
      </w:pPr>
      <w:r>
        <w:rPr>
          <w:color w:val="2E5796"/>
          <w:sz w:val="28"/>
        </w:rPr>
        <w:t>Increases funding to combat opioid epidemic by an additional $23.8 M over FY19</w:t>
      </w:r>
      <w:r>
        <w:rPr>
          <w:color w:val="2E5796"/>
          <w:spacing w:val="-51"/>
          <w:sz w:val="28"/>
        </w:rPr>
        <w:t> </w:t>
      </w:r>
      <w:r>
        <w:rPr>
          <w:color w:val="2E5796"/>
          <w:sz w:val="28"/>
        </w:rPr>
        <w:t>across EOHHS</w:t>
      </w:r>
      <w:r>
        <w:rPr>
          <w:color w:val="2E5796"/>
          <w:spacing w:val="3"/>
          <w:sz w:val="28"/>
        </w:rPr>
        <w:t> </w:t>
      </w:r>
      <w:r>
        <w:rPr>
          <w:color w:val="2E5796"/>
          <w:sz w:val="28"/>
        </w:rPr>
        <w:t>Agencies</w:t>
      </w:r>
    </w:p>
    <w:p>
      <w:pPr>
        <w:pStyle w:val="ListParagraph"/>
        <w:numPr>
          <w:ilvl w:val="0"/>
          <w:numId w:val="1"/>
        </w:numPr>
        <w:tabs>
          <w:tab w:pos="1035" w:val="left" w:leader="none"/>
          <w:tab w:pos="1036" w:val="left" w:leader="none"/>
        </w:tabs>
        <w:spacing w:line="336" w:lineRule="exact" w:before="67" w:after="0"/>
        <w:ind w:left="1035" w:right="482" w:hanging="451"/>
        <w:jc w:val="left"/>
        <w:rPr>
          <w:rFonts w:ascii="Arial"/>
          <w:sz w:val="28"/>
        </w:rPr>
      </w:pPr>
      <w:r>
        <w:rPr>
          <w:color w:val="2E5796"/>
          <w:sz w:val="28"/>
        </w:rPr>
        <w:t>Expands the eligibility of the Medicare Savings Program (MSP) which will reduce out of pocket medical expenses for seniors by generating more than $100 M in Medicare prescription drug subsidies at a $7 M net annual cost to the</w:t>
      </w:r>
      <w:r>
        <w:rPr>
          <w:color w:val="2E5796"/>
          <w:spacing w:val="-34"/>
          <w:sz w:val="28"/>
        </w:rPr>
        <w:t> </w:t>
      </w:r>
      <w:r>
        <w:rPr>
          <w:color w:val="2E5796"/>
          <w:sz w:val="28"/>
        </w:rPr>
        <w:t>Commonwealth</w:t>
      </w:r>
    </w:p>
    <w:p>
      <w:pPr>
        <w:pStyle w:val="ListParagraph"/>
        <w:numPr>
          <w:ilvl w:val="0"/>
          <w:numId w:val="1"/>
        </w:numPr>
        <w:tabs>
          <w:tab w:pos="1035" w:val="left" w:leader="none"/>
          <w:tab w:pos="1036" w:val="left" w:leader="none"/>
        </w:tabs>
        <w:spacing w:line="240" w:lineRule="auto" w:before="54" w:after="0"/>
        <w:ind w:left="1035" w:right="0" w:hanging="451"/>
        <w:jc w:val="left"/>
        <w:rPr>
          <w:rFonts w:ascii="Arial"/>
          <w:sz w:val="28"/>
        </w:rPr>
      </w:pPr>
      <w:r>
        <w:rPr>
          <w:color w:val="2E5796"/>
          <w:sz w:val="28"/>
        </w:rPr>
        <w:t>Fully funds Turning 22 classes at DDS and smaller disability</w:t>
      </w:r>
      <w:r>
        <w:rPr>
          <w:color w:val="2E5796"/>
          <w:spacing w:val="-37"/>
          <w:sz w:val="28"/>
        </w:rPr>
        <w:t> </w:t>
      </w:r>
      <w:r>
        <w:rPr>
          <w:color w:val="2E5796"/>
          <w:sz w:val="28"/>
        </w:rPr>
        <w:t>agencies</w:t>
      </w:r>
    </w:p>
    <w:p>
      <w:pPr>
        <w:pStyle w:val="ListParagraph"/>
        <w:numPr>
          <w:ilvl w:val="0"/>
          <w:numId w:val="1"/>
        </w:numPr>
        <w:tabs>
          <w:tab w:pos="1035" w:val="left" w:leader="none"/>
          <w:tab w:pos="1036" w:val="left" w:leader="none"/>
        </w:tabs>
        <w:spacing w:line="340" w:lineRule="exact" w:before="59" w:after="0"/>
        <w:ind w:left="1035" w:right="0" w:hanging="451"/>
        <w:jc w:val="left"/>
        <w:rPr>
          <w:rFonts w:ascii="Arial"/>
          <w:sz w:val="28"/>
        </w:rPr>
      </w:pPr>
      <w:r>
        <w:rPr>
          <w:color w:val="2E5796"/>
          <w:sz w:val="28"/>
        </w:rPr>
        <w:t>Maintains MRC core services despite reduction in federal funding and federal</w:t>
      </w:r>
      <w:r>
        <w:rPr>
          <w:color w:val="2E5796"/>
          <w:spacing w:val="-29"/>
          <w:sz w:val="28"/>
        </w:rPr>
        <w:t> </w:t>
      </w:r>
      <w:r>
        <w:rPr>
          <w:color w:val="2E5796"/>
          <w:sz w:val="28"/>
        </w:rPr>
        <w:t>audit</w:t>
      </w:r>
    </w:p>
    <w:p>
      <w:pPr>
        <w:pStyle w:val="BodyText"/>
        <w:spacing w:line="340" w:lineRule="exact"/>
        <w:ind w:left="1035"/>
      </w:pPr>
      <w:r>
        <w:rPr>
          <w:color w:val="2E5796"/>
        </w:rPr>
        <w:t>findings (audit dates October 1, 2013 through September 30, 2016)</w:t>
      </w:r>
    </w:p>
    <w:p>
      <w:pPr>
        <w:pStyle w:val="ListParagraph"/>
        <w:numPr>
          <w:ilvl w:val="0"/>
          <w:numId w:val="1"/>
        </w:numPr>
        <w:tabs>
          <w:tab w:pos="1035" w:val="left" w:leader="none"/>
          <w:tab w:pos="1036" w:val="left" w:leader="none"/>
        </w:tabs>
        <w:spacing w:line="240" w:lineRule="auto" w:before="60" w:after="0"/>
        <w:ind w:left="1035" w:right="0" w:hanging="451"/>
        <w:jc w:val="left"/>
        <w:rPr>
          <w:rFonts w:ascii="Arial"/>
          <w:sz w:val="28"/>
        </w:rPr>
      </w:pPr>
      <w:r>
        <w:rPr>
          <w:color w:val="2E5796"/>
          <w:sz w:val="28"/>
        </w:rPr>
        <w:t>Chapter 257 funding for human service provider rate</w:t>
      </w:r>
      <w:r>
        <w:rPr>
          <w:color w:val="2E5796"/>
          <w:spacing w:val="-14"/>
          <w:sz w:val="28"/>
        </w:rPr>
        <w:t> </w:t>
      </w:r>
      <w:r>
        <w:rPr>
          <w:color w:val="2E5796"/>
          <w:sz w:val="28"/>
        </w:rPr>
        <w:t>review</w:t>
      </w:r>
    </w:p>
    <w:p>
      <w:pPr>
        <w:pStyle w:val="ListParagraph"/>
        <w:numPr>
          <w:ilvl w:val="0"/>
          <w:numId w:val="1"/>
        </w:numPr>
        <w:tabs>
          <w:tab w:pos="1035" w:val="left" w:leader="none"/>
          <w:tab w:pos="1036" w:val="left" w:leader="none"/>
        </w:tabs>
        <w:spacing w:line="336" w:lineRule="exact" w:before="72" w:after="0"/>
        <w:ind w:left="1035" w:right="342" w:hanging="451"/>
        <w:jc w:val="left"/>
        <w:rPr>
          <w:rFonts w:ascii="Arial"/>
          <w:sz w:val="28"/>
        </w:rPr>
      </w:pPr>
      <w:r>
        <w:rPr>
          <w:color w:val="2E5796"/>
          <w:sz w:val="28"/>
        </w:rPr>
        <w:t>Revises</w:t>
      </w:r>
      <w:r>
        <w:rPr>
          <w:color w:val="2E5796"/>
          <w:spacing w:val="-11"/>
          <w:sz w:val="28"/>
        </w:rPr>
        <w:t> </w:t>
      </w:r>
      <w:r>
        <w:rPr>
          <w:color w:val="2E5796"/>
          <w:sz w:val="28"/>
        </w:rPr>
        <w:t>DTA</w:t>
      </w:r>
      <w:r>
        <w:rPr>
          <w:color w:val="2E5796"/>
          <w:spacing w:val="-4"/>
          <w:sz w:val="28"/>
        </w:rPr>
        <w:t> </w:t>
      </w:r>
      <w:r>
        <w:rPr>
          <w:color w:val="2E5796"/>
          <w:sz w:val="28"/>
        </w:rPr>
        <w:t>benefit</w:t>
      </w:r>
      <w:r>
        <w:rPr>
          <w:color w:val="2E5796"/>
          <w:spacing w:val="-9"/>
          <w:sz w:val="28"/>
        </w:rPr>
        <w:t> </w:t>
      </w:r>
      <w:r>
        <w:rPr>
          <w:color w:val="2E5796"/>
          <w:sz w:val="28"/>
        </w:rPr>
        <w:t>structures</w:t>
      </w:r>
      <w:r>
        <w:rPr>
          <w:color w:val="2E5796"/>
          <w:spacing w:val="-3"/>
          <w:sz w:val="28"/>
        </w:rPr>
        <w:t> </w:t>
      </w:r>
      <w:r>
        <w:rPr>
          <w:color w:val="2E5796"/>
          <w:sz w:val="28"/>
        </w:rPr>
        <w:t>to</w:t>
      </w:r>
      <w:r>
        <w:rPr>
          <w:color w:val="2E5796"/>
          <w:spacing w:val="-1"/>
          <w:sz w:val="28"/>
        </w:rPr>
        <w:t> </w:t>
      </w:r>
      <w:r>
        <w:rPr>
          <w:color w:val="2E5796"/>
          <w:sz w:val="28"/>
        </w:rPr>
        <w:t>better</w:t>
      </w:r>
      <w:r>
        <w:rPr>
          <w:color w:val="2E5796"/>
          <w:spacing w:val="-1"/>
          <w:sz w:val="28"/>
        </w:rPr>
        <w:t> </w:t>
      </w:r>
      <w:r>
        <w:rPr>
          <w:color w:val="2E5796"/>
          <w:sz w:val="28"/>
        </w:rPr>
        <w:t>align</w:t>
      </w:r>
      <w:r>
        <w:rPr>
          <w:color w:val="2E5796"/>
          <w:spacing w:val="-5"/>
          <w:sz w:val="28"/>
        </w:rPr>
        <w:t> </w:t>
      </w:r>
      <w:r>
        <w:rPr>
          <w:color w:val="2E5796"/>
          <w:sz w:val="28"/>
        </w:rPr>
        <w:t>with</w:t>
      </w:r>
      <w:r>
        <w:rPr>
          <w:color w:val="2E5796"/>
          <w:spacing w:val="-10"/>
          <w:sz w:val="28"/>
        </w:rPr>
        <w:t> </w:t>
      </w:r>
      <w:r>
        <w:rPr>
          <w:color w:val="2E5796"/>
          <w:sz w:val="28"/>
        </w:rPr>
        <w:t>other</w:t>
      </w:r>
      <w:r>
        <w:rPr>
          <w:color w:val="2E5796"/>
          <w:spacing w:val="-3"/>
          <w:sz w:val="28"/>
        </w:rPr>
        <w:t> </w:t>
      </w:r>
      <w:r>
        <w:rPr>
          <w:color w:val="2E5796"/>
          <w:sz w:val="28"/>
        </w:rPr>
        <w:t>public</w:t>
      </w:r>
      <w:r>
        <w:rPr>
          <w:color w:val="2E5796"/>
          <w:spacing w:val="-4"/>
          <w:sz w:val="28"/>
        </w:rPr>
        <w:t> </w:t>
      </w:r>
      <w:r>
        <w:rPr>
          <w:color w:val="2E5796"/>
          <w:sz w:val="28"/>
        </w:rPr>
        <w:t>benefit</w:t>
      </w:r>
      <w:r>
        <w:rPr>
          <w:color w:val="2E5796"/>
          <w:spacing w:val="-9"/>
          <w:sz w:val="28"/>
        </w:rPr>
        <w:t> </w:t>
      </w:r>
      <w:r>
        <w:rPr>
          <w:color w:val="2E5796"/>
          <w:sz w:val="28"/>
        </w:rPr>
        <w:t>programs,</w:t>
      </w:r>
      <w:r>
        <w:rPr>
          <w:color w:val="2E5796"/>
          <w:spacing w:val="-8"/>
          <w:sz w:val="28"/>
        </w:rPr>
        <w:t> </w:t>
      </w:r>
      <w:r>
        <w:rPr>
          <w:color w:val="2E5796"/>
          <w:sz w:val="28"/>
        </w:rPr>
        <w:t>simplify the grant structure, lifts the family cap and increase incentives to</w:t>
      </w:r>
      <w:r>
        <w:rPr>
          <w:color w:val="2E5796"/>
          <w:spacing w:val="-24"/>
          <w:sz w:val="28"/>
        </w:rPr>
        <w:t> </w:t>
      </w:r>
      <w:r>
        <w:rPr>
          <w:color w:val="2E5796"/>
          <w:sz w:val="28"/>
        </w:rPr>
        <w:t>work</w:t>
      </w:r>
    </w:p>
    <w:p>
      <w:pPr>
        <w:pStyle w:val="ListParagraph"/>
        <w:numPr>
          <w:ilvl w:val="0"/>
          <w:numId w:val="1"/>
        </w:numPr>
        <w:tabs>
          <w:tab w:pos="1035" w:val="left" w:leader="none"/>
          <w:tab w:pos="1036" w:val="left" w:leader="none"/>
        </w:tabs>
        <w:spacing w:line="340" w:lineRule="exact" w:before="54" w:after="0"/>
        <w:ind w:left="1035" w:right="0" w:hanging="451"/>
        <w:jc w:val="left"/>
        <w:rPr>
          <w:rFonts w:ascii="Arial"/>
          <w:sz w:val="28"/>
        </w:rPr>
      </w:pPr>
      <w:r>
        <w:rPr>
          <w:color w:val="2E5796"/>
          <w:sz w:val="28"/>
        </w:rPr>
        <w:t>Increases Safe and Successful Youth Initiative to include young women and high</w:t>
      </w:r>
      <w:r>
        <w:rPr>
          <w:color w:val="2E5796"/>
          <w:spacing w:val="-49"/>
          <w:sz w:val="28"/>
        </w:rPr>
        <w:t> </w:t>
      </w:r>
      <w:r>
        <w:rPr>
          <w:color w:val="2E5796"/>
          <w:sz w:val="28"/>
        </w:rPr>
        <w:t>need</w:t>
      </w:r>
    </w:p>
    <w:p>
      <w:pPr>
        <w:pStyle w:val="BodyText"/>
        <w:spacing w:line="340" w:lineRule="exact"/>
        <w:ind w:left="1035"/>
      </w:pPr>
      <w:r>
        <w:rPr>
          <w:color w:val="2E5796"/>
        </w:rPr>
        <w:t>communities</w:t>
      </w:r>
    </w:p>
    <w:p>
      <w:pPr>
        <w:pStyle w:val="ListParagraph"/>
        <w:numPr>
          <w:ilvl w:val="0"/>
          <w:numId w:val="1"/>
        </w:numPr>
        <w:tabs>
          <w:tab w:pos="1035" w:val="left" w:leader="none"/>
          <w:tab w:pos="1036" w:val="left" w:leader="none"/>
        </w:tabs>
        <w:spacing w:line="240" w:lineRule="auto" w:before="60" w:after="0"/>
        <w:ind w:left="1035" w:right="0" w:hanging="451"/>
        <w:jc w:val="left"/>
        <w:rPr>
          <w:rFonts w:ascii="Arial"/>
          <w:sz w:val="28"/>
        </w:rPr>
      </w:pPr>
      <w:r>
        <w:rPr>
          <w:color w:val="2E5796"/>
          <w:sz w:val="28"/>
        </w:rPr>
        <w:t>Increases funding for Sexual Assault and Domestic Violence</w:t>
      </w:r>
      <w:r>
        <w:rPr>
          <w:color w:val="2E5796"/>
          <w:spacing w:val="-35"/>
          <w:sz w:val="28"/>
        </w:rPr>
        <w:t> </w:t>
      </w:r>
      <w:r>
        <w:rPr>
          <w:color w:val="2E5796"/>
          <w:sz w:val="28"/>
        </w:rPr>
        <w:t>prevention</w:t>
      </w:r>
    </w:p>
    <w:p>
      <w:pPr>
        <w:pStyle w:val="ListParagraph"/>
        <w:numPr>
          <w:ilvl w:val="0"/>
          <w:numId w:val="1"/>
        </w:numPr>
        <w:tabs>
          <w:tab w:pos="1035" w:val="left" w:leader="none"/>
          <w:tab w:pos="1036" w:val="left" w:leader="none"/>
        </w:tabs>
        <w:spacing w:line="240" w:lineRule="auto" w:before="59" w:after="0"/>
        <w:ind w:left="1035" w:right="0" w:hanging="451"/>
        <w:jc w:val="left"/>
        <w:rPr>
          <w:rFonts w:ascii="Arial"/>
          <w:sz w:val="28"/>
        </w:rPr>
      </w:pPr>
      <w:r>
        <w:rPr>
          <w:color w:val="2E5796"/>
          <w:sz w:val="28"/>
        </w:rPr>
        <w:t>Increased rates for chapter 766 schools by $2.2 M</w:t>
      </w:r>
      <w:r>
        <w:rPr>
          <w:color w:val="2E5796"/>
          <w:spacing w:val="-23"/>
          <w:sz w:val="28"/>
        </w:rPr>
        <w:t> </w:t>
      </w:r>
      <w:r>
        <w:rPr>
          <w:color w:val="2E5796"/>
          <w:sz w:val="28"/>
        </w:rPr>
        <w:t>(2.63%)</w:t>
      </w:r>
    </w:p>
    <w:p>
      <w:pPr>
        <w:pStyle w:val="BodyText"/>
        <w:spacing w:before="1"/>
        <w:rPr>
          <w:sz w:val="27"/>
        </w:rPr>
      </w:pPr>
    </w:p>
    <w:p>
      <w:pPr>
        <w:tabs>
          <w:tab w:pos="13112" w:val="right" w:leader="none"/>
        </w:tabs>
        <w:spacing w:before="100"/>
        <w:ind w:left="4953" w:right="0" w:firstLine="0"/>
        <w:jc w:val="left"/>
        <w:rPr>
          <w:sz w:val="24"/>
        </w:rPr>
      </w:pPr>
      <w:r>
        <w:rPr>
          <w:color w:val="585858"/>
          <w:sz w:val="24"/>
        </w:rPr>
        <w:t>Wednesday, October</w:t>
      </w:r>
      <w:r>
        <w:rPr>
          <w:color w:val="585858"/>
          <w:spacing w:val="7"/>
          <w:sz w:val="24"/>
        </w:rPr>
        <w:t> </w:t>
      </w:r>
      <w:r>
        <w:rPr>
          <w:color w:val="585858"/>
          <w:sz w:val="24"/>
        </w:rPr>
        <w:t>16,</w:t>
      </w:r>
      <w:r>
        <w:rPr>
          <w:color w:val="585858"/>
          <w:spacing w:val="2"/>
          <w:sz w:val="24"/>
        </w:rPr>
        <w:t> </w:t>
      </w:r>
      <w:r>
        <w:rPr>
          <w:color w:val="585858"/>
          <w:sz w:val="24"/>
        </w:rPr>
        <w:t>2019</w:t>
      </w:r>
      <w:r>
        <w:rPr>
          <w:color w:val="585858"/>
          <w:position w:val="7"/>
          <w:sz w:val="24"/>
        </w:rPr>
        <w:tab/>
        <w:t>3</w:t>
      </w:r>
    </w:p>
    <w:p>
      <w:pPr>
        <w:spacing w:after="0"/>
        <w:jc w:val="left"/>
        <w:rPr>
          <w:sz w:val="24"/>
        </w:rPr>
        <w:sectPr>
          <w:pgSz w:w="14400" w:h="10800" w:orient="landscape"/>
          <w:pgMar w:top="820" w:bottom="0" w:left="520" w:right="660"/>
        </w:sectPr>
      </w:pPr>
    </w:p>
    <w:p>
      <w:pPr>
        <w:pStyle w:val="Heading2"/>
      </w:pPr>
      <w:r>
        <w:rPr/>
        <w:pict>
          <v:group style="position:absolute;margin-left:0pt;margin-top:-.000006pt;width:720pt;height:540pt;mso-position-horizontal-relative:page;mso-position-vertical-relative:page;z-index:-9136" coordorigin="0,0" coordsize="14400,10800">
            <v:shape style="position:absolute;left:0;top:0;width:14400;height:10800" type="#_x0000_t75" stroked="false">
              <v:imagedata r:id="rId5" o:title=""/>
            </v:shape>
            <v:shape style="position:absolute;left:13319;top:10235;width:133;height:134" type="#_x0000_t75" stroked="false">
              <v:imagedata r:id="rId6" o:title=""/>
            </v:shape>
            <v:shape style="position:absolute;left:896;top:10235;width:133;height:134" type="#_x0000_t75" stroked="false">
              <v:imagedata r:id="rId7" o:title=""/>
            </v:shape>
            <v:shape style="position:absolute;left:286;top:746;width:11347;height:1109" type="#_x0000_t75" stroked="false">
              <v:imagedata r:id="rId38" o:title=""/>
            </v:shape>
            <v:shape style="position:absolute;left:10956;top:746;width:811;height:1109" type="#_x0000_t75" stroked="false">
              <v:imagedata r:id="rId33" o:title=""/>
            </v:shape>
            <w10:wrap type="none"/>
          </v:group>
        </w:pict>
      </w:r>
      <w:r>
        <w:rPr>
          <w:color w:val="2E5796"/>
        </w:rPr>
        <w:t>Department of Developmental Services (DDS)</w:t>
      </w:r>
    </w:p>
    <w:p>
      <w:pPr>
        <w:pStyle w:val="Heading3"/>
      </w:pPr>
      <w:r>
        <w:rPr>
          <w:color w:val="2E5796"/>
        </w:rPr>
        <w:t>Agency Summary</w:t>
      </w:r>
    </w:p>
    <w:p>
      <w:pPr>
        <w:pStyle w:val="BodyText"/>
        <w:spacing w:line="235" w:lineRule="auto" w:before="63"/>
        <w:ind w:left="704" w:right="551"/>
      </w:pPr>
      <w:r>
        <w:rPr>
          <w:color w:val="2E5796"/>
        </w:rPr>
        <w:t>DDS creates opportunities for individuals with intellectual disabilities to participate in and contribute meaningfully to their communities. DDS provides specialized services and supports approximately 41,000 adults and children with intellectual and developmental disabilities including those with Autism Spectrum Disorder. DDS also provides residential services to individuals with acquired brain injury. Services include day and employment, residential, family support, and transportation. Services through state operated facilities, 261community-based state operated program, and with more than 255 private provider agencies.</w:t>
      </w:r>
    </w:p>
    <w:p>
      <w:pPr>
        <w:pStyle w:val="BodyText"/>
        <w:spacing w:before="12"/>
        <w:rPr>
          <w:sz w:val="33"/>
        </w:rPr>
      </w:pPr>
    </w:p>
    <w:p>
      <w:pPr>
        <w:pStyle w:val="Heading3"/>
        <w:spacing w:line="388" w:lineRule="exact" w:before="0"/>
      </w:pPr>
      <w:r>
        <w:rPr>
          <w:color w:val="2E5796"/>
        </w:rPr>
        <w:t>House 1 (H.1) Budget</w:t>
      </w:r>
    </w:p>
    <w:p>
      <w:pPr>
        <w:pStyle w:val="BodyText"/>
        <w:spacing w:line="336" w:lineRule="exact" w:before="8"/>
        <w:ind w:left="704" w:right="542"/>
      </w:pPr>
      <w:r>
        <w:rPr>
          <w:color w:val="2E5796"/>
        </w:rPr>
        <w:t>The H.1 budget funds DDS at $2.074 B, a $107.9 M (+5.5%) increase above FY19 spending and a $148.3 M (+7.7%) increase above FY19 GAA</w:t>
      </w:r>
    </w:p>
    <w:p>
      <w:pPr>
        <w:pStyle w:val="BodyText"/>
        <w:spacing w:before="3"/>
        <w:rPr>
          <w:sz w:val="43"/>
        </w:rPr>
      </w:pPr>
    </w:p>
    <w:p>
      <w:pPr>
        <w:pStyle w:val="Heading3"/>
        <w:spacing w:before="0"/>
      </w:pPr>
      <w:r>
        <w:rPr>
          <w:color w:val="2E5796"/>
        </w:rPr>
        <w:t>H.1 Budget Highlights</w:t>
      </w:r>
    </w:p>
    <w:p>
      <w:pPr>
        <w:pStyle w:val="ListParagraph"/>
        <w:numPr>
          <w:ilvl w:val="1"/>
          <w:numId w:val="1"/>
        </w:numPr>
        <w:tabs>
          <w:tab w:pos="1155" w:val="left" w:leader="none"/>
          <w:tab w:pos="1156" w:val="left" w:leader="none"/>
        </w:tabs>
        <w:spacing w:line="336" w:lineRule="exact" w:before="70" w:after="0"/>
        <w:ind w:left="1155" w:right="1387" w:hanging="451"/>
        <w:jc w:val="left"/>
        <w:rPr>
          <w:sz w:val="28"/>
        </w:rPr>
      </w:pPr>
      <w:r>
        <w:rPr>
          <w:color w:val="2E5796"/>
          <w:sz w:val="28"/>
          <w:u w:val="single" w:color="2E5796"/>
        </w:rPr>
        <w:t>Turning 22 </w:t>
      </w:r>
      <w:r>
        <w:rPr>
          <w:color w:val="2E5796"/>
          <w:sz w:val="28"/>
        </w:rPr>
        <w:t>– H.1 includes significant investments for the Department’s Turning</w:t>
      </w:r>
      <w:r>
        <w:rPr>
          <w:color w:val="2E5796"/>
          <w:spacing w:val="-41"/>
          <w:sz w:val="28"/>
        </w:rPr>
        <w:t> </w:t>
      </w:r>
      <w:r>
        <w:rPr>
          <w:color w:val="2E5796"/>
          <w:sz w:val="28"/>
        </w:rPr>
        <w:t>22 population for the third year in a</w:t>
      </w:r>
      <w:r>
        <w:rPr>
          <w:color w:val="2E5796"/>
          <w:spacing w:val="-21"/>
          <w:sz w:val="28"/>
        </w:rPr>
        <w:t> </w:t>
      </w:r>
      <w:r>
        <w:rPr>
          <w:color w:val="2E5796"/>
          <w:sz w:val="28"/>
        </w:rPr>
        <w:t>row</w:t>
      </w:r>
    </w:p>
    <w:p>
      <w:pPr>
        <w:pStyle w:val="ListParagraph"/>
        <w:numPr>
          <w:ilvl w:val="2"/>
          <w:numId w:val="1"/>
        </w:numPr>
        <w:tabs>
          <w:tab w:pos="1875" w:val="left" w:leader="none"/>
          <w:tab w:pos="1876" w:val="left" w:leader="none"/>
        </w:tabs>
        <w:spacing w:line="240" w:lineRule="auto" w:before="45" w:after="0"/>
        <w:ind w:left="1875" w:right="0" w:hanging="451"/>
        <w:jc w:val="left"/>
        <w:rPr>
          <w:sz w:val="24"/>
        </w:rPr>
      </w:pPr>
      <w:r>
        <w:rPr>
          <w:color w:val="2E5796"/>
          <w:sz w:val="24"/>
        </w:rPr>
        <w:t>Fully funds services for nearly 1,300 members of FY19 Turning 22 class ($25</w:t>
      </w:r>
      <w:r>
        <w:rPr>
          <w:color w:val="2E5796"/>
          <w:spacing w:val="-22"/>
          <w:sz w:val="24"/>
        </w:rPr>
        <w:t> </w:t>
      </w:r>
      <w:r>
        <w:rPr>
          <w:color w:val="2E5796"/>
          <w:sz w:val="24"/>
        </w:rPr>
        <w:t>M)</w:t>
      </w:r>
    </w:p>
    <w:p>
      <w:pPr>
        <w:pStyle w:val="ListParagraph"/>
        <w:numPr>
          <w:ilvl w:val="2"/>
          <w:numId w:val="1"/>
        </w:numPr>
        <w:tabs>
          <w:tab w:pos="1875" w:val="left" w:leader="none"/>
          <w:tab w:pos="1876" w:val="left" w:leader="none"/>
        </w:tabs>
        <w:spacing w:line="240" w:lineRule="auto" w:before="31" w:after="0"/>
        <w:ind w:left="1875" w:right="0" w:hanging="451"/>
        <w:jc w:val="left"/>
        <w:rPr>
          <w:sz w:val="24"/>
        </w:rPr>
      </w:pPr>
      <w:r>
        <w:rPr>
          <w:color w:val="2E5796"/>
          <w:sz w:val="24"/>
        </w:rPr>
        <w:t>$67.3 M increase </w:t>
      </w:r>
      <w:r>
        <w:rPr>
          <w:color w:val="2E5796"/>
          <w:spacing w:val="-3"/>
          <w:sz w:val="24"/>
        </w:rPr>
        <w:t>to </w:t>
      </w:r>
      <w:r>
        <w:rPr>
          <w:color w:val="2E5796"/>
          <w:sz w:val="24"/>
        </w:rPr>
        <w:t>fund services for1,171 members aging out of the Turning 22</w:t>
      </w:r>
      <w:r>
        <w:rPr>
          <w:color w:val="2E5796"/>
          <w:spacing w:val="-1"/>
          <w:sz w:val="24"/>
        </w:rPr>
        <w:t> </w:t>
      </w:r>
      <w:r>
        <w:rPr>
          <w:color w:val="2E5796"/>
          <w:sz w:val="24"/>
        </w:rPr>
        <w:t>class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5"/>
        </w:rPr>
      </w:pPr>
    </w:p>
    <w:p>
      <w:pPr>
        <w:tabs>
          <w:tab w:pos="13112" w:val="right" w:leader="none"/>
        </w:tabs>
        <w:spacing w:before="100"/>
        <w:ind w:left="4953" w:right="0" w:firstLine="0"/>
        <w:jc w:val="left"/>
        <w:rPr>
          <w:sz w:val="24"/>
        </w:rPr>
      </w:pPr>
      <w:r>
        <w:rPr>
          <w:color w:val="585858"/>
          <w:sz w:val="24"/>
        </w:rPr>
        <w:t>Wednesday, October</w:t>
      </w:r>
      <w:r>
        <w:rPr>
          <w:color w:val="585858"/>
          <w:spacing w:val="7"/>
          <w:sz w:val="24"/>
        </w:rPr>
        <w:t> </w:t>
      </w:r>
      <w:r>
        <w:rPr>
          <w:color w:val="585858"/>
          <w:sz w:val="24"/>
        </w:rPr>
        <w:t>16,</w:t>
      </w:r>
      <w:r>
        <w:rPr>
          <w:color w:val="585858"/>
          <w:spacing w:val="2"/>
          <w:sz w:val="24"/>
        </w:rPr>
        <w:t> </w:t>
      </w:r>
      <w:r>
        <w:rPr>
          <w:color w:val="585858"/>
          <w:sz w:val="24"/>
        </w:rPr>
        <w:t>2019</w:t>
      </w:r>
      <w:r>
        <w:rPr>
          <w:color w:val="585858"/>
          <w:position w:val="7"/>
          <w:sz w:val="24"/>
        </w:rPr>
        <w:tab/>
        <w:t>4</w:t>
      </w:r>
    </w:p>
    <w:p>
      <w:pPr>
        <w:spacing w:after="0"/>
        <w:jc w:val="left"/>
        <w:rPr>
          <w:sz w:val="24"/>
        </w:rPr>
        <w:sectPr>
          <w:pgSz w:w="14400" w:h="10800" w:orient="landscape"/>
          <w:pgMar w:top="820" w:bottom="0" w:left="520" w:right="660"/>
        </w:sectPr>
      </w:pPr>
    </w:p>
    <w:p>
      <w:pPr>
        <w:pStyle w:val="Heading2"/>
      </w:pPr>
      <w:r>
        <w:rPr/>
        <w:pict>
          <v:group style="position:absolute;margin-left:0pt;margin-top:-.000006pt;width:720pt;height:540pt;mso-position-horizontal-relative:page;mso-position-vertical-relative:page;z-index:-9112" coordorigin="0,0" coordsize="14400,10800">
            <v:shape style="position:absolute;left:0;top:0;width:14400;height:10800" type="#_x0000_t75" stroked="false">
              <v:imagedata r:id="rId5" o:title=""/>
            </v:shape>
            <v:shape style="position:absolute;left:13319;top:10235;width:133;height:134" type="#_x0000_t75" stroked="false">
              <v:imagedata r:id="rId6" o:title=""/>
            </v:shape>
            <v:shape style="position:absolute;left:896;top:10235;width:133;height:134" type="#_x0000_t75" stroked="false">
              <v:imagedata r:id="rId7" o:title=""/>
            </v:shape>
            <v:shape style="position:absolute;left:286;top:746;width:11347;height:1109" type="#_x0000_t75" stroked="false">
              <v:imagedata r:id="rId38" o:title=""/>
            </v:shape>
            <v:shape style="position:absolute;left:10956;top:746;width:811;height:1109" type="#_x0000_t75" stroked="false">
              <v:imagedata r:id="rId33" o:title=""/>
            </v:shape>
            <w10:wrap type="none"/>
          </v:group>
        </w:pict>
      </w:r>
      <w:r>
        <w:rPr>
          <w:color w:val="2E5796"/>
        </w:rPr>
        <w:t>Department of Developmental Services (DDS)</w:t>
      </w:r>
    </w:p>
    <w:p>
      <w:pPr>
        <w:pStyle w:val="Heading3"/>
        <w:ind w:left="584"/>
      </w:pPr>
      <w:r>
        <w:rPr>
          <w:color w:val="2E5796"/>
        </w:rPr>
        <w:t>H.1 Budget Highlights (cont.)</w:t>
      </w:r>
    </w:p>
    <w:p>
      <w:pPr>
        <w:pStyle w:val="Heading4"/>
        <w:numPr>
          <w:ilvl w:val="0"/>
          <w:numId w:val="1"/>
        </w:numPr>
        <w:tabs>
          <w:tab w:pos="1124" w:val="left" w:leader="none"/>
          <w:tab w:pos="1125" w:val="left" w:leader="none"/>
        </w:tabs>
        <w:spacing w:line="388" w:lineRule="exact" w:before="267" w:after="0"/>
        <w:ind w:left="1124" w:right="0" w:hanging="540"/>
        <w:jc w:val="left"/>
        <w:rPr>
          <w:rFonts w:ascii="Arial"/>
          <w:color w:val="2E5796"/>
        </w:rPr>
      </w:pPr>
      <w:r>
        <w:rPr>
          <w:color w:val="2E5796"/>
        </w:rPr>
        <w:t>$28.5 M increase to cover changing needs within the existing DDS</w:t>
      </w:r>
      <w:r>
        <w:rPr>
          <w:color w:val="2E5796"/>
          <w:spacing w:val="-45"/>
        </w:rPr>
        <w:t> </w:t>
      </w:r>
      <w:r>
        <w:rPr>
          <w:color w:val="2E5796"/>
        </w:rPr>
        <w:t>client</w:t>
      </w:r>
    </w:p>
    <w:p>
      <w:pPr>
        <w:spacing w:line="388" w:lineRule="exact" w:before="0"/>
        <w:ind w:left="1124" w:right="0" w:firstLine="0"/>
        <w:jc w:val="left"/>
        <w:rPr>
          <w:sz w:val="32"/>
        </w:rPr>
      </w:pPr>
      <w:r>
        <w:rPr>
          <w:color w:val="2E5796"/>
          <w:sz w:val="32"/>
        </w:rPr>
        <w:t>base – caused by increasing acuity and aging caretakers</w:t>
      </w:r>
    </w:p>
    <w:p>
      <w:pPr>
        <w:pStyle w:val="BodyText"/>
        <w:spacing w:before="4"/>
        <w:rPr>
          <w:sz w:val="44"/>
        </w:rPr>
      </w:pPr>
    </w:p>
    <w:p>
      <w:pPr>
        <w:pStyle w:val="ListParagraph"/>
        <w:numPr>
          <w:ilvl w:val="0"/>
          <w:numId w:val="1"/>
        </w:numPr>
        <w:tabs>
          <w:tab w:pos="1124" w:val="left" w:leader="none"/>
          <w:tab w:pos="1125" w:val="left" w:leader="none"/>
        </w:tabs>
        <w:spacing w:line="384" w:lineRule="exact" w:before="0" w:after="0"/>
        <w:ind w:left="1124" w:right="1313" w:hanging="540"/>
        <w:jc w:val="left"/>
        <w:rPr>
          <w:rFonts w:ascii="Arial"/>
          <w:sz w:val="32"/>
        </w:rPr>
      </w:pPr>
      <w:r>
        <w:rPr>
          <w:color w:val="2E5796"/>
          <w:sz w:val="32"/>
        </w:rPr>
        <w:t>$4.2 M increase for an additional day of residential and day and</w:t>
      </w:r>
      <w:r>
        <w:rPr>
          <w:color w:val="2E5796"/>
          <w:spacing w:val="-45"/>
          <w:sz w:val="32"/>
        </w:rPr>
        <w:t> </w:t>
      </w:r>
      <w:r>
        <w:rPr>
          <w:color w:val="2E5796"/>
          <w:sz w:val="32"/>
        </w:rPr>
        <w:t>work services due to the leap</w:t>
      </w:r>
      <w:r>
        <w:rPr>
          <w:color w:val="2E5796"/>
          <w:spacing w:val="-22"/>
          <w:sz w:val="32"/>
        </w:rPr>
        <w:t> </w:t>
      </w:r>
      <w:r>
        <w:rPr>
          <w:color w:val="2E5796"/>
          <w:sz w:val="32"/>
        </w:rPr>
        <w:t>year</w:t>
      </w:r>
    </w:p>
    <w:p>
      <w:pPr>
        <w:pStyle w:val="BodyText"/>
        <w:spacing w:before="10"/>
        <w:rPr>
          <w:sz w:val="43"/>
        </w:rPr>
      </w:pPr>
    </w:p>
    <w:p>
      <w:pPr>
        <w:pStyle w:val="ListParagraph"/>
        <w:numPr>
          <w:ilvl w:val="0"/>
          <w:numId w:val="1"/>
        </w:numPr>
        <w:tabs>
          <w:tab w:pos="1124" w:val="left" w:leader="none"/>
          <w:tab w:pos="1125" w:val="left" w:leader="none"/>
        </w:tabs>
        <w:spacing w:line="384" w:lineRule="exact" w:before="0" w:after="0"/>
        <w:ind w:left="1124" w:right="439" w:hanging="540"/>
        <w:jc w:val="left"/>
        <w:rPr>
          <w:rFonts w:ascii="Arial"/>
          <w:sz w:val="32"/>
        </w:rPr>
      </w:pPr>
      <w:r>
        <w:rPr>
          <w:color w:val="2E5796"/>
          <w:sz w:val="32"/>
        </w:rPr>
        <w:t>Includes an additional $4 million increase ($10.5M total funding) at the Department of Elementary and Secondary Education to increase</w:t>
      </w:r>
      <w:r>
        <w:rPr>
          <w:color w:val="2E5796"/>
          <w:spacing w:val="-33"/>
          <w:sz w:val="32"/>
        </w:rPr>
        <w:t> </w:t>
      </w:r>
      <w:r>
        <w:rPr>
          <w:color w:val="2E5796"/>
          <w:sz w:val="32"/>
        </w:rPr>
        <w:t>available capacity in its highly successful existing partnership program </w:t>
      </w:r>
      <w:r>
        <w:rPr>
          <w:color w:val="2E5796"/>
          <w:spacing w:val="-3"/>
          <w:sz w:val="32"/>
        </w:rPr>
        <w:t>with </w:t>
      </w:r>
      <w:r>
        <w:rPr>
          <w:color w:val="2E5796"/>
          <w:sz w:val="32"/>
        </w:rPr>
        <w:t>DDS to support youth at home in their communities. The program will support approximately 264 </w:t>
      </w:r>
      <w:r>
        <w:rPr>
          <w:color w:val="2E5796"/>
          <w:spacing w:val="-3"/>
          <w:sz w:val="32"/>
        </w:rPr>
        <w:t>new, </w:t>
      </w:r>
      <w:r>
        <w:rPr>
          <w:color w:val="2E5796"/>
          <w:sz w:val="32"/>
        </w:rPr>
        <w:t>760 total youth and their</w:t>
      </w:r>
      <w:r>
        <w:rPr>
          <w:color w:val="2E5796"/>
          <w:spacing w:val="-18"/>
          <w:sz w:val="32"/>
        </w:rPr>
        <w:t> </w:t>
      </w:r>
      <w:r>
        <w:rPr>
          <w:color w:val="2E5796"/>
          <w:sz w:val="32"/>
        </w:rPr>
        <w:t>families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2"/>
        </w:rPr>
      </w:pPr>
    </w:p>
    <w:p>
      <w:pPr>
        <w:tabs>
          <w:tab w:pos="13112" w:val="right" w:leader="none"/>
        </w:tabs>
        <w:spacing w:before="100"/>
        <w:ind w:left="4953" w:right="0" w:firstLine="0"/>
        <w:jc w:val="left"/>
        <w:rPr>
          <w:sz w:val="24"/>
        </w:rPr>
      </w:pPr>
      <w:r>
        <w:rPr>
          <w:color w:val="585858"/>
          <w:sz w:val="24"/>
        </w:rPr>
        <w:t>Wednesday, October</w:t>
      </w:r>
      <w:r>
        <w:rPr>
          <w:color w:val="585858"/>
          <w:spacing w:val="7"/>
          <w:sz w:val="24"/>
        </w:rPr>
        <w:t> </w:t>
      </w:r>
      <w:r>
        <w:rPr>
          <w:color w:val="585858"/>
          <w:sz w:val="24"/>
        </w:rPr>
        <w:t>16,</w:t>
      </w:r>
      <w:r>
        <w:rPr>
          <w:color w:val="585858"/>
          <w:spacing w:val="2"/>
          <w:sz w:val="24"/>
        </w:rPr>
        <w:t> </w:t>
      </w:r>
      <w:r>
        <w:rPr>
          <w:color w:val="585858"/>
          <w:sz w:val="24"/>
        </w:rPr>
        <w:t>2019</w:t>
      </w:r>
      <w:r>
        <w:rPr>
          <w:color w:val="585858"/>
          <w:position w:val="7"/>
          <w:sz w:val="24"/>
        </w:rPr>
        <w:tab/>
        <w:t>5</w:t>
      </w:r>
    </w:p>
    <w:p>
      <w:pPr>
        <w:spacing w:after="0"/>
        <w:jc w:val="left"/>
        <w:rPr>
          <w:sz w:val="24"/>
        </w:rPr>
        <w:sectPr>
          <w:pgSz w:w="14400" w:h="10800" w:orient="landscape"/>
          <w:pgMar w:top="820" w:bottom="0" w:left="520" w:right="660"/>
        </w:sectPr>
      </w:pPr>
    </w:p>
    <w:p>
      <w:pPr>
        <w:pStyle w:val="Heading2"/>
      </w:pPr>
      <w:r>
        <w:rPr/>
        <w:pict>
          <v:group style="position:absolute;margin-left:0pt;margin-top:-.000006pt;width:720pt;height:540pt;mso-position-horizontal-relative:page;mso-position-vertical-relative:page;z-index:-9088" coordorigin="0,0" coordsize="14400,10800">
            <v:shape style="position:absolute;left:0;top:0;width:14400;height:10800" type="#_x0000_t75" stroked="false">
              <v:imagedata r:id="rId5" o:title=""/>
            </v:shape>
            <v:shape style="position:absolute;left:13319;top:10235;width:133;height:134" type="#_x0000_t75" stroked="false">
              <v:imagedata r:id="rId6" o:title=""/>
            </v:shape>
            <v:shape style="position:absolute;left:896;top:10235;width:133;height:134" type="#_x0000_t75" stroked="false">
              <v:imagedata r:id="rId7" o:title=""/>
            </v:shape>
            <v:shape style="position:absolute;left:286;top:746;width:9770;height:1109" type="#_x0000_t75" stroked="false">
              <v:imagedata r:id="rId39" o:title=""/>
            </v:shape>
            <v:shape style="position:absolute;left:9379;top:746;width:811;height:1109" type="#_x0000_t75" stroked="false">
              <v:imagedata r:id="rId33" o:title=""/>
            </v:shape>
            <w10:wrap type="none"/>
          </v:group>
        </w:pict>
      </w:r>
      <w:r>
        <w:rPr>
          <w:color w:val="2E5796"/>
        </w:rPr>
        <w:t>Notable Investments Across the Budget</w:t>
      </w:r>
    </w:p>
    <w:p>
      <w:pPr>
        <w:pStyle w:val="Heading4"/>
        <w:numPr>
          <w:ilvl w:val="0"/>
          <w:numId w:val="1"/>
        </w:numPr>
        <w:tabs>
          <w:tab w:pos="1125" w:val="left" w:leader="none"/>
        </w:tabs>
        <w:spacing w:line="235" w:lineRule="auto" w:before="385" w:after="0"/>
        <w:ind w:left="1124" w:right="526" w:hanging="540"/>
        <w:jc w:val="both"/>
        <w:rPr>
          <w:rFonts w:ascii="Arial"/>
          <w:color w:val="2E5796"/>
        </w:rPr>
      </w:pPr>
      <w:r>
        <w:rPr>
          <w:color w:val="2E5796"/>
        </w:rPr>
        <w:t>FY20 Chapter 70 increase of more than $200M. Building on FY18-19 reforms involving healthcare and English Learners increases Foundation Budget by over $1 B </w:t>
      </w:r>
      <w:r>
        <w:rPr>
          <w:color w:val="2E5796"/>
          <w:spacing w:val="-3"/>
        </w:rPr>
        <w:t>(in </w:t>
      </w:r>
      <w:r>
        <w:rPr>
          <w:color w:val="2E5796"/>
        </w:rPr>
        <w:t>current dollars) for a total of $3.3 B in</w:t>
      </w:r>
      <w:r>
        <w:rPr>
          <w:color w:val="2E5796"/>
          <w:spacing w:val="-18"/>
        </w:rPr>
        <w:t> </w:t>
      </w:r>
      <w:r>
        <w:rPr>
          <w:color w:val="2E5796"/>
        </w:rPr>
        <w:t>FY26.</w:t>
      </w:r>
    </w:p>
    <w:p>
      <w:pPr>
        <w:pStyle w:val="BodyText"/>
        <w:spacing w:before="5"/>
        <w:rPr>
          <w:sz w:val="44"/>
        </w:rPr>
      </w:pPr>
    </w:p>
    <w:p>
      <w:pPr>
        <w:pStyle w:val="ListParagraph"/>
        <w:numPr>
          <w:ilvl w:val="0"/>
          <w:numId w:val="1"/>
        </w:numPr>
        <w:tabs>
          <w:tab w:pos="1124" w:val="left" w:leader="none"/>
          <w:tab w:pos="1125" w:val="left" w:leader="none"/>
        </w:tabs>
        <w:spacing w:line="384" w:lineRule="exact" w:before="0" w:after="0"/>
        <w:ind w:left="1124" w:right="621" w:hanging="540"/>
        <w:jc w:val="left"/>
        <w:rPr>
          <w:rFonts w:ascii="Arial"/>
          <w:color w:val="2E5796"/>
          <w:sz w:val="32"/>
        </w:rPr>
      </w:pPr>
      <w:r>
        <w:rPr>
          <w:color w:val="2E5796"/>
          <w:sz w:val="32"/>
        </w:rPr>
        <w:t>Phases in an increase to the Foundation Budget increment for</w:t>
      </w:r>
      <w:r>
        <w:rPr>
          <w:color w:val="2E5796"/>
          <w:spacing w:val="-33"/>
          <w:sz w:val="32"/>
        </w:rPr>
        <w:t> </w:t>
      </w:r>
      <w:r>
        <w:rPr>
          <w:color w:val="2E5796"/>
          <w:sz w:val="32"/>
        </w:rPr>
        <w:t>low-income students in the highest poverty districts by more than $600/pupil,</w:t>
      </w:r>
      <w:r>
        <w:rPr>
          <w:color w:val="2E5796"/>
          <w:spacing w:val="-28"/>
          <w:sz w:val="32"/>
        </w:rPr>
        <w:t> </w:t>
      </w:r>
      <w:r>
        <w:rPr>
          <w:color w:val="2E5796"/>
          <w:sz w:val="32"/>
        </w:rPr>
        <w:t>plus</w:t>
      </w:r>
    </w:p>
    <w:p>
      <w:pPr>
        <w:spacing w:line="384" w:lineRule="exact" w:before="0"/>
        <w:ind w:left="1124" w:right="0" w:firstLine="0"/>
        <w:jc w:val="left"/>
        <w:rPr>
          <w:sz w:val="32"/>
        </w:rPr>
      </w:pPr>
      <w:r>
        <w:rPr>
          <w:color w:val="2E5796"/>
          <w:sz w:val="32"/>
        </w:rPr>
        <w:t>$180/pupil in supplemental funds for low-income districts with the highest English Language Learner populations . Over 85 percent of Chapter 70 increase in FY20 goes to high-need districts.</w:t>
      </w:r>
    </w:p>
    <w:p>
      <w:pPr>
        <w:pStyle w:val="BodyText"/>
        <w:spacing w:before="2"/>
        <w:rPr>
          <w:sz w:val="43"/>
        </w:rPr>
      </w:pPr>
    </w:p>
    <w:p>
      <w:pPr>
        <w:pStyle w:val="ListParagraph"/>
        <w:numPr>
          <w:ilvl w:val="0"/>
          <w:numId w:val="1"/>
        </w:numPr>
        <w:tabs>
          <w:tab w:pos="1124" w:val="left" w:leader="none"/>
          <w:tab w:pos="1125" w:val="left" w:leader="none"/>
        </w:tabs>
        <w:spacing w:line="235" w:lineRule="auto" w:before="0" w:after="0"/>
        <w:ind w:left="1124" w:right="383" w:hanging="540"/>
        <w:jc w:val="left"/>
        <w:rPr>
          <w:rFonts w:ascii="Arial"/>
          <w:color w:val="2E5796"/>
          <w:sz w:val="32"/>
        </w:rPr>
      </w:pPr>
      <w:r>
        <w:rPr>
          <w:color w:val="2E5796"/>
          <w:sz w:val="32"/>
        </w:rPr>
        <w:t>Establishes $50 M School Improvement Trust Fund of to be committed over</w:t>
      </w:r>
      <w:r>
        <w:rPr>
          <w:color w:val="2E5796"/>
          <w:spacing w:val="-34"/>
          <w:sz w:val="32"/>
        </w:rPr>
        <w:t> </w:t>
      </w:r>
      <w:r>
        <w:rPr>
          <w:color w:val="2E5796"/>
          <w:sz w:val="32"/>
        </w:rPr>
        <w:t>3 years by Commissioner of Elementary and Secondary Education to support improvement in low-performing schools. Additionally, H1 includes $26.5 M in targeted assistance funds, an increase of $18.9 M over FY19 GAA, and is a result of consolidation </w:t>
      </w:r>
      <w:r>
        <w:rPr>
          <w:color w:val="2E5796"/>
          <w:spacing w:val="-3"/>
          <w:sz w:val="32"/>
        </w:rPr>
        <w:t>with </w:t>
      </w:r>
      <w:r>
        <w:rPr>
          <w:color w:val="2E5796"/>
          <w:sz w:val="32"/>
        </w:rPr>
        <w:t>Expanded Learning Time and FY18 one-time funding.</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p>
    <w:p>
      <w:pPr>
        <w:tabs>
          <w:tab w:pos="13112" w:val="right" w:leader="none"/>
        </w:tabs>
        <w:spacing w:before="100"/>
        <w:ind w:left="4953" w:right="0" w:firstLine="0"/>
        <w:jc w:val="left"/>
        <w:rPr>
          <w:sz w:val="24"/>
        </w:rPr>
      </w:pPr>
      <w:r>
        <w:rPr>
          <w:color w:val="585858"/>
          <w:sz w:val="24"/>
        </w:rPr>
        <w:t>Wednesday, October</w:t>
      </w:r>
      <w:r>
        <w:rPr>
          <w:color w:val="585858"/>
          <w:spacing w:val="7"/>
          <w:sz w:val="24"/>
        </w:rPr>
        <w:t> </w:t>
      </w:r>
      <w:r>
        <w:rPr>
          <w:color w:val="585858"/>
          <w:sz w:val="24"/>
        </w:rPr>
        <w:t>16,</w:t>
      </w:r>
      <w:r>
        <w:rPr>
          <w:color w:val="585858"/>
          <w:spacing w:val="2"/>
          <w:sz w:val="24"/>
        </w:rPr>
        <w:t> </w:t>
      </w:r>
      <w:r>
        <w:rPr>
          <w:color w:val="585858"/>
          <w:sz w:val="24"/>
        </w:rPr>
        <w:t>2019</w:t>
      </w:r>
      <w:r>
        <w:rPr>
          <w:color w:val="585858"/>
          <w:position w:val="7"/>
          <w:sz w:val="24"/>
        </w:rPr>
        <w:tab/>
        <w:t>6</w:t>
      </w:r>
    </w:p>
    <w:p>
      <w:pPr>
        <w:spacing w:after="0"/>
        <w:jc w:val="left"/>
        <w:rPr>
          <w:sz w:val="24"/>
        </w:rPr>
        <w:sectPr>
          <w:pgSz w:w="14400" w:h="10800" w:orient="landscape"/>
          <w:pgMar w:top="820" w:bottom="0" w:left="520" w:right="660"/>
        </w:sectPr>
      </w:pPr>
    </w:p>
    <w:p>
      <w:pPr>
        <w:pStyle w:val="Heading2"/>
        <w:spacing w:line="472" w:lineRule="auto" w:before="76"/>
        <w:ind w:left="2350" w:right="1598" w:hanging="2147"/>
      </w:pPr>
      <w:r>
        <w:rPr/>
        <w:pict>
          <v:group style="position:absolute;margin-left:0pt;margin-top:-.000006pt;width:720pt;height:540pt;mso-position-horizontal-relative:page;mso-position-vertical-relative:page;z-index:-9064" coordorigin="0,0" coordsize="14400,10800">
            <v:shape style="position:absolute;left:0;top:0;width:14400;height:10800" type="#_x0000_t75" stroked="false">
              <v:imagedata r:id="rId5" o:title=""/>
            </v:shape>
            <v:shape style="position:absolute;left:13319;top:10235;width:133;height:134" type="#_x0000_t75" stroked="false">
              <v:imagedata r:id="rId6" o:title=""/>
            </v:shape>
            <v:shape style="position:absolute;left:896;top:10235;width:133;height:134" type="#_x0000_t75" stroked="false">
              <v:imagedata r:id="rId7" o:title=""/>
            </v:shape>
            <v:shape style="position:absolute;left:600;top:2496;width:13200;height:7500" type="#_x0000_t75" stroked="false">
              <v:imagedata r:id="rId40" o:title=""/>
            </v:shape>
            <v:shape style="position:absolute;left:1925;top:242;width:10682;height:1109" type="#_x0000_t75" stroked="false">
              <v:imagedata r:id="rId41" o:title=""/>
            </v:shape>
            <v:shape style="position:absolute;left:4070;top:1402;width:6257;height:1109" type="#_x0000_t75" stroked="false">
              <v:imagedata r:id="rId42" o:title=""/>
            </v:shape>
            <v:shape style="position:absolute;left:9650;top:1402;width:811;height:1109" type="#_x0000_t75" stroked="false">
              <v:imagedata r:id="rId33" o:title=""/>
            </v:shape>
            <w10:wrap type="none"/>
          </v:group>
        </w:pict>
      </w:r>
      <w:r>
        <w:rPr>
          <w:color w:val="2E5796"/>
        </w:rPr>
        <w:t>House 1 and An Act to Promote Equity and Excellence in Education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spacing w:before="230"/>
        <w:ind w:left="0" w:right="105" w:firstLine="0"/>
        <w:jc w:val="right"/>
        <w:rPr>
          <w:sz w:val="24"/>
        </w:rPr>
      </w:pPr>
      <w:r>
        <w:rPr>
          <w:color w:val="585858"/>
          <w:sz w:val="24"/>
        </w:rPr>
        <w:t>7</w:t>
      </w:r>
    </w:p>
    <w:sectPr>
      <w:pgSz w:w="14400" w:h="10800" w:orient="landscape"/>
      <w:pgMar w:top="320" w:bottom="0" w:left="206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Gothic">
    <w:altName w:val="Century Gothic"/>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35" w:hanging="452"/>
      </w:pPr>
      <w:rPr>
        <w:rFonts w:hint="default"/>
        <w:w w:val="100"/>
      </w:rPr>
    </w:lvl>
    <w:lvl w:ilvl="1">
      <w:start w:val="0"/>
      <w:numFmt w:val="bullet"/>
      <w:lvlText w:val="•"/>
      <w:lvlJc w:val="left"/>
      <w:pPr>
        <w:ind w:left="1155" w:hanging="452"/>
      </w:pPr>
      <w:rPr>
        <w:rFonts w:hint="default" w:ascii="Arial" w:hAnsi="Arial" w:eastAsia="Arial" w:cs="Arial"/>
        <w:color w:val="2E5796"/>
        <w:w w:val="100"/>
        <w:sz w:val="28"/>
        <w:szCs w:val="28"/>
      </w:rPr>
    </w:lvl>
    <w:lvl w:ilvl="2">
      <w:start w:val="0"/>
      <w:numFmt w:val="bullet"/>
      <w:lvlText w:val="o"/>
      <w:lvlJc w:val="left"/>
      <w:pPr>
        <w:ind w:left="1875" w:hanging="452"/>
      </w:pPr>
      <w:rPr>
        <w:rFonts w:hint="default" w:ascii="Courier New" w:hAnsi="Courier New" w:eastAsia="Courier New" w:cs="Courier New"/>
        <w:color w:val="2E5796"/>
        <w:spacing w:val="-8"/>
        <w:w w:val="100"/>
        <w:sz w:val="24"/>
        <w:szCs w:val="24"/>
      </w:rPr>
    </w:lvl>
    <w:lvl w:ilvl="3">
      <w:start w:val="0"/>
      <w:numFmt w:val="bullet"/>
      <w:lvlText w:val="•"/>
      <w:lvlJc w:val="left"/>
      <w:pPr>
        <w:ind w:left="3297" w:hanging="452"/>
      </w:pPr>
      <w:rPr>
        <w:rFonts w:hint="default"/>
      </w:rPr>
    </w:lvl>
    <w:lvl w:ilvl="4">
      <w:start w:val="0"/>
      <w:numFmt w:val="bullet"/>
      <w:lvlText w:val="•"/>
      <w:lvlJc w:val="left"/>
      <w:pPr>
        <w:ind w:left="4715" w:hanging="452"/>
      </w:pPr>
      <w:rPr>
        <w:rFonts w:hint="default"/>
      </w:rPr>
    </w:lvl>
    <w:lvl w:ilvl="5">
      <w:start w:val="0"/>
      <w:numFmt w:val="bullet"/>
      <w:lvlText w:val="•"/>
      <w:lvlJc w:val="left"/>
      <w:pPr>
        <w:ind w:left="6132" w:hanging="452"/>
      </w:pPr>
      <w:rPr>
        <w:rFonts w:hint="default"/>
      </w:rPr>
    </w:lvl>
    <w:lvl w:ilvl="6">
      <w:start w:val="0"/>
      <w:numFmt w:val="bullet"/>
      <w:lvlText w:val="•"/>
      <w:lvlJc w:val="left"/>
      <w:pPr>
        <w:ind w:left="7550" w:hanging="452"/>
      </w:pPr>
      <w:rPr>
        <w:rFonts w:hint="default"/>
      </w:rPr>
    </w:lvl>
    <w:lvl w:ilvl="7">
      <w:start w:val="0"/>
      <w:numFmt w:val="bullet"/>
      <w:lvlText w:val="•"/>
      <w:lvlJc w:val="left"/>
      <w:pPr>
        <w:ind w:left="8967" w:hanging="452"/>
      </w:pPr>
      <w:rPr>
        <w:rFonts w:hint="default"/>
      </w:rPr>
    </w:lvl>
    <w:lvl w:ilvl="8">
      <w:start w:val="0"/>
      <w:numFmt w:val="bullet"/>
      <w:lvlText w:val="•"/>
      <w:lvlJc w:val="left"/>
      <w:pPr>
        <w:ind w:left="10385" w:hanging="45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rPr>
  </w:style>
  <w:style w:styleId="BodyText" w:type="paragraph">
    <w:name w:val="Body Text"/>
    <w:basedOn w:val="Normal"/>
    <w:uiPriority w:val="1"/>
    <w:qFormat/>
    <w:pPr/>
    <w:rPr>
      <w:rFonts w:ascii="Century Gothic" w:hAnsi="Century Gothic" w:eastAsia="Century Gothic" w:cs="Century Gothic"/>
      <w:sz w:val="28"/>
      <w:szCs w:val="28"/>
    </w:rPr>
  </w:style>
  <w:style w:styleId="Heading1" w:type="paragraph">
    <w:name w:val="Heading 1"/>
    <w:basedOn w:val="Normal"/>
    <w:uiPriority w:val="1"/>
    <w:qFormat/>
    <w:pPr>
      <w:spacing w:line="768" w:lineRule="exact"/>
      <w:ind w:left="2005" w:right="1041"/>
      <w:outlineLvl w:val="1"/>
    </w:pPr>
    <w:rPr>
      <w:rFonts w:ascii="Century Gothic" w:hAnsi="Century Gothic" w:eastAsia="Century Gothic" w:cs="Century Gothic"/>
      <w:b/>
      <w:bCs/>
      <w:sz w:val="64"/>
      <w:szCs w:val="64"/>
    </w:rPr>
  </w:style>
  <w:style w:styleId="Heading2" w:type="paragraph">
    <w:name w:val="Heading 2"/>
    <w:basedOn w:val="Normal"/>
    <w:uiPriority w:val="1"/>
    <w:qFormat/>
    <w:pPr>
      <w:spacing w:before="80"/>
      <w:ind w:left="103"/>
      <w:outlineLvl w:val="2"/>
    </w:pPr>
    <w:rPr>
      <w:rFonts w:ascii="Century Gothic" w:hAnsi="Century Gothic" w:eastAsia="Century Gothic" w:cs="Century Gothic"/>
      <w:b/>
      <w:bCs/>
      <w:sz w:val="48"/>
      <w:szCs w:val="48"/>
    </w:rPr>
  </w:style>
  <w:style w:styleId="Heading3" w:type="paragraph">
    <w:name w:val="Heading 3"/>
    <w:basedOn w:val="Normal"/>
    <w:uiPriority w:val="1"/>
    <w:qFormat/>
    <w:pPr>
      <w:spacing w:before="136"/>
      <w:ind w:left="704"/>
      <w:outlineLvl w:val="3"/>
    </w:pPr>
    <w:rPr>
      <w:rFonts w:ascii="Century Gothic" w:hAnsi="Century Gothic" w:eastAsia="Century Gothic" w:cs="Century Gothic"/>
      <w:b/>
      <w:bCs/>
      <w:sz w:val="32"/>
      <w:szCs w:val="32"/>
    </w:rPr>
  </w:style>
  <w:style w:styleId="Heading4" w:type="paragraph">
    <w:name w:val="Heading 4"/>
    <w:basedOn w:val="Normal"/>
    <w:uiPriority w:val="1"/>
    <w:qFormat/>
    <w:pPr>
      <w:spacing w:line="384" w:lineRule="exact"/>
      <w:ind w:left="1124" w:hanging="540"/>
      <w:outlineLvl w:val="4"/>
    </w:pPr>
    <w:rPr>
      <w:rFonts w:ascii="Century Gothic" w:hAnsi="Century Gothic" w:eastAsia="Century Gothic" w:cs="Century Gothic"/>
      <w:sz w:val="32"/>
      <w:szCs w:val="32"/>
    </w:rPr>
  </w:style>
  <w:style w:styleId="ListParagraph" w:type="paragraph">
    <w:name w:val="List Paragraph"/>
    <w:basedOn w:val="Normal"/>
    <w:uiPriority w:val="1"/>
    <w:qFormat/>
    <w:pPr>
      <w:ind w:left="1035" w:hanging="451"/>
    </w:pPr>
    <w:rPr>
      <w:rFonts w:ascii="Century Gothic" w:hAnsi="Century Gothic" w:eastAsia="Century Gothic" w:cs="Century Gothic"/>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jpe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dc:title>PowerPoint Presentation</dc:title>
  <dcterms:created xsi:type="dcterms:W3CDTF">2019-10-16T11:42:04Z</dcterms:created>
  <dcterms:modified xsi:type="dcterms:W3CDTF">2019-10-16T11:42:04Z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Creator">
    <vt:lpwstr>Microsoft® PowerPoint® 2010</vt:lpwstr>
  </property>
  <property fmtid="{D5CDD505-2E9C-101B-9397-08002B2CF9AE}" pid="4" name="LastSaved">
    <vt:filetime>2019-10-16T00:00:00Z</vt:filetime>
  </property>
</Properties>
</file>