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6E" w:rsidRPr="008F006A" w:rsidRDefault="004D64BC" w:rsidP="009D6242">
      <w:pPr>
        <w:pStyle w:val="Heading1"/>
      </w:pPr>
      <w:bookmarkStart w:id="0" w:name="_Toc32577164"/>
      <w:r w:rsidRPr="008F006A">
        <w:t xml:space="preserve">Flexible Services </w:t>
      </w:r>
      <w:r w:rsidR="006E72DE" w:rsidRPr="008F006A">
        <w:t xml:space="preserve">Program </w:t>
      </w:r>
      <w:r w:rsidR="002666AA" w:rsidRPr="008F006A">
        <w:t>F</w:t>
      </w:r>
      <w:r w:rsidR="006E72DE" w:rsidRPr="008F006A">
        <w:t>requently Asked Questions (FAQs)</w:t>
      </w:r>
      <w:bookmarkEnd w:id="0"/>
      <w:r w:rsidR="006E72DE" w:rsidRPr="008F006A">
        <w:t xml:space="preserve"> </w:t>
      </w:r>
    </w:p>
    <w:p w:rsidR="000E1A5A" w:rsidRPr="008F006A" w:rsidRDefault="004D64BC" w:rsidP="002666AA">
      <w:pPr>
        <w:jc w:val="center"/>
        <w:rPr>
          <w:rFonts w:ascii="Verdana" w:hAnsi="Verdana"/>
          <w:sz w:val="18"/>
          <w:szCs w:val="18"/>
        </w:rPr>
      </w:pPr>
      <w:r w:rsidRPr="008F006A">
        <w:rPr>
          <w:rFonts w:ascii="Verdana" w:hAnsi="Verdana"/>
          <w:i/>
          <w:sz w:val="18"/>
          <w:szCs w:val="18"/>
        </w:rPr>
        <w:t xml:space="preserve">As of </w:t>
      </w:r>
      <w:r w:rsidR="00647692" w:rsidRPr="008F006A">
        <w:rPr>
          <w:rFonts w:ascii="Verdana" w:hAnsi="Verdana"/>
          <w:i/>
          <w:sz w:val="18"/>
          <w:szCs w:val="18"/>
        </w:rPr>
        <w:t>02</w:t>
      </w:r>
      <w:r w:rsidR="0011665B" w:rsidRPr="008F006A">
        <w:rPr>
          <w:rFonts w:ascii="Verdana" w:hAnsi="Verdana"/>
          <w:i/>
          <w:sz w:val="18"/>
          <w:szCs w:val="18"/>
        </w:rPr>
        <w:t>/</w:t>
      </w:r>
      <w:r w:rsidR="00647692" w:rsidRPr="008F006A">
        <w:rPr>
          <w:rFonts w:ascii="Verdana" w:hAnsi="Verdana"/>
          <w:i/>
          <w:sz w:val="18"/>
          <w:szCs w:val="18"/>
        </w:rPr>
        <w:t>0</w:t>
      </w:r>
      <w:r w:rsidR="00E97B99" w:rsidRPr="008F006A">
        <w:rPr>
          <w:rFonts w:ascii="Verdana" w:hAnsi="Verdana"/>
          <w:i/>
          <w:sz w:val="18"/>
          <w:szCs w:val="18"/>
        </w:rPr>
        <w:t>7</w:t>
      </w:r>
      <w:r w:rsidR="007E443D" w:rsidRPr="008F006A">
        <w:rPr>
          <w:rFonts w:ascii="Verdana" w:hAnsi="Verdana"/>
          <w:i/>
          <w:sz w:val="18"/>
          <w:szCs w:val="18"/>
        </w:rPr>
        <w:t>/20</w:t>
      </w:r>
      <w:r w:rsidR="00E50411" w:rsidRPr="008F006A">
        <w:rPr>
          <w:rFonts w:ascii="Verdana" w:hAnsi="Verdana"/>
          <w:i/>
          <w:sz w:val="18"/>
          <w:szCs w:val="18"/>
        </w:rPr>
        <w:t>20</w:t>
      </w:r>
    </w:p>
    <w:p w:rsidR="006E72DE" w:rsidRPr="008F006A" w:rsidRDefault="006E72DE" w:rsidP="006E72DE">
      <w:pPr>
        <w:rPr>
          <w:rFonts w:ascii="Verdana" w:hAnsi="Verdana"/>
          <w:sz w:val="18"/>
          <w:szCs w:val="18"/>
        </w:rPr>
      </w:pPr>
      <w:r w:rsidRPr="008F006A">
        <w:rPr>
          <w:rFonts w:ascii="Verdana" w:hAnsi="Verdana"/>
          <w:b/>
          <w:sz w:val="18"/>
          <w:szCs w:val="18"/>
          <w:u w:val="single"/>
        </w:rPr>
        <w:t>Purpose:</w:t>
      </w:r>
      <w:r w:rsidRPr="008F006A">
        <w:rPr>
          <w:rFonts w:ascii="Verdana" w:hAnsi="Verdana"/>
          <w:sz w:val="18"/>
          <w:szCs w:val="18"/>
        </w:rPr>
        <w:t xml:space="preserve"> </w:t>
      </w:r>
      <w:r w:rsidR="002A2280" w:rsidRPr="008F006A">
        <w:rPr>
          <w:rFonts w:ascii="Verdana" w:hAnsi="Verdana"/>
          <w:sz w:val="18"/>
          <w:szCs w:val="18"/>
        </w:rPr>
        <w:t>This document provides</w:t>
      </w:r>
      <w:r w:rsidR="009A7E36" w:rsidRPr="008F006A">
        <w:rPr>
          <w:rFonts w:ascii="Verdana" w:hAnsi="Verdana"/>
          <w:sz w:val="18"/>
          <w:szCs w:val="18"/>
        </w:rPr>
        <w:t xml:space="preserve"> answers to</w:t>
      </w:r>
      <w:r w:rsidR="00291F11" w:rsidRPr="008F006A">
        <w:rPr>
          <w:rFonts w:ascii="Verdana" w:hAnsi="Verdana"/>
          <w:sz w:val="18"/>
          <w:szCs w:val="18"/>
        </w:rPr>
        <w:t xml:space="preserve"> </w:t>
      </w:r>
      <w:r w:rsidR="00D73621" w:rsidRPr="008F006A">
        <w:rPr>
          <w:rFonts w:ascii="Verdana" w:hAnsi="Verdana"/>
          <w:sz w:val="18"/>
          <w:szCs w:val="18"/>
        </w:rPr>
        <w:t xml:space="preserve">frequently </w:t>
      </w:r>
      <w:r w:rsidR="009B59F1" w:rsidRPr="008F006A">
        <w:rPr>
          <w:rFonts w:ascii="Verdana" w:hAnsi="Verdana"/>
          <w:sz w:val="18"/>
          <w:szCs w:val="18"/>
        </w:rPr>
        <w:t>asked questions</w:t>
      </w:r>
      <w:r w:rsidR="002A2280" w:rsidRPr="008F006A">
        <w:rPr>
          <w:rFonts w:ascii="Verdana" w:hAnsi="Verdana"/>
          <w:sz w:val="18"/>
          <w:szCs w:val="18"/>
        </w:rPr>
        <w:t xml:space="preserve"> from ACOs </w:t>
      </w:r>
      <w:r w:rsidR="002E05FF" w:rsidRPr="008F006A">
        <w:rPr>
          <w:rFonts w:ascii="Verdana" w:hAnsi="Verdana"/>
          <w:sz w:val="18"/>
          <w:szCs w:val="18"/>
        </w:rPr>
        <w:t xml:space="preserve">and </w:t>
      </w:r>
      <w:r w:rsidR="002A2280" w:rsidRPr="008F006A">
        <w:rPr>
          <w:rFonts w:ascii="Verdana" w:hAnsi="Verdana"/>
          <w:sz w:val="18"/>
          <w:szCs w:val="18"/>
        </w:rPr>
        <w:t xml:space="preserve">answers to questions </w:t>
      </w:r>
      <w:r w:rsidR="002E05FF" w:rsidRPr="008F006A">
        <w:rPr>
          <w:rFonts w:ascii="Verdana" w:hAnsi="Verdana"/>
          <w:sz w:val="18"/>
          <w:szCs w:val="18"/>
        </w:rPr>
        <w:t>related to the development of</w:t>
      </w:r>
      <w:r w:rsidR="009B59F1" w:rsidRPr="008F006A">
        <w:rPr>
          <w:rFonts w:ascii="Verdana" w:hAnsi="Verdana"/>
          <w:sz w:val="18"/>
          <w:szCs w:val="18"/>
        </w:rPr>
        <w:t xml:space="preserve"> </w:t>
      </w:r>
      <w:r w:rsidR="002A2280" w:rsidRPr="008F006A">
        <w:rPr>
          <w:rFonts w:ascii="Verdana" w:hAnsi="Verdana"/>
          <w:sz w:val="18"/>
          <w:szCs w:val="18"/>
        </w:rPr>
        <w:t>Flexible Service</w:t>
      </w:r>
      <w:r w:rsidR="00E90EF9" w:rsidRPr="008F006A">
        <w:rPr>
          <w:rFonts w:ascii="Verdana" w:hAnsi="Verdana"/>
          <w:sz w:val="18"/>
          <w:szCs w:val="18"/>
        </w:rPr>
        <w:t>s</w:t>
      </w:r>
      <w:r w:rsidR="002A2280" w:rsidRPr="008F006A">
        <w:rPr>
          <w:rFonts w:ascii="Verdana" w:hAnsi="Verdana"/>
          <w:sz w:val="18"/>
          <w:szCs w:val="18"/>
        </w:rPr>
        <w:t xml:space="preserve"> (FS) </w:t>
      </w:r>
      <w:r w:rsidR="009B59F1" w:rsidRPr="008F006A">
        <w:rPr>
          <w:rFonts w:ascii="Verdana" w:hAnsi="Verdana"/>
          <w:sz w:val="18"/>
          <w:szCs w:val="18"/>
        </w:rPr>
        <w:t>Full Participation Plans</w:t>
      </w:r>
      <w:r w:rsidR="00D73621" w:rsidRPr="008F006A">
        <w:rPr>
          <w:rFonts w:ascii="Verdana" w:hAnsi="Verdana"/>
          <w:sz w:val="18"/>
          <w:szCs w:val="18"/>
        </w:rPr>
        <w:t xml:space="preserve"> (FPPs)</w:t>
      </w:r>
      <w:r w:rsidR="009B59F1" w:rsidRPr="008F006A">
        <w:rPr>
          <w:rFonts w:ascii="Verdana" w:hAnsi="Verdana"/>
          <w:sz w:val="18"/>
          <w:szCs w:val="18"/>
        </w:rPr>
        <w:t xml:space="preserve"> and Budget and Budget Narratives</w:t>
      </w:r>
      <w:r w:rsidR="00D73621" w:rsidRPr="008F006A">
        <w:rPr>
          <w:rFonts w:ascii="Verdana" w:hAnsi="Verdana"/>
          <w:sz w:val="18"/>
          <w:szCs w:val="18"/>
        </w:rPr>
        <w:t xml:space="preserve"> (BBNs)</w:t>
      </w:r>
      <w:r w:rsidR="00D35631" w:rsidRPr="008F006A">
        <w:rPr>
          <w:rFonts w:ascii="Verdana" w:hAnsi="Verdana"/>
          <w:sz w:val="18"/>
          <w:szCs w:val="18"/>
        </w:rPr>
        <w:t xml:space="preserve"> </w:t>
      </w:r>
      <w:r w:rsidR="002A2280" w:rsidRPr="008F006A">
        <w:rPr>
          <w:rFonts w:ascii="Verdana" w:hAnsi="Verdana"/>
          <w:sz w:val="18"/>
          <w:szCs w:val="18"/>
        </w:rPr>
        <w:t xml:space="preserve">in preparation </w:t>
      </w:r>
      <w:r w:rsidR="00D35631" w:rsidRPr="008F006A">
        <w:rPr>
          <w:rFonts w:ascii="Verdana" w:hAnsi="Verdana"/>
          <w:sz w:val="18"/>
          <w:szCs w:val="18"/>
        </w:rPr>
        <w:t>for the next submission of programs to MassHealth.</w:t>
      </w:r>
      <w:bookmarkStart w:id="1" w:name="_GoBack"/>
      <w:bookmarkEnd w:id="1"/>
    </w:p>
    <w:p w:rsidR="009F3F91" w:rsidRPr="008F006A" w:rsidRDefault="009F3F91" w:rsidP="006E72DE">
      <w:pPr>
        <w:rPr>
          <w:rFonts w:ascii="Verdana" w:hAnsi="Verdana"/>
          <w:sz w:val="18"/>
          <w:szCs w:val="18"/>
        </w:rPr>
      </w:pPr>
    </w:p>
    <w:sdt>
      <w:sdtPr>
        <w:rPr>
          <w:rFonts w:ascii="Verdana" w:eastAsiaTheme="minorHAnsi" w:hAnsi="Verdana" w:cstheme="minorBidi"/>
          <w:color w:val="auto"/>
          <w:sz w:val="18"/>
          <w:szCs w:val="18"/>
        </w:rPr>
        <w:id w:val="374820418"/>
        <w:docPartObj>
          <w:docPartGallery w:val="Table of Contents"/>
          <w:docPartUnique/>
        </w:docPartObj>
      </w:sdtPr>
      <w:sdtEndPr>
        <w:rPr>
          <w:b/>
          <w:bCs/>
          <w:noProof/>
        </w:rPr>
      </w:sdtEndPr>
      <w:sdtContent>
        <w:p w:rsidR="008D12F1" w:rsidRPr="008F006A" w:rsidRDefault="009D6242" w:rsidP="008D12F1">
          <w:pPr>
            <w:pStyle w:val="TOCHeading"/>
            <w:rPr>
              <w:rFonts w:ascii="Verdana" w:hAnsi="Verdana"/>
              <w:color w:val="auto"/>
              <w:sz w:val="18"/>
              <w:szCs w:val="18"/>
            </w:rPr>
          </w:pPr>
          <w:r w:rsidRPr="008F006A">
            <w:rPr>
              <w:rFonts w:ascii="Verdana" w:hAnsi="Verdana"/>
              <w:b/>
              <w:color w:val="auto"/>
              <w:sz w:val="18"/>
              <w:szCs w:val="18"/>
              <w:u w:val="single"/>
            </w:rPr>
            <w:t>Table of Contents</w:t>
          </w:r>
          <w:r w:rsidR="008D12F1" w:rsidRPr="008F006A">
            <w:rPr>
              <w:rFonts w:ascii="Verdana" w:hAnsi="Verdana"/>
              <w:b/>
              <w:color w:val="auto"/>
              <w:sz w:val="18"/>
              <w:szCs w:val="18"/>
            </w:rPr>
            <w:t xml:space="preserve">: </w:t>
          </w:r>
          <w:r w:rsidR="008D12F1" w:rsidRPr="008F006A">
            <w:rPr>
              <w:rFonts w:ascii="Verdana" w:hAnsi="Verdana"/>
              <w:color w:val="auto"/>
              <w:sz w:val="18"/>
              <w:szCs w:val="18"/>
            </w:rPr>
            <w:t>The following topics are included in this FAQ document:</w:t>
          </w:r>
          <w:r w:rsidR="008D12F1" w:rsidRPr="008F006A">
            <w:rPr>
              <w:rFonts w:ascii="Verdana" w:hAnsi="Verdana"/>
              <w:color w:val="auto"/>
              <w:sz w:val="18"/>
              <w:szCs w:val="18"/>
            </w:rPr>
            <w:br/>
          </w:r>
        </w:p>
        <w:p w:rsidR="009D6242" w:rsidRPr="008F006A" w:rsidRDefault="009D6242">
          <w:pPr>
            <w:pStyle w:val="TOC1"/>
            <w:tabs>
              <w:tab w:val="right" w:leader="dot" w:pos="9350"/>
            </w:tabs>
            <w:rPr>
              <w:rFonts w:ascii="Verdana" w:hAnsi="Verdana" w:cstheme="minorBidi"/>
              <w:noProof/>
              <w:sz w:val="18"/>
              <w:szCs w:val="18"/>
            </w:rPr>
          </w:pPr>
          <w:r w:rsidRPr="008F006A">
            <w:rPr>
              <w:rFonts w:ascii="Verdana" w:hAnsi="Verdana"/>
              <w:sz w:val="18"/>
              <w:szCs w:val="18"/>
            </w:rPr>
            <w:fldChar w:fldCharType="begin"/>
          </w:r>
          <w:r w:rsidRPr="008F006A">
            <w:rPr>
              <w:rFonts w:ascii="Verdana" w:hAnsi="Verdana"/>
              <w:sz w:val="18"/>
              <w:szCs w:val="18"/>
            </w:rPr>
            <w:instrText xml:space="preserve"> TOC \o "1-3" \n \p " " \h \z \u </w:instrText>
          </w:r>
          <w:r w:rsidRPr="008F006A">
            <w:rPr>
              <w:rFonts w:ascii="Verdana" w:hAnsi="Verdana"/>
              <w:sz w:val="18"/>
              <w:szCs w:val="18"/>
            </w:rPr>
            <w:fldChar w:fldCharType="separate"/>
          </w:r>
          <w:hyperlink w:anchor="_Toc32577164" w:history="1">
            <w:r w:rsidRPr="008F006A">
              <w:rPr>
                <w:rStyle w:val="Hyperlink"/>
                <w:rFonts w:ascii="Verdana" w:hAnsi="Verdana"/>
                <w:noProof/>
                <w:sz w:val="18"/>
                <w:szCs w:val="18"/>
              </w:rPr>
              <w:t>Flexible Services Program Frequently Asked Questions (FAQs)</w:t>
            </w:r>
          </w:hyperlink>
        </w:p>
        <w:p w:rsidR="009D6242" w:rsidRPr="008F006A" w:rsidRDefault="00795955">
          <w:pPr>
            <w:pStyle w:val="TOC2"/>
            <w:tabs>
              <w:tab w:val="right" w:leader="dot" w:pos="9350"/>
            </w:tabs>
            <w:rPr>
              <w:rFonts w:ascii="Verdana" w:hAnsi="Verdana" w:cstheme="minorBidi"/>
              <w:noProof/>
              <w:sz w:val="18"/>
              <w:szCs w:val="18"/>
            </w:rPr>
          </w:pPr>
          <w:hyperlink w:anchor="_Toc32577165" w:history="1">
            <w:r w:rsidR="009D6242" w:rsidRPr="008F006A">
              <w:rPr>
                <w:rStyle w:val="Hyperlink"/>
                <w:rFonts w:ascii="Verdana" w:hAnsi="Verdana"/>
                <w:noProof/>
                <w:sz w:val="18"/>
                <w:szCs w:val="18"/>
              </w:rPr>
              <w:t>1. Tenancy Preservation Supports Domain</w:t>
            </w:r>
          </w:hyperlink>
        </w:p>
        <w:p w:rsidR="009D6242" w:rsidRPr="008F006A" w:rsidRDefault="00795955">
          <w:pPr>
            <w:pStyle w:val="TOC3"/>
            <w:tabs>
              <w:tab w:val="right" w:leader="dot" w:pos="9350"/>
            </w:tabs>
            <w:rPr>
              <w:rFonts w:ascii="Verdana" w:hAnsi="Verdana" w:cstheme="minorBidi"/>
              <w:noProof/>
              <w:sz w:val="18"/>
              <w:szCs w:val="18"/>
            </w:rPr>
          </w:pPr>
          <w:hyperlink w:anchor="_Toc32577166" w:history="1">
            <w:r w:rsidR="009D6242" w:rsidRPr="008F006A">
              <w:rPr>
                <w:rStyle w:val="Hyperlink"/>
                <w:rFonts w:ascii="Verdana" w:hAnsi="Verdana"/>
                <w:noProof/>
                <w:sz w:val="18"/>
                <w:szCs w:val="18"/>
              </w:rPr>
              <w:t>Renting vs. Buying</w:t>
            </w:r>
          </w:hyperlink>
        </w:p>
        <w:p w:rsidR="009D6242" w:rsidRPr="008F006A" w:rsidRDefault="00795955">
          <w:pPr>
            <w:pStyle w:val="TOC3"/>
            <w:tabs>
              <w:tab w:val="right" w:leader="dot" w:pos="9350"/>
            </w:tabs>
            <w:rPr>
              <w:rFonts w:ascii="Verdana" w:hAnsi="Verdana" w:cstheme="minorBidi"/>
              <w:noProof/>
              <w:sz w:val="18"/>
              <w:szCs w:val="18"/>
            </w:rPr>
          </w:pPr>
          <w:hyperlink w:anchor="_Toc32577167" w:history="1">
            <w:r w:rsidR="009D6242" w:rsidRPr="008F006A">
              <w:rPr>
                <w:rStyle w:val="Hyperlink"/>
                <w:rFonts w:ascii="Verdana" w:hAnsi="Verdana"/>
                <w:noProof/>
                <w:sz w:val="18"/>
                <w:szCs w:val="18"/>
              </w:rPr>
              <w:t>Landlord Responsibilities</w:t>
            </w:r>
          </w:hyperlink>
        </w:p>
        <w:p w:rsidR="009D6242" w:rsidRPr="008F006A" w:rsidRDefault="00795955">
          <w:pPr>
            <w:pStyle w:val="TOC3"/>
            <w:tabs>
              <w:tab w:val="right" w:leader="dot" w:pos="9350"/>
            </w:tabs>
            <w:rPr>
              <w:rFonts w:ascii="Verdana" w:hAnsi="Verdana" w:cstheme="minorBidi"/>
              <w:noProof/>
              <w:sz w:val="18"/>
              <w:szCs w:val="18"/>
            </w:rPr>
          </w:pPr>
          <w:hyperlink w:anchor="_Toc32577168" w:history="1">
            <w:r w:rsidR="009D6242" w:rsidRPr="008F006A">
              <w:rPr>
                <w:rStyle w:val="Hyperlink"/>
                <w:rFonts w:ascii="Verdana" w:hAnsi="Verdana"/>
                <w:noProof/>
                <w:sz w:val="18"/>
                <w:szCs w:val="18"/>
              </w:rPr>
              <w:t>Examples of Allowable Home Modifications</w:t>
            </w:r>
          </w:hyperlink>
        </w:p>
        <w:p w:rsidR="009D6242" w:rsidRPr="008F006A" w:rsidRDefault="00795955">
          <w:pPr>
            <w:pStyle w:val="TOC3"/>
            <w:tabs>
              <w:tab w:val="right" w:leader="dot" w:pos="9350"/>
            </w:tabs>
            <w:rPr>
              <w:rFonts w:ascii="Verdana" w:hAnsi="Verdana" w:cstheme="minorBidi"/>
              <w:noProof/>
              <w:sz w:val="18"/>
              <w:szCs w:val="18"/>
            </w:rPr>
          </w:pPr>
          <w:hyperlink w:anchor="_Toc32577169" w:history="1">
            <w:r w:rsidR="009D6242" w:rsidRPr="008F006A">
              <w:rPr>
                <w:rStyle w:val="Hyperlink"/>
                <w:rFonts w:ascii="Verdana" w:hAnsi="Verdana"/>
                <w:noProof/>
                <w:sz w:val="18"/>
                <w:szCs w:val="18"/>
              </w:rPr>
              <w:t>Pre-Tenancy Supports Eligibility</w:t>
            </w:r>
          </w:hyperlink>
        </w:p>
        <w:p w:rsidR="009D6242" w:rsidRPr="008F006A" w:rsidRDefault="00795955">
          <w:pPr>
            <w:pStyle w:val="TOC3"/>
            <w:tabs>
              <w:tab w:val="right" w:leader="dot" w:pos="9350"/>
            </w:tabs>
            <w:rPr>
              <w:rFonts w:ascii="Verdana" w:hAnsi="Verdana" w:cstheme="minorBidi"/>
              <w:noProof/>
              <w:sz w:val="18"/>
              <w:szCs w:val="18"/>
            </w:rPr>
          </w:pPr>
          <w:hyperlink w:anchor="_Toc32577170" w:history="1">
            <w:r w:rsidR="009D6242" w:rsidRPr="008F006A">
              <w:rPr>
                <w:rStyle w:val="Hyperlink"/>
                <w:rFonts w:ascii="Verdana" w:hAnsi="Verdana"/>
                <w:noProof/>
                <w:sz w:val="18"/>
                <w:szCs w:val="18"/>
              </w:rPr>
              <w:t>Documenting Non-Duplication in the FS Full Participation Plan (FPP) and Emergency Assistance (EA):</w:t>
            </w:r>
          </w:hyperlink>
        </w:p>
        <w:p w:rsidR="009D6242" w:rsidRPr="008F006A" w:rsidRDefault="00795955">
          <w:pPr>
            <w:pStyle w:val="TOC2"/>
            <w:tabs>
              <w:tab w:val="right" w:leader="dot" w:pos="9350"/>
            </w:tabs>
            <w:rPr>
              <w:rFonts w:ascii="Verdana" w:hAnsi="Verdana" w:cstheme="minorBidi"/>
              <w:noProof/>
              <w:sz w:val="18"/>
              <w:szCs w:val="18"/>
            </w:rPr>
          </w:pPr>
          <w:hyperlink w:anchor="_Toc32577171" w:history="1">
            <w:r w:rsidR="009D6242" w:rsidRPr="008F006A">
              <w:rPr>
                <w:rStyle w:val="Hyperlink"/>
                <w:rFonts w:ascii="Verdana" w:hAnsi="Verdana"/>
                <w:noProof/>
                <w:sz w:val="18"/>
                <w:szCs w:val="18"/>
              </w:rPr>
              <w:t>2. Nutrition Sustaining Supports Domain</w:t>
            </w:r>
          </w:hyperlink>
        </w:p>
        <w:p w:rsidR="009D6242" w:rsidRPr="008F006A" w:rsidRDefault="00795955">
          <w:pPr>
            <w:pStyle w:val="TOC3"/>
            <w:tabs>
              <w:tab w:val="right" w:leader="dot" w:pos="9350"/>
            </w:tabs>
            <w:rPr>
              <w:rFonts w:ascii="Verdana" w:hAnsi="Verdana" w:cstheme="minorBidi"/>
              <w:noProof/>
              <w:sz w:val="18"/>
              <w:szCs w:val="18"/>
            </w:rPr>
          </w:pPr>
          <w:hyperlink w:anchor="_Toc32577172" w:history="1">
            <w:r w:rsidR="009D6242" w:rsidRPr="008F006A">
              <w:rPr>
                <w:rStyle w:val="Hyperlink"/>
                <w:rFonts w:ascii="Verdana" w:hAnsi="Verdana"/>
                <w:noProof/>
                <w:sz w:val="18"/>
                <w:szCs w:val="18"/>
              </w:rPr>
              <w:t>Nutrition Vouchers:</w:t>
            </w:r>
          </w:hyperlink>
        </w:p>
        <w:p w:rsidR="009D6242" w:rsidRPr="008F006A" w:rsidRDefault="00795955">
          <w:pPr>
            <w:pStyle w:val="TOC3"/>
            <w:tabs>
              <w:tab w:val="right" w:leader="dot" w:pos="9350"/>
            </w:tabs>
            <w:rPr>
              <w:rFonts w:ascii="Verdana" w:hAnsi="Verdana" w:cstheme="minorBidi"/>
              <w:noProof/>
              <w:sz w:val="18"/>
              <w:szCs w:val="18"/>
            </w:rPr>
          </w:pPr>
          <w:hyperlink w:anchor="_Toc32577173" w:history="1">
            <w:r w:rsidR="009D6242" w:rsidRPr="008F006A">
              <w:rPr>
                <w:rStyle w:val="Hyperlink"/>
                <w:rFonts w:ascii="Verdana" w:hAnsi="Verdana"/>
                <w:noProof/>
                <w:sz w:val="18"/>
                <w:szCs w:val="18"/>
              </w:rPr>
              <w:t>Documenting Non-Duplication in the FS Full Participation Plan (FPP) and SNAP Referrals:</w:t>
            </w:r>
          </w:hyperlink>
        </w:p>
        <w:p w:rsidR="009D6242" w:rsidRPr="008F006A" w:rsidRDefault="00795955">
          <w:pPr>
            <w:pStyle w:val="TOC3"/>
            <w:tabs>
              <w:tab w:val="right" w:leader="dot" w:pos="9350"/>
            </w:tabs>
            <w:rPr>
              <w:rFonts w:ascii="Verdana" w:hAnsi="Verdana" w:cstheme="minorBidi"/>
              <w:noProof/>
              <w:sz w:val="18"/>
              <w:szCs w:val="18"/>
            </w:rPr>
          </w:pPr>
          <w:hyperlink w:anchor="_Toc32577174" w:history="1">
            <w:r w:rsidR="009D6242" w:rsidRPr="008F006A">
              <w:rPr>
                <w:rStyle w:val="Hyperlink"/>
                <w:rFonts w:ascii="Verdana" w:hAnsi="Verdana"/>
                <w:noProof/>
                <w:sz w:val="18"/>
                <w:szCs w:val="18"/>
              </w:rPr>
              <w:t>Payment for SNAP/WIC under Flexible Services</w:t>
            </w:r>
          </w:hyperlink>
        </w:p>
        <w:p w:rsidR="009D6242" w:rsidRPr="008F006A" w:rsidRDefault="00795955">
          <w:pPr>
            <w:pStyle w:val="TOC3"/>
            <w:tabs>
              <w:tab w:val="right" w:leader="dot" w:pos="9350"/>
            </w:tabs>
            <w:rPr>
              <w:rFonts w:ascii="Verdana" w:hAnsi="Verdana" w:cstheme="minorBidi"/>
              <w:noProof/>
              <w:sz w:val="18"/>
              <w:szCs w:val="18"/>
            </w:rPr>
          </w:pPr>
          <w:hyperlink w:anchor="_Toc32577175" w:history="1">
            <w:r w:rsidR="009D6242" w:rsidRPr="008F006A">
              <w:rPr>
                <w:rStyle w:val="Hyperlink"/>
                <w:rFonts w:ascii="Verdana" w:hAnsi="Verdana"/>
                <w:noProof/>
                <w:sz w:val="18"/>
                <w:szCs w:val="18"/>
              </w:rPr>
              <w:t>Allowable Nutrition Services and Goods</w:t>
            </w:r>
          </w:hyperlink>
        </w:p>
        <w:p w:rsidR="009D6242" w:rsidRPr="008F006A" w:rsidRDefault="00795955">
          <w:pPr>
            <w:pStyle w:val="TOC3"/>
            <w:tabs>
              <w:tab w:val="right" w:leader="dot" w:pos="9350"/>
            </w:tabs>
            <w:rPr>
              <w:rFonts w:ascii="Verdana" w:hAnsi="Verdana" w:cstheme="minorBidi"/>
              <w:noProof/>
              <w:sz w:val="18"/>
              <w:szCs w:val="18"/>
            </w:rPr>
          </w:pPr>
          <w:hyperlink w:anchor="_Toc32577176" w:history="1">
            <w:r w:rsidR="009D6242" w:rsidRPr="008F006A">
              <w:rPr>
                <w:rStyle w:val="Hyperlink"/>
                <w:rFonts w:ascii="Verdana" w:hAnsi="Verdana"/>
                <w:noProof/>
                <w:sz w:val="18"/>
                <w:szCs w:val="18"/>
                <w:lang w:val="en-GB"/>
              </w:rPr>
              <w:t>Funding Existing Programs with Flexible Services Funding</w:t>
            </w:r>
          </w:hyperlink>
        </w:p>
        <w:p w:rsidR="009D6242" w:rsidRPr="008F006A" w:rsidRDefault="00795955">
          <w:pPr>
            <w:pStyle w:val="TOC2"/>
            <w:tabs>
              <w:tab w:val="right" w:leader="dot" w:pos="9350"/>
            </w:tabs>
            <w:rPr>
              <w:rFonts w:ascii="Verdana" w:hAnsi="Verdana" w:cstheme="minorBidi"/>
              <w:noProof/>
              <w:sz w:val="18"/>
              <w:szCs w:val="18"/>
            </w:rPr>
          </w:pPr>
          <w:hyperlink w:anchor="_Toc32577177" w:history="1">
            <w:r w:rsidR="009D6242" w:rsidRPr="008F006A">
              <w:rPr>
                <w:rStyle w:val="Hyperlink"/>
                <w:rFonts w:ascii="Verdana" w:hAnsi="Verdana"/>
                <w:noProof/>
                <w:sz w:val="18"/>
                <w:szCs w:val="18"/>
              </w:rPr>
              <w:t>3. Full Participation Plans  Full Participation Plan (FPP) Organization</w:t>
            </w:r>
          </w:hyperlink>
        </w:p>
        <w:p w:rsidR="009D6242" w:rsidRPr="008F006A" w:rsidRDefault="00795955">
          <w:pPr>
            <w:pStyle w:val="TOC3"/>
            <w:tabs>
              <w:tab w:val="right" w:leader="dot" w:pos="9350"/>
            </w:tabs>
            <w:rPr>
              <w:rFonts w:ascii="Verdana" w:hAnsi="Verdana" w:cstheme="minorBidi"/>
              <w:noProof/>
              <w:sz w:val="18"/>
              <w:szCs w:val="18"/>
            </w:rPr>
          </w:pPr>
          <w:hyperlink w:anchor="_Toc32577178" w:history="1">
            <w:r w:rsidR="009D6242" w:rsidRPr="008F006A">
              <w:rPr>
                <w:rStyle w:val="Hyperlink"/>
                <w:rFonts w:ascii="Verdana" w:hAnsi="Verdana"/>
                <w:noProof/>
                <w:sz w:val="18"/>
                <w:szCs w:val="18"/>
              </w:rPr>
              <w:t>Sharing Relevant FPP Sections with SSO partners</w:t>
            </w:r>
          </w:hyperlink>
        </w:p>
        <w:p w:rsidR="009D6242" w:rsidRPr="008F006A" w:rsidRDefault="00795955">
          <w:pPr>
            <w:pStyle w:val="TOC3"/>
            <w:tabs>
              <w:tab w:val="right" w:leader="dot" w:pos="9350"/>
            </w:tabs>
            <w:rPr>
              <w:rFonts w:ascii="Verdana" w:hAnsi="Verdana" w:cstheme="minorBidi"/>
              <w:noProof/>
              <w:sz w:val="18"/>
              <w:szCs w:val="18"/>
            </w:rPr>
          </w:pPr>
          <w:hyperlink w:anchor="_Toc32577179" w:history="1">
            <w:r w:rsidR="009D6242" w:rsidRPr="008F006A">
              <w:rPr>
                <w:rStyle w:val="Hyperlink"/>
                <w:rFonts w:ascii="Verdana" w:hAnsi="Verdana"/>
                <w:noProof/>
                <w:sz w:val="18"/>
                <w:szCs w:val="18"/>
              </w:rPr>
              <w:t>Including Flexible Services in the overall DSRIP Full Participation Plan (FPP)</w:t>
            </w:r>
          </w:hyperlink>
        </w:p>
        <w:p w:rsidR="009D6242" w:rsidRPr="008F006A" w:rsidRDefault="00795955">
          <w:pPr>
            <w:pStyle w:val="TOC2"/>
            <w:tabs>
              <w:tab w:val="right" w:leader="dot" w:pos="9350"/>
            </w:tabs>
            <w:rPr>
              <w:rFonts w:ascii="Verdana" w:hAnsi="Verdana" w:cstheme="minorBidi"/>
              <w:noProof/>
              <w:sz w:val="18"/>
              <w:szCs w:val="18"/>
            </w:rPr>
          </w:pPr>
          <w:hyperlink w:anchor="_Toc32577180" w:history="1">
            <w:r w:rsidR="009D6242" w:rsidRPr="008F006A">
              <w:rPr>
                <w:rStyle w:val="Hyperlink"/>
                <w:rFonts w:ascii="Verdana" w:hAnsi="Verdana"/>
                <w:noProof/>
                <w:sz w:val="18"/>
                <w:szCs w:val="18"/>
              </w:rPr>
              <w:t>4. Budget and Budget Narrative (BBN)</w:t>
            </w:r>
          </w:hyperlink>
        </w:p>
        <w:p w:rsidR="009D6242" w:rsidRPr="008F006A" w:rsidRDefault="00795955">
          <w:pPr>
            <w:pStyle w:val="TOC3"/>
            <w:tabs>
              <w:tab w:val="right" w:leader="dot" w:pos="9350"/>
            </w:tabs>
            <w:rPr>
              <w:rFonts w:ascii="Verdana" w:hAnsi="Verdana" w:cstheme="minorBidi"/>
              <w:noProof/>
              <w:sz w:val="18"/>
              <w:szCs w:val="18"/>
            </w:rPr>
          </w:pPr>
          <w:hyperlink w:anchor="_Toc32577181" w:history="1">
            <w:r w:rsidR="009D6242" w:rsidRPr="008F006A">
              <w:rPr>
                <w:rStyle w:val="Hyperlink"/>
                <w:rFonts w:ascii="Verdana" w:hAnsi="Verdana"/>
                <w:noProof/>
                <w:sz w:val="18"/>
                <w:szCs w:val="18"/>
              </w:rPr>
              <w:t>Budget Development</w:t>
            </w:r>
          </w:hyperlink>
        </w:p>
        <w:p w:rsidR="009D6242" w:rsidRPr="008F006A" w:rsidRDefault="00795955">
          <w:pPr>
            <w:pStyle w:val="TOC3"/>
            <w:tabs>
              <w:tab w:val="right" w:leader="dot" w:pos="9350"/>
            </w:tabs>
            <w:rPr>
              <w:rFonts w:ascii="Verdana" w:hAnsi="Verdana" w:cstheme="minorBidi"/>
              <w:noProof/>
              <w:sz w:val="18"/>
              <w:szCs w:val="18"/>
            </w:rPr>
          </w:pPr>
          <w:hyperlink w:anchor="_Toc32577182" w:history="1">
            <w:r w:rsidR="009D6242" w:rsidRPr="008F006A">
              <w:rPr>
                <w:rStyle w:val="Hyperlink"/>
                <w:rFonts w:ascii="Verdana" w:hAnsi="Verdana"/>
                <w:noProof/>
                <w:sz w:val="18"/>
                <w:szCs w:val="18"/>
              </w:rPr>
              <w:t>Budget Narrative</w:t>
            </w:r>
          </w:hyperlink>
        </w:p>
        <w:p w:rsidR="009D6242" w:rsidRPr="008F006A" w:rsidRDefault="00795955">
          <w:pPr>
            <w:pStyle w:val="TOC3"/>
            <w:tabs>
              <w:tab w:val="right" w:leader="dot" w:pos="9350"/>
            </w:tabs>
            <w:rPr>
              <w:rFonts w:ascii="Verdana" w:hAnsi="Verdana" w:cstheme="minorBidi"/>
              <w:noProof/>
              <w:sz w:val="18"/>
              <w:szCs w:val="18"/>
            </w:rPr>
          </w:pPr>
          <w:hyperlink w:anchor="_Toc32577183" w:history="1">
            <w:r w:rsidR="009D6242" w:rsidRPr="008F006A">
              <w:rPr>
                <w:rStyle w:val="Hyperlink"/>
                <w:rFonts w:ascii="Verdana" w:hAnsi="Verdana"/>
                <w:noProof/>
                <w:sz w:val="18"/>
                <w:szCs w:val="18"/>
              </w:rPr>
              <w:t>Definition of Units</w:t>
            </w:r>
          </w:hyperlink>
        </w:p>
        <w:p w:rsidR="009D6242" w:rsidRPr="008F006A" w:rsidRDefault="00795955">
          <w:pPr>
            <w:pStyle w:val="TOC3"/>
            <w:tabs>
              <w:tab w:val="right" w:leader="dot" w:pos="9350"/>
            </w:tabs>
            <w:rPr>
              <w:rFonts w:ascii="Verdana" w:hAnsi="Verdana" w:cstheme="minorBidi"/>
              <w:noProof/>
              <w:sz w:val="18"/>
              <w:szCs w:val="18"/>
            </w:rPr>
          </w:pPr>
          <w:hyperlink w:anchor="_Toc32577184" w:history="1">
            <w:r w:rsidR="009D6242" w:rsidRPr="008F006A">
              <w:rPr>
                <w:rStyle w:val="Hyperlink"/>
                <w:rFonts w:ascii="Verdana" w:hAnsi="Verdana"/>
                <w:noProof/>
                <w:sz w:val="18"/>
                <w:szCs w:val="18"/>
              </w:rPr>
              <w:t>Flexible Services Funding Reconciliation</w:t>
            </w:r>
          </w:hyperlink>
        </w:p>
        <w:p w:rsidR="009D6242" w:rsidRPr="008F006A" w:rsidRDefault="00795955">
          <w:pPr>
            <w:pStyle w:val="TOC3"/>
            <w:tabs>
              <w:tab w:val="right" w:leader="dot" w:pos="9350"/>
            </w:tabs>
            <w:rPr>
              <w:rFonts w:ascii="Verdana" w:hAnsi="Verdana" w:cstheme="minorBidi"/>
              <w:noProof/>
              <w:sz w:val="18"/>
              <w:szCs w:val="18"/>
            </w:rPr>
          </w:pPr>
          <w:hyperlink w:anchor="_Toc32577185" w:history="1">
            <w:r w:rsidR="009D6242" w:rsidRPr="008F006A">
              <w:rPr>
                <w:rStyle w:val="Hyperlink"/>
                <w:rFonts w:ascii="Verdana" w:hAnsi="Verdana"/>
                <w:noProof/>
                <w:sz w:val="18"/>
                <w:szCs w:val="18"/>
              </w:rPr>
              <w:t>Flexible Services Funding Allocation Timeline</w:t>
            </w:r>
          </w:hyperlink>
        </w:p>
        <w:p w:rsidR="009D6242" w:rsidRPr="008F006A" w:rsidRDefault="00795955">
          <w:pPr>
            <w:pStyle w:val="TOC2"/>
            <w:tabs>
              <w:tab w:val="right" w:leader="dot" w:pos="9350"/>
            </w:tabs>
            <w:rPr>
              <w:rFonts w:ascii="Verdana" w:hAnsi="Verdana" w:cstheme="minorBidi"/>
              <w:noProof/>
              <w:sz w:val="18"/>
              <w:szCs w:val="18"/>
            </w:rPr>
          </w:pPr>
          <w:hyperlink w:anchor="_Toc32577186" w:history="1">
            <w:r w:rsidR="009D6242" w:rsidRPr="008F006A">
              <w:rPr>
                <w:rStyle w:val="Hyperlink"/>
                <w:rFonts w:ascii="Verdana" w:hAnsi="Verdana"/>
                <w:noProof/>
                <w:sz w:val="18"/>
                <w:szCs w:val="18"/>
              </w:rPr>
              <w:t>5. Member Eligibility Screening and Use of Verification, Planning, and Referral (VPR) Forms</w:t>
            </w:r>
          </w:hyperlink>
        </w:p>
        <w:p w:rsidR="009D6242" w:rsidRPr="008F006A" w:rsidRDefault="00795955">
          <w:pPr>
            <w:pStyle w:val="TOC3"/>
            <w:tabs>
              <w:tab w:val="right" w:leader="dot" w:pos="9350"/>
            </w:tabs>
            <w:rPr>
              <w:rFonts w:ascii="Verdana" w:hAnsi="Verdana" w:cstheme="minorBidi"/>
              <w:noProof/>
              <w:sz w:val="18"/>
              <w:szCs w:val="18"/>
            </w:rPr>
          </w:pPr>
          <w:hyperlink w:anchor="_Toc32577187" w:history="1">
            <w:r w:rsidR="009D6242" w:rsidRPr="008F006A">
              <w:rPr>
                <w:rStyle w:val="Hyperlink"/>
                <w:rFonts w:ascii="Verdana" w:hAnsi="Verdana"/>
                <w:noProof/>
                <w:sz w:val="18"/>
                <w:szCs w:val="18"/>
              </w:rPr>
              <w:t>VPR Form Transmission</w:t>
            </w:r>
          </w:hyperlink>
        </w:p>
        <w:p w:rsidR="009D6242" w:rsidRPr="008F006A" w:rsidRDefault="00795955">
          <w:pPr>
            <w:pStyle w:val="TOC3"/>
            <w:tabs>
              <w:tab w:val="right" w:leader="dot" w:pos="9350"/>
            </w:tabs>
            <w:rPr>
              <w:rFonts w:ascii="Verdana" w:hAnsi="Verdana" w:cstheme="minorBidi"/>
              <w:noProof/>
              <w:sz w:val="18"/>
              <w:szCs w:val="18"/>
            </w:rPr>
          </w:pPr>
          <w:hyperlink w:anchor="_Toc32577188" w:history="1">
            <w:r w:rsidR="009D6242" w:rsidRPr="008F006A">
              <w:rPr>
                <w:rStyle w:val="Hyperlink"/>
                <w:rFonts w:ascii="Verdana" w:hAnsi="Verdana"/>
                <w:noProof/>
                <w:sz w:val="18"/>
                <w:szCs w:val="18"/>
              </w:rPr>
              <w:t>Integration of VPR Form into Electronic Systems</w:t>
            </w:r>
          </w:hyperlink>
        </w:p>
        <w:p w:rsidR="009D6242" w:rsidRPr="008F006A" w:rsidRDefault="00795955">
          <w:pPr>
            <w:pStyle w:val="TOC2"/>
            <w:tabs>
              <w:tab w:val="right" w:leader="dot" w:pos="9350"/>
            </w:tabs>
            <w:rPr>
              <w:rFonts w:ascii="Verdana" w:hAnsi="Verdana" w:cstheme="minorBidi"/>
              <w:noProof/>
              <w:sz w:val="18"/>
              <w:szCs w:val="18"/>
            </w:rPr>
          </w:pPr>
          <w:hyperlink w:anchor="_Toc32577189" w:history="1">
            <w:r w:rsidR="009D6242" w:rsidRPr="008F006A">
              <w:rPr>
                <w:rStyle w:val="Hyperlink"/>
                <w:rFonts w:ascii="Verdana" w:hAnsi="Verdana"/>
                <w:noProof/>
                <w:sz w:val="18"/>
                <w:szCs w:val="18"/>
              </w:rPr>
              <w:t>6. Preparation Period</w:t>
            </w:r>
          </w:hyperlink>
        </w:p>
        <w:p w:rsidR="009D6242" w:rsidRPr="008F006A" w:rsidRDefault="00795955">
          <w:pPr>
            <w:pStyle w:val="TOC3"/>
            <w:tabs>
              <w:tab w:val="right" w:leader="dot" w:pos="9350"/>
            </w:tabs>
            <w:rPr>
              <w:rFonts w:ascii="Verdana" w:hAnsi="Verdana" w:cstheme="minorBidi"/>
              <w:noProof/>
              <w:sz w:val="18"/>
              <w:szCs w:val="18"/>
            </w:rPr>
          </w:pPr>
          <w:hyperlink w:anchor="_Toc32577190" w:history="1">
            <w:r w:rsidR="009D6242" w:rsidRPr="008F006A">
              <w:rPr>
                <w:rStyle w:val="Hyperlink"/>
                <w:rFonts w:ascii="Verdana" w:hAnsi="Verdana"/>
                <w:noProof/>
                <w:sz w:val="18"/>
                <w:szCs w:val="18"/>
              </w:rPr>
              <w:t>Attestation Requirements for ACO-CP and SSO-ACO Partnerships</w:t>
            </w:r>
          </w:hyperlink>
        </w:p>
        <w:p w:rsidR="009D6242" w:rsidRPr="008F006A" w:rsidRDefault="00795955">
          <w:pPr>
            <w:pStyle w:val="TOC3"/>
            <w:tabs>
              <w:tab w:val="right" w:leader="dot" w:pos="9350"/>
            </w:tabs>
            <w:rPr>
              <w:rFonts w:ascii="Verdana" w:hAnsi="Verdana" w:cstheme="minorBidi"/>
              <w:noProof/>
              <w:sz w:val="18"/>
              <w:szCs w:val="18"/>
            </w:rPr>
          </w:pPr>
          <w:hyperlink w:anchor="_Toc32577191" w:history="1">
            <w:r w:rsidR="009D6242" w:rsidRPr="008F006A">
              <w:rPr>
                <w:rStyle w:val="Hyperlink"/>
                <w:rFonts w:ascii="Verdana" w:hAnsi="Verdana"/>
                <w:noProof/>
                <w:sz w:val="18"/>
                <w:szCs w:val="18"/>
              </w:rPr>
              <w:t>Program Integrity Requirements</w:t>
            </w:r>
          </w:hyperlink>
        </w:p>
        <w:p w:rsidR="009D6242" w:rsidRPr="008F006A" w:rsidRDefault="00795955">
          <w:pPr>
            <w:pStyle w:val="TOC3"/>
            <w:tabs>
              <w:tab w:val="right" w:leader="dot" w:pos="9350"/>
            </w:tabs>
            <w:rPr>
              <w:rFonts w:ascii="Verdana" w:hAnsi="Verdana" w:cstheme="minorBidi"/>
              <w:noProof/>
              <w:sz w:val="18"/>
              <w:szCs w:val="18"/>
            </w:rPr>
          </w:pPr>
          <w:hyperlink w:anchor="_Toc32577192" w:history="1">
            <w:r w:rsidR="009D6242" w:rsidRPr="008F006A">
              <w:rPr>
                <w:rStyle w:val="Hyperlink"/>
                <w:rFonts w:ascii="Verdana" w:hAnsi="Verdana"/>
                <w:noProof/>
                <w:sz w:val="18"/>
                <w:szCs w:val="18"/>
              </w:rPr>
              <w:t>Member-Facing Materials</w:t>
            </w:r>
          </w:hyperlink>
        </w:p>
        <w:p w:rsidR="009D6242" w:rsidRPr="008F006A" w:rsidRDefault="00795955">
          <w:pPr>
            <w:pStyle w:val="TOC2"/>
            <w:tabs>
              <w:tab w:val="right" w:leader="dot" w:pos="9350"/>
            </w:tabs>
            <w:rPr>
              <w:rFonts w:ascii="Verdana" w:hAnsi="Verdana" w:cstheme="minorBidi"/>
              <w:noProof/>
              <w:sz w:val="18"/>
              <w:szCs w:val="18"/>
            </w:rPr>
          </w:pPr>
          <w:hyperlink w:anchor="_Toc32577193" w:history="1">
            <w:r w:rsidR="009D6242" w:rsidRPr="008F006A">
              <w:rPr>
                <w:rStyle w:val="Hyperlink"/>
                <w:rFonts w:ascii="Verdana" w:hAnsi="Verdana"/>
                <w:noProof/>
                <w:sz w:val="18"/>
                <w:szCs w:val="18"/>
              </w:rPr>
              <w:t>7. Other</w:t>
            </w:r>
          </w:hyperlink>
        </w:p>
        <w:p w:rsidR="009D6242" w:rsidRPr="008F006A" w:rsidRDefault="00795955">
          <w:pPr>
            <w:pStyle w:val="TOC3"/>
            <w:tabs>
              <w:tab w:val="right" w:leader="dot" w:pos="9350"/>
            </w:tabs>
            <w:rPr>
              <w:rFonts w:ascii="Verdana" w:hAnsi="Verdana" w:cstheme="minorBidi"/>
              <w:noProof/>
              <w:sz w:val="18"/>
              <w:szCs w:val="18"/>
            </w:rPr>
          </w:pPr>
          <w:hyperlink w:anchor="_Toc32577194" w:history="1">
            <w:r w:rsidR="009D6242" w:rsidRPr="008F006A">
              <w:rPr>
                <w:rStyle w:val="Hyperlink"/>
                <w:rFonts w:ascii="Verdana" w:hAnsi="Verdana"/>
                <w:noProof/>
                <w:sz w:val="18"/>
                <w:szCs w:val="18"/>
              </w:rPr>
              <w:t>Upcoming Submission Dates</w:t>
            </w:r>
          </w:hyperlink>
        </w:p>
        <w:p w:rsidR="009D6242" w:rsidRPr="008F006A" w:rsidRDefault="00795955">
          <w:pPr>
            <w:pStyle w:val="TOC3"/>
            <w:tabs>
              <w:tab w:val="right" w:leader="dot" w:pos="9350"/>
            </w:tabs>
            <w:rPr>
              <w:rFonts w:ascii="Verdana" w:hAnsi="Verdana" w:cstheme="minorBidi"/>
              <w:noProof/>
              <w:sz w:val="18"/>
              <w:szCs w:val="18"/>
            </w:rPr>
          </w:pPr>
          <w:hyperlink w:anchor="_Toc32577195" w:history="1">
            <w:r w:rsidR="009D6242" w:rsidRPr="008F006A">
              <w:rPr>
                <w:rStyle w:val="Hyperlink"/>
                <w:rFonts w:ascii="Verdana" w:hAnsi="Verdana"/>
                <w:noProof/>
                <w:sz w:val="18"/>
                <w:szCs w:val="18"/>
              </w:rPr>
              <w:t>Transportation Guidance</w:t>
            </w:r>
          </w:hyperlink>
        </w:p>
        <w:p w:rsidR="009D6242" w:rsidRPr="008F006A" w:rsidRDefault="00795955">
          <w:pPr>
            <w:pStyle w:val="TOC3"/>
            <w:tabs>
              <w:tab w:val="right" w:leader="dot" w:pos="9350"/>
            </w:tabs>
            <w:rPr>
              <w:rFonts w:ascii="Verdana" w:hAnsi="Verdana" w:cstheme="minorBidi"/>
              <w:noProof/>
              <w:sz w:val="18"/>
              <w:szCs w:val="18"/>
            </w:rPr>
          </w:pPr>
          <w:hyperlink w:anchor="_Toc32577196" w:history="1">
            <w:r w:rsidR="009D6242" w:rsidRPr="008F006A">
              <w:rPr>
                <w:rStyle w:val="Hyperlink"/>
                <w:rFonts w:ascii="Verdana" w:hAnsi="Verdana"/>
                <w:noProof/>
                <w:sz w:val="18"/>
                <w:szCs w:val="18"/>
              </w:rPr>
              <w:t>Appeals Process</w:t>
            </w:r>
          </w:hyperlink>
        </w:p>
        <w:p w:rsidR="009D6242" w:rsidRPr="008F006A" w:rsidRDefault="00795955">
          <w:pPr>
            <w:pStyle w:val="TOC3"/>
            <w:tabs>
              <w:tab w:val="right" w:leader="dot" w:pos="9350"/>
            </w:tabs>
            <w:rPr>
              <w:rFonts w:ascii="Verdana" w:hAnsi="Verdana" w:cstheme="minorBidi"/>
              <w:noProof/>
              <w:sz w:val="18"/>
              <w:szCs w:val="18"/>
            </w:rPr>
          </w:pPr>
          <w:hyperlink w:anchor="_Toc32577197" w:history="1">
            <w:r w:rsidR="009D6242" w:rsidRPr="008F006A">
              <w:rPr>
                <w:rStyle w:val="Hyperlink"/>
                <w:rFonts w:ascii="Verdana" w:hAnsi="Verdana"/>
                <w:noProof/>
                <w:sz w:val="18"/>
                <w:szCs w:val="18"/>
              </w:rPr>
              <w:t>Amending FPP/BBN following approval due to material / non-material changes to Flexible Services Program(s)</w:t>
            </w:r>
          </w:hyperlink>
        </w:p>
        <w:p w:rsidR="009F3F91" w:rsidRPr="008F006A" w:rsidRDefault="009D6242" w:rsidP="00372E7F">
          <w:pPr>
            <w:rPr>
              <w:rFonts w:ascii="Verdana" w:hAnsi="Verdana"/>
              <w:sz w:val="18"/>
              <w:szCs w:val="18"/>
            </w:rPr>
          </w:pPr>
          <w:r w:rsidRPr="008F006A">
            <w:rPr>
              <w:rFonts w:ascii="Verdana" w:eastAsiaTheme="minorEastAsia" w:hAnsi="Verdana" w:cs="Times New Roman"/>
              <w:sz w:val="18"/>
              <w:szCs w:val="18"/>
            </w:rPr>
            <w:fldChar w:fldCharType="end"/>
          </w:r>
        </w:p>
      </w:sdtContent>
    </w:sdt>
    <w:p w:rsidR="009F3F91" w:rsidRPr="008F006A" w:rsidRDefault="009F3F91" w:rsidP="00225DD0">
      <w:pPr>
        <w:spacing w:after="0" w:line="240" w:lineRule="auto"/>
        <w:rPr>
          <w:rFonts w:ascii="Verdana" w:eastAsia="Times New Roman" w:hAnsi="Verdana"/>
          <w:b/>
          <w:color w:val="000000"/>
          <w:sz w:val="18"/>
          <w:szCs w:val="18"/>
          <w:highlight w:val="yellow"/>
          <w:u w:val="single"/>
        </w:rPr>
      </w:pPr>
    </w:p>
    <w:p w:rsidR="009F3F91" w:rsidRPr="008F006A" w:rsidRDefault="009F3F91" w:rsidP="00225DD0">
      <w:pPr>
        <w:spacing w:after="0" w:line="240" w:lineRule="auto"/>
        <w:rPr>
          <w:rFonts w:ascii="Verdana" w:eastAsia="Times New Roman" w:hAnsi="Verdana"/>
          <w:b/>
          <w:color w:val="000000"/>
          <w:sz w:val="18"/>
          <w:szCs w:val="18"/>
          <w:highlight w:val="yellow"/>
          <w:u w:val="single"/>
        </w:rPr>
      </w:pPr>
    </w:p>
    <w:p w:rsidR="00225DD0" w:rsidRPr="008F006A" w:rsidRDefault="00225DD0" w:rsidP="009D6242">
      <w:pPr>
        <w:pStyle w:val="Heading2"/>
      </w:pPr>
      <w:bookmarkStart w:id="2" w:name="_Toc32577165"/>
      <w:r w:rsidRPr="008F006A">
        <w:t xml:space="preserve">1. </w:t>
      </w:r>
      <w:r w:rsidR="00A93F42" w:rsidRPr="008F006A">
        <w:t xml:space="preserve">Tenancy Preservation Supports </w:t>
      </w:r>
      <w:r w:rsidRPr="008F006A">
        <w:t>Domain</w:t>
      </w:r>
      <w:bookmarkEnd w:id="2"/>
    </w:p>
    <w:p w:rsidR="00225DD0" w:rsidRPr="008F006A" w:rsidRDefault="00225DD0" w:rsidP="00225DD0">
      <w:pPr>
        <w:spacing w:after="0" w:line="240" w:lineRule="auto"/>
        <w:rPr>
          <w:rFonts w:ascii="Verdana" w:eastAsia="Times New Roman" w:hAnsi="Verdana"/>
          <w:b/>
          <w:color w:val="000000"/>
          <w:sz w:val="18"/>
          <w:szCs w:val="18"/>
          <w:highlight w:val="yellow"/>
          <w:u w:val="single"/>
        </w:rPr>
      </w:pPr>
    </w:p>
    <w:p w:rsidR="00225DD0" w:rsidRPr="008F006A" w:rsidRDefault="00225DD0" w:rsidP="009D6242">
      <w:pPr>
        <w:pStyle w:val="Heading3"/>
      </w:pPr>
      <w:bookmarkStart w:id="3" w:name="_Toc32577166"/>
      <w:r w:rsidRPr="008F006A">
        <w:t>Renting vs. Buying</w:t>
      </w:r>
      <w:bookmarkEnd w:id="3"/>
    </w:p>
    <w:p w:rsidR="00225DD0" w:rsidRPr="008F006A" w:rsidRDefault="00225DD0" w:rsidP="00E91AE5">
      <w:pPr>
        <w:pStyle w:val="ListParagraph"/>
        <w:numPr>
          <w:ilvl w:val="0"/>
          <w:numId w:val="15"/>
        </w:numPr>
        <w:rPr>
          <w:rFonts w:ascii="Verdana" w:hAnsi="Verdana"/>
          <w:b/>
          <w:sz w:val="18"/>
          <w:szCs w:val="18"/>
        </w:rPr>
      </w:pPr>
      <w:r w:rsidRPr="008F006A">
        <w:rPr>
          <w:rFonts w:ascii="Verdana" w:hAnsi="Verdana"/>
          <w:b/>
          <w:sz w:val="18"/>
          <w:szCs w:val="18"/>
        </w:rPr>
        <w:t xml:space="preserve">Q: </w:t>
      </w:r>
      <w:r w:rsidRPr="008F006A">
        <w:rPr>
          <w:rFonts w:ascii="Verdana" w:hAnsi="Verdana"/>
          <w:sz w:val="18"/>
          <w:szCs w:val="18"/>
        </w:rPr>
        <w:t xml:space="preserve">Is renting storage space </w:t>
      </w:r>
      <w:r w:rsidR="00A93F42" w:rsidRPr="008F006A">
        <w:rPr>
          <w:rFonts w:ascii="Verdana" w:hAnsi="Verdana"/>
          <w:sz w:val="18"/>
          <w:szCs w:val="18"/>
        </w:rPr>
        <w:t xml:space="preserve">or </w:t>
      </w:r>
      <w:r w:rsidRPr="008F006A">
        <w:rPr>
          <w:rFonts w:ascii="Verdana" w:hAnsi="Verdana"/>
          <w:sz w:val="18"/>
          <w:szCs w:val="18"/>
        </w:rPr>
        <w:t>buying allowable under FS Admin</w:t>
      </w:r>
      <w:r w:rsidR="00E91AE5" w:rsidRPr="008F006A">
        <w:rPr>
          <w:rFonts w:ascii="Verdana" w:hAnsi="Verdana"/>
          <w:sz w:val="18"/>
          <w:szCs w:val="18"/>
        </w:rPr>
        <w:t>?</w:t>
      </w:r>
    </w:p>
    <w:p w:rsidR="00897889" w:rsidRPr="008F006A" w:rsidRDefault="00897889" w:rsidP="00C753F6">
      <w:pPr>
        <w:pStyle w:val="ListParagraph"/>
        <w:numPr>
          <w:ilvl w:val="1"/>
          <w:numId w:val="15"/>
        </w:numPr>
        <w:rPr>
          <w:rFonts w:ascii="Verdana" w:hAnsi="Verdana"/>
          <w:b/>
          <w:i/>
          <w:sz w:val="18"/>
          <w:szCs w:val="18"/>
        </w:rPr>
      </w:pPr>
      <w:r w:rsidRPr="008F006A">
        <w:rPr>
          <w:rFonts w:ascii="Verdana" w:hAnsi="Verdana"/>
          <w:b/>
          <w:i/>
          <w:sz w:val="18"/>
          <w:szCs w:val="18"/>
        </w:rPr>
        <w:t xml:space="preserve">A: </w:t>
      </w:r>
      <w:r w:rsidR="00FF6936" w:rsidRPr="008F006A">
        <w:rPr>
          <w:rFonts w:ascii="Verdana" w:hAnsi="Verdana"/>
          <w:i/>
          <w:sz w:val="18"/>
          <w:szCs w:val="18"/>
        </w:rPr>
        <w:t>ACOs may not use FS dollars to fund FS Admin expenses. However, i</w:t>
      </w:r>
      <w:r w:rsidRPr="008F006A">
        <w:rPr>
          <w:rFonts w:ascii="Verdana" w:hAnsi="Verdana"/>
          <w:i/>
          <w:sz w:val="18"/>
          <w:szCs w:val="18"/>
        </w:rPr>
        <w:t xml:space="preserve">f </w:t>
      </w:r>
      <w:r w:rsidR="004E656A" w:rsidRPr="008F006A">
        <w:rPr>
          <w:rFonts w:ascii="Verdana" w:hAnsi="Verdana"/>
          <w:i/>
          <w:sz w:val="18"/>
          <w:szCs w:val="18"/>
        </w:rPr>
        <w:t xml:space="preserve">an </w:t>
      </w:r>
      <w:r w:rsidR="004A5EA4" w:rsidRPr="008F006A">
        <w:rPr>
          <w:rFonts w:ascii="Verdana" w:hAnsi="Verdana"/>
          <w:i/>
          <w:sz w:val="18"/>
          <w:szCs w:val="18"/>
        </w:rPr>
        <w:t xml:space="preserve">SSO </w:t>
      </w:r>
      <w:r w:rsidR="004E656A" w:rsidRPr="008F006A">
        <w:rPr>
          <w:rFonts w:ascii="Verdana" w:hAnsi="Verdana"/>
          <w:i/>
          <w:sz w:val="18"/>
          <w:szCs w:val="18"/>
        </w:rPr>
        <w:t xml:space="preserve">is seeking to rent storage space to hold Flexible Service goods (e.g., vacuum cleaners, air conditioners), that cost could be folded into the administrative rate of the good.  </w:t>
      </w:r>
      <w:r w:rsidR="00A247FB" w:rsidRPr="008F006A">
        <w:rPr>
          <w:rFonts w:ascii="Verdana" w:hAnsi="Verdana"/>
          <w:i/>
          <w:sz w:val="18"/>
          <w:szCs w:val="18"/>
        </w:rPr>
        <w:t>If the storage space was purchased, this would not be an allowable use of administrative dollars.</w:t>
      </w:r>
      <w:r w:rsidR="004E656A" w:rsidRPr="008F006A">
        <w:rPr>
          <w:rFonts w:ascii="Verdana" w:hAnsi="Verdana"/>
          <w:i/>
          <w:sz w:val="18"/>
          <w:szCs w:val="18"/>
        </w:rPr>
        <w:t xml:space="preserve"> </w:t>
      </w:r>
    </w:p>
    <w:p w:rsidR="00225DD0" w:rsidRPr="008F006A" w:rsidRDefault="00225DD0" w:rsidP="009D6242">
      <w:pPr>
        <w:pStyle w:val="Heading3"/>
      </w:pPr>
      <w:bookmarkStart w:id="4" w:name="_Toc32577167"/>
      <w:r w:rsidRPr="008F006A">
        <w:t>Landlord Responsibilities</w:t>
      </w:r>
      <w:bookmarkEnd w:id="4"/>
    </w:p>
    <w:p w:rsidR="00225DD0" w:rsidRPr="008F006A" w:rsidRDefault="00225DD0" w:rsidP="00225DD0">
      <w:pPr>
        <w:pStyle w:val="ListParagraph"/>
        <w:numPr>
          <w:ilvl w:val="0"/>
          <w:numId w:val="16"/>
        </w:numPr>
        <w:rPr>
          <w:rFonts w:ascii="Verdana" w:hAnsi="Verdana"/>
          <w:b/>
          <w:sz w:val="18"/>
          <w:szCs w:val="18"/>
        </w:rPr>
      </w:pPr>
      <w:r w:rsidRPr="008F006A">
        <w:rPr>
          <w:rFonts w:ascii="Verdana" w:hAnsi="Verdana"/>
          <w:b/>
          <w:sz w:val="18"/>
          <w:szCs w:val="18"/>
        </w:rPr>
        <w:t xml:space="preserve">Q: </w:t>
      </w:r>
      <w:r w:rsidRPr="008F006A">
        <w:rPr>
          <w:rFonts w:ascii="Verdana" w:hAnsi="Verdana"/>
          <w:sz w:val="18"/>
          <w:szCs w:val="18"/>
        </w:rPr>
        <w:t xml:space="preserve">What are examples of </w:t>
      </w:r>
      <w:r w:rsidR="004A5EA4" w:rsidRPr="008F006A">
        <w:rPr>
          <w:rFonts w:ascii="Verdana" w:hAnsi="Verdana"/>
          <w:sz w:val="18"/>
          <w:szCs w:val="18"/>
        </w:rPr>
        <w:t xml:space="preserve">housing adaptations that would normally be considered </w:t>
      </w:r>
      <w:r w:rsidRPr="008F006A">
        <w:rPr>
          <w:rFonts w:ascii="Verdana" w:hAnsi="Verdana"/>
          <w:sz w:val="18"/>
          <w:szCs w:val="18"/>
        </w:rPr>
        <w:t>landlord responsibilities?</w:t>
      </w:r>
    </w:p>
    <w:p w:rsidR="00A93F42" w:rsidRPr="008F006A" w:rsidRDefault="00225DD0" w:rsidP="00C753F6">
      <w:pPr>
        <w:pStyle w:val="ListParagraph"/>
        <w:numPr>
          <w:ilvl w:val="1"/>
          <w:numId w:val="16"/>
        </w:numPr>
        <w:spacing w:after="0"/>
        <w:rPr>
          <w:rFonts w:ascii="Verdana" w:hAnsi="Verdana"/>
          <w:b/>
          <w:i/>
          <w:sz w:val="18"/>
          <w:szCs w:val="18"/>
        </w:rPr>
      </w:pPr>
      <w:r w:rsidRPr="008F006A">
        <w:rPr>
          <w:rFonts w:ascii="Verdana" w:hAnsi="Verdana"/>
          <w:b/>
          <w:i/>
          <w:sz w:val="18"/>
          <w:szCs w:val="18"/>
        </w:rPr>
        <w:t xml:space="preserve">A: </w:t>
      </w:r>
      <w:r w:rsidR="004E656A" w:rsidRPr="008F006A">
        <w:rPr>
          <w:rFonts w:ascii="Verdana" w:hAnsi="Verdana"/>
          <w:i/>
          <w:sz w:val="18"/>
          <w:szCs w:val="18"/>
        </w:rPr>
        <w:t xml:space="preserve">ACOs should consult the appropriate </w:t>
      </w:r>
      <w:r w:rsidR="009A7E36" w:rsidRPr="008F006A">
        <w:rPr>
          <w:rFonts w:ascii="Verdana" w:hAnsi="Verdana"/>
          <w:i/>
          <w:sz w:val="18"/>
          <w:szCs w:val="18"/>
        </w:rPr>
        <w:t xml:space="preserve">state and local law </w:t>
      </w:r>
      <w:r w:rsidR="004E656A" w:rsidRPr="008F006A">
        <w:rPr>
          <w:rFonts w:ascii="Verdana" w:hAnsi="Verdana"/>
          <w:i/>
          <w:sz w:val="18"/>
          <w:szCs w:val="18"/>
        </w:rPr>
        <w:t>to determine landlord responsibilities</w:t>
      </w:r>
      <w:r w:rsidR="00A93F42" w:rsidRPr="008F006A">
        <w:rPr>
          <w:rFonts w:ascii="Verdana" w:hAnsi="Verdana"/>
          <w:i/>
          <w:sz w:val="18"/>
          <w:szCs w:val="18"/>
        </w:rPr>
        <w:t>.</w:t>
      </w:r>
      <w:r w:rsidR="004E656A" w:rsidRPr="008F006A">
        <w:rPr>
          <w:rFonts w:ascii="Verdana" w:hAnsi="Verdana"/>
          <w:i/>
          <w:sz w:val="18"/>
          <w:szCs w:val="18"/>
        </w:rPr>
        <w:t xml:space="preserve"> </w:t>
      </w:r>
    </w:p>
    <w:p w:rsidR="001A5500" w:rsidRPr="008F006A" w:rsidRDefault="001A5500" w:rsidP="000267EC">
      <w:pPr>
        <w:pStyle w:val="ListParagraph"/>
        <w:spacing w:after="0"/>
        <w:rPr>
          <w:rFonts w:ascii="Verdana" w:hAnsi="Verdana"/>
          <w:b/>
          <w:sz w:val="18"/>
          <w:szCs w:val="18"/>
        </w:rPr>
      </w:pPr>
    </w:p>
    <w:p w:rsidR="00225DD0" w:rsidRPr="008F006A" w:rsidRDefault="00225DD0" w:rsidP="009D6242">
      <w:pPr>
        <w:pStyle w:val="Heading3"/>
      </w:pPr>
      <w:bookmarkStart w:id="5" w:name="_Toc32577168"/>
      <w:r w:rsidRPr="008F006A">
        <w:t>Examples of Allowable Home Modifications</w:t>
      </w:r>
      <w:bookmarkEnd w:id="5"/>
      <w:r w:rsidR="004E656A" w:rsidRPr="008F006A">
        <w:t xml:space="preserve"> </w:t>
      </w:r>
    </w:p>
    <w:p w:rsidR="00225DD0" w:rsidRPr="008F006A" w:rsidRDefault="00225DD0" w:rsidP="00225DD0">
      <w:pPr>
        <w:pStyle w:val="ListParagraph"/>
        <w:numPr>
          <w:ilvl w:val="0"/>
          <w:numId w:val="9"/>
        </w:numPr>
        <w:rPr>
          <w:rFonts w:ascii="Verdana" w:hAnsi="Verdana"/>
          <w:sz w:val="18"/>
          <w:szCs w:val="18"/>
        </w:rPr>
      </w:pPr>
      <w:r w:rsidRPr="008F006A">
        <w:rPr>
          <w:rFonts w:ascii="Verdana" w:hAnsi="Verdana"/>
          <w:b/>
          <w:sz w:val="18"/>
          <w:szCs w:val="18"/>
        </w:rPr>
        <w:t>Q:</w:t>
      </w:r>
      <w:r w:rsidRPr="008F006A">
        <w:rPr>
          <w:rFonts w:ascii="Verdana" w:hAnsi="Verdana"/>
          <w:sz w:val="18"/>
          <w:szCs w:val="18"/>
        </w:rPr>
        <w:t xml:space="preserve"> What are some example</w:t>
      </w:r>
      <w:r w:rsidR="00A247FB" w:rsidRPr="008F006A">
        <w:rPr>
          <w:rFonts w:ascii="Verdana" w:hAnsi="Verdana"/>
          <w:sz w:val="18"/>
          <w:szCs w:val="18"/>
        </w:rPr>
        <w:t xml:space="preserve"> goods under</w:t>
      </w:r>
      <w:r w:rsidRPr="008F006A">
        <w:rPr>
          <w:rFonts w:ascii="Verdana" w:hAnsi="Verdana"/>
          <w:sz w:val="18"/>
          <w:szCs w:val="18"/>
        </w:rPr>
        <w:t xml:space="preserve"> home modifications? </w:t>
      </w:r>
    </w:p>
    <w:p w:rsidR="00225DD0" w:rsidRPr="008F006A" w:rsidRDefault="00225DD0" w:rsidP="00C753F6">
      <w:pPr>
        <w:pStyle w:val="ListParagraph"/>
        <w:numPr>
          <w:ilvl w:val="1"/>
          <w:numId w:val="9"/>
        </w:numPr>
        <w:rPr>
          <w:rFonts w:ascii="Verdana" w:hAnsi="Verdana"/>
          <w:i/>
          <w:sz w:val="18"/>
          <w:szCs w:val="18"/>
        </w:rPr>
      </w:pPr>
      <w:r w:rsidRPr="008F006A">
        <w:rPr>
          <w:rFonts w:ascii="Verdana" w:hAnsi="Verdana"/>
          <w:b/>
          <w:i/>
          <w:sz w:val="18"/>
          <w:szCs w:val="18"/>
        </w:rPr>
        <w:t xml:space="preserve">A: </w:t>
      </w:r>
      <w:r w:rsidRPr="008F006A">
        <w:rPr>
          <w:rFonts w:ascii="Verdana" w:hAnsi="Verdana"/>
          <w:i/>
          <w:sz w:val="18"/>
          <w:szCs w:val="18"/>
        </w:rPr>
        <w:t>Some examples of allowable home modifications include refrigerators for storing insulin, grab bars</w:t>
      </w:r>
      <w:r w:rsidR="004E656A" w:rsidRPr="008F006A">
        <w:rPr>
          <w:rFonts w:ascii="Verdana" w:hAnsi="Verdana"/>
          <w:i/>
          <w:sz w:val="18"/>
          <w:szCs w:val="18"/>
        </w:rPr>
        <w:t>,</w:t>
      </w:r>
      <w:r w:rsidR="00A247FB" w:rsidRPr="008F006A">
        <w:rPr>
          <w:rFonts w:ascii="Verdana" w:hAnsi="Verdana"/>
          <w:i/>
          <w:sz w:val="18"/>
          <w:szCs w:val="18"/>
        </w:rPr>
        <w:t xml:space="preserve"> traction or non-skid strips,</w:t>
      </w:r>
      <w:r w:rsidR="00C753F6" w:rsidRPr="008F006A">
        <w:rPr>
          <w:rFonts w:ascii="Verdana" w:hAnsi="Verdana"/>
          <w:i/>
          <w:sz w:val="18"/>
          <w:szCs w:val="18"/>
        </w:rPr>
        <w:t xml:space="preserve"> remediation of mold, </w:t>
      </w:r>
      <w:r w:rsidR="004E656A" w:rsidRPr="008F006A">
        <w:rPr>
          <w:rFonts w:ascii="Verdana" w:hAnsi="Verdana"/>
          <w:i/>
          <w:sz w:val="18"/>
          <w:szCs w:val="18"/>
        </w:rPr>
        <w:t xml:space="preserve">and HEPA </w:t>
      </w:r>
      <w:r w:rsidR="00A247FB" w:rsidRPr="008F006A">
        <w:rPr>
          <w:rFonts w:ascii="Verdana" w:hAnsi="Verdana"/>
          <w:i/>
          <w:sz w:val="18"/>
          <w:szCs w:val="18"/>
        </w:rPr>
        <w:t>filters</w:t>
      </w:r>
      <w:r w:rsidRPr="008F006A">
        <w:rPr>
          <w:rFonts w:ascii="Verdana" w:hAnsi="Verdana"/>
          <w:i/>
          <w:sz w:val="18"/>
          <w:szCs w:val="18"/>
        </w:rPr>
        <w:t xml:space="preserve">. </w:t>
      </w:r>
      <w:r w:rsidR="00CE5734" w:rsidRPr="008F006A">
        <w:rPr>
          <w:rFonts w:ascii="Verdana" w:hAnsi="Verdana"/>
          <w:i/>
          <w:sz w:val="18"/>
          <w:szCs w:val="18"/>
        </w:rPr>
        <w:t>An additional list</w:t>
      </w:r>
      <w:r w:rsidR="00A247FB" w:rsidRPr="008F006A">
        <w:rPr>
          <w:rFonts w:ascii="Verdana" w:hAnsi="Verdana"/>
          <w:i/>
          <w:sz w:val="18"/>
          <w:szCs w:val="18"/>
        </w:rPr>
        <w:t xml:space="preserve"> can be found in Section 2.1.2.3 of the</w:t>
      </w:r>
      <w:r w:rsidR="0000550B" w:rsidRPr="008F006A">
        <w:rPr>
          <w:rFonts w:ascii="Verdana" w:hAnsi="Verdana"/>
          <w:i/>
          <w:sz w:val="18"/>
          <w:szCs w:val="18"/>
        </w:rPr>
        <w:t xml:space="preserve"> PY3</w:t>
      </w:r>
      <w:r w:rsidR="00A247FB" w:rsidRPr="008F006A">
        <w:rPr>
          <w:rFonts w:ascii="Verdana" w:hAnsi="Verdana"/>
          <w:i/>
          <w:sz w:val="18"/>
          <w:szCs w:val="18"/>
        </w:rPr>
        <w:t xml:space="preserve"> FS Guidance Document</w:t>
      </w:r>
      <w:r w:rsidR="003C1C6E" w:rsidRPr="008F006A">
        <w:rPr>
          <w:rFonts w:ascii="Verdana" w:hAnsi="Verdana"/>
          <w:i/>
          <w:sz w:val="18"/>
          <w:szCs w:val="18"/>
        </w:rPr>
        <w:t xml:space="preserve"> </w:t>
      </w:r>
      <w:r w:rsidR="0000550B" w:rsidRPr="008F006A">
        <w:rPr>
          <w:rFonts w:ascii="Verdana" w:hAnsi="Verdana"/>
          <w:i/>
          <w:sz w:val="18"/>
          <w:szCs w:val="18"/>
        </w:rPr>
        <w:t>(Version 1.0)</w:t>
      </w:r>
      <w:r w:rsidR="00A247FB" w:rsidRPr="008F006A">
        <w:rPr>
          <w:rFonts w:ascii="Verdana" w:hAnsi="Verdana"/>
          <w:i/>
          <w:sz w:val="18"/>
          <w:szCs w:val="18"/>
        </w:rPr>
        <w:t xml:space="preserve">. </w:t>
      </w:r>
      <w:r w:rsidRPr="008F006A">
        <w:rPr>
          <w:rFonts w:ascii="Verdana" w:hAnsi="Verdana"/>
          <w:i/>
          <w:sz w:val="18"/>
          <w:szCs w:val="18"/>
        </w:rPr>
        <w:t xml:space="preserve">While these goods are allowable under the home </w:t>
      </w:r>
      <w:r w:rsidR="00A93F42" w:rsidRPr="008F006A">
        <w:rPr>
          <w:rFonts w:ascii="Verdana" w:hAnsi="Verdana"/>
          <w:i/>
          <w:sz w:val="18"/>
          <w:szCs w:val="18"/>
        </w:rPr>
        <w:t xml:space="preserve">modifications </w:t>
      </w:r>
      <w:r w:rsidRPr="008F006A">
        <w:rPr>
          <w:rFonts w:ascii="Verdana" w:hAnsi="Verdana"/>
          <w:i/>
          <w:sz w:val="18"/>
          <w:szCs w:val="18"/>
        </w:rPr>
        <w:t xml:space="preserve">category, ACOs will still need to get any proposed goods or services approved by MassHealth before they can be offered to members. </w:t>
      </w:r>
    </w:p>
    <w:p w:rsidR="00225DD0" w:rsidRPr="008F006A" w:rsidRDefault="00225DD0" w:rsidP="009D6242">
      <w:pPr>
        <w:pStyle w:val="Heading3"/>
      </w:pPr>
      <w:bookmarkStart w:id="6" w:name="_Toc32577169"/>
      <w:r w:rsidRPr="008F006A">
        <w:t>Pre-Tenancy Supports Eligibility</w:t>
      </w:r>
      <w:bookmarkEnd w:id="6"/>
    </w:p>
    <w:p w:rsidR="00225DD0" w:rsidRPr="008F006A" w:rsidRDefault="00225DD0" w:rsidP="00225DD0">
      <w:pPr>
        <w:pStyle w:val="ListParagraph"/>
        <w:numPr>
          <w:ilvl w:val="0"/>
          <w:numId w:val="22"/>
        </w:numPr>
        <w:rPr>
          <w:rFonts w:ascii="Verdana" w:hAnsi="Verdana"/>
          <w:sz w:val="18"/>
          <w:szCs w:val="18"/>
        </w:rPr>
      </w:pPr>
      <w:r w:rsidRPr="008F006A">
        <w:rPr>
          <w:rFonts w:ascii="Verdana" w:hAnsi="Verdana"/>
          <w:b/>
          <w:sz w:val="18"/>
          <w:szCs w:val="18"/>
        </w:rPr>
        <w:t xml:space="preserve">Q: </w:t>
      </w:r>
      <w:r w:rsidRPr="008F006A">
        <w:rPr>
          <w:rFonts w:ascii="Verdana" w:hAnsi="Verdana"/>
          <w:sz w:val="18"/>
          <w:szCs w:val="18"/>
        </w:rPr>
        <w:t>Do members need to already be experiencing homelessness in order to be eligible for pre-tenancy supports</w:t>
      </w:r>
      <w:r w:rsidR="004A5EA4" w:rsidRPr="008F006A">
        <w:rPr>
          <w:rFonts w:ascii="Verdana" w:hAnsi="Verdana"/>
          <w:sz w:val="18"/>
          <w:szCs w:val="18"/>
        </w:rPr>
        <w:t xml:space="preserve"> or could they be at-risk of homelessness</w:t>
      </w:r>
      <w:r w:rsidRPr="008F006A">
        <w:rPr>
          <w:rFonts w:ascii="Verdana" w:hAnsi="Verdana"/>
          <w:sz w:val="18"/>
          <w:szCs w:val="18"/>
        </w:rPr>
        <w:t>?</w:t>
      </w:r>
    </w:p>
    <w:p w:rsidR="00E90EF9" w:rsidRPr="008F006A" w:rsidRDefault="00225DD0" w:rsidP="00E90EF9">
      <w:pPr>
        <w:pStyle w:val="ListParagraph"/>
        <w:numPr>
          <w:ilvl w:val="1"/>
          <w:numId w:val="22"/>
        </w:numPr>
        <w:rPr>
          <w:rFonts w:ascii="Verdana" w:eastAsia="Times New Roman" w:hAnsi="Verdana"/>
          <w:i/>
          <w:sz w:val="18"/>
          <w:szCs w:val="18"/>
        </w:rPr>
      </w:pPr>
      <w:r w:rsidRPr="008F006A">
        <w:rPr>
          <w:rFonts w:ascii="Verdana" w:hAnsi="Verdana"/>
          <w:b/>
          <w:i/>
          <w:sz w:val="18"/>
          <w:szCs w:val="18"/>
        </w:rPr>
        <w:t xml:space="preserve">A: </w:t>
      </w:r>
      <w:r w:rsidRPr="008F006A">
        <w:rPr>
          <w:rFonts w:ascii="Verdana" w:hAnsi="Verdana"/>
          <w:i/>
          <w:sz w:val="18"/>
          <w:szCs w:val="18"/>
        </w:rPr>
        <w:t>Members do not need to be experiencing homelessness in order to receive pre-tenancy supports</w:t>
      </w:r>
      <w:r w:rsidR="004A5EA4" w:rsidRPr="008F006A">
        <w:rPr>
          <w:rFonts w:ascii="Verdana" w:hAnsi="Verdana"/>
          <w:i/>
          <w:sz w:val="18"/>
          <w:szCs w:val="18"/>
        </w:rPr>
        <w:t xml:space="preserve"> – individual supports</w:t>
      </w:r>
      <w:r w:rsidRPr="008F006A">
        <w:rPr>
          <w:rFonts w:ascii="Verdana" w:hAnsi="Verdana"/>
          <w:i/>
          <w:sz w:val="18"/>
          <w:szCs w:val="18"/>
        </w:rPr>
        <w:t xml:space="preserve">. They may </w:t>
      </w:r>
      <w:r w:rsidR="004A5EA4" w:rsidRPr="008F006A">
        <w:rPr>
          <w:rFonts w:ascii="Verdana" w:hAnsi="Verdana"/>
          <w:i/>
          <w:sz w:val="18"/>
          <w:szCs w:val="18"/>
        </w:rPr>
        <w:t xml:space="preserve">be </w:t>
      </w:r>
      <w:r w:rsidRPr="008F006A">
        <w:rPr>
          <w:rFonts w:ascii="Verdana" w:hAnsi="Verdana"/>
          <w:i/>
          <w:sz w:val="18"/>
          <w:szCs w:val="18"/>
        </w:rPr>
        <w:t xml:space="preserve">at-risk of homelessness to receive these supports. However, the member does need to </w:t>
      </w:r>
      <w:r w:rsidR="004A5EA4" w:rsidRPr="008F006A">
        <w:rPr>
          <w:rFonts w:ascii="Verdana" w:hAnsi="Verdana"/>
          <w:i/>
          <w:sz w:val="18"/>
          <w:szCs w:val="18"/>
        </w:rPr>
        <w:t>be</w:t>
      </w:r>
      <w:r w:rsidRPr="008F006A">
        <w:rPr>
          <w:rFonts w:ascii="Verdana" w:hAnsi="Verdana"/>
          <w:i/>
          <w:sz w:val="18"/>
          <w:szCs w:val="18"/>
        </w:rPr>
        <w:t xml:space="preserve"> experiencing homelessness</w:t>
      </w:r>
      <w:r w:rsidR="004A5EA4" w:rsidRPr="008F006A">
        <w:rPr>
          <w:rFonts w:ascii="Verdana" w:hAnsi="Verdana"/>
          <w:i/>
          <w:sz w:val="18"/>
          <w:szCs w:val="18"/>
        </w:rPr>
        <w:t>,</w:t>
      </w:r>
      <w:r w:rsidRPr="008F006A">
        <w:rPr>
          <w:rFonts w:ascii="Verdana" w:hAnsi="Verdana"/>
          <w:i/>
          <w:sz w:val="18"/>
          <w:szCs w:val="18"/>
        </w:rPr>
        <w:t xml:space="preserve"> based on the definition provided in </w:t>
      </w:r>
      <w:r w:rsidRPr="008F006A">
        <w:rPr>
          <w:rFonts w:ascii="Verdana" w:hAnsi="Verdana"/>
          <w:b/>
          <w:i/>
          <w:sz w:val="18"/>
          <w:szCs w:val="18"/>
        </w:rPr>
        <w:t>Section 1.2.1</w:t>
      </w:r>
      <w:r w:rsidR="009F3F91" w:rsidRPr="008F006A">
        <w:rPr>
          <w:rFonts w:ascii="Verdana" w:hAnsi="Verdana"/>
          <w:b/>
          <w:i/>
          <w:sz w:val="18"/>
          <w:szCs w:val="18"/>
        </w:rPr>
        <w:t xml:space="preserve"> </w:t>
      </w:r>
      <w:r w:rsidRPr="008F006A">
        <w:rPr>
          <w:rFonts w:ascii="Verdana" w:eastAsia="Calibri" w:hAnsi="Verdana" w:cstheme="minorHAnsi"/>
          <w:i/>
          <w:sz w:val="18"/>
          <w:szCs w:val="18"/>
        </w:rPr>
        <w:t xml:space="preserve">of the </w:t>
      </w:r>
      <w:r w:rsidR="00BE6941" w:rsidRPr="008F006A">
        <w:rPr>
          <w:rFonts w:ascii="Verdana" w:eastAsia="Calibri" w:hAnsi="Verdana" w:cstheme="minorHAnsi"/>
          <w:i/>
          <w:sz w:val="18"/>
          <w:szCs w:val="18"/>
        </w:rPr>
        <w:t xml:space="preserve">PY3 </w:t>
      </w:r>
      <w:r w:rsidR="007B46E9" w:rsidRPr="008F006A">
        <w:rPr>
          <w:rFonts w:ascii="Verdana" w:eastAsia="Calibri" w:hAnsi="Verdana" w:cstheme="minorHAnsi"/>
          <w:i/>
          <w:sz w:val="18"/>
          <w:szCs w:val="18"/>
        </w:rPr>
        <w:t>FS</w:t>
      </w:r>
      <w:r w:rsidRPr="008F006A">
        <w:rPr>
          <w:rFonts w:ascii="Verdana" w:eastAsia="Calibri" w:hAnsi="Verdana" w:cstheme="minorHAnsi"/>
          <w:i/>
          <w:sz w:val="18"/>
          <w:szCs w:val="18"/>
        </w:rPr>
        <w:t xml:space="preserve"> Guidance Document</w:t>
      </w:r>
      <w:r w:rsidR="00BE6941" w:rsidRPr="008F006A">
        <w:rPr>
          <w:rFonts w:ascii="Verdana" w:eastAsia="Calibri" w:hAnsi="Verdana" w:cstheme="minorHAnsi"/>
          <w:i/>
          <w:sz w:val="18"/>
          <w:szCs w:val="18"/>
        </w:rPr>
        <w:t xml:space="preserve"> </w:t>
      </w:r>
      <w:r w:rsidR="00CB0645" w:rsidRPr="008F006A">
        <w:rPr>
          <w:rFonts w:ascii="Verdana" w:eastAsia="Calibri" w:hAnsi="Verdana" w:cstheme="minorHAnsi"/>
          <w:i/>
          <w:sz w:val="18"/>
          <w:szCs w:val="18"/>
        </w:rPr>
        <w:t>(</w:t>
      </w:r>
      <w:r w:rsidR="00BE6941" w:rsidRPr="008F006A">
        <w:rPr>
          <w:rFonts w:ascii="Verdana" w:eastAsia="Calibri" w:hAnsi="Verdana" w:cstheme="minorHAnsi"/>
          <w:i/>
          <w:sz w:val="18"/>
          <w:szCs w:val="18"/>
        </w:rPr>
        <w:t>V</w:t>
      </w:r>
      <w:r w:rsidR="00CB0645" w:rsidRPr="008F006A">
        <w:rPr>
          <w:rFonts w:ascii="Verdana" w:eastAsia="Calibri" w:hAnsi="Verdana" w:cstheme="minorHAnsi"/>
          <w:i/>
          <w:sz w:val="18"/>
          <w:szCs w:val="18"/>
        </w:rPr>
        <w:t xml:space="preserve">ersion </w:t>
      </w:r>
      <w:r w:rsidR="00BE6941" w:rsidRPr="008F006A">
        <w:rPr>
          <w:rFonts w:ascii="Verdana" w:eastAsia="Calibri" w:hAnsi="Verdana" w:cstheme="minorHAnsi"/>
          <w:i/>
          <w:sz w:val="18"/>
          <w:szCs w:val="18"/>
        </w:rPr>
        <w:t>1</w:t>
      </w:r>
      <w:r w:rsidR="0000550B" w:rsidRPr="008F006A">
        <w:rPr>
          <w:rFonts w:ascii="Verdana" w:eastAsia="Calibri" w:hAnsi="Verdana" w:cstheme="minorHAnsi"/>
          <w:i/>
          <w:sz w:val="18"/>
          <w:szCs w:val="18"/>
        </w:rPr>
        <w:t>.0</w:t>
      </w:r>
      <w:r w:rsidR="00CB0645" w:rsidRPr="008F006A">
        <w:rPr>
          <w:rFonts w:ascii="Verdana" w:eastAsia="Calibri" w:hAnsi="Verdana" w:cstheme="minorHAnsi"/>
          <w:i/>
          <w:sz w:val="18"/>
          <w:szCs w:val="18"/>
        </w:rPr>
        <w:t>)</w:t>
      </w:r>
      <w:r w:rsidR="004A5EA4" w:rsidRPr="008F006A">
        <w:rPr>
          <w:rFonts w:ascii="Verdana" w:eastAsia="Calibri" w:hAnsi="Verdana" w:cstheme="minorHAnsi"/>
          <w:i/>
          <w:sz w:val="18"/>
          <w:szCs w:val="18"/>
        </w:rPr>
        <w:t>,</w:t>
      </w:r>
      <w:r w:rsidRPr="008F006A">
        <w:rPr>
          <w:rFonts w:ascii="Verdana" w:hAnsi="Verdana"/>
          <w:i/>
          <w:sz w:val="18"/>
          <w:szCs w:val="18"/>
        </w:rPr>
        <w:t xml:space="preserve"> to receive </w:t>
      </w:r>
      <w:r w:rsidR="0016706F" w:rsidRPr="008F006A">
        <w:rPr>
          <w:rFonts w:ascii="Verdana" w:hAnsi="Verdana"/>
          <w:i/>
          <w:sz w:val="18"/>
          <w:szCs w:val="18"/>
        </w:rPr>
        <w:t>p</w:t>
      </w:r>
      <w:r w:rsidRPr="008F006A">
        <w:rPr>
          <w:rFonts w:ascii="Verdana" w:hAnsi="Verdana"/>
          <w:i/>
          <w:sz w:val="18"/>
          <w:szCs w:val="18"/>
        </w:rPr>
        <w:t>re-</w:t>
      </w:r>
      <w:r w:rsidR="0016706F" w:rsidRPr="008F006A">
        <w:rPr>
          <w:rFonts w:ascii="Verdana" w:hAnsi="Verdana"/>
          <w:i/>
          <w:sz w:val="18"/>
          <w:szCs w:val="18"/>
        </w:rPr>
        <w:t>t</w:t>
      </w:r>
      <w:r w:rsidRPr="008F006A">
        <w:rPr>
          <w:rFonts w:ascii="Verdana" w:hAnsi="Verdana"/>
          <w:i/>
          <w:sz w:val="18"/>
          <w:szCs w:val="18"/>
        </w:rPr>
        <w:t xml:space="preserve">enancy </w:t>
      </w:r>
      <w:r w:rsidR="0016706F" w:rsidRPr="008F006A">
        <w:rPr>
          <w:rFonts w:ascii="Verdana" w:hAnsi="Verdana"/>
          <w:i/>
          <w:sz w:val="18"/>
          <w:szCs w:val="18"/>
        </w:rPr>
        <w:t>t</w:t>
      </w:r>
      <w:r w:rsidRPr="008F006A">
        <w:rPr>
          <w:rFonts w:ascii="Verdana" w:hAnsi="Verdana"/>
          <w:i/>
          <w:sz w:val="18"/>
          <w:szCs w:val="18"/>
        </w:rPr>
        <w:t>ransitional services (e.g. first/last rent, moving expenses, etc.).</w:t>
      </w:r>
    </w:p>
    <w:p w:rsidR="00E90EF9" w:rsidRPr="008F006A" w:rsidRDefault="00E90EF9" w:rsidP="00E90EF9">
      <w:pPr>
        <w:pStyle w:val="ListParagraph"/>
        <w:rPr>
          <w:rFonts w:ascii="Verdana" w:hAnsi="Verdana"/>
          <w:b/>
          <w:sz w:val="18"/>
          <w:szCs w:val="18"/>
        </w:rPr>
      </w:pPr>
    </w:p>
    <w:p w:rsidR="00E90EF9" w:rsidRPr="008F006A" w:rsidRDefault="004A1377" w:rsidP="00E90EF9">
      <w:pPr>
        <w:pStyle w:val="ListParagraph"/>
        <w:numPr>
          <w:ilvl w:val="0"/>
          <w:numId w:val="22"/>
        </w:numPr>
        <w:rPr>
          <w:rFonts w:ascii="Verdana" w:hAnsi="Verdana"/>
          <w:b/>
          <w:sz w:val="18"/>
          <w:szCs w:val="18"/>
        </w:rPr>
      </w:pPr>
      <w:r w:rsidRPr="008F006A">
        <w:rPr>
          <w:rFonts w:ascii="Verdana" w:hAnsi="Verdana"/>
          <w:b/>
          <w:sz w:val="18"/>
          <w:szCs w:val="18"/>
        </w:rPr>
        <w:t xml:space="preserve">Q: </w:t>
      </w:r>
      <w:r w:rsidRPr="008F006A">
        <w:rPr>
          <w:rFonts w:ascii="Verdana" w:hAnsi="Verdana"/>
          <w:sz w:val="18"/>
          <w:szCs w:val="18"/>
        </w:rPr>
        <w:t>Who is eligible for Emergency Assistance (EA)? Can members living in EA shelters receive Flexible Services pre-tenancy supports to help them obtain and move into housing?</w:t>
      </w:r>
    </w:p>
    <w:p w:rsidR="00225DD0" w:rsidRPr="008F006A" w:rsidRDefault="004A1377" w:rsidP="00E90EF9">
      <w:pPr>
        <w:pStyle w:val="ListParagraph"/>
        <w:numPr>
          <w:ilvl w:val="1"/>
          <w:numId w:val="22"/>
        </w:numPr>
        <w:rPr>
          <w:rFonts w:ascii="Verdana" w:eastAsia="Times New Roman" w:hAnsi="Verdana"/>
          <w:sz w:val="18"/>
          <w:szCs w:val="18"/>
        </w:rPr>
      </w:pPr>
      <w:r w:rsidRPr="008F006A">
        <w:rPr>
          <w:rFonts w:ascii="Verdana" w:eastAsia="Times New Roman" w:hAnsi="Verdana"/>
          <w:b/>
          <w:i/>
          <w:sz w:val="18"/>
          <w:szCs w:val="18"/>
        </w:rPr>
        <w:t xml:space="preserve">A: </w:t>
      </w:r>
      <w:hyperlink r:id="rId8" w:history="1">
        <w:r w:rsidRPr="008F006A">
          <w:rPr>
            <w:rStyle w:val="Hyperlink"/>
            <w:rFonts w:ascii="Verdana" w:eastAsia="Times New Roman" w:hAnsi="Verdana"/>
            <w:i/>
            <w:sz w:val="18"/>
            <w:szCs w:val="18"/>
          </w:rPr>
          <w:t>Emergency Assistance Shelters or EA</w:t>
        </w:r>
      </w:hyperlink>
      <w:r w:rsidRPr="008F006A">
        <w:rPr>
          <w:rFonts w:ascii="Verdana" w:eastAsia="Times New Roman" w:hAnsi="Verdana"/>
          <w:i/>
          <w:sz w:val="18"/>
          <w:szCs w:val="18"/>
        </w:rPr>
        <w:t xml:space="preserve"> is the shelter system for certain eligible families in Massachusetts. Members receiving EA services are not eligible for FS pre-tenancy or transitional supports</w:t>
      </w:r>
      <w:r w:rsidR="00B13E05" w:rsidRPr="008F006A">
        <w:rPr>
          <w:rFonts w:ascii="Verdana" w:eastAsia="Times New Roman" w:hAnsi="Verdana"/>
          <w:i/>
          <w:sz w:val="18"/>
          <w:szCs w:val="18"/>
        </w:rPr>
        <w:t xml:space="preserve"> because they are duplicative with FS</w:t>
      </w:r>
      <w:r w:rsidR="009A7E36" w:rsidRPr="008F006A">
        <w:rPr>
          <w:rFonts w:ascii="Verdana" w:eastAsia="Times New Roman" w:hAnsi="Verdana"/>
          <w:i/>
          <w:sz w:val="18"/>
          <w:szCs w:val="18"/>
        </w:rPr>
        <w:t>.</w:t>
      </w:r>
      <w:r w:rsidRPr="008F006A">
        <w:rPr>
          <w:rFonts w:ascii="Verdana" w:eastAsia="Times New Roman" w:hAnsi="Verdana"/>
          <w:i/>
          <w:sz w:val="18"/>
          <w:szCs w:val="18"/>
        </w:rPr>
        <w:t xml:space="preserve"> </w:t>
      </w:r>
      <w:r w:rsidR="00E90EF9" w:rsidRPr="008F006A">
        <w:rPr>
          <w:rFonts w:ascii="Verdana" w:eastAsia="Times New Roman" w:hAnsi="Verdana"/>
          <w:i/>
          <w:sz w:val="18"/>
          <w:szCs w:val="18"/>
        </w:rPr>
        <w:t xml:space="preserve">Please visit the EA website to learn more information: </w:t>
      </w:r>
      <w:hyperlink r:id="rId9" w:history="1">
        <w:r w:rsidR="00E90EF9" w:rsidRPr="008F006A">
          <w:rPr>
            <w:rStyle w:val="Hyperlink"/>
            <w:rFonts w:ascii="Verdana" w:eastAsia="Times New Roman" w:hAnsi="Verdana"/>
            <w:i/>
            <w:sz w:val="18"/>
            <w:szCs w:val="18"/>
          </w:rPr>
          <w:t>https://www.mass.gov/how-to/find-emergency-family-shelter</w:t>
        </w:r>
      </w:hyperlink>
    </w:p>
    <w:p w:rsidR="00E90EF9" w:rsidRPr="008F006A" w:rsidRDefault="00E90EF9" w:rsidP="00E90EF9">
      <w:pPr>
        <w:pStyle w:val="ListParagraph"/>
        <w:rPr>
          <w:rFonts w:ascii="Verdana" w:eastAsia="Times New Roman" w:hAnsi="Verdana"/>
          <w:sz w:val="18"/>
          <w:szCs w:val="18"/>
        </w:rPr>
      </w:pPr>
    </w:p>
    <w:p w:rsidR="00B873D8" w:rsidRPr="008F006A" w:rsidRDefault="00B873D8" w:rsidP="00B873D8">
      <w:pPr>
        <w:pStyle w:val="ListParagraph"/>
        <w:numPr>
          <w:ilvl w:val="0"/>
          <w:numId w:val="22"/>
        </w:numPr>
        <w:rPr>
          <w:rFonts w:ascii="Verdana" w:eastAsia="Times New Roman" w:hAnsi="Verdana"/>
          <w:sz w:val="18"/>
          <w:szCs w:val="18"/>
        </w:rPr>
      </w:pPr>
      <w:r w:rsidRPr="008F006A">
        <w:rPr>
          <w:rFonts w:ascii="Verdana" w:eastAsia="Times New Roman" w:hAnsi="Verdana"/>
          <w:b/>
          <w:sz w:val="18"/>
          <w:szCs w:val="18"/>
        </w:rPr>
        <w:lastRenderedPageBreak/>
        <w:t>Q:</w:t>
      </w:r>
      <w:r w:rsidRPr="008F006A">
        <w:rPr>
          <w:rFonts w:ascii="Verdana" w:eastAsia="Times New Roman" w:hAnsi="Verdana"/>
          <w:sz w:val="18"/>
          <w:szCs w:val="18"/>
        </w:rPr>
        <w:t xml:space="preserve"> </w:t>
      </w:r>
      <w:r w:rsidR="009A7E36" w:rsidRPr="008F006A">
        <w:rPr>
          <w:rFonts w:ascii="Verdana" w:eastAsia="Times New Roman" w:hAnsi="Verdana"/>
          <w:sz w:val="18"/>
          <w:szCs w:val="18"/>
        </w:rPr>
        <w:t xml:space="preserve">Are </w:t>
      </w:r>
      <w:r w:rsidRPr="008F006A">
        <w:rPr>
          <w:rFonts w:ascii="Verdana" w:eastAsia="Times New Roman" w:hAnsi="Verdana"/>
          <w:sz w:val="18"/>
          <w:szCs w:val="18"/>
        </w:rPr>
        <w:t xml:space="preserve">individuals living in a supervised publicly or </w:t>
      </w:r>
      <w:r w:rsidR="00171CE9" w:rsidRPr="008F006A">
        <w:rPr>
          <w:rFonts w:ascii="Verdana" w:eastAsia="Times New Roman" w:hAnsi="Verdana"/>
          <w:sz w:val="18"/>
          <w:szCs w:val="18"/>
        </w:rPr>
        <w:t>privately-operated</w:t>
      </w:r>
      <w:r w:rsidRPr="008F006A">
        <w:rPr>
          <w:rFonts w:ascii="Verdana" w:eastAsia="Times New Roman" w:hAnsi="Verdana"/>
          <w:sz w:val="18"/>
          <w:szCs w:val="18"/>
        </w:rPr>
        <w:t xml:space="preserve"> shelter designated to provide temporary living arrangements (including congregate shelters, transitional housing, and hotels and motels paid for by charitable organizations or by federal, state, or local government programs for low income individuals) be eligible for Flexible Services? </w:t>
      </w:r>
    </w:p>
    <w:p w:rsidR="00B873D8" w:rsidRPr="008F006A" w:rsidRDefault="00B873D8" w:rsidP="001B5FCC">
      <w:pPr>
        <w:pStyle w:val="ListParagraph"/>
        <w:numPr>
          <w:ilvl w:val="1"/>
          <w:numId w:val="22"/>
        </w:numPr>
        <w:rPr>
          <w:rStyle w:val="Emphasis"/>
          <w:rFonts w:ascii="Verdana" w:eastAsia="Times New Roman" w:hAnsi="Verdana"/>
          <w:b/>
          <w:i w:val="0"/>
          <w:iCs w:val="0"/>
          <w:sz w:val="18"/>
          <w:szCs w:val="18"/>
        </w:rPr>
      </w:pPr>
      <w:r w:rsidRPr="008F006A">
        <w:rPr>
          <w:rFonts w:ascii="Verdana" w:eastAsia="Times New Roman" w:hAnsi="Verdana"/>
          <w:b/>
          <w:i/>
          <w:sz w:val="18"/>
          <w:szCs w:val="18"/>
        </w:rPr>
        <w:t xml:space="preserve">A: </w:t>
      </w:r>
      <w:r w:rsidRPr="008F006A">
        <w:rPr>
          <w:rFonts w:ascii="Verdana" w:eastAsia="Times New Roman" w:hAnsi="Verdana"/>
          <w:i/>
          <w:sz w:val="18"/>
          <w:szCs w:val="18"/>
        </w:rPr>
        <w:t xml:space="preserve">Members living in a public or </w:t>
      </w:r>
      <w:r w:rsidR="00171CE9" w:rsidRPr="008F006A">
        <w:rPr>
          <w:rFonts w:ascii="Verdana" w:eastAsia="Times New Roman" w:hAnsi="Verdana"/>
          <w:i/>
          <w:sz w:val="18"/>
          <w:szCs w:val="18"/>
        </w:rPr>
        <w:t>privately-operated</w:t>
      </w:r>
      <w:r w:rsidRPr="008F006A">
        <w:rPr>
          <w:rFonts w:ascii="Verdana" w:eastAsia="Times New Roman" w:hAnsi="Verdana"/>
          <w:i/>
          <w:sz w:val="18"/>
          <w:szCs w:val="18"/>
        </w:rPr>
        <w:t xml:space="preserve"> temporary shelter meet the experiencing homelessness </w:t>
      </w:r>
      <w:r w:rsidR="00023AD2" w:rsidRPr="008F006A">
        <w:rPr>
          <w:rFonts w:ascii="Verdana" w:eastAsia="Times New Roman" w:hAnsi="Verdana"/>
          <w:i/>
          <w:sz w:val="18"/>
          <w:szCs w:val="18"/>
        </w:rPr>
        <w:t xml:space="preserve">eligibility criteria </w:t>
      </w:r>
      <w:r w:rsidRPr="008F006A">
        <w:rPr>
          <w:rFonts w:ascii="Verdana" w:eastAsia="Times New Roman" w:hAnsi="Verdana"/>
          <w:i/>
          <w:sz w:val="18"/>
          <w:szCs w:val="18"/>
        </w:rPr>
        <w:t xml:space="preserve">according to </w:t>
      </w:r>
      <w:r w:rsidRPr="008F006A">
        <w:rPr>
          <w:rFonts w:ascii="Verdana" w:eastAsia="Times New Roman" w:hAnsi="Verdana"/>
          <w:b/>
          <w:i/>
          <w:sz w:val="18"/>
          <w:szCs w:val="18"/>
        </w:rPr>
        <w:t>Section 1.2.1</w:t>
      </w:r>
      <w:r w:rsidRPr="008F006A">
        <w:rPr>
          <w:rFonts w:ascii="Verdana" w:eastAsia="Times New Roman" w:hAnsi="Verdana"/>
          <w:i/>
          <w:sz w:val="18"/>
          <w:szCs w:val="18"/>
        </w:rPr>
        <w:t xml:space="preserve"> of the </w:t>
      </w:r>
      <w:r w:rsidR="00BE6941" w:rsidRPr="008F006A">
        <w:rPr>
          <w:rFonts w:ascii="Verdana" w:eastAsia="Times New Roman" w:hAnsi="Verdana"/>
          <w:i/>
          <w:sz w:val="18"/>
          <w:szCs w:val="18"/>
        </w:rPr>
        <w:t xml:space="preserve">PY3 </w:t>
      </w:r>
      <w:r w:rsidRPr="008F006A">
        <w:rPr>
          <w:rFonts w:ascii="Verdana" w:eastAsia="Times New Roman" w:hAnsi="Verdana"/>
          <w:i/>
          <w:sz w:val="18"/>
          <w:szCs w:val="18"/>
        </w:rPr>
        <w:t>FS Guidance Document</w:t>
      </w:r>
      <w:r w:rsidR="00BE6941" w:rsidRPr="008F006A">
        <w:rPr>
          <w:rFonts w:ascii="Verdana" w:eastAsia="Times New Roman" w:hAnsi="Verdana"/>
          <w:i/>
          <w:sz w:val="18"/>
          <w:szCs w:val="18"/>
        </w:rPr>
        <w:t xml:space="preserve"> </w:t>
      </w:r>
      <w:r w:rsidR="00CB0645" w:rsidRPr="008F006A">
        <w:rPr>
          <w:rFonts w:ascii="Verdana" w:eastAsia="Times New Roman" w:hAnsi="Verdana"/>
          <w:i/>
          <w:sz w:val="18"/>
          <w:szCs w:val="18"/>
        </w:rPr>
        <w:t>(</w:t>
      </w:r>
      <w:r w:rsidR="00BE6941" w:rsidRPr="008F006A">
        <w:rPr>
          <w:rFonts w:ascii="Verdana" w:eastAsia="Times New Roman" w:hAnsi="Verdana"/>
          <w:i/>
          <w:sz w:val="18"/>
          <w:szCs w:val="18"/>
        </w:rPr>
        <w:t>V</w:t>
      </w:r>
      <w:r w:rsidR="00CB0645" w:rsidRPr="008F006A">
        <w:rPr>
          <w:rFonts w:ascii="Verdana" w:eastAsia="Times New Roman" w:hAnsi="Verdana"/>
          <w:i/>
          <w:sz w:val="18"/>
          <w:szCs w:val="18"/>
        </w:rPr>
        <w:t xml:space="preserve">ersion </w:t>
      </w:r>
      <w:r w:rsidR="00BE6941" w:rsidRPr="008F006A">
        <w:rPr>
          <w:rFonts w:ascii="Verdana" w:eastAsia="Times New Roman" w:hAnsi="Verdana"/>
          <w:i/>
          <w:sz w:val="18"/>
          <w:szCs w:val="18"/>
        </w:rPr>
        <w:t>1</w:t>
      </w:r>
      <w:r w:rsidR="0000550B" w:rsidRPr="008F006A">
        <w:rPr>
          <w:rFonts w:ascii="Verdana" w:eastAsia="Times New Roman" w:hAnsi="Verdana"/>
          <w:i/>
          <w:sz w:val="18"/>
          <w:szCs w:val="18"/>
        </w:rPr>
        <w:t>.0</w:t>
      </w:r>
      <w:r w:rsidR="00CB0645" w:rsidRPr="008F006A">
        <w:rPr>
          <w:rFonts w:ascii="Verdana" w:eastAsia="Times New Roman" w:hAnsi="Verdana"/>
          <w:i/>
          <w:sz w:val="18"/>
          <w:szCs w:val="18"/>
        </w:rPr>
        <w:t>)</w:t>
      </w:r>
      <w:r w:rsidRPr="008F006A">
        <w:rPr>
          <w:rFonts w:ascii="Verdana" w:eastAsia="Times New Roman" w:hAnsi="Verdana"/>
          <w:i/>
          <w:sz w:val="18"/>
          <w:szCs w:val="18"/>
        </w:rPr>
        <w:t>. However, Flexible Services may not duplicate existing services provided and paid for in any temporary shelter system, including the full range of pre-tenancy</w:t>
      </w:r>
      <w:r w:rsidR="003235D5" w:rsidRPr="008F006A">
        <w:rPr>
          <w:rFonts w:ascii="Verdana" w:eastAsia="Times New Roman" w:hAnsi="Verdana"/>
          <w:i/>
          <w:sz w:val="18"/>
          <w:szCs w:val="18"/>
        </w:rPr>
        <w:t xml:space="preserve"> supports,</w:t>
      </w:r>
      <w:r w:rsidRPr="008F006A">
        <w:rPr>
          <w:rFonts w:ascii="Verdana" w:eastAsia="Times New Roman" w:hAnsi="Verdana"/>
          <w:i/>
          <w:sz w:val="18"/>
          <w:szCs w:val="18"/>
        </w:rPr>
        <w:t xml:space="preserve"> and tenancy </w:t>
      </w:r>
      <w:r w:rsidR="003235D5" w:rsidRPr="008F006A">
        <w:rPr>
          <w:rFonts w:ascii="Verdana" w:eastAsia="Times New Roman" w:hAnsi="Verdana"/>
          <w:i/>
          <w:sz w:val="18"/>
          <w:szCs w:val="18"/>
        </w:rPr>
        <w:t xml:space="preserve">sustaining </w:t>
      </w:r>
      <w:r w:rsidRPr="008F006A">
        <w:rPr>
          <w:rFonts w:ascii="Verdana" w:eastAsia="Times New Roman" w:hAnsi="Verdana"/>
          <w:i/>
          <w:sz w:val="18"/>
          <w:szCs w:val="18"/>
        </w:rPr>
        <w:t xml:space="preserve">services provided by the EA Shelter system. </w:t>
      </w:r>
      <w:r w:rsidRPr="008F006A">
        <w:rPr>
          <w:rStyle w:val="Emphasis"/>
          <w:rFonts w:ascii="Verdana" w:eastAsia="Times New Roman" w:hAnsi="Verdana"/>
          <w:i w:val="0"/>
          <w:sz w:val="18"/>
          <w:szCs w:val="18"/>
        </w:rPr>
        <w:t xml:space="preserve">Funds could be used to pay for pre-tenancy and tenancy </w:t>
      </w:r>
      <w:r w:rsidR="003235D5" w:rsidRPr="008F006A">
        <w:rPr>
          <w:rStyle w:val="Emphasis"/>
          <w:rFonts w:ascii="Verdana" w:eastAsia="Times New Roman" w:hAnsi="Verdana"/>
          <w:i w:val="0"/>
          <w:sz w:val="18"/>
          <w:szCs w:val="18"/>
        </w:rPr>
        <w:t>sustaining </w:t>
      </w:r>
      <w:r w:rsidRPr="008F006A">
        <w:rPr>
          <w:rStyle w:val="Emphasis"/>
          <w:rFonts w:ascii="Verdana" w:eastAsia="Times New Roman" w:hAnsi="Verdana"/>
          <w:i w:val="0"/>
          <w:sz w:val="18"/>
          <w:szCs w:val="18"/>
        </w:rPr>
        <w:t>services for members who are in non-EA shelters that do not provide these services. </w:t>
      </w:r>
    </w:p>
    <w:p w:rsidR="00B873D8" w:rsidRPr="008F006A" w:rsidRDefault="00B873D8" w:rsidP="00225DD0">
      <w:pPr>
        <w:pStyle w:val="ListParagraph"/>
        <w:rPr>
          <w:rFonts w:ascii="Verdana" w:eastAsia="Times New Roman" w:hAnsi="Verdana"/>
          <w:b/>
          <w:sz w:val="18"/>
          <w:szCs w:val="18"/>
        </w:rPr>
      </w:pPr>
    </w:p>
    <w:p w:rsidR="00105966" w:rsidRPr="008F006A" w:rsidRDefault="00611519" w:rsidP="009D6242">
      <w:pPr>
        <w:pStyle w:val="Heading3"/>
      </w:pPr>
      <w:bookmarkStart w:id="7" w:name="_Toc32577170"/>
      <w:r w:rsidRPr="008F006A">
        <w:t xml:space="preserve">Documenting Non-Duplication in the FS Full Participation Plan (FPP) and </w:t>
      </w:r>
      <w:r w:rsidR="0001376F" w:rsidRPr="008F006A">
        <w:t>Emergency Assistance (</w:t>
      </w:r>
      <w:r w:rsidRPr="008F006A">
        <w:t>EA</w:t>
      </w:r>
      <w:r w:rsidR="0001376F" w:rsidRPr="008F006A">
        <w:t>)</w:t>
      </w:r>
      <w:r w:rsidRPr="008F006A">
        <w:t>:</w:t>
      </w:r>
      <w:bookmarkEnd w:id="7"/>
      <w:r w:rsidRPr="008F006A">
        <w:t xml:space="preserve"> </w:t>
      </w:r>
    </w:p>
    <w:p w:rsidR="00105966" w:rsidRPr="008F006A" w:rsidRDefault="005F52FD" w:rsidP="00105966">
      <w:pPr>
        <w:pStyle w:val="ListParagraph"/>
        <w:numPr>
          <w:ilvl w:val="0"/>
          <w:numId w:val="45"/>
        </w:numPr>
        <w:spacing w:after="0"/>
        <w:rPr>
          <w:rFonts w:ascii="Verdana" w:hAnsi="Verdana"/>
          <w:b/>
          <w:sz w:val="18"/>
          <w:szCs w:val="18"/>
        </w:rPr>
      </w:pPr>
      <w:r w:rsidRPr="008F006A">
        <w:rPr>
          <w:rFonts w:ascii="Verdana" w:hAnsi="Verdana"/>
          <w:b/>
          <w:sz w:val="18"/>
          <w:szCs w:val="18"/>
        </w:rPr>
        <w:t xml:space="preserve">Q: </w:t>
      </w:r>
      <w:r w:rsidRPr="008F006A">
        <w:rPr>
          <w:rFonts w:ascii="Verdana" w:hAnsi="Verdana"/>
          <w:sz w:val="18"/>
          <w:szCs w:val="18"/>
        </w:rPr>
        <w:t xml:space="preserve">How should ACOs address non-duplication </w:t>
      </w:r>
      <w:r w:rsidR="00171CE9" w:rsidRPr="008F006A">
        <w:rPr>
          <w:rFonts w:ascii="Verdana" w:hAnsi="Verdana"/>
          <w:sz w:val="18"/>
          <w:szCs w:val="18"/>
        </w:rPr>
        <w:t>in regard to</w:t>
      </w:r>
      <w:r w:rsidRPr="008F006A">
        <w:rPr>
          <w:rFonts w:ascii="Verdana" w:hAnsi="Verdana"/>
          <w:sz w:val="18"/>
          <w:szCs w:val="18"/>
        </w:rPr>
        <w:t xml:space="preserve"> EA? </w:t>
      </w:r>
    </w:p>
    <w:p w:rsidR="00611519" w:rsidRPr="008F006A" w:rsidRDefault="005F52FD" w:rsidP="00105966">
      <w:pPr>
        <w:pStyle w:val="ListParagraph"/>
        <w:numPr>
          <w:ilvl w:val="1"/>
          <w:numId w:val="45"/>
        </w:numPr>
        <w:spacing w:after="0"/>
        <w:rPr>
          <w:rFonts w:ascii="Verdana" w:hAnsi="Verdana"/>
          <w:b/>
          <w:sz w:val="18"/>
          <w:szCs w:val="18"/>
        </w:rPr>
      </w:pPr>
      <w:r w:rsidRPr="008F006A">
        <w:rPr>
          <w:rFonts w:ascii="Verdana" w:hAnsi="Verdana"/>
          <w:b/>
          <w:i/>
          <w:sz w:val="18"/>
          <w:szCs w:val="18"/>
        </w:rPr>
        <w:t xml:space="preserve">A: </w:t>
      </w:r>
      <w:r w:rsidRPr="008F006A">
        <w:rPr>
          <w:rFonts w:ascii="Verdana" w:hAnsi="Verdana"/>
          <w:i/>
          <w:sz w:val="18"/>
          <w:szCs w:val="18"/>
        </w:rPr>
        <w:t xml:space="preserve">If ACOs are planning to support families who are experiencing homelessness, they should first confirm that </w:t>
      </w:r>
      <w:r w:rsidR="009A7E36" w:rsidRPr="008F006A">
        <w:rPr>
          <w:rFonts w:ascii="Verdana" w:hAnsi="Verdana"/>
          <w:i/>
          <w:sz w:val="18"/>
          <w:szCs w:val="18"/>
        </w:rPr>
        <w:t>such families are not</w:t>
      </w:r>
      <w:r w:rsidRPr="008F006A">
        <w:rPr>
          <w:rFonts w:ascii="Verdana" w:hAnsi="Verdana"/>
          <w:i/>
          <w:sz w:val="18"/>
          <w:szCs w:val="18"/>
        </w:rPr>
        <w:t xml:space="preserve"> eligible for EA. ACOs should document this in the </w:t>
      </w:r>
      <w:r w:rsidR="009B7B49" w:rsidRPr="008F006A">
        <w:rPr>
          <w:rFonts w:ascii="Verdana" w:hAnsi="Verdana"/>
          <w:i/>
          <w:sz w:val="18"/>
          <w:szCs w:val="18"/>
        </w:rPr>
        <w:t>“N</w:t>
      </w:r>
      <w:r w:rsidRPr="008F006A">
        <w:rPr>
          <w:rFonts w:ascii="Verdana" w:hAnsi="Verdana"/>
          <w:i/>
          <w:sz w:val="18"/>
          <w:szCs w:val="18"/>
        </w:rPr>
        <w:t>on-</w:t>
      </w:r>
      <w:r w:rsidR="009B7B49" w:rsidRPr="008F006A">
        <w:rPr>
          <w:rFonts w:ascii="Verdana" w:hAnsi="Verdana"/>
          <w:i/>
          <w:sz w:val="18"/>
          <w:szCs w:val="18"/>
        </w:rPr>
        <w:t>D</w:t>
      </w:r>
      <w:r w:rsidRPr="008F006A">
        <w:rPr>
          <w:rFonts w:ascii="Verdana" w:hAnsi="Verdana"/>
          <w:i/>
          <w:sz w:val="18"/>
          <w:szCs w:val="18"/>
        </w:rPr>
        <w:t xml:space="preserve">uplication </w:t>
      </w:r>
      <w:r w:rsidR="009B7B49" w:rsidRPr="008F006A">
        <w:rPr>
          <w:rFonts w:ascii="Verdana" w:hAnsi="Verdana"/>
          <w:i/>
          <w:sz w:val="18"/>
          <w:szCs w:val="18"/>
        </w:rPr>
        <w:t xml:space="preserve">of Services” </w:t>
      </w:r>
      <w:r w:rsidRPr="008F006A">
        <w:rPr>
          <w:rFonts w:ascii="Verdana" w:hAnsi="Verdana"/>
          <w:i/>
          <w:sz w:val="18"/>
          <w:szCs w:val="18"/>
        </w:rPr>
        <w:t>section of the FPP. Additionally, ACOs should include the process by which they confirm members are not EA eligible (e.g., SSO partner will confirm ineligibility prior to delivering FS).</w:t>
      </w:r>
      <w:r w:rsidR="00105966" w:rsidRPr="008F006A">
        <w:rPr>
          <w:rFonts w:ascii="Verdana" w:hAnsi="Verdana"/>
          <w:i/>
          <w:sz w:val="18"/>
          <w:szCs w:val="18"/>
        </w:rPr>
        <w:br/>
      </w:r>
    </w:p>
    <w:p w:rsidR="00225DD0" w:rsidRPr="008F006A" w:rsidRDefault="00225DD0" w:rsidP="009D6242">
      <w:pPr>
        <w:pStyle w:val="Heading2"/>
      </w:pPr>
      <w:bookmarkStart w:id="8" w:name="_Toc32577171"/>
      <w:r w:rsidRPr="008F006A">
        <w:t>2. Nutrition</w:t>
      </w:r>
      <w:r w:rsidR="002F1860" w:rsidRPr="008F006A">
        <w:t xml:space="preserve"> Sustaining Supports</w:t>
      </w:r>
      <w:r w:rsidRPr="008F006A">
        <w:t xml:space="preserve"> Domain</w:t>
      </w:r>
      <w:bookmarkEnd w:id="8"/>
      <w:r w:rsidRPr="008F006A">
        <w:br/>
      </w:r>
    </w:p>
    <w:p w:rsidR="00105966" w:rsidRPr="008F006A" w:rsidRDefault="00225DD0" w:rsidP="009D6242">
      <w:pPr>
        <w:pStyle w:val="Heading3"/>
      </w:pPr>
      <w:bookmarkStart w:id="9" w:name="_Toc32577172"/>
      <w:r w:rsidRPr="008F006A">
        <w:t>Nutrition Vouchers:</w:t>
      </w:r>
      <w:bookmarkEnd w:id="9"/>
      <w:r w:rsidRPr="008F006A">
        <w:t xml:space="preserve"> </w:t>
      </w:r>
    </w:p>
    <w:p w:rsidR="00105966" w:rsidRPr="008F006A" w:rsidRDefault="00225DD0" w:rsidP="00105966">
      <w:pPr>
        <w:pStyle w:val="ListParagraph"/>
        <w:numPr>
          <w:ilvl w:val="0"/>
          <w:numId w:val="45"/>
        </w:numPr>
        <w:spacing w:after="0" w:line="240" w:lineRule="auto"/>
        <w:rPr>
          <w:rFonts w:ascii="Verdana" w:eastAsia="Calibri" w:hAnsi="Verdana" w:cstheme="minorHAnsi"/>
          <w:sz w:val="18"/>
          <w:szCs w:val="18"/>
        </w:rPr>
      </w:pPr>
      <w:r w:rsidRPr="008F006A">
        <w:rPr>
          <w:rFonts w:ascii="Verdana" w:eastAsia="Calibri" w:hAnsi="Verdana" w:cstheme="minorHAnsi"/>
          <w:b/>
          <w:sz w:val="18"/>
          <w:szCs w:val="18"/>
        </w:rPr>
        <w:t>Q:</w:t>
      </w:r>
      <w:r w:rsidRPr="008F006A">
        <w:rPr>
          <w:rFonts w:ascii="Verdana" w:eastAsia="Calibri" w:hAnsi="Verdana" w:cstheme="minorHAnsi"/>
          <w:sz w:val="18"/>
          <w:szCs w:val="18"/>
        </w:rPr>
        <w:t xml:space="preserve"> </w:t>
      </w:r>
      <w:r w:rsidR="00FF21C3" w:rsidRPr="008F006A">
        <w:rPr>
          <w:rFonts w:ascii="Verdana" w:eastAsia="Calibri" w:hAnsi="Verdana" w:cstheme="minorHAnsi"/>
          <w:sz w:val="18"/>
          <w:szCs w:val="18"/>
        </w:rPr>
        <w:t>Can an ACO pay for</w:t>
      </w:r>
      <w:r w:rsidRPr="008F006A">
        <w:rPr>
          <w:rFonts w:ascii="Verdana" w:eastAsia="Calibri" w:hAnsi="Verdana" w:cstheme="minorHAnsi"/>
          <w:sz w:val="18"/>
          <w:szCs w:val="18"/>
        </w:rPr>
        <w:t xml:space="preserve"> a member’s groceries </w:t>
      </w:r>
      <w:r w:rsidR="00A313DF" w:rsidRPr="008F006A">
        <w:rPr>
          <w:rFonts w:ascii="Verdana" w:eastAsia="Calibri" w:hAnsi="Verdana" w:cstheme="minorHAnsi"/>
          <w:sz w:val="18"/>
          <w:szCs w:val="18"/>
        </w:rPr>
        <w:t>through Flexible Services</w:t>
      </w:r>
      <w:r w:rsidRPr="008F006A">
        <w:rPr>
          <w:rFonts w:ascii="Verdana" w:eastAsia="Calibri" w:hAnsi="Verdana" w:cstheme="minorHAnsi"/>
          <w:sz w:val="18"/>
          <w:szCs w:val="18"/>
        </w:rPr>
        <w:t xml:space="preserve">? </w:t>
      </w:r>
    </w:p>
    <w:p w:rsidR="00225DD0" w:rsidRPr="008F006A" w:rsidRDefault="00225DD0" w:rsidP="00105966">
      <w:pPr>
        <w:pStyle w:val="ListParagraph"/>
        <w:numPr>
          <w:ilvl w:val="1"/>
          <w:numId w:val="45"/>
        </w:numPr>
        <w:spacing w:after="0" w:line="240" w:lineRule="auto"/>
        <w:rPr>
          <w:rFonts w:ascii="Verdana" w:eastAsia="Calibri" w:hAnsi="Verdana" w:cstheme="minorHAnsi"/>
          <w:sz w:val="18"/>
          <w:szCs w:val="18"/>
        </w:rPr>
      </w:pPr>
      <w:r w:rsidRPr="008F006A">
        <w:rPr>
          <w:rFonts w:ascii="Verdana" w:eastAsia="Calibri" w:hAnsi="Verdana" w:cstheme="minorHAnsi"/>
          <w:b/>
          <w:i/>
          <w:sz w:val="18"/>
          <w:szCs w:val="18"/>
        </w:rPr>
        <w:t>A:</w:t>
      </w:r>
      <w:r w:rsidRPr="008F006A">
        <w:rPr>
          <w:rFonts w:ascii="Verdana" w:eastAsia="Calibri" w:hAnsi="Verdana" w:cstheme="minorHAnsi"/>
          <w:i/>
          <w:sz w:val="18"/>
          <w:szCs w:val="18"/>
        </w:rPr>
        <w:t xml:space="preserve"> Groceries are an allowable use of FS dollars. However, ACOs cannot reimburse a member’s grocery bills (or any bills). Rather, an ACO should use vouchers or other non-cash systems to provide groceries. </w:t>
      </w:r>
      <w:r w:rsidR="00105966" w:rsidRPr="008F006A">
        <w:rPr>
          <w:rFonts w:ascii="Verdana" w:eastAsia="Calibri" w:hAnsi="Verdana" w:cstheme="minorHAnsi"/>
          <w:i/>
          <w:sz w:val="18"/>
          <w:szCs w:val="18"/>
        </w:rPr>
        <w:br/>
      </w:r>
    </w:p>
    <w:p w:rsidR="00105966" w:rsidRPr="008F006A" w:rsidRDefault="00225DD0" w:rsidP="009D6242">
      <w:pPr>
        <w:pStyle w:val="Heading3"/>
      </w:pPr>
      <w:bookmarkStart w:id="10" w:name="_Toc32577173"/>
      <w:r w:rsidRPr="008F006A">
        <w:t>Documenting Non-Duplication in the FS Full Participation Plan (FPP) and SNAP Referrals:</w:t>
      </w:r>
      <w:bookmarkEnd w:id="10"/>
      <w:r w:rsidRPr="008F006A">
        <w:t xml:space="preserve"> </w:t>
      </w:r>
    </w:p>
    <w:p w:rsidR="00105966" w:rsidRPr="008F006A" w:rsidRDefault="00225DD0" w:rsidP="00105966">
      <w:pPr>
        <w:pStyle w:val="ListParagraph"/>
        <w:numPr>
          <w:ilvl w:val="0"/>
          <w:numId w:val="45"/>
        </w:numPr>
        <w:spacing w:after="0"/>
        <w:rPr>
          <w:rFonts w:ascii="Verdana" w:hAnsi="Verdana"/>
          <w:b/>
          <w:sz w:val="18"/>
          <w:szCs w:val="18"/>
        </w:rPr>
      </w:pPr>
      <w:r w:rsidRPr="008F006A">
        <w:rPr>
          <w:rFonts w:ascii="Verdana" w:hAnsi="Verdana"/>
          <w:b/>
          <w:sz w:val="18"/>
          <w:szCs w:val="18"/>
        </w:rPr>
        <w:t xml:space="preserve">Q: </w:t>
      </w:r>
      <w:r w:rsidRPr="008F006A">
        <w:rPr>
          <w:rFonts w:ascii="Verdana" w:hAnsi="Verdana"/>
          <w:sz w:val="18"/>
          <w:szCs w:val="18"/>
        </w:rPr>
        <w:t>How should ACOs address non-duplication in regard to SNAP referrals?</w:t>
      </w:r>
    </w:p>
    <w:p w:rsidR="00225DD0" w:rsidRPr="008F006A" w:rsidRDefault="00225DD0" w:rsidP="00105966">
      <w:pPr>
        <w:pStyle w:val="ListParagraph"/>
        <w:numPr>
          <w:ilvl w:val="1"/>
          <w:numId w:val="45"/>
        </w:numPr>
        <w:spacing w:after="0"/>
        <w:rPr>
          <w:rFonts w:ascii="Verdana" w:hAnsi="Verdana"/>
          <w:b/>
          <w:sz w:val="18"/>
          <w:szCs w:val="18"/>
        </w:rPr>
      </w:pPr>
      <w:r w:rsidRPr="008F006A">
        <w:rPr>
          <w:rFonts w:ascii="Verdana" w:hAnsi="Verdana"/>
          <w:b/>
          <w:i/>
          <w:sz w:val="18"/>
          <w:szCs w:val="18"/>
        </w:rPr>
        <w:t>A:</w:t>
      </w:r>
      <w:r w:rsidRPr="008F006A">
        <w:rPr>
          <w:rFonts w:ascii="Verdana" w:hAnsi="Verdana"/>
          <w:i/>
          <w:sz w:val="18"/>
          <w:szCs w:val="18"/>
        </w:rPr>
        <w:t xml:space="preserve"> </w:t>
      </w:r>
      <w:r w:rsidR="00A313DF" w:rsidRPr="008F006A">
        <w:rPr>
          <w:rFonts w:ascii="Verdana" w:hAnsi="Verdana"/>
          <w:i/>
          <w:sz w:val="18"/>
          <w:szCs w:val="18"/>
        </w:rPr>
        <w:t>ACOs should document t</w:t>
      </w:r>
      <w:r w:rsidRPr="008F006A">
        <w:rPr>
          <w:rFonts w:ascii="Verdana" w:hAnsi="Verdana"/>
          <w:i/>
          <w:sz w:val="18"/>
          <w:szCs w:val="18"/>
        </w:rPr>
        <w:t>his information in the “Non-Duplication of Services” section of the FPP. For programs providing nutrition</w:t>
      </w:r>
      <w:r w:rsidR="00A313DF" w:rsidRPr="008F006A">
        <w:rPr>
          <w:rFonts w:ascii="Verdana" w:hAnsi="Verdana"/>
          <w:i/>
          <w:sz w:val="18"/>
          <w:szCs w:val="18"/>
        </w:rPr>
        <w:t xml:space="preserve"> goods or services, an ACO must</w:t>
      </w:r>
      <w:r w:rsidR="007127FB" w:rsidRPr="008F006A">
        <w:rPr>
          <w:rFonts w:ascii="Verdana" w:hAnsi="Verdana"/>
          <w:i/>
          <w:sz w:val="18"/>
          <w:szCs w:val="18"/>
        </w:rPr>
        <w:t xml:space="preserve"> </w:t>
      </w:r>
      <w:r w:rsidRPr="008F006A">
        <w:rPr>
          <w:rFonts w:ascii="Verdana" w:hAnsi="Verdana"/>
          <w:i/>
          <w:sz w:val="18"/>
          <w:szCs w:val="18"/>
        </w:rPr>
        <w:t>explain how it is referring members to SNAP, and if they are partnering with another entity for SNAP outreach and enrollment</w:t>
      </w:r>
      <w:r w:rsidR="002F1860" w:rsidRPr="008F006A">
        <w:rPr>
          <w:rFonts w:ascii="Verdana" w:hAnsi="Verdana"/>
          <w:i/>
          <w:sz w:val="18"/>
          <w:szCs w:val="18"/>
        </w:rPr>
        <w:t>,</w:t>
      </w:r>
      <w:r w:rsidR="00945153" w:rsidRPr="008F006A">
        <w:rPr>
          <w:rFonts w:ascii="Verdana" w:hAnsi="Verdana"/>
          <w:i/>
          <w:sz w:val="18"/>
          <w:szCs w:val="18"/>
        </w:rPr>
        <w:t xml:space="preserve"> and</w:t>
      </w:r>
      <w:r w:rsidRPr="008F006A">
        <w:rPr>
          <w:rFonts w:ascii="Verdana" w:hAnsi="Verdana"/>
          <w:i/>
          <w:sz w:val="18"/>
          <w:szCs w:val="18"/>
        </w:rPr>
        <w:t xml:space="preserve"> </w:t>
      </w:r>
      <w:r w:rsidR="002F1860" w:rsidRPr="008F006A">
        <w:rPr>
          <w:rFonts w:ascii="Verdana" w:hAnsi="Verdana"/>
          <w:i/>
          <w:sz w:val="18"/>
          <w:szCs w:val="18"/>
        </w:rPr>
        <w:t xml:space="preserve">identify </w:t>
      </w:r>
      <w:r w:rsidRPr="008F006A">
        <w:rPr>
          <w:rFonts w:ascii="Verdana" w:hAnsi="Verdana"/>
          <w:i/>
          <w:sz w:val="18"/>
          <w:szCs w:val="18"/>
        </w:rPr>
        <w:t>who that partner entity is</w:t>
      </w:r>
      <w:r w:rsidR="002F1860" w:rsidRPr="008F006A">
        <w:rPr>
          <w:rFonts w:ascii="Verdana" w:hAnsi="Verdana"/>
          <w:i/>
          <w:sz w:val="18"/>
          <w:szCs w:val="18"/>
        </w:rPr>
        <w:t>, in the non-duplication section</w:t>
      </w:r>
      <w:r w:rsidRPr="008F006A">
        <w:rPr>
          <w:rFonts w:ascii="Verdana" w:hAnsi="Verdana"/>
          <w:i/>
          <w:sz w:val="18"/>
          <w:szCs w:val="18"/>
        </w:rPr>
        <w:t xml:space="preserve">. </w:t>
      </w:r>
      <w:r w:rsidR="00105966" w:rsidRPr="008F006A">
        <w:rPr>
          <w:rFonts w:ascii="Verdana" w:hAnsi="Verdana"/>
          <w:i/>
          <w:sz w:val="18"/>
          <w:szCs w:val="18"/>
        </w:rPr>
        <w:br/>
      </w:r>
    </w:p>
    <w:p w:rsidR="00592704" w:rsidRPr="008F006A" w:rsidRDefault="00592704" w:rsidP="009D6242">
      <w:pPr>
        <w:pStyle w:val="Heading3"/>
      </w:pPr>
      <w:bookmarkStart w:id="11" w:name="_Toc32577174"/>
      <w:r w:rsidRPr="008F006A">
        <w:t>Payment for SNAP/WIC</w:t>
      </w:r>
      <w:r w:rsidR="00097BDB" w:rsidRPr="008F006A">
        <w:t xml:space="preserve"> under Flexible Services</w:t>
      </w:r>
      <w:bookmarkEnd w:id="11"/>
      <w:r w:rsidR="00097BDB" w:rsidRPr="008F006A">
        <w:t xml:space="preserve"> </w:t>
      </w:r>
    </w:p>
    <w:p w:rsidR="00B873D8" w:rsidRPr="008F006A" w:rsidRDefault="00B873D8" w:rsidP="00B873D8">
      <w:pPr>
        <w:pStyle w:val="ListParagraph"/>
        <w:numPr>
          <w:ilvl w:val="0"/>
          <w:numId w:val="32"/>
        </w:numPr>
        <w:spacing w:after="0"/>
        <w:rPr>
          <w:rFonts w:ascii="Verdana" w:hAnsi="Verdana"/>
          <w:b/>
          <w:sz w:val="18"/>
          <w:szCs w:val="18"/>
        </w:rPr>
      </w:pPr>
      <w:r w:rsidRPr="008F006A">
        <w:rPr>
          <w:rFonts w:ascii="Verdana" w:hAnsi="Verdana"/>
          <w:b/>
          <w:sz w:val="18"/>
          <w:szCs w:val="18"/>
        </w:rPr>
        <w:t xml:space="preserve">Q: </w:t>
      </w:r>
      <w:r w:rsidRPr="008F006A">
        <w:rPr>
          <w:rFonts w:ascii="Verdana" w:hAnsi="Verdana"/>
          <w:sz w:val="18"/>
          <w:szCs w:val="18"/>
        </w:rPr>
        <w:t xml:space="preserve">What can FS funds cover </w:t>
      </w:r>
      <w:r w:rsidR="00171CE9" w:rsidRPr="008F006A">
        <w:rPr>
          <w:rFonts w:ascii="Verdana" w:hAnsi="Verdana"/>
          <w:sz w:val="18"/>
          <w:szCs w:val="18"/>
        </w:rPr>
        <w:t>in regard to</w:t>
      </w:r>
      <w:r w:rsidRPr="008F006A">
        <w:rPr>
          <w:rFonts w:ascii="Verdana" w:hAnsi="Verdana"/>
          <w:sz w:val="18"/>
          <w:szCs w:val="18"/>
        </w:rPr>
        <w:t xml:space="preserve"> SNAP and WIC? </w:t>
      </w:r>
    </w:p>
    <w:p w:rsidR="00B873D8" w:rsidRPr="008F006A" w:rsidRDefault="00B873D8" w:rsidP="001B5FCC">
      <w:pPr>
        <w:pStyle w:val="ListParagraph"/>
        <w:numPr>
          <w:ilvl w:val="1"/>
          <w:numId w:val="32"/>
        </w:numPr>
        <w:spacing w:after="0"/>
        <w:rPr>
          <w:rFonts w:ascii="Verdana" w:hAnsi="Verdana"/>
          <w:b/>
          <w:i/>
          <w:sz w:val="18"/>
          <w:szCs w:val="18"/>
        </w:rPr>
      </w:pPr>
      <w:r w:rsidRPr="008F006A">
        <w:rPr>
          <w:rFonts w:ascii="Verdana" w:hAnsi="Verdana"/>
          <w:b/>
          <w:i/>
          <w:sz w:val="18"/>
          <w:szCs w:val="18"/>
        </w:rPr>
        <w:t xml:space="preserve">A: </w:t>
      </w:r>
      <w:r w:rsidRPr="008F006A">
        <w:rPr>
          <w:rFonts w:ascii="Verdana" w:hAnsi="Verdana"/>
          <w:i/>
          <w:sz w:val="18"/>
          <w:szCs w:val="18"/>
        </w:rPr>
        <w:t xml:space="preserve">ACOs may not use FS funds to cover referrals or navigation of members to agencies for SNAP or WIC for </w:t>
      </w:r>
      <w:r w:rsidR="001A7DA1" w:rsidRPr="008F006A">
        <w:rPr>
          <w:rFonts w:ascii="Verdana" w:hAnsi="Verdana"/>
          <w:i/>
          <w:sz w:val="18"/>
          <w:szCs w:val="18"/>
        </w:rPr>
        <w:t xml:space="preserve">initial </w:t>
      </w:r>
      <w:r w:rsidRPr="008F006A">
        <w:rPr>
          <w:rFonts w:ascii="Verdana" w:hAnsi="Verdana"/>
          <w:i/>
          <w:sz w:val="18"/>
          <w:szCs w:val="18"/>
        </w:rPr>
        <w:t xml:space="preserve">enrollment. </w:t>
      </w:r>
      <w:r w:rsidR="00B874B8" w:rsidRPr="008F006A">
        <w:rPr>
          <w:rFonts w:ascii="Verdana" w:hAnsi="Verdana"/>
          <w:i/>
          <w:sz w:val="18"/>
          <w:szCs w:val="18"/>
        </w:rPr>
        <w:t xml:space="preserve"> </w:t>
      </w:r>
      <w:r w:rsidRPr="008F006A">
        <w:rPr>
          <w:rFonts w:ascii="Verdana" w:hAnsi="Verdana"/>
          <w:i/>
          <w:sz w:val="18"/>
          <w:szCs w:val="18"/>
        </w:rPr>
        <w:t>However, FS funds may cover services related to the ongoing monitoring of SNAP and/or WIC enrollment</w:t>
      </w:r>
      <w:r w:rsidR="00E30559" w:rsidRPr="008F006A">
        <w:rPr>
          <w:rFonts w:ascii="Verdana" w:hAnsi="Verdana"/>
          <w:i/>
          <w:sz w:val="18"/>
          <w:szCs w:val="18"/>
        </w:rPr>
        <w:t>. FS funds may also be used to supplement SNAP or WIC</w:t>
      </w:r>
      <w:r w:rsidRPr="008F006A">
        <w:rPr>
          <w:rFonts w:ascii="Verdana" w:hAnsi="Verdana"/>
          <w:i/>
          <w:sz w:val="18"/>
          <w:szCs w:val="18"/>
        </w:rPr>
        <w:t xml:space="preserve">. For example, an ACO could use Flexible Services to </w:t>
      </w:r>
      <w:r w:rsidR="00E30559" w:rsidRPr="008F006A">
        <w:rPr>
          <w:rFonts w:ascii="Verdana" w:hAnsi="Verdana"/>
          <w:i/>
          <w:sz w:val="18"/>
          <w:szCs w:val="18"/>
        </w:rPr>
        <w:t xml:space="preserve">provide </w:t>
      </w:r>
      <w:r w:rsidRPr="008F006A">
        <w:rPr>
          <w:rFonts w:ascii="Verdana" w:hAnsi="Verdana"/>
          <w:i/>
          <w:sz w:val="18"/>
          <w:szCs w:val="18"/>
        </w:rPr>
        <w:t xml:space="preserve">the member with the additional food needed to eliminate or further reduce nutritional deficiencies. SSOs may use FS funds to cover referrals or navigation to agencies for SNAP or WIC enrollment. FS dollars may not be used by any entity to support the completion of SNAP or WIC enrollment applications. </w:t>
      </w:r>
    </w:p>
    <w:p w:rsidR="00592704" w:rsidRPr="008F006A" w:rsidRDefault="00592704" w:rsidP="00592704">
      <w:pPr>
        <w:spacing w:after="0"/>
        <w:rPr>
          <w:rFonts w:ascii="Verdana" w:hAnsi="Verdana"/>
          <w:b/>
          <w:sz w:val="18"/>
          <w:szCs w:val="18"/>
        </w:rPr>
      </w:pPr>
    </w:p>
    <w:p w:rsidR="00225DD0" w:rsidRPr="008F006A" w:rsidRDefault="00225DD0" w:rsidP="009D6242">
      <w:pPr>
        <w:pStyle w:val="Heading3"/>
      </w:pPr>
      <w:bookmarkStart w:id="12" w:name="_Toc32577175"/>
      <w:r w:rsidRPr="008F006A">
        <w:t>Allowable Nutrition Services and Goods</w:t>
      </w:r>
      <w:bookmarkEnd w:id="12"/>
    </w:p>
    <w:p w:rsidR="00225DD0" w:rsidRPr="008F006A" w:rsidRDefault="00225DD0" w:rsidP="00225DD0">
      <w:pPr>
        <w:pStyle w:val="ListParagraph"/>
        <w:numPr>
          <w:ilvl w:val="0"/>
          <w:numId w:val="26"/>
        </w:numPr>
        <w:rPr>
          <w:rFonts w:ascii="Verdana" w:hAnsi="Verdana"/>
          <w:b/>
          <w:sz w:val="18"/>
          <w:szCs w:val="18"/>
        </w:rPr>
      </w:pPr>
      <w:r w:rsidRPr="008F006A">
        <w:rPr>
          <w:rFonts w:ascii="Verdana" w:hAnsi="Verdana"/>
          <w:b/>
          <w:sz w:val="18"/>
          <w:szCs w:val="18"/>
        </w:rPr>
        <w:t xml:space="preserve">Q: </w:t>
      </w:r>
      <w:r w:rsidRPr="008F006A">
        <w:rPr>
          <w:rFonts w:ascii="Verdana" w:hAnsi="Verdana"/>
          <w:sz w:val="18"/>
          <w:szCs w:val="18"/>
        </w:rPr>
        <w:t>What are some examples of allowable nutrition services/goods?</w:t>
      </w:r>
    </w:p>
    <w:p w:rsidR="00B873D8" w:rsidRPr="008F006A" w:rsidRDefault="00225DD0" w:rsidP="001B5FCC">
      <w:pPr>
        <w:pStyle w:val="ListParagraph"/>
        <w:numPr>
          <w:ilvl w:val="1"/>
          <w:numId w:val="26"/>
        </w:numPr>
        <w:rPr>
          <w:rFonts w:ascii="Verdana" w:hAnsi="Verdana"/>
          <w:i/>
          <w:sz w:val="18"/>
          <w:szCs w:val="18"/>
        </w:rPr>
      </w:pPr>
      <w:r w:rsidRPr="008F006A">
        <w:rPr>
          <w:rFonts w:ascii="Verdana" w:hAnsi="Verdana"/>
          <w:b/>
          <w:i/>
          <w:sz w:val="18"/>
          <w:szCs w:val="18"/>
        </w:rPr>
        <w:t>A:</w:t>
      </w:r>
      <w:r w:rsidRPr="008F006A">
        <w:rPr>
          <w:rFonts w:ascii="Verdana" w:hAnsi="Verdana"/>
          <w:i/>
          <w:sz w:val="18"/>
          <w:szCs w:val="18"/>
        </w:rPr>
        <w:t xml:space="preserve"> </w:t>
      </w:r>
      <w:r w:rsidR="00945153" w:rsidRPr="008F006A">
        <w:rPr>
          <w:rFonts w:ascii="Verdana" w:hAnsi="Verdana"/>
          <w:i/>
          <w:sz w:val="18"/>
          <w:szCs w:val="18"/>
        </w:rPr>
        <w:t xml:space="preserve">Some examples of allowable nutrition </w:t>
      </w:r>
      <w:r w:rsidR="00B873D8" w:rsidRPr="008F006A">
        <w:rPr>
          <w:rFonts w:ascii="Verdana" w:hAnsi="Verdana"/>
          <w:i/>
          <w:sz w:val="18"/>
          <w:szCs w:val="18"/>
        </w:rPr>
        <w:t>services and goods</w:t>
      </w:r>
      <w:r w:rsidR="00945153" w:rsidRPr="008F006A">
        <w:rPr>
          <w:rFonts w:ascii="Verdana" w:hAnsi="Verdana"/>
          <w:i/>
          <w:sz w:val="18"/>
          <w:szCs w:val="18"/>
        </w:rPr>
        <w:t xml:space="preserve"> include</w:t>
      </w:r>
      <w:r w:rsidR="00B873D8" w:rsidRPr="008F006A">
        <w:rPr>
          <w:rFonts w:ascii="Verdana" w:hAnsi="Verdana"/>
          <w:i/>
          <w:sz w:val="18"/>
          <w:szCs w:val="18"/>
        </w:rPr>
        <w:t xml:space="preserve"> medically tailored meals, individualized nutrition assessments and counseling, and nutrition education </w:t>
      </w:r>
      <w:r w:rsidR="00B873D8" w:rsidRPr="008F006A">
        <w:rPr>
          <w:rFonts w:ascii="Verdana" w:hAnsi="Verdana"/>
          <w:i/>
          <w:sz w:val="18"/>
          <w:szCs w:val="18"/>
        </w:rPr>
        <w:lastRenderedPageBreak/>
        <w:t>classes to promote management or improvement of diabetes or other diet related chronic illness.</w:t>
      </w:r>
      <w:r w:rsidR="00B873D8" w:rsidRPr="008F006A">
        <w:rPr>
          <w:rFonts w:ascii="Verdana" w:hAnsi="Verdana"/>
          <w:b/>
          <w:i/>
          <w:sz w:val="18"/>
          <w:szCs w:val="18"/>
        </w:rPr>
        <w:t xml:space="preserve"> </w:t>
      </w:r>
    </w:p>
    <w:p w:rsidR="00225DD0" w:rsidRPr="008F006A" w:rsidRDefault="00765091" w:rsidP="009D6242">
      <w:pPr>
        <w:pStyle w:val="Heading3"/>
        <w:rPr>
          <w:lang w:val="en-GB"/>
        </w:rPr>
      </w:pPr>
      <w:bookmarkStart w:id="13" w:name="_Toc32577176"/>
      <w:r w:rsidRPr="008F006A">
        <w:rPr>
          <w:lang w:val="en-GB"/>
        </w:rPr>
        <w:t>Funding Existing Programs with Flexible Services Funding</w:t>
      </w:r>
      <w:bookmarkEnd w:id="13"/>
    </w:p>
    <w:p w:rsidR="00105966" w:rsidRPr="008F006A" w:rsidRDefault="00225DD0" w:rsidP="00105966">
      <w:pPr>
        <w:pStyle w:val="ListParagraph"/>
        <w:numPr>
          <w:ilvl w:val="0"/>
          <w:numId w:val="18"/>
        </w:numPr>
        <w:rPr>
          <w:rFonts w:ascii="Verdana" w:eastAsia="Times New Roman" w:hAnsi="Verdana"/>
          <w:b/>
          <w:sz w:val="18"/>
          <w:szCs w:val="18"/>
        </w:rPr>
      </w:pPr>
      <w:r w:rsidRPr="008F006A">
        <w:rPr>
          <w:rFonts w:ascii="Verdana" w:eastAsia="Times New Roman" w:hAnsi="Verdana"/>
          <w:b/>
          <w:sz w:val="18"/>
          <w:szCs w:val="18"/>
        </w:rPr>
        <w:t>Q:</w:t>
      </w:r>
      <w:r w:rsidRPr="008F006A">
        <w:rPr>
          <w:rFonts w:ascii="Verdana" w:eastAsia="Times New Roman" w:hAnsi="Verdana"/>
          <w:sz w:val="18"/>
          <w:szCs w:val="18"/>
        </w:rPr>
        <w:t xml:space="preserve"> If a nutrition education class already exists, can FS dollars be used to fund a spot in the class versus expanding with new spots overall?</w:t>
      </w:r>
    </w:p>
    <w:p w:rsidR="00225DD0" w:rsidRPr="008F006A" w:rsidRDefault="00225DD0" w:rsidP="00105966">
      <w:pPr>
        <w:pStyle w:val="ListParagraph"/>
        <w:numPr>
          <w:ilvl w:val="1"/>
          <w:numId w:val="18"/>
        </w:numPr>
        <w:rPr>
          <w:rFonts w:ascii="Verdana" w:eastAsia="Times New Roman" w:hAnsi="Verdana"/>
          <w:b/>
          <w:sz w:val="18"/>
          <w:szCs w:val="18"/>
        </w:rPr>
      </w:pPr>
      <w:r w:rsidRPr="008F006A">
        <w:rPr>
          <w:rFonts w:ascii="Verdana" w:eastAsia="Times New Roman" w:hAnsi="Verdana"/>
          <w:b/>
          <w:i/>
          <w:sz w:val="18"/>
          <w:szCs w:val="18"/>
        </w:rPr>
        <w:t xml:space="preserve">A: </w:t>
      </w:r>
      <w:r w:rsidRPr="008F006A">
        <w:rPr>
          <w:rFonts w:ascii="Verdana" w:eastAsia="Times New Roman" w:hAnsi="Verdana"/>
          <w:i/>
          <w:color w:val="000000"/>
          <w:sz w:val="18"/>
          <w:szCs w:val="18"/>
        </w:rPr>
        <w:t xml:space="preserve">ACOs may propose funding open spots in the </w:t>
      </w:r>
      <w:r w:rsidR="00765091" w:rsidRPr="008F006A">
        <w:rPr>
          <w:rFonts w:ascii="Verdana" w:eastAsia="Times New Roman" w:hAnsi="Verdana"/>
          <w:i/>
          <w:color w:val="000000"/>
          <w:sz w:val="18"/>
          <w:szCs w:val="18"/>
        </w:rPr>
        <w:t xml:space="preserve">existing </w:t>
      </w:r>
      <w:r w:rsidRPr="008F006A">
        <w:rPr>
          <w:rFonts w:ascii="Verdana" w:eastAsia="Times New Roman" w:hAnsi="Verdana"/>
          <w:i/>
          <w:color w:val="000000"/>
          <w:sz w:val="18"/>
          <w:szCs w:val="18"/>
        </w:rPr>
        <w:t>nutrition education class, or creating additional, new spots in the class</w:t>
      </w:r>
      <w:r w:rsidRPr="008F006A">
        <w:rPr>
          <w:rFonts w:ascii="Verdana" w:eastAsia="Times New Roman" w:hAnsi="Verdana"/>
          <w:color w:val="000000"/>
          <w:sz w:val="18"/>
          <w:szCs w:val="18"/>
        </w:rPr>
        <w:t>.</w:t>
      </w:r>
    </w:p>
    <w:p w:rsidR="00E47404" w:rsidRPr="008F006A" w:rsidRDefault="00225DD0" w:rsidP="009D6242">
      <w:pPr>
        <w:pStyle w:val="Heading2"/>
      </w:pPr>
      <w:r w:rsidRPr="008F006A">
        <w:br/>
      </w:r>
      <w:bookmarkStart w:id="14" w:name="_Toc32577177"/>
      <w:r w:rsidRPr="008F006A">
        <w:t>3. Full Participation Plans</w:t>
      </w:r>
      <w:r w:rsidRPr="008F006A">
        <w:br/>
      </w:r>
      <w:r w:rsidR="00E47404" w:rsidRPr="008F006A">
        <w:br/>
      </w:r>
      <w:r w:rsidR="00E47404" w:rsidRPr="008F006A">
        <w:rPr>
          <w:rStyle w:val="Heading3Char"/>
          <w:b/>
          <w:u w:val="none"/>
        </w:rPr>
        <w:t>Full Participation Plan (FPP) Organization</w:t>
      </w:r>
      <w:bookmarkEnd w:id="14"/>
      <w:r w:rsidR="00E47404" w:rsidRPr="008F006A">
        <w:t xml:space="preserve"> </w:t>
      </w:r>
    </w:p>
    <w:p w:rsidR="00105966" w:rsidRPr="008F006A" w:rsidRDefault="00225DD0" w:rsidP="00105966">
      <w:pPr>
        <w:pStyle w:val="ListParagraph"/>
        <w:numPr>
          <w:ilvl w:val="0"/>
          <w:numId w:val="18"/>
        </w:numPr>
        <w:spacing w:after="0"/>
        <w:rPr>
          <w:rFonts w:ascii="Verdana" w:hAnsi="Verdana"/>
          <w:b/>
          <w:sz w:val="18"/>
          <w:szCs w:val="18"/>
        </w:rPr>
      </w:pPr>
      <w:r w:rsidRPr="008F006A">
        <w:rPr>
          <w:rFonts w:ascii="Verdana" w:hAnsi="Verdana"/>
          <w:b/>
          <w:sz w:val="18"/>
          <w:szCs w:val="18"/>
        </w:rPr>
        <w:t xml:space="preserve">Q: </w:t>
      </w:r>
      <w:r w:rsidRPr="008F006A">
        <w:rPr>
          <w:rFonts w:ascii="Verdana" w:hAnsi="Verdana"/>
          <w:sz w:val="18"/>
          <w:szCs w:val="18"/>
        </w:rPr>
        <w:t>How should ACOs organize their Full Participation Plans (FPPs) when proposing multiple FS programs?</w:t>
      </w:r>
    </w:p>
    <w:p w:rsidR="00641DB4" w:rsidRPr="008F006A" w:rsidRDefault="00225DD0" w:rsidP="00105966">
      <w:pPr>
        <w:pStyle w:val="ListParagraph"/>
        <w:numPr>
          <w:ilvl w:val="1"/>
          <w:numId w:val="18"/>
        </w:numPr>
        <w:spacing w:after="0"/>
        <w:rPr>
          <w:rFonts w:ascii="Verdana" w:hAnsi="Verdana"/>
          <w:b/>
          <w:sz w:val="18"/>
          <w:szCs w:val="18"/>
        </w:rPr>
      </w:pPr>
      <w:r w:rsidRPr="008F006A">
        <w:rPr>
          <w:rFonts w:ascii="Verdana" w:hAnsi="Verdana"/>
          <w:b/>
          <w:i/>
          <w:sz w:val="18"/>
          <w:szCs w:val="18"/>
        </w:rPr>
        <w:t>A:</w:t>
      </w:r>
      <w:r w:rsidRPr="008F006A">
        <w:rPr>
          <w:rFonts w:ascii="Verdana" w:hAnsi="Verdana"/>
          <w:i/>
          <w:sz w:val="18"/>
          <w:szCs w:val="18"/>
        </w:rPr>
        <w:t xml:space="preserve"> </w:t>
      </w:r>
      <w:r w:rsidR="001D1331" w:rsidRPr="008F006A">
        <w:rPr>
          <w:rFonts w:ascii="Verdana" w:hAnsi="Verdana"/>
          <w:i/>
          <w:sz w:val="18"/>
          <w:szCs w:val="18"/>
        </w:rPr>
        <w:t xml:space="preserve">An ACO has </w:t>
      </w:r>
      <w:r w:rsidR="00641DB4" w:rsidRPr="008F006A">
        <w:rPr>
          <w:rFonts w:ascii="Verdana" w:hAnsi="Verdana"/>
          <w:i/>
          <w:sz w:val="18"/>
          <w:szCs w:val="18"/>
        </w:rPr>
        <w:t xml:space="preserve">only </w:t>
      </w:r>
      <w:r w:rsidR="001D1331" w:rsidRPr="008F006A">
        <w:rPr>
          <w:rFonts w:ascii="Verdana" w:hAnsi="Verdana"/>
          <w:i/>
          <w:sz w:val="18"/>
          <w:szCs w:val="18"/>
        </w:rPr>
        <w:t xml:space="preserve">one FPP for Flexible Services but may have multiple programs </w:t>
      </w:r>
      <w:r w:rsidR="00765091" w:rsidRPr="008F006A">
        <w:rPr>
          <w:rFonts w:ascii="Verdana" w:hAnsi="Verdana"/>
          <w:i/>
          <w:sz w:val="18"/>
          <w:szCs w:val="18"/>
        </w:rPr>
        <w:t>with</w:t>
      </w:r>
      <w:r w:rsidR="001D1331" w:rsidRPr="008F006A">
        <w:rPr>
          <w:rFonts w:ascii="Verdana" w:hAnsi="Verdana"/>
          <w:i/>
          <w:sz w:val="18"/>
          <w:szCs w:val="18"/>
        </w:rPr>
        <w:t xml:space="preserve">in that FPP.  Each </w:t>
      </w:r>
      <w:r w:rsidR="00765091" w:rsidRPr="008F006A">
        <w:rPr>
          <w:rFonts w:ascii="Verdana" w:hAnsi="Verdana"/>
          <w:i/>
          <w:sz w:val="18"/>
          <w:szCs w:val="18"/>
        </w:rPr>
        <w:t>individual</w:t>
      </w:r>
      <w:r w:rsidR="00641DB4" w:rsidRPr="008F006A">
        <w:rPr>
          <w:rFonts w:ascii="Verdana" w:hAnsi="Verdana"/>
          <w:i/>
          <w:sz w:val="18"/>
          <w:szCs w:val="18"/>
        </w:rPr>
        <w:t xml:space="preserve"> </w:t>
      </w:r>
      <w:r w:rsidR="001D1331" w:rsidRPr="008F006A">
        <w:rPr>
          <w:rFonts w:ascii="Verdana" w:hAnsi="Verdana"/>
          <w:i/>
          <w:sz w:val="18"/>
          <w:szCs w:val="18"/>
        </w:rPr>
        <w:t>program should receive its own separate section under the “</w:t>
      </w:r>
      <w:r w:rsidR="00765091" w:rsidRPr="008F006A">
        <w:rPr>
          <w:rFonts w:ascii="Verdana" w:hAnsi="Verdana"/>
          <w:i/>
          <w:sz w:val="18"/>
          <w:szCs w:val="18"/>
        </w:rPr>
        <w:t>Individual</w:t>
      </w:r>
      <w:r w:rsidR="001D1331" w:rsidRPr="008F006A">
        <w:rPr>
          <w:rFonts w:ascii="Verdana" w:hAnsi="Verdana"/>
          <w:i/>
          <w:sz w:val="18"/>
          <w:szCs w:val="18"/>
        </w:rPr>
        <w:t xml:space="preserve"> Program</w:t>
      </w:r>
      <w:r w:rsidR="00765091" w:rsidRPr="008F006A">
        <w:rPr>
          <w:rFonts w:ascii="Verdana" w:hAnsi="Verdana"/>
          <w:i/>
          <w:sz w:val="18"/>
          <w:szCs w:val="18"/>
        </w:rPr>
        <w:t>s</w:t>
      </w:r>
      <w:r w:rsidR="001D1331" w:rsidRPr="008F006A">
        <w:rPr>
          <w:rFonts w:ascii="Verdana" w:hAnsi="Verdana"/>
          <w:i/>
          <w:sz w:val="18"/>
          <w:szCs w:val="18"/>
        </w:rPr>
        <w:t xml:space="preserve">” section. </w:t>
      </w:r>
      <w:r w:rsidR="00641DB4" w:rsidRPr="008F006A">
        <w:rPr>
          <w:rFonts w:ascii="Verdana" w:hAnsi="Verdana"/>
          <w:i/>
          <w:sz w:val="18"/>
          <w:szCs w:val="18"/>
        </w:rPr>
        <w:t>For example, if an ACO had 2 housing programs and 2 nutrition programs, it would have one FPP that had four separate “</w:t>
      </w:r>
      <w:r w:rsidR="00765091" w:rsidRPr="008F006A">
        <w:rPr>
          <w:rFonts w:ascii="Verdana" w:hAnsi="Verdana"/>
          <w:i/>
          <w:sz w:val="18"/>
          <w:szCs w:val="18"/>
        </w:rPr>
        <w:t>Individual</w:t>
      </w:r>
      <w:r w:rsidR="00641DB4" w:rsidRPr="008F006A">
        <w:rPr>
          <w:rFonts w:ascii="Verdana" w:hAnsi="Verdana"/>
          <w:i/>
          <w:sz w:val="18"/>
          <w:szCs w:val="18"/>
        </w:rPr>
        <w:t xml:space="preserve"> Program</w:t>
      </w:r>
      <w:r w:rsidR="00765091" w:rsidRPr="008F006A">
        <w:rPr>
          <w:rFonts w:ascii="Verdana" w:hAnsi="Verdana"/>
          <w:i/>
          <w:sz w:val="18"/>
          <w:szCs w:val="18"/>
        </w:rPr>
        <w:t>s</w:t>
      </w:r>
      <w:r w:rsidR="00641DB4" w:rsidRPr="008F006A">
        <w:rPr>
          <w:rFonts w:ascii="Verdana" w:hAnsi="Verdana"/>
          <w:i/>
          <w:sz w:val="18"/>
          <w:szCs w:val="18"/>
        </w:rPr>
        <w:t>” sections.</w:t>
      </w:r>
    </w:p>
    <w:p w:rsidR="00105966" w:rsidRPr="008F006A" w:rsidRDefault="001D1331" w:rsidP="00105966">
      <w:pPr>
        <w:pStyle w:val="ListParagraph"/>
        <w:numPr>
          <w:ilvl w:val="1"/>
          <w:numId w:val="2"/>
        </w:numPr>
        <w:spacing w:line="240" w:lineRule="auto"/>
        <w:rPr>
          <w:rFonts w:ascii="Verdana" w:eastAsia="Calibri" w:hAnsi="Verdana" w:cstheme="minorHAnsi"/>
          <w:i/>
          <w:sz w:val="18"/>
          <w:szCs w:val="18"/>
        </w:rPr>
      </w:pPr>
      <w:r w:rsidRPr="008F006A">
        <w:rPr>
          <w:rFonts w:ascii="Verdana" w:hAnsi="Verdana"/>
          <w:i/>
          <w:sz w:val="18"/>
          <w:szCs w:val="18"/>
        </w:rPr>
        <w:t>If an ACO is providing the s</w:t>
      </w:r>
      <w:r w:rsidR="00641DB4" w:rsidRPr="008F006A">
        <w:rPr>
          <w:rFonts w:ascii="Verdana" w:hAnsi="Verdana"/>
          <w:i/>
          <w:sz w:val="18"/>
          <w:szCs w:val="18"/>
        </w:rPr>
        <w:t>ame service through multiple SSOs</w:t>
      </w:r>
      <w:r w:rsidRPr="008F006A">
        <w:rPr>
          <w:rFonts w:ascii="Verdana" w:hAnsi="Verdana"/>
          <w:i/>
          <w:sz w:val="18"/>
          <w:szCs w:val="18"/>
        </w:rPr>
        <w:t>, the ACO shou</w:t>
      </w:r>
      <w:r w:rsidR="00641DB4" w:rsidRPr="008F006A">
        <w:rPr>
          <w:rFonts w:ascii="Verdana" w:hAnsi="Verdana"/>
          <w:i/>
          <w:sz w:val="18"/>
          <w:szCs w:val="18"/>
        </w:rPr>
        <w:t xml:space="preserve">ld still have separate </w:t>
      </w:r>
      <w:r w:rsidR="00765091" w:rsidRPr="008F006A">
        <w:rPr>
          <w:rFonts w:ascii="Verdana" w:hAnsi="Verdana"/>
          <w:i/>
          <w:sz w:val="18"/>
          <w:szCs w:val="18"/>
        </w:rPr>
        <w:t>Individual</w:t>
      </w:r>
      <w:r w:rsidR="00641DB4" w:rsidRPr="008F006A">
        <w:rPr>
          <w:rFonts w:ascii="Verdana" w:hAnsi="Verdana"/>
          <w:i/>
          <w:sz w:val="18"/>
          <w:szCs w:val="18"/>
        </w:rPr>
        <w:t xml:space="preserve"> Program sections for each SSO. For example, if ACO A contracts with SSO B and C to provide medically tailored mea</w:t>
      </w:r>
      <w:r w:rsidR="00765091" w:rsidRPr="008F006A">
        <w:rPr>
          <w:rFonts w:ascii="Verdana" w:hAnsi="Verdana"/>
          <w:i/>
          <w:sz w:val="18"/>
          <w:szCs w:val="18"/>
        </w:rPr>
        <w:t>l</w:t>
      </w:r>
      <w:r w:rsidR="00641DB4" w:rsidRPr="008F006A">
        <w:rPr>
          <w:rFonts w:ascii="Verdana" w:hAnsi="Verdana"/>
          <w:i/>
          <w:sz w:val="18"/>
          <w:szCs w:val="18"/>
        </w:rPr>
        <w:t xml:space="preserve">s, then it would have one FPP with </w:t>
      </w:r>
      <w:r w:rsidR="001A7DA1" w:rsidRPr="008F006A">
        <w:rPr>
          <w:rFonts w:ascii="Verdana" w:hAnsi="Verdana"/>
          <w:i/>
          <w:sz w:val="18"/>
          <w:szCs w:val="18"/>
        </w:rPr>
        <w:t xml:space="preserve">distinct </w:t>
      </w:r>
      <w:r w:rsidR="00641DB4" w:rsidRPr="008F006A">
        <w:rPr>
          <w:rFonts w:ascii="Verdana" w:hAnsi="Verdana"/>
          <w:i/>
          <w:sz w:val="18"/>
          <w:szCs w:val="18"/>
        </w:rPr>
        <w:t>program section</w:t>
      </w:r>
      <w:r w:rsidR="001A7DA1" w:rsidRPr="008F006A">
        <w:rPr>
          <w:rFonts w:ascii="Verdana" w:hAnsi="Verdana"/>
          <w:i/>
          <w:sz w:val="18"/>
          <w:szCs w:val="18"/>
        </w:rPr>
        <w:t>s</w:t>
      </w:r>
      <w:r w:rsidR="00641DB4" w:rsidRPr="008F006A">
        <w:rPr>
          <w:rFonts w:ascii="Verdana" w:hAnsi="Verdana"/>
          <w:i/>
          <w:sz w:val="18"/>
          <w:szCs w:val="18"/>
        </w:rPr>
        <w:t xml:space="preserve"> for SSO B and SSO C. </w:t>
      </w:r>
      <w:r w:rsidR="00765091" w:rsidRPr="008F006A">
        <w:rPr>
          <w:rFonts w:ascii="Verdana" w:hAnsi="Verdana"/>
          <w:i/>
          <w:sz w:val="18"/>
          <w:szCs w:val="18"/>
        </w:rPr>
        <w:t>If SSOs are working together on one program (e.g. one SSO provides nutrition education and the other provides medically tailored meals), both SSOs may be included as one Individual Program.</w:t>
      </w:r>
      <w:r w:rsidR="00105966" w:rsidRPr="008F006A">
        <w:rPr>
          <w:rFonts w:ascii="Verdana" w:hAnsi="Verdana"/>
          <w:i/>
          <w:sz w:val="18"/>
          <w:szCs w:val="18"/>
        </w:rPr>
        <w:br/>
      </w:r>
    </w:p>
    <w:p w:rsidR="004D1D8F" w:rsidRPr="008F006A" w:rsidRDefault="008B4260" w:rsidP="004D1D8F">
      <w:pPr>
        <w:pStyle w:val="ListParagraph"/>
        <w:numPr>
          <w:ilvl w:val="0"/>
          <w:numId w:val="18"/>
        </w:numPr>
        <w:spacing w:line="240" w:lineRule="auto"/>
        <w:rPr>
          <w:rFonts w:ascii="Verdana" w:eastAsia="Calibri" w:hAnsi="Verdana" w:cstheme="minorHAnsi"/>
          <w:i/>
          <w:sz w:val="18"/>
          <w:szCs w:val="18"/>
        </w:rPr>
      </w:pPr>
      <w:r w:rsidRPr="008F006A">
        <w:rPr>
          <w:rFonts w:ascii="Verdana" w:hAnsi="Verdana"/>
          <w:b/>
          <w:sz w:val="18"/>
          <w:szCs w:val="18"/>
        </w:rPr>
        <w:t xml:space="preserve">Q: </w:t>
      </w:r>
      <w:r w:rsidRPr="008F006A">
        <w:rPr>
          <w:rFonts w:ascii="Verdana" w:hAnsi="Verdana"/>
          <w:sz w:val="18"/>
          <w:szCs w:val="18"/>
        </w:rPr>
        <w:t xml:space="preserve">If the ACO is delivering some or all of an FS program internally, do they need to complete </w:t>
      </w:r>
      <w:r w:rsidR="004F1462" w:rsidRPr="008F006A">
        <w:rPr>
          <w:rFonts w:ascii="Verdana" w:hAnsi="Verdana"/>
          <w:sz w:val="18"/>
          <w:szCs w:val="18"/>
        </w:rPr>
        <w:t>the Program Operating Model</w:t>
      </w:r>
      <w:r w:rsidRPr="008F006A">
        <w:rPr>
          <w:rFonts w:ascii="Verdana" w:hAnsi="Verdana"/>
          <w:sz w:val="18"/>
          <w:szCs w:val="18"/>
        </w:rPr>
        <w:t xml:space="preserve"> Qualification</w:t>
      </w:r>
      <w:r w:rsidR="004F1462" w:rsidRPr="008F006A">
        <w:rPr>
          <w:rFonts w:ascii="Verdana" w:hAnsi="Verdana"/>
          <w:sz w:val="18"/>
          <w:szCs w:val="18"/>
        </w:rPr>
        <w:t>s</w:t>
      </w:r>
      <w:r w:rsidRPr="008F006A">
        <w:rPr>
          <w:rFonts w:ascii="Verdana" w:hAnsi="Verdana"/>
          <w:sz w:val="18"/>
          <w:szCs w:val="18"/>
        </w:rPr>
        <w:t xml:space="preserve"> section?</w:t>
      </w:r>
    </w:p>
    <w:p w:rsidR="00105966" w:rsidRPr="008F006A" w:rsidRDefault="008B4260" w:rsidP="004D1D8F">
      <w:pPr>
        <w:pStyle w:val="ListParagraph"/>
        <w:numPr>
          <w:ilvl w:val="1"/>
          <w:numId w:val="18"/>
        </w:numPr>
        <w:spacing w:line="240" w:lineRule="auto"/>
        <w:rPr>
          <w:rFonts w:ascii="Verdana" w:eastAsia="Calibri" w:hAnsi="Verdana" w:cstheme="minorHAnsi"/>
          <w:i/>
          <w:sz w:val="18"/>
          <w:szCs w:val="18"/>
        </w:rPr>
      </w:pPr>
      <w:r w:rsidRPr="008F006A">
        <w:rPr>
          <w:rFonts w:ascii="Verdana" w:hAnsi="Verdana"/>
          <w:b/>
          <w:i/>
          <w:sz w:val="18"/>
          <w:szCs w:val="18"/>
        </w:rPr>
        <w:t>A:</w:t>
      </w:r>
      <w:r w:rsidRPr="008F006A">
        <w:rPr>
          <w:rFonts w:ascii="Verdana" w:hAnsi="Verdana"/>
          <w:i/>
          <w:sz w:val="18"/>
          <w:szCs w:val="18"/>
        </w:rPr>
        <w:t xml:space="preserve"> Yes, the ACO must complete </w:t>
      </w:r>
      <w:r w:rsidR="004F1462" w:rsidRPr="008F006A">
        <w:rPr>
          <w:rFonts w:ascii="Verdana" w:hAnsi="Verdana"/>
          <w:i/>
          <w:sz w:val="18"/>
          <w:szCs w:val="18"/>
        </w:rPr>
        <w:t>Program Operating Model qualifications section</w:t>
      </w:r>
      <w:r w:rsidRPr="008F006A">
        <w:rPr>
          <w:rFonts w:ascii="Verdana" w:hAnsi="Verdana"/>
          <w:i/>
          <w:sz w:val="18"/>
          <w:szCs w:val="18"/>
        </w:rPr>
        <w:t xml:space="preserve">, responding to all relevant sub-questions in </w:t>
      </w:r>
      <w:r w:rsidRPr="008F006A">
        <w:rPr>
          <w:rFonts w:ascii="Verdana" w:hAnsi="Verdana"/>
          <w:b/>
          <w:i/>
          <w:sz w:val="18"/>
          <w:szCs w:val="18"/>
        </w:rPr>
        <w:t>Section 8.4.C.d</w:t>
      </w:r>
      <w:r w:rsidRPr="008F006A">
        <w:rPr>
          <w:rFonts w:ascii="Verdana" w:hAnsi="Verdana"/>
          <w:i/>
          <w:sz w:val="18"/>
          <w:szCs w:val="18"/>
        </w:rPr>
        <w:t xml:space="preserve"> of the </w:t>
      </w:r>
      <w:r w:rsidR="00BE6941" w:rsidRPr="008F006A">
        <w:rPr>
          <w:rFonts w:ascii="Verdana" w:hAnsi="Verdana"/>
          <w:i/>
          <w:sz w:val="18"/>
          <w:szCs w:val="18"/>
        </w:rPr>
        <w:t xml:space="preserve">PY3 </w:t>
      </w:r>
      <w:r w:rsidRPr="008F006A">
        <w:rPr>
          <w:rFonts w:ascii="Verdana" w:hAnsi="Verdana"/>
          <w:i/>
          <w:sz w:val="18"/>
          <w:szCs w:val="18"/>
        </w:rPr>
        <w:t>FS Guidance Document</w:t>
      </w:r>
      <w:r w:rsidR="00FB36E2" w:rsidRPr="008F006A">
        <w:rPr>
          <w:rFonts w:ascii="Verdana" w:hAnsi="Verdana"/>
          <w:i/>
          <w:sz w:val="18"/>
          <w:szCs w:val="18"/>
        </w:rPr>
        <w:t xml:space="preserve"> </w:t>
      </w:r>
      <w:r w:rsidR="00CB0645" w:rsidRPr="008F006A">
        <w:rPr>
          <w:rFonts w:ascii="Verdana" w:hAnsi="Verdana"/>
          <w:i/>
          <w:sz w:val="18"/>
          <w:szCs w:val="18"/>
        </w:rPr>
        <w:t>(</w:t>
      </w:r>
      <w:r w:rsidR="00FB36E2" w:rsidRPr="008F006A">
        <w:rPr>
          <w:rFonts w:ascii="Verdana" w:hAnsi="Verdana"/>
          <w:i/>
          <w:sz w:val="18"/>
          <w:szCs w:val="18"/>
        </w:rPr>
        <w:t>V</w:t>
      </w:r>
      <w:r w:rsidR="00CB0645" w:rsidRPr="008F006A">
        <w:rPr>
          <w:rFonts w:ascii="Verdana" w:hAnsi="Verdana"/>
          <w:i/>
          <w:sz w:val="18"/>
          <w:szCs w:val="18"/>
        </w:rPr>
        <w:t xml:space="preserve">ersion </w:t>
      </w:r>
      <w:r w:rsidR="00FB36E2" w:rsidRPr="008F006A">
        <w:rPr>
          <w:rFonts w:ascii="Verdana" w:hAnsi="Verdana"/>
          <w:i/>
          <w:sz w:val="18"/>
          <w:szCs w:val="18"/>
        </w:rPr>
        <w:t>1</w:t>
      </w:r>
      <w:r w:rsidR="0000550B" w:rsidRPr="008F006A">
        <w:rPr>
          <w:rFonts w:ascii="Verdana" w:hAnsi="Verdana"/>
          <w:i/>
          <w:sz w:val="18"/>
          <w:szCs w:val="18"/>
        </w:rPr>
        <w:t>.0</w:t>
      </w:r>
      <w:r w:rsidR="00CB0645" w:rsidRPr="008F006A">
        <w:rPr>
          <w:rFonts w:ascii="Verdana" w:hAnsi="Verdana"/>
          <w:i/>
          <w:sz w:val="18"/>
          <w:szCs w:val="18"/>
        </w:rPr>
        <w:t>)</w:t>
      </w:r>
      <w:r w:rsidRPr="008F006A">
        <w:rPr>
          <w:rFonts w:ascii="Verdana" w:hAnsi="Verdana"/>
          <w:i/>
          <w:sz w:val="18"/>
          <w:szCs w:val="18"/>
        </w:rPr>
        <w:t xml:space="preserve"> detailing the ACO or sub-internal organization’s experience and capacity delivering the outlined services and working with the target population.</w:t>
      </w:r>
      <w:r w:rsidR="00105966" w:rsidRPr="008F006A">
        <w:rPr>
          <w:rFonts w:ascii="Verdana" w:hAnsi="Verdana"/>
          <w:i/>
          <w:sz w:val="18"/>
          <w:szCs w:val="18"/>
        </w:rPr>
        <w:br/>
      </w:r>
    </w:p>
    <w:p w:rsidR="00105966" w:rsidRPr="008F006A" w:rsidRDefault="008B4260" w:rsidP="00105966">
      <w:pPr>
        <w:pStyle w:val="ListParagraph"/>
        <w:numPr>
          <w:ilvl w:val="0"/>
          <w:numId w:val="18"/>
        </w:numPr>
        <w:spacing w:line="240" w:lineRule="auto"/>
        <w:rPr>
          <w:rFonts w:ascii="Verdana" w:eastAsia="Calibri" w:hAnsi="Verdana" w:cstheme="minorHAnsi"/>
          <w:i/>
          <w:sz w:val="18"/>
          <w:szCs w:val="18"/>
        </w:rPr>
      </w:pPr>
      <w:r w:rsidRPr="008F006A">
        <w:rPr>
          <w:rFonts w:ascii="Verdana" w:eastAsia="Calibri" w:hAnsi="Verdana" w:cstheme="minorHAnsi"/>
          <w:b/>
          <w:sz w:val="18"/>
          <w:szCs w:val="18"/>
        </w:rPr>
        <w:t>Q:</w:t>
      </w:r>
      <w:r w:rsidRPr="008F006A">
        <w:rPr>
          <w:rFonts w:ascii="Verdana" w:eastAsia="Calibri" w:hAnsi="Verdana" w:cstheme="minorHAnsi"/>
          <w:sz w:val="18"/>
          <w:szCs w:val="18"/>
        </w:rPr>
        <w:t xml:space="preserve"> </w:t>
      </w:r>
      <w:r w:rsidR="00B76307" w:rsidRPr="008F006A">
        <w:rPr>
          <w:rFonts w:ascii="Verdana" w:eastAsia="Calibri" w:hAnsi="Verdana" w:cstheme="minorHAnsi"/>
          <w:sz w:val="18"/>
          <w:szCs w:val="18"/>
        </w:rPr>
        <w:t xml:space="preserve">Does </w:t>
      </w:r>
      <w:r w:rsidRPr="008F006A">
        <w:rPr>
          <w:rFonts w:ascii="Verdana" w:eastAsia="Calibri" w:hAnsi="Verdana" w:cstheme="minorHAnsi"/>
          <w:sz w:val="18"/>
          <w:szCs w:val="18"/>
        </w:rPr>
        <w:t xml:space="preserve">the ACO need to complete </w:t>
      </w:r>
      <w:r w:rsidR="004F1462" w:rsidRPr="008F006A">
        <w:rPr>
          <w:rFonts w:ascii="Verdana" w:eastAsia="Calibri" w:hAnsi="Verdana" w:cstheme="minorHAnsi"/>
          <w:sz w:val="18"/>
          <w:szCs w:val="18"/>
        </w:rPr>
        <w:t>the Program Operating Model</w:t>
      </w:r>
      <w:r w:rsidR="007127FB" w:rsidRPr="008F006A">
        <w:rPr>
          <w:rFonts w:ascii="Verdana" w:eastAsia="Calibri" w:hAnsi="Verdana" w:cstheme="minorHAnsi"/>
          <w:sz w:val="18"/>
          <w:szCs w:val="18"/>
        </w:rPr>
        <w:t xml:space="preserve"> </w:t>
      </w:r>
      <w:r w:rsidRPr="008F006A">
        <w:rPr>
          <w:rFonts w:ascii="Verdana" w:eastAsia="Calibri" w:hAnsi="Verdana" w:cstheme="minorHAnsi"/>
          <w:sz w:val="18"/>
          <w:szCs w:val="18"/>
        </w:rPr>
        <w:t>section for</w:t>
      </w:r>
      <w:r w:rsidR="00B76307" w:rsidRPr="008F006A">
        <w:rPr>
          <w:rFonts w:ascii="Verdana" w:eastAsia="Calibri" w:hAnsi="Verdana" w:cstheme="minorHAnsi"/>
          <w:sz w:val="18"/>
          <w:szCs w:val="18"/>
        </w:rPr>
        <w:t xml:space="preserve"> every SSO providing FS goods or services</w:t>
      </w:r>
      <w:r w:rsidRPr="008F006A">
        <w:rPr>
          <w:rFonts w:ascii="Verdana" w:eastAsia="Calibri" w:hAnsi="Verdana" w:cstheme="minorHAnsi"/>
          <w:sz w:val="18"/>
          <w:szCs w:val="18"/>
        </w:rPr>
        <w:t>?</w:t>
      </w:r>
    </w:p>
    <w:p w:rsidR="00137522" w:rsidRPr="008F006A" w:rsidRDefault="008B4260" w:rsidP="00105966">
      <w:pPr>
        <w:pStyle w:val="ListParagraph"/>
        <w:numPr>
          <w:ilvl w:val="1"/>
          <w:numId w:val="18"/>
        </w:numPr>
        <w:spacing w:line="240" w:lineRule="auto"/>
        <w:rPr>
          <w:rFonts w:ascii="Verdana" w:eastAsia="Calibri" w:hAnsi="Verdana" w:cstheme="minorHAnsi"/>
          <w:i/>
          <w:sz w:val="18"/>
          <w:szCs w:val="18"/>
        </w:rPr>
      </w:pPr>
      <w:r w:rsidRPr="008F006A">
        <w:rPr>
          <w:rFonts w:ascii="Verdana" w:eastAsia="Calibri" w:hAnsi="Verdana" w:cstheme="minorHAnsi"/>
          <w:b/>
          <w:i/>
          <w:sz w:val="18"/>
          <w:szCs w:val="18"/>
        </w:rPr>
        <w:t xml:space="preserve">A: </w:t>
      </w:r>
      <w:r w:rsidR="00B76307" w:rsidRPr="008F006A">
        <w:rPr>
          <w:rFonts w:ascii="Verdana" w:eastAsia="Calibri" w:hAnsi="Verdana" w:cstheme="minorHAnsi"/>
          <w:i/>
          <w:sz w:val="18"/>
          <w:szCs w:val="18"/>
        </w:rPr>
        <w:t xml:space="preserve">The </w:t>
      </w:r>
      <w:r w:rsidR="00CC295E" w:rsidRPr="008F006A">
        <w:rPr>
          <w:rFonts w:ascii="Verdana" w:eastAsia="Calibri" w:hAnsi="Verdana" w:cstheme="minorHAnsi"/>
          <w:i/>
          <w:sz w:val="18"/>
          <w:szCs w:val="18"/>
        </w:rPr>
        <w:t xml:space="preserve">ACO should complete the </w:t>
      </w:r>
      <w:r w:rsidR="004F1462" w:rsidRPr="008F006A">
        <w:rPr>
          <w:rFonts w:ascii="Verdana" w:eastAsia="Calibri" w:hAnsi="Verdana" w:cstheme="minorHAnsi"/>
          <w:i/>
          <w:sz w:val="18"/>
          <w:szCs w:val="18"/>
        </w:rPr>
        <w:t>Program Operating Model - qualifications</w:t>
      </w:r>
      <w:r w:rsidR="00CC295E" w:rsidRPr="008F006A">
        <w:rPr>
          <w:rFonts w:ascii="Verdana" w:eastAsia="Calibri" w:hAnsi="Verdana" w:cstheme="minorHAnsi"/>
          <w:i/>
          <w:sz w:val="18"/>
          <w:szCs w:val="18"/>
        </w:rPr>
        <w:t xml:space="preserve"> section </w:t>
      </w:r>
      <w:r w:rsidR="00B76307" w:rsidRPr="008F006A">
        <w:rPr>
          <w:rFonts w:ascii="Verdana" w:eastAsia="Calibri" w:hAnsi="Verdana" w:cstheme="minorHAnsi"/>
          <w:i/>
          <w:sz w:val="18"/>
          <w:szCs w:val="18"/>
        </w:rPr>
        <w:t xml:space="preserve">for every SSO that is providing FS goods or services even if the ACO does not contract directly with a given SSO. </w:t>
      </w:r>
      <w:r w:rsidR="004F1462" w:rsidRPr="008F006A">
        <w:rPr>
          <w:rFonts w:ascii="Verdana" w:eastAsia="Calibri" w:hAnsi="Verdana" w:cstheme="minorHAnsi"/>
          <w:i/>
          <w:sz w:val="18"/>
          <w:szCs w:val="18"/>
        </w:rPr>
        <w:t>The exception to this is if the entity delivering a good is acting in a vendor capacity. For example, if an SSO is providing a home assessment for home modifications and determines the member needs a wheelchair ramp, the SSO may have a vendor install the wheel chair ramp and that vendor would not need to be included in the qualifications section.</w:t>
      </w:r>
    </w:p>
    <w:p w:rsidR="00105966" w:rsidRPr="008F006A" w:rsidRDefault="00137522" w:rsidP="009D6242">
      <w:pPr>
        <w:pStyle w:val="Heading3"/>
        <w:rPr>
          <w:bCs/>
        </w:rPr>
      </w:pPr>
      <w:bookmarkStart w:id="15" w:name="_Toc32577178"/>
      <w:r w:rsidRPr="008F006A">
        <w:t xml:space="preserve">Sharing </w:t>
      </w:r>
      <w:r w:rsidR="00637512" w:rsidRPr="008F006A">
        <w:t>R</w:t>
      </w:r>
      <w:r w:rsidRPr="008F006A">
        <w:t xml:space="preserve">elevant FPP </w:t>
      </w:r>
      <w:r w:rsidR="00637512" w:rsidRPr="008F006A">
        <w:t>S</w:t>
      </w:r>
      <w:r w:rsidRPr="008F006A">
        <w:t>ections with SSO partners</w:t>
      </w:r>
      <w:bookmarkEnd w:id="15"/>
    </w:p>
    <w:p w:rsidR="00105966" w:rsidRPr="008F006A" w:rsidRDefault="00137522" w:rsidP="00105966">
      <w:pPr>
        <w:pStyle w:val="ListParagraph"/>
        <w:numPr>
          <w:ilvl w:val="0"/>
          <w:numId w:val="18"/>
        </w:numPr>
        <w:spacing w:after="0" w:line="240" w:lineRule="auto"/>
        <w:rPr>
          <w:rFonts w:ascii="Verdana" w:hAnsi="Verdana"/>
          <w:b/>
          <w:bCs/>
          <w:sz w:val="18"/>
          <w:szCs w:val="18"/>
        </w:rPr>
      </w:pPr>
      <w:r w:rsidRPr="008F006A">
        <w:rPr>
          <w:rFonts w:ascii="Verdana" w:hAnsi="Verdana"/>
          <w:b/>
          <w:bCs/>
          <w:sz w:val="18"/>
          <w:szCs w:val="18"/>
        </w:rPr>
        <w:t>Q:</w:t>
      </w:r>
      <w:r w:rsidRPr="008F006A">
        <w:rPr>
          <w:rFonts w:ascii="Verdana" w:hAnsi="Verdana"/>
          <w:sz w:val="18"/>
          <w:szCs w:val="18"/>
        </w:rPr>
        <w:t xml:space="preserve"> Do ACOs have to share the relevant sections of their FPP with their SSO partners prior to submission and after approval?</w:t>
      </w:r>
    </w:p>
    <w:p w:rsidR="009428C7" w:rsidRPr="008F006A" w:rsidRDefault="00137522" w:rsidP="00105966">
      <w:pPr>
        <w:pStyle w:val="ListParagraph"/>
        <w:numPr>
          <w:ilvl w:val="1"/>
          <w:numId w:val="18"/>
        </w:numPr>
        <w:spacing w:line="240" w:lineRule="auto"/>
        <w:rPr>
          <w:rFonts w:ascii="Verdana" w:eastAsia="Calibri" w:hAnsi="Verdana" w:cstheme="minorHAnsi"/>
          <w:sz w:val="18"/>
          <w:szCs w:val="18"/>
        </w:rPr>
      </w:pPr>
      <w:r w:rsidRPr="008F006A">
        <w:rPr>
          <w:rFonts w:ascii="Verdana" w:eastAsia="Calibri" w:hAnsi="Verdana" w:cstheme="minorHAnsi"/>
          <w:b/>
          <w:i/>
          <w:sz w:val="18"/>
          <w:szCs w:val="18"/>
        </w:rPr>
        <w:t xml:space="preserve">A: </w:t>
      </w:r>
      <w:r w:rsidRPr="008F006A">
        <w:rPr>
          <w:rFonts w:ascii="Verdana" w:eastAsia="Calibri" w:hAnsi="Verdana" w:cstheme="minorHAnsi"/>
          <w:i/>
          <w:sz w:val="18"/>
          <w:szCs w:val="18"/>
        </w:rPr>
        <w:t xml:space="preserve">ACOs working with external SSO partners must share the portions of the “Individual Programs Section” of their FPP </w:t>
      </w:r>
      <w:r w:rsidR="00B76307" w:rsidRPr="008F006A">
        <w:rPr>
          <w:rFonts w:ascii="Verdana" w:eastAsia="Calibri" w:hAnsi="Verdana" w:cstheme="minorHAnsi"/>
          <w:i/>
          <w:sz w:val="18"/>
          <w:szCs w:val="18"/>
        </w:rPr>
        <w:t xml:space="preserve">relevant to a particular SSO </w:t>
      </w:r>
      <w:r w:rsidRPr="008F006A">
        <w:rPr>
          <w:rFonts w:ascii="Verdana" w:eastAsia="Calibri" w:hAnsi="Verdana" w:cstheme="minorHAnsi"/>
          <w:i/>
          <w:sz w:val="18"/>
          <w:szCs w:val="18"/>
        </w:rPr>
        <w:t xml:space="preserve">with </w:t>
      </w:r>
      <w:r w:rsidR="00B76307" w:rsidRPr="008F006A">
        <w:rPr>
          <w:rFonts w:ascii="Verdana" w:eastAsia="Calibri" w:hAnsi="Verdana" w:cstheme="minorHAnsi"/>
          <w:i/>
          <w:sz w:val="18"/>
          <w:szCs w:val="18"/>
        </w:rPr>
        <w:t>that SSO</w:t>
      </w:r>
      <w:r w:rsidRPr="008F006A">
        <w:rPr>
          <w:rFonts w:ascii="Verdana" w:eastAsia="Calibri" w:hAnsi="Verdana" w:cstheme="minorHAnsi"/>
          <w:i/>
          <w:sz w:val="18"/>
          <w:szCs w:val="18"/>
        </w:rPr>
        <w:t xml:space="preserve"> prior to submission to MassHealth for review</w:t>
      </w:r>
      <w:r w:rsidR="00B76307" w:rsidRPr="008F006A">
        <w:rPr>
          <w:rFonts w:ascii="Verdana" w:eastAsia="Calibri" w:hAnsi="Verdana" w:cstheme="minorHAnsi"/>
          <w:i/>
          <w:sz w:val="18"/>
          <w:szCs w:val="18"/>
        </w:rPr>
        <w:t xml:space="preserve"> and</w:t>
      </w:r>
      <w:r w:rsidRPr="008F006A">
        <w:rPr>
          <w:rFonts w:ascii="Verdana" w:eastAsia="Calibri" w:hAnsi="Verdana" w:cstheme="minorHAnsi"/>
          <w:i/>
          <w:sz w:val="18"/>
          <w:szCs w:val="18"/>
        </w:rPr>
        <w:t xml:space="preserve"> upon final approval. ACOs do not need to include </w:t>
      </w:r>
      <w:r w:rsidR="00B76307" w:rsidRPr="008F006A">
        <w:rPr>
          <w:rFonts w:ascii="Verdana" w:eastAsia="Calibri" w:hAnsi="Verdana" w:cstheme="minorHAnsi"/>
          <w:i/>
          <w:sz w:val="18"/>
          <w:szCs w:val="18"/>
        </w:rPr>
        <w:t xml:space="preserve">any information </w:t>
      </w:r>
      <w:r w:rsidRPr="008F006A">
        <w:rPr>
          <w:rFonts w:ascii="Verdana" w:eastAsia="Calibri" w:hAnsi="Verdana" w:cstheme="minorHAnsi"/>
          <w:i/>
          <w:sz w:val="18"/>
          <w:szCs w:val="18"/>
        </w:rPr>
        <w:t>pertaining to other SSOs</w:t>
      </w:r>
      <w:r w:rsidR="009428C7" w:rsidRPr="008F006A">
        <w:rPr>
          <w:rFonts w:ascii="Verdana" w:eastAsia="Calibri" w:hAnsi="Verdana" w:cstheme="minorHAnsi"/>
          <w:i/>
          <w:sz w:val="18"/>
          <w:szCs w:val="18"/>
        </w:rPr>
        <w:t>.</w:t>
      </w:r>
    </w:p>
    <w:p w:rsidR="009428C7" w:rsidRPr="008F006A" w:rsidRDefault="009428C7" w:rsidP="00225DD0">
      <w:pPr>
        <w:spacing w:after="0" w:line="240" w:lineRule="auto"/>
        <w:rPr>
          <w:rFonts w:ascii="Verdana" w:hAnsi="Verdana"/>
          <w:i/>
          <w:iCs/>
          <w:sz w:val="18"/>
          <w:szCs w:val="18"/>
        </w:rPr>
      </w:pPr>
    </w:p>
    <w:p w:rsidR="00637512" w:rsidRPr="008F006A" w:rsidRDefault="00637512" w:rsidP="009D6242">
      <w:pPr>
        <w:pStyle w:val="Heading3"/>
        <w:rPr>
          <w:bCs/>
          <w:u w:val="single"/>
        </w:rPr>
      </w:pPr>
      <w:bookmarkStart w:id="16" w:name="_Toc32577179"/>
      <w:r w:rsidRPr="008F006A">
        <w:t>Including Flexible Services in the overall DSRIP Full Participation Plan (FPP)</w:t>
      </w:r>
      <w:bookmarkEnd w:id="16"/>
    </w:p>
    <w:p w:rsidR="00105966" w:rsidRPr="008F006A" w:rsidRDefault="00225DD0" w:rsidP="00105966">
      <w:pPr>
        <w:pStyle w:val="ListParagraph"/>
        <w:numPr>
          <w:ilvl w:val="0"/>
          <w:numId w:val="18"/>
        </w:numPr>
        <w:spacing w:after="0" w:line="240" w:lineRule="auto"/>
        <w:rPr>
          <w:rFonts w:ascii="Verdana" w:eastAsia="Times New Roman" w:hAnsi="Verdana"/>
          <w:b/>
          <w:bCs/>
          <w:color w:val="000000"/>
          <w:sz w:val="18"/>
          <w:szCs w:val="18"/>
          <w:u w:val="single"/>
        </w:rPr>
      </w:pPr>
      <w:r w:rsidRPr="008F006A">
        <w:rPr>
          <w:rFonts w:ascii="Verdana" w:eastAsia="Times New Roman" w:hAnsi="Verdana"/>
          <w:b/>
          <w:color w:val="000000"/>
          <w:sz w:val="18"/>
          <w:szCs w:val="18"/>
        </w:rPr>
        <w:t>Q:</w:t>
      </w:r>
      <w:r w:rsidRPr="008F006A">
        <w:rPr>
          <w:rFonts w:ascii="Verdana" w:eastAsia="Times New Roman" w:hAnsi="Verdana"/>
          <w:color w:val="000000"/>
          <w:sz w:val="18"/>
          <w:szCs w:val="18"/>
        </w:rPr>
        <w:t xml:space="preserve"> How will the Flexible Services section</w:t>
      </w:r>
      <w:r w:rsidR="004F1462" w:rsidRPr="008F006A">
        <w:rPr>
          <w:rFonts w:ascii="Verdana" w:eastAsia="Times New Roman" w:hAnsi="Verdana"/>
          <w:color w:val="000000"/>
          <w:sz w:val="18"/>
          <w:szCs w:val="18"/>
        </w:rPr>
        <w:t>s</w:t>
      </w:r>
      <w:r w:rsidRPr="008F006A">
        <w:rPr>
          <w:rFonts w:ascii="Verdana" w:eastAsia="Times New Roman" w:hAnsi="Verdana"/>
          <w:color w:val="000000"/>
          <w:sz w:val="18"/>
          <w:szCs w:val="18"/>
        </w:rPr>
        <w:t xml:space="preserve"> of the (DSRIP) Full Participation Plan</w:t>
      </w:r>
      <w:r w:rsidR="004F1462" w:rsidRPr="008F006A">
        <w:rPr>
          <w:rFonts w:ascii="Verdana" w:eastAsia="Times New Roman" w:hAnsi="Verdana"/>
          <w:color w:val="000000"/>
          <w:sz w:val="18"/>
          <w:szCs w:val="18"/>
        </w:rPr>
        <w:t>, Budget, and Budget Narrative</w:t>
      </w:r>
      <w:r w:rsidR="00FF6936" w:rsidRPr="008F006A">
        <w:rPr>
          <w:rFonts w:ascii="Verdana" w:eastAsia="Times New Roman" w:hAnsi="Verdana"/>
          <w:color w:val="000000"/>
          <w:sz w:val="18"/>
          <w:szCs w:val="18"/>
        </w:rPr>
        <w:t>,</w:t>
      </w:r>
      <w:r w:rsidRPr="008F006A">
        <w:rPr>
          <w:rFonts w:ascii="Verdana" w:eastAsia="Times New Roman" w:hAnsi="Verdana"/>
          <w:color w:val="000000"/>
          <w:sz w:val="18"/>
          <w:szCs w:val="18"/>
        </w:rPr>
        <w:t xml:space="preserve"> be included in the</w:t>
      </w:r>
      <w:r w:rsidR="00E82AA4" w:rsidRPr="008F006A">
        <w:rPr>
          <w:rFonts w:ascii="Verdana" w:eastAsia="Times New Roman" w:hAnsi="Verdana"/>
          <w:color w:val="000000"/>
          <w:sz w:val="18"/>
          <w:szCs w:val="18"/>
        </w:rPr>
        <w:t xml:space="preserve"> overall</w:t>
      </w:r>
      <w:r w:rsidRPr="008F006A">
        <w:rPr>
          <w:rFonts w:ascii="Verdana" w:eastAsia="Times New Roman" w:hAnsi="Verdana"/>
          <w:color w:val="000000"/>
          <w:sz w:val="18"/>
          <w:szCs w:val="18"/>
        </w:rPr>
        <w:t xml:space="preserve"> DSRIP FPP? </w:t>
      </w:r>
    </w:p>
    <w:p w:rsidR="00E82AA4" w:rsidRPr="008F006A" w:rsidRDefault="00E82AA4" w:rsidP="00105966">
      <w:pPr>
        <w:pStyle w:val="ListParagraph"/>
        <w:numPr>
          <w:ilvl w:val="1"/>
          <w:numId w:val="18"/>
        </w:numPr>
        <w:spacing w:after="0" w:line="240" w:lineRule="auto"/>
        <w:rPr>
          <w:rFonts w:ascii="Verdana" w:eastAsia="Times New Roman" w:hAnsi="Verdana"/>
          <w:b/>
          <w:bCs/>
          <w:color w:val="000000"/>
          <w:sz w:val="18"/>
          <w:szCs w:val="18"/>
          <w:u w:val="single"/>
        </w:rPr>
      </w:pPr>
      <w:r w:rsidRPr="008F006A">
        <w:rPr>
          <w:rFonts w:ascii="Verdana" w:eastAsia="Times New Roman" w:hAnsi="Verdana"/>
          <w:b/>
          <w:bCs/>
          <w:i/>
          <w:color w:val="000000"/>
          <w:sz w:val="18"/>
          <w:szCs w:val="18"/>
        </w:rPr>
        <w:t>A:</w:t>
      </w:r>
      <w:r w:rsidRPr="008F006A">
        <w:rPr>
          <w:rFonts w:ascii="Verdana" w:eastAsia="Times New Roman" w:hAnsi="Verdana"/>
          <w:bCs/>
          <w:i/>
          <w:color w:val="000000"/>
          <w:sz w:val="18"/>
          <w:szCs w:val="18"/>
        </w:rPr>
        <w:t xml:space="preserve"> </w:t>
      </w:r>
      <w:r w:rsidR="007127FB" w:rsidRPr="008F006A">
        <w:rPr>
          <w:rFonts w:ascii="Verdana" w:eastAsia="Times New Roman" w:hAnsi="Verdana"/>
          <w:bCs/>
          <w:i/>
          <w:color w:val="000000"/>
          <w:sz w:val="18"/>
          <w:szCs w:val="18"/>
        </w:rPr>
        <w:t>The Flexible Services section of the FPP</w:t>
      </w:r>
      <w:r w:rsidR="00FB36E2" w:rsidRPr="008F006A">
        <w:rPr>
          <w:rFonts w:ascii="Verdana" w:eastAsia="Times New Roman" w:hAnsi="Verdana"/>
          <w:bCs/>
          <w:i/>
          <w:color w:val="000000"/>
          <w:sz w:val="18"/>
          <w:szCs w:val="18"/>
        </w:rPr>
        <w:t>, Budget, and Budget Narrative</w:t>
      </w:r>
      <w:r w:rsidR="007127FB" w:rsidRPr="008F006A">
        <w:rPr>
          <w:rFonts w:ascii="Verdana" w:eastAsia="Times New Roman" w:hAnsi="Verdana"/>
          <w:bCs/>
          <w:i/>
          <w:color w:val="000000"/>
          <w:sz w:val="18"/>
          <w:szCs w:val="18"/>
        </w:rPr>
        <w:t xml:space="preserve"> is considered a part of an ACO’s overall FPP submission</w:t>
      </w:r>
      <w:r w:rsidR="00FB36E2" w:rsidRPr="008F006A">
        <w:rPr>
          <w:rFonts w:ascii="Verdana" w:eastAsia="Times New Roman" w:hAnsi="Verdana"/>
          <w:bCs/>
          <w:i/>
          <w:color w:val="000000"/>
          <w:sz w:val="18"/>
          <w:szCs w:val="18"/>
        </w:rPr>
        <w:t xml:space="preserve"> (Attachments H, I, and J)</w:t>
      </w:r>
      <w:r w:rsidR="007127FB" w:rsidRPr="008F006A">
        <w:rPr>
          <w:rFonts w:ascii="Verdana" w:eastAsia="Times New Roman" w:hAnsi="Verdana"/>
          <w:bCs/>
          <w:i/>
          <w:color w:val="000000"/>
          <w:sz w:val="18"/>
          <w:szCs w:val="18"/>
        </w:rPr>
        <w:t xml:space="preserve">. </w:t>
      </w:r>
      <w:r w:rsidR="007127FB" w:rsidRPr="008F006A">
        <w:rPr>
          <w:rFonts w:ascii="Verdana" w:eastAsia="Times New Roman" w:hAnsi="Verdana"/>
          <w:bCs/>
          <w:i/>
          <w:color w:val="000000"/>
          <w:sz w:val="18"/>
          <w:szCs w:val="18"/>
        </w:rPr>
        <w:lastRenderedPageBreak/>
        <w:t xml:space="preserve">However, it is currently submitted to the Executive Office of Health and Human Services on a different timeline. </w:t>
      </w:r>
    </w:p>
    <w:p w:rsidR="001A7DA1" w:rsidRPr="008F006A" w:rsidRDefault="001A7DA1" w:rsidP="001B5FCC">
      <w:pPr>
        <w:pStyle w:val="ListParagraph"/>
        <w:spacing w:after="0" w:line="240" w:lineRule="auto"/>
        <w:contextualSpacing w:val="0"/>
        <w:rPr>
          <w:rFonts w:ascii="Verdana" w:eastAsia="Times New Roman" w:hAnsi="Verdana"/>
          <w:b/>
          <w:bCs/>
          <w:color w:val="000000"/>
          <w:sz w:val="18"/>
          <w:szCs w:val="18"/>
          <w:u w:val="single"/>
        </w:rPr>
      </w:pPr>
    </w:p>
    <w:p w:rsidR="00F34DAE" w:rsidRPr="008F006A" w:rsidRDefault="00225DD0" w:rsidP="009D6242">
      <w:pPr>
        <w:pStyle w:val="Heading2"/>
      </w:pPr>
      <w:bookmarkStart w:id="17" w:name="_Toc32577180"/>
      <w:r w:rsidRPr="008F006A">
        <w:t>4.</w:t>
      </w:r>
      <w:r w:rsidR="00CB3673" w:rsidRPr="008F006A">
        <w:t xml:space="preserve"> </w:t>
      </w:r>
      <w:r w:rsidR="00F34DAE" w:rsidRPr="008F006A">
        <w:t>Budget</w:t>
      </w:r>
      <w:r w:rsidR="000E3131" w:rsidRPr="008F006A">
        <w:t xml:space="preserve"> and </w:t>
      </w:r>
      <w:r w:rsidR="00F34DAE" w:rsidRPr="008F006A">
        <w:t>Budget Narrative</w:t>
      </w:r>
      <w:r w:rsidR="00517B9C" w:rsidRPr="008F006A">
        <w:t xml:space="preserve"> (BBN)</w:t>
      </w:r>
      <w:bookmarkEnd w:id="17"/>
    </w:p>
    <w:p w:rsidR="00CB3673" w:rsidRPr="008F006A" w:rsidRDefault="00CB3673" w:rsidP="009D6242">
      <w:pPr>
        <w:pStyle w:val="Heading3"/>
      </w:pPr>
      <w:bookmarkStart w:id="18" w:name="_Toc32577181"/>
      <w:r w:rsidRPr="008F006A">
        <w:t>Budget Development</w:t>
      </w:r>
      <w:bookmarkEnd w:id="18"/>
      <w:r w:rsidRPr="008F006A">
        <w:t xml:space="preserve"> </w:t>
      </w:r>
    </w:p>
    <w:p w:rsidR="00CB3673" w:rsidRPr="008F006A" w:rsidRDefault="00CB3673" w:rsidP="00CB3673">
      <w:pPr>
        <w:pStyle w:val="ListParagraph"/>
        <w:numPr>
          <w:ilvl w:val="0"/>
          <w:numId w:val="4"/>
        </w:numPr>
        <w:rPr>
          <w:rFonts w:ascii="Verdana" w:hAnsi="Verdana"/>
          <w:sz w:val="18"/>
          <w:szCs w:val="18"/>
        </w:rPr>
      </w:pPr>
      <w:r w:rsidRPr="008F006A">
        <w:rPr>
          <w:rFonts w:ascii="Verdana" w:hAnsi="Verdana"/>
          <w:b/>
          <w:sz w:val="18"/>
          <w:szCs w:val="18"/>
        </w:rPr>
        <w:t xml:space="preserve">Q: </w:t>
      </w:r>
      <w:r w:rsidRPr="008F006A">
        <w:rPr>
          <w:rFonts w:ascii="Verdana" w:hAnsi="Verdana"/>
          <w:sz w:val="18"/>
          <w:szCs w:val="18"/>
        </w:rPr>
        <w:t>Should ACOs submit one budget line item for services provided by multiple SSOs?</w:t>
      </w:r>
    </w:p>
    <w:p w:rsidR="008A0ABA" w:rsidRPr="008F006A" w:rsidRDefault="00CB3673" w:rsidP="001B5FCC">
      <w:pPr>
        <w:pStyle w:val="ListParagraph"/>
        <w:numPr>
          <w:ilvl w:val="1"/>
          <w:numId w:val="4"/>
        </w:numPr>
        <w:rPr>
          <w:rFonts w:ascii="Verdana" w:hAnsi="Verdana"/>
          <w:i/>
          <w:sz w:val="18"/>
          <w:szCs w:val="18"/>
        </w:rPr>
      </w:pPr>
      <w:r w:rsidRPr="008F006A">
        <w:rPr>
          <w:rFonts w:ascii="Verdana" w:hAnsi="Verdana"/>
          <w:b/>
          <w:i/>
          <w:sz w:val="18"/>
          <w:szCs w:val="18"/>
        </w:rPr>
        <w:t xml:space="preserve">A: </w:t>
      </w:r>
      <w:r w:rsidR="008B4260" w:rsidRPr="008F006A">
        <w:rPr>
          <w:rFonts w:ascii="Verdana" w:eastAsia="Calibri" w:hAnsi="Verdana" w:cstheme="minorHAnsi"/>
          <w:i/>
          <w:sz w:val="18"/>
          <w:szCs w:val="18"/>
        </w:rPr>
        <w:t>When developing budgets for ACO</w:t>
      </w:r>
      <w:r w:rsidRPr="008F006A">
        <w:rPr>
          <w:rFonts w:ascii="Verdana" w:eastAsia="Calibri" w:hAnsi="Verdana" w:cstheme="minorHAnsi"/>
          <w:i/>
          <w:sz w:val="18"/>
          <w:szCs w:val="18"/>
        </w:rPr>
        <w:t xml:space="preserve"> </w:t>
      </w:r>
      <w:r w:rsidR="008A0ABA" w:rsidRPr="008F006A">
        <w:rPr>
          <w:rFonts w:ascii="Verdana" w:eastAsia="Calibri" w:hAnsi="Verdana" w:cstheme="minorHAnsi"/>
          <w:i/>
          <w:sz w:val="18"/>
          <w:szCs w:val="18"/>
        </w:rPr>
        <w:t xml:space="preserve">FS </w:t>
      </w:r>
      <w:r w:rsidRPr="008F006A">
        <w:rPr>
          <w:rFonts w:ascii="Verdana" w:eastAsia="Calibri" w:hAnsi="Verdana" w:cstheme="minorHAnsi"/>
          <w:i/>
          <w:sz w:val="18"/>
          <w:szCs w:val="18"/>
        </w:rPr>
        <w:t xml:space="preserve">programs, each SSO delivering Flexible Services and their associated expenditures should have a separate line item in the budget. </w:t>
      </w:r>
    </w:p>
    <w:p w:rsidR="00105966" w:rsidRPr="008F006A" w:rsidRDefault="008A0ABA" w:rsidP="009D6242">
      <w:pPr>
        <w:pStyle w:val="Heading3"/>
      </w:pPr>
      <w:bookmarkStart w:id="19" w:name="_Toc32577182"/>
      <w:r w:rsidRPr="008F006A">
        <w:t>Budget Narrative</w:t>
      </w:r>
      <w:bookmarkEnd w:id="19"/>
      <w:r w:rsidRPr="008F006A">
        <w:t xml:space="preserve"> </w:t>
      </w:r>
    </w:p>
    <w:p w:rsidR="00105966" w:rsidRPr="008F006A" w:rsidRDefault="008A0ABA" w:rsidP="00BB37F8">
      <w:pPr>
        <w:pStyle w:val="ListParagraph"/>
        <w:numPr>
          <w:ilvl w:val="0"/>
          <w:numId w:val="4"/>
        </w:numPr>
        <w:spacing w:after="0"/>
        <w:rPr>
          <w:rFonts w:ascii="Verdana" w:hAnsi="Verdana"/>
          <w:b/>
          <w:sz w:val="18"/>
          <w:szCs w:val="18"/>
        </w:rPr>
      </w:pPr>
      <w:r w:rsidRPr="008F006A">
        <w:rPr>
          <w:rFonts w:ascii="Verdana" w:hAnsi="Verdana"/>
          <w:b/>
          <w:sz w:val="18"/>
          <w:szCs w:val="18"/>
        </w:rPr>
        <w:t xml:space="preserve">Q: </w:t>
      </w:r>
      <w:r w:rsidRPr="008F006A">
        <w:rPr>
          <w:rFonts w:ascii="Verdana" w:hAnsi="Verdana"/>
          <w:sz w:val="18"/>
          <w:szCs w:val="18"/>
        </w:rPr>
        <w:t>Should each line item include its own admin</w:t>
      </w:r>
      <w:r w:rsidR="00B76307" w:rsidRPr="008F006A">
        <w:rPr>
          <w:rFonts w:ascii="Verdana" w:hAnsi="Verdana"/>
          <w:sz w:val="18"/>
          <w:szCs w:val="18"/>
        </w:rPr>
        <w:t xml:space="preserve">istrative </w:t>
      </w:r>
      <w:r w:rsidRPr="008F006A">
        <w:rPr>
          <w:rFonts w:ascii="Verdana" w:hAnsi="Verdana"/>
          <w:sz w:val="18"/>
          <w:szCs w:val="18"/>
        </w:rPr>
        <w:t>rate?</w:t>
      </w:r>
    </w:p>
    <w:p w:rsidR="008A0ABA" w:rsidRPr="008F006A" w:rsidRDefault="008A0ABA" w:rsidP="00105966">
      <w:pPr>
        <w:pStyle w:val="ListParagraph"/>
        <w:numPr>
          <w:ilvl w:val="1"/>
          <w:numId w:val="4"/>
        </w:numPr>
        <w:rPr>
          <w:rFonts w:ascii="Verdana" w:hAnsi="Verdana"/>
          <w:b/>
          <w:sz w:val="18"/>
          <w:szCs w:val="18"/>
        </w:rPr>
      </w:pPr>
      <w:r w:rsidRPr="008F006A">
        <w:rPr>
          <w:rFonts w:ascii="Verdana" w:hAnsi="Verdana"/>
          <w:b/>
          <w:i/>
          <w:sz w:val="18"/>
          <w:szCs w:val="18"/>
        </w:rPr>
        <w:t xml:space="preserve">A: </w:t>
      </w:r>
      <w:r w:rsidR="00B76307" w:rsidRPr="008F006A">
        <w:rPr>
          <w:rFonts w:ascii="Verdana" w:hAnsi="Verdana"/>
          <w:i/>
          <w:sz w:val="18"/>
          <w:szCs w:val="18"/>
        </w:rPr>
        <w:t>No.</w:t>
      </w:r>
      <w:r w:rsidR="00B76307" w:rsidRPr="008F006A">
        <w:rPr>
          <w:rFonts w:ascii="Verdana" w:hAnsi="Verdana"/>
          <w:b/>
          <w:i/>
          <w:sz w:val="18"/>
          <w:szCs w:val="18"/>
        </w:rPr>
        <w:t xml:space="preserve"> </w:t>
      </w:r>
      <w:r w:rsidRPr="008F006A">
        <w:rPr>
          <w:rFonts w:ascii="Verdana" w:hAnsi="Verdana"/>
          <w:i/>
          <w:sz w:val="18"/>
          <w:szCs w:val="18"/>
        </w:rPr>
        <w:t xml:space="preserve">ACOs should include an overall admin rate for each program rather than </w:t>
      </w:r>
      <w:r w:rsidR="00B76307" w:rsidRPr="008F006A">
        <w:rPr>
          <w:rFonts w:ascii="Verdana" w:hAnsi="Verdana"/>
          <w:i/>
          <w:sz w:val="18"/>
          <w:szCs w:val="18"/>
        </w:rPr>
        <w:t xml:space="preserve">an administrative rate for </w:t>
      </w:r>
      <w:r w:rsidR="009C2C77" w:rsidRPr="008F006A">
        <w:rPr>
          <w:rFonts w:ascii="Verdana" w:hAnsi="Verdana"/>
          <w:i/>
          <w:sz w:val="18"/>
          <w:szCs w:val="18"/>
        </w:rPr>
        <w:t xml:space="preserve">each </w:t>
      </w:r>
      <w:r w:rsidRPr="008F006A">
        <w:rPr>
          <w:rFonts w:ascii="Verdana" w:hAnsi="Verdana"/>
          <w:i/>
          <w:sz w:val="18"/>
          <w:szCs w:val="18"/>
        </w:rPr>
        <w:t xml:space="preserve">line item. </w:t>
      </w:r>
      <w:r w:rsidR="009C2C77" w:rsidRPr="008F006A">
        <w:rPr>
          <w:rFonts w:ascii="Verdana" w:hAnsi="Verdana"/>
          <w:i/>
          <w:sz w:val="18"/>
          <w:szCs w:val="18"/>
        </w:rPr>
        <w:t>Note that this admin</w:t>
      </w:r>
      <w:r w:rsidR="00B76307" w:rsidRPr="008F006A">
        <w:rPr>
          <w:rFonts w:ascii="Verdana" w:hAnsi="Verdana"/>
          <w:i/>
          <w:sz w:val="18"/>
          <w:szCs w:val="18"/>
        </w:rPr>
        <w:t>istrative</w:t>
      </w:r>
      <w:r w:rsidR="009C2C77" w:rsidRPr="008F006A">
        <w:rPr>
          <w:rFonts w:ascii="Verdana" w:hAnsi="Verdana"/>
          <w:i/>
          <w:sz w:val="18"/>
          <w:szCs w:val="18"/>
        </w:rPr>
        <w:t xml:space="preserve"> rate should only be included in the Budget </w:t>
      </w:r>
      <w:proofErr w:type="gramStart"/>
      <w:r w:rsidR="009C2C77" w:rsidRPr="008F006A">
        <w:rPr>
          <w:rFonts w:ascii="Verdana" w:hAnsi="Verdana"/>
          <w:i/>
          <w:sz w:val="18"/>
          <w:szCs w:val="18"/>
        </w:rPr>
        <w:t>Narrative, and</w:t>
      </w:r>
      <w:proofErr w:type="gramEnd"/>
      <w:r w:rsidR="009C2C77" w:rsidRPr="008F006A">
        <w:rPr>
          <w:rFonts w:ascii="Verdana" w:hAnsi="Verdana"/>
          <w:i/>
          <w:sz w:val="18"/>
          <w:szCs w:val="18"/>
        </w:rPr>
        <w:t xml:space="preserve"> should not be included in the Budget spreadsheet.</w:t>
      </w:r>
      <w:r w:rsidR="009C2C77" w:rsidRPr="008F006A">
        <w:rPr>
          <w:rFonts w:ascii="Verdana" w:hAnsi="Verdana"/>
          <w:b/>
          <w:i/>
          <w:sz w:val="18"/>
          <w:szCs w:val="18"/>
        </w:rPr>
        <w:t xml:space="preserve"> </w:t>
      </w:r>
    </w:p>
    <w:p w:rsidR="000E1A5A" w:rsidRPr="008F006A" w:rsidRDefault="007A706E" w:rsidP="009D6242">
      <w:pPr>
        <w:pStyle w:val="Heading3"/>
      </w:pPr>
      <w:bookmarkStart w:id="20" w:name="_Toc32577183"/>
      <w:r w:rsidRPr="008F006A">
        <w:t>Definition of Units</w:t>
      </w:r>
      <w:bookmarkEnd w:id="20"/>
      <w:r w:rsidRPr="008F006A">
        <w:t xml:space="preserve"> </w:t>
      </w:r>
    </w:p>
    <w:p w:rsidR="00105966" w:rsidRPr="008F006A" w:rsidRDefault="00912997" w:rsidP="00105966">
      <w:pPr>
        <w:pStyle w:val="ListParagraph"/>
        <w:numPr>
          <w:ilvl w:val="0"/>
          <w:numId w:val="4"/>
        </w:numPr>
        <w:rPr>
          <w:rFonts w:ascii="Verdana" w:hAnsi="Verdana"/>
          <w:sz w:val="18"/>
          <w:szCs w:val="18"/>
        </w:rPr>
      </w:pPr>
      <w:r w:rsidRPr="008F006A">
        <w:rPr>
          <w:rFonts w:ascii="Verdana" w:hAnsi="Verdana"/>
          <w:b/>
          <w:sz w:val="18"/>
          <w:szCs w:val="18"/>
        </w:rPr>
        <w:t xml:space="preserve">Q: </w:t>
      </w:r>
      <w:r w:rsidRPr="008F006A">
        <w:rPr>
          <w:rFonts w:ascii="Verdana" w:hAnsi="Verdana"/>
          <w:sz w:val="18"/>
          <w:szCs w:val="18"/>
        </w:rPr>
        <w:t>What constitutes a unit when describing goods and services?</w:t>
      </w:r>
      <w:r w:rsidR="00651CC8" w:rsidRPr="008F006A">
        <w:rPr>
          <w:rFonts w:ascii="Verdana" w:hAnsi="Verdana"/>
          <w:sz w:val="18"/>
          <w:szCs w:val="18"/>
        </w:rPr>
        <w:t xml:space="preserve"> </w:t>
      </w:r>
    </w:p>
    <w:p w:rsidR="00023F8B" w:rsidRPr="008F006A" w:rsidRDefault="00912997" w:rsidP="004D1D8F">
      <w:pPr>
        <w:pStyle w:val="ListParagraph"/>
        <w:numPr>
          <w:ilvl w:val="1"/>
          <w:numId w:val="4"/>
        </w:numPr>
        <w:rPr>
          <w:rFonts w:ascii="Verdana" w:hAnsi="Verdana"/>
          <w:sz w:val="18"/>
          <w:szCs w:val="18"/>
        </w:rPr>
      </w:pPr>
      <w:r w:rsidRPr="008F006A">
        <w:rPr>
          <w:rFonts w:ascii="Verdana" w:hAnsi="Verdana"/>
          <w:b/>
          <w:i/>
          <w:sz w:val="18"/>
          <w:szCs w:val="18"/>
        </w:rPr>
        <w:t>A:</w:t>
      </w:r>
      <w:r w:rsidR="00CE5734" w:rsidRPr="008F006A">
        <w:rPr>
          <w:rFonts w:ascii="Verdana" w:hAnsi="Verdana"/>
          <w:i/>
          <w:sz w:val="18"/>
          <w:szCs w:val="18"/>
        </w:rPr>
        <w:t xml:space="preserve"> </w:t>
      </w:r>
      <w:r w:rsidR="00B928D8" w:rsidRPr="008F006A">
        <w:rPr>
          <w:rFonts w:ascii="Verdana" w:eastAsia="Calibri" w:hAnsi="Verdana" w:cstheme="minorHAnsi"/>
          <w:i/>
          <w:sz w:val="18"/>
          <w:szCs w:val="18"/>
        </w:rPr>
        <w:t>A</w:t>
      </w:r>
      <w:r w:rsidR="000E1A5A" w:rsidRPr="008F006A">
        <w:rPr>
          <w:rFonts w:ascii="Verdana" w:eastAsia="Calibri" w:hAnsi="Verdana" w:cstheme="minorHAnsi"/>
          <w:i/>
          <w:sz w:val="18"/>
          <w:szCs w:val="18"/>
        </w:rPr>
        <w:t xml:space="preserve">s detailed in </w:t>
      </w:r>
      <w:r w:rsidR="000E1A5A" w:rsidRPr="008F006A">
        <w:rPr>
          <w:rFonts w:ascii="Verdana" w:eastAsia="Calibri" w:hAnsi="Verdana" w:cstheme="minorHAnsi"/>
          <w:b/>
          <w:i/>
          <w:sz w:val="18"/>
          <w:szCs w:val="18"/>
        </w:rPr>
        <w:t xml:space="preserve">Section 5.5.2 </w:t>
      </w:r>
      <w:r w:rsidR="000E1A5A" w:rsidRPr="008F006A">
        <w:rPr>
          <w:rFonts w:ascii="Verdana" w:eastAsia="Calibri" w:hAnsi="Verdana" w:cstheme="minorHAnsi"/>
          <w:i/>
          <w:sz w:val="18"/>
          <w:szCs w:val="18"/>
        </w:rPr>
        <w:t>of the</w:t>
      </w:r>
      <w:r w:rsidR="00CB0645" w:rsidRPr="008F006A">
        <w:rPr>
          <w:rFonts w:ascii="Verdana" w:eastAsia="Calibri" w:hAnsi="Verdana" w:cstheme="minorHAnsi"/>
          <w:i/>
          <w:sz w:val="18"/>
          <w:szCs w:val="18"/>
        </w:rPr>
        <w:t xml:space="preserve"> PY3</w:t>
      </w:r>
      <w:r w:rsidR="000E1A5A" w:rsidRPr="008F006A">
        <w:rPr>
          <w:rFonts w:ascii="Verdana" w:eastAsia="Calibri" w:hAnsi="Verdana" w:cstheme="minorHAnsi"/>
          <w:i/>
          <w:sz w:val="18"/>
          <w:szCs w:val="18"/>
        </w:rPr>
        <w:t xml:space="preserve"> FS Guidance Document</w:t>
      </w:r>
      <w:r w:rsidR="00CB0645" w:rsidRPr="008F006A">
        <w:rPr>
          <w:rFonts w:ascii="Verdana" w:eastAsia="Calibri" w:hAnsi="Verdana" w:cstheme="minorHAnsi"/>
          <w:i/>
          <w:sz w:val="18"/>
          <w:szCs w:val="18"/>
        </w:rPr>
        <w:t xml:space="preserve"> (Version 1</w:t>
      </w:r>
      <w:r w:rsidR="0000550B" w:rsidRPr="008F006A">
        <w:rPr>
          <w:rFonts w:ascii="Verdana" w:eastAsia="Calibri" w:hAnsi="Verdana" w:cstheme="minorHAnsi"/>
          <w:i/>
          <w:sz w:val="18"/>
          <w:szCs w:val="18"/>
        </w:rPr>
        <w:t>.0</w:t>
      </w:r>
      <w:r w:rsidR="00CB0645" w:rsidRPr="008F006A">
        <w:rPr>
          <w:rFonts w:ascii="Verdana" w:eastAsia="Calibri" w:hAnsi="Verdana" w:cstheme="minorHAnsi"/>
          <w:i/>
          <w:sz w:val="18"/>
          <w:szCs w:val="18"/>
        </w:rPr>
        <w:t>)</w:t>
      </w:r>
      <w:r w:rsidR="000E1A5A" w:rsidRPr="008F006A">
        <w:rPr>
          <w:rFonts w:ascii="Verdana" w:eastAsia="Calibri" w:hAnsi="Verdana" w:cstheme="minorHAnsi"/>
          <w:i/>
          <w:sz w:val="18"/>
          <w:szCs w:val="18"/>
        </w:rPr>
        <w:t>, ACOs</w:t>
      </w:r>
      <w:r w:rsidR="00CE5734" w:rsidRPr="008F006A">
        <w:rPr>
          <w:rFonts w:ascii="Verdana" w:eastAsia="Calibri" w:hAnsi="Verdana" w:cstheme="minorHAnsi"/>
          <w:i/>
          <w:sz w:val="18"/>
          <w:szCs w:val="18"/>
        </w:rPr>
        <w:t xml:space="preserve"> are required to provide units of services and goods</w:t>
      </w:r>
      <w:r w:rsidR="00A22899" w:rsidRPr="008F006A">
        <w:rPr>
          <w:rFonts w:ascii="Verdana" w:eastAsia="Calibri" w:hAnsi="Verdana" w:cstheme="minorHAnsi"/>
          <w:i/>
          <w:sz w:val="18"/>
          <w:szCs w:val="18"/>
        </w:rPr>
        <w:t xml:space="preserve"> associated with a member’s Flexible Service</w:t>
      </w:r>
      <w:r w:rsidR="00205406" w:rsidRPr="008F006A">
        <w:rPr>
          <w:rFonts w:ascii="Verdana" w:eastAsia="Calibri" w:hAnsi="Verdana" w:cstheme="minorHAnsi"/>
          <w:i/>
          <w:sz w:val="18"/>
          <w:szCs w:val="18"/>
        </w:rPr>
        <w:t>s</w:t>
      </w:r>
      <w:r w:rsidR="00A22899" w:rsidRPr="008F006A">
        <w:rPr>
          <w:rFonts w:ascii="Verdana" w:eastAsia="Calibri" w:hAnsi="Verdana" w:cstheme="minorHAnsi"/>
          <w:i/>
          <w:sz w:val="18"/>
          <w:szCs w:val="18"/>
        </w:rPr>
        <w:t xml:space="preserve"> plan in the Verification, Planning, and Referral</w:t>
      </w:r>
      <w:r w:rsidR="007E59D0" w:rsidRPr="008F006A">
        <w:rPr>
          <w:rFonts w:ascii="Verdana" w:eastAsia="Calibri" w:hAnsi="Verdana" w:cstheme="minorHAnsi"/>
          <w:i/>
          <w:sz w:val="18"/>
          <w:szCs w:val="18"/>
        </w:rPr>
        <w:t xml:space="preserve"> (VPR)</w:t>
      </w:r>
      <w:r w:rsidR="00A22899" w:rsidRPr="008F006A">
        <w:rPr>
          <w:rFonts w:ascii="Verdana" w:eastAsia="Calibri" w:hAnsi="Verdana" w:cstheme="minorHAnsi"/>
          <w:i/>
          <w:sz w:val="18"/>
          <w:szCs w:val="18"/>
        </w:rPr>
        <w:t xml:space="preserve"> Form. ACOs and SSOs </w:t>
      </w:r>
      <w:r w:rsidR="00023F8B" w:rsidRPr="008F006A">
        <w:rPr>
          <w:rFonts w:ascii="Verdana" w:eastAsia="Calibri" w:hAnsi="Verdana" w:cstheme="minorHAnsi"/>
          <w:i/>
          <w:sz w:val="18"/>
          <w:szCs w:val="18"/>
        </w:rPr>
        <w:t xml:space="preserve">may </w:t>
      </w:r>
      <w:r w:rsidR="00A22899" w:rsidRPr="008F006A">
        <w:rPr>
          <w:rFonts w:ascii="Verdana" w:eastAsia="Calibri" w:hAnsi="Verdana" w:cstheme="minorHAnsi"/>
          <w:i/>
          <w:sz w:val="18"/>
          <w:szCs w:val="18"/>
        </w:rPr>
        <w:t>work together to determine the type of units that are appropriate for the overall services and goods as well as for a particular m</w:t>
      </w:r>
      <w:r w:rsidR="00023F8B" w:rsidRPr="008F006A">
        <w:rPr>
          <w:rFonts w:ascii="Verdana" w:eastAsia="Calibri" w:hAnsi="Verdana" w:cstheme="minorHAnsi"/>
          <w:i/>
          <w:sz w:val="18"/>
          <w:szCs w:val="18"/>
        </w:rPr>
        <w:t>ember.</w:t>
      </w:r>
      <w:r w:rsidR="00A40CE8" w:rsidRPr="008F006A">
        <w:rPr>
          <w:rFonts w:ascii="Verdana" w:eastAsia="Calibri" w:hAnsi="Verdana" w:cstheme="minorHAnsi"/>
          <w:i/>
          <w:sz w:val="18"/>
          <w:szCs w:val="18"/>
        </w:rPr>
        <w:t xml:space="preserve"> </w:t>
      </w:r>
      <w:r w:rsidR="00023F8B" w:rsidRPr="008F006A">
        <w:rPr>
          <w:rFonts w:ascii="Verdana" w:eastAsia="Calibri" w:hAnsi="Verdana" w:cstheme="minorHAnsi"/>
          <w:i/>
          <w:sz w:val="18"/>
          <w:szCs w:val="18"/>
        </w:rPr>
        <w:t>U</w:t>
      </w:r>
      <w:r w:rsidR="000267EC" w:rsidRPr="008F006A">
        <w:rPr>
          <w:rFonts w:ascii="Verdana" w:eastAsia="Calibri" w:hAnsi="Verdana" w:cstheme="minorHAnsi"/>
          <w:i/>
          <w:sz w:val="18"/>
          <w:szCs w:val="18"/>
        </w:rPr>
        <w:t>nits may be measured in</w:t>
      </w:r>
      <w:r w:rsidR="00AB2EED" w:rsidRPr="008F006A">
        <w:rPr>
          <w:rFonts w:ascii="Verdana" w:eastAsia="Calibri" w:hAnsi="Verdana" w:cstheme="minorHAnsi"/>
          <w:i/>
          <w:sz w:val="18"/>
          <w:szCs w:val="18"/>
        </w:rPr>
        <w:t xml:space="preserve"> several ways including, but not limited to:</w:t>
      </w:r>
      <w:r w:rsidR="000267EC" w:rsidRPr="008F006A">
        <w:rPr>
          <w:rFonts w:ascii="Verdana" w:eastAsia="Calibri" w:hAnsi="Verdana" w:cstheme="minorHAnsi"/>
          <w:i/>
          <w:sz w:val="18"/>
          <w:szCs w:val="18"/>
        </w:rPr>
        <w:t xml:space="preserve"> time (e.g., three months of housing stabilization</w:t>
      </w:r>
      <w:r w:rsidR="00023F8B" w:rsidRPr="008F006A">
        <w:rPr>
          <w:rFonts w:ascii="Verdana" w:eastAsia="Calibri" w:hAnsi="Verdana" w:cstheme="minorHAnsi"/>
          <w:i/>
          <w:sz w:val="18"/>
          <w:szCs w:val="18"/>
        </w:rPr>
        <w:t>, six months of medically tailored meals</w:t>
      </w:r>
      <w:r w:rsidR="000267EC" w:rsidRPr="008F006A">
        <w:rPr>
          <w:rFonts w:ascii="Verdana" w:eastAsia="Calibri" w:hAnsi="Verdana" w:cstheme="minorHAnsi"/>
          <w:i/>
          <w:sz w:val="18"/>
          <w:szCs w:val="18"/>
        </w:rPr>
        <w:t>), amount of services (e.g., five cooking classes)</w:t>
      </w:r>
      <w:r w:rsidR="00AB2EED" w:rsidRPr="008F006A">
        <w:rPr>
          <w:rFonts w:ascii="Verdana" w:eastAsia="Calibri" w:hAnsi="Verdana" w:cstheme="minorHAnsi"/>
          <w:i/>
          <w:sz w:val="18"/>
          <w:szCs w:val="18"/>
        </w:rPr>
        <w:t>,</w:t>
      </w:r>
      <w:r w:rsidR="00023F8B" w:rsidRPr="008F006A">
        <w:rPr>
          <w:rFonts w:ascii="Verdana" w:eastAsia="Calibri" w:hAnsi="Verdana" w:cstheme="minorHAnsi"/>
          <w:i/>
          <w:sz w:val="18"/>
          <w:szCs w:val="18"/>
        </w:rPr>
        <w:t xml:space="preserve"> dollars (voucher equivalent to $20 for produce),</w:t>
      </w:r>
      <w:r w:rsidR="000267EC" w:rsidRPr="008F006A">
        <w:rPr>
          <w:rFonts w:ascii="Verdana" w:eastAsia="Calibri" w:hAnsi="Verdana" w:cstheme="minorHAnsi"/>
          <w:i/>
          <w:sz w:val="18"/>
          <w:szCs w:val="18"/>
        </w:rPr>
        <w:t xml:space="preserve"> or bundles (e.g., </w:t>
      </w:r>
      <w:r w:rsidR="004E034F" w:rsidRPr="008F006A">
        <w:rPr>
          <w:rFonts w:ascii="Verdana" w:eastAsia="Calibri" w:hAnsi="Verdana" w:cstheme="minorHAnsi"/>
          <w:i/>
          <w:sz w:val="18"/>
          <w:szCs w:val="18"/>
        </w:rPr>
        <w:t xml:space="preserve">high touch housing </w:t>
      </w:r>
      <w:r w:rsidR="00023F8B" w:rsidRPr="008F006A">
        <w:rPr>
          <w:rFonts w:ascii="Verdana" w:eastAsia="Calibri" w:hAnsi="Verdana" w:cstheme="minorHAnsi"/>
          <w:i/>
          <w:sz w:val="18"/>
          <w:szCs w:val="18"/>
        </w:rPr>
        <w:t>search and stabilization package</w:t>
      </w:r>
      <w:r w:rsidR="004E034F" w:rsidRPr="008F006A">
        <w:rPr>
          <w:rFonts w:ascii="Verdana" w:eastAsia="Calibri" w:hAnsi="Verdana" w:cstheme="minorHAnsi"/>
          <w:i/>
          <w:sz w:val="18"/>
          <w:szCs w:val="18"/>
        </w:rPr>
        <w:t xml:space="preserve">).  In determining how to set units, ACOs may think about what information an SSO would need to </w:t>
      </w:r>
      <w:r w:rsidR="007620FE" w:rsidRPr="008F006A">
        <w:rPr>
          <w:rFonts w:ascii="Verdana" w:eastAsia="Calibri" w:hAnsi="Verdana" w:cstheme="minorHAnsi"/>
          <w:i/>
          <w:sz w:val="18"/>
          <w:szCs w:val="18"/>
        </w:rPr>
        <w:t xml:space="preserve">provide </w:t>
      </w:r>
      <w:r w:rsidR="00023F8B" w:rsidRPr="008F006A">
        <w:rPr>
          <w:rFonts w:ascii="Verdana" w:eastAsia="Calibri" w:hAnsi="Verdana" w:cstheme="minorHAnsi"/>
          <w:i/>
          <w:sz w:val="18"/>
          <w:szCs w:val="18"/>
        </w:rPr>
        <w:t xml:space="preserve">goods and </w:t>
      </w:r>
      <w:r w:rsidR="007620FE" w:rsidRPr="008F006A">
        <w:rPr>
          <w:rFonts w:ascii="Verdana" w:eastAsia="Calibri" w:hAnsi="Verdana" w:cstheme="minorHAnsi"/>
          <w:i/>
          <w:sz w:val="18"/>
          <w:szCs w:val="18"/>
        </w:rPr>
        <w:t>services to</w:t>
      </w:r>
      <w:r w:rsidR="004E034F" w:rsidRPr="008F006A">
        <w:rPr>
          <w:rFonts w:ascii="Verdana" w:eastAsia="Calibri" w:hAnsi="Verdana" w:cstheme="minorHAnsi"/>
          <w:i/>
          <w:sz w:val="18"/>
          <w:szCs w:val="18"/>
        </w:rPr>
        <w:t xml:space="preserve"> a member and bill the ACO appropriately. </w:t>
      </w:r>
    </w:p>
    <w:p w:rsidR="00CB0B3A" w:rsidRPr="008F006A" w:rsidRDefault="00CB0B3A" w:rsidP="009D6242">
      <w:pPr>
        <w:pStyle w:val="Heading3"/>
      </w:pPr>
      <w:bookmarkStart w:id="21" w:name="_Toc32577184"/>
      <w:r w:rsidRPr="008F006A">
        <w:t>Flexible Services Funding Reconciliation</w:t>
      </w:r>
      <w:bookmarkEnd w:id="21"/>
    </w:p>
    <w:p w:rsidR="00CB0B3A" w:rsidRPr="008F006A" w:rsidRDefault="00CB0B3A" w:rsidP="004D1D8F">
      <w:pPr>
        <w:pStyle w:val="ListParagraph"/>
        <w:numPr>
          <w:ilvl w:val="0"/>
          <w:numId w:val="4"/>
        </w:numPr>
        <w:spacing w:after="0" w:line="240" w:lineRule="auto"/>
        <w:rPr>
          <w:rFonts w:ascii="Verdana" w:eastAsia="Calibri" w:hAnsi="Verdana" w:cstheme="minorHAnsi"/>
          <w:sz w:val="18"/>
          <w:szCs w:val="18"/>
        </w:rPr>
      </w:pPr>
      <w:r w:rsidRPr="008F006A">
        <w:rPr>
          <w:rFonts w:ascii="Verdana" w:eastAsia="Calibri" w:hAnsi="Verdana" w:cstheme="minorHAnsi"/>
          <w:b/>
          <w:sz w:val="18"/>
          <w:szCs w:val="18"/>
        </w:rPr>
        <w:t xml:space="preserve">Q: </w:t>
      </w:r>
      <w:r w:rsidR="00205406" w:rsidRPr="008F006A">
        <w:rPr>
          <w:rFonts w:ascii="Verdana" w:eastAsia="Calibri" w:hAnsi="Verdana" w:cstheme="minorHAnsi"/>
          <w:sz w:val="18"/>
          <w:szCs w:val="18"/>
        </w:rPr>
        <w:t>MassHealth used ACO member counts as of January 1, 2019 (i.e. the first day of Performance Year 2) to calculate ACO Flexible Services funding allocation for PY3 (i.e., CY2020).  How will MassHealth account for the potentially substantive differences between the member counts as of 1/1/2019 and the actual member counts during CY2020?</w:t>
      </w:r>
      <w:r w:rsidR="00760871" w:rsidRPr="008F006A">
        <w:rPr>
          <w:rFonts w:ascii="Verdana" w:eastAsia="Calibri" w:hAnsi="Verdana" w:cstheme="minorHAnsi"/>
          <w:sz w:val="18"/>
          <w:szCs w:val="18"/>
        </w:rPr>
        <w:t xml:space="preserve"> </w:t>
      </w:r>
    </w:p>
    <w:p w:rsidR="00CB0B3A" w:rsidRPr="008F006A" w:rsidRDefault="00CB0B3A" w:rsidP="00DA6BBD">
      <w:pPr>
        <w:pStyle w:val="ListParagraph"/>
        <w:numPr>
          <w:ilvl w:val="1"/>
          <w:numId w:val="1"/>
        </w:numPr>
        <w:rPr>
          <w:rFonts w:ascii="Verdana" w:hAnsi="Verdana"/>
          <w:i/>
          <w:sz w:val="18"/>
          <w:szCs w:val="18"/>
        </w:rPr>
      </w:pPr>
      <w:r w:rsidRPr="008F006A">
        <w:rPr>
          <w:rFonts w:ascii="Verdana" w:hAnsi="Verdana"/>
          <w:b/>
          <w:i/>
          <w:sz w:val="18"/>
          <w:szCs w:val="18"/>
        </w:rPr>
        <w:t>A:</w:t>
      </w:r>
      <w:r w:rsidRPr="008F006A">
        <w:rPr>
          <w:rFonts w:ascii="Verdana" w:hAnsi="Verdana"/>
          <w:i/>
          <w:sz w:val="18"/>
          <w:szCs w:val="18"/>
        </w:rPr>
        <w:t xml:space="preserve"> </w:t>
      </w:r>
      <w:r w:rsidR="00205406" w:rsidRPr="008F006A">
        <w:rPr>
          <w:rFonts w:ascii="Verdana" w:hAnsi="Verdana"/>
          <w:i/>
          <w:sz w:val="18"/>
          <w:szCs w:val="18"/>
        </w:rPr>
        <w:t>MassHealth will reconcile the PY3 ACO member counts during its funding allocation process for PY4.  Please see the ACO’s PY3 Flexible Services Funding Notification Letter for more details</w:t>
      </w:r>
      <w:r w:rsidR="00C50D6F" w:rsidRPr="008F006A">
        <w:rPr>
          <w:rFonts w:ascii="Verdana" w:hAnsi="Verdana"/>
          <w:i/>
          <w:sz w:val="18"/>
          <w:szCs w:val="18"/>
        </w:rPr>
        <w:t xml:space="preserve"> </w:t>
      </w:r>
      <w:r w:rsidR="00A9633A" w:rsidRPr="008F006A">
        <w:rPr>
          <w:rFonts w:ascii="Verdana" w:hAnsi="Verdana"/>
          <w:i/>
          <w:sz w:val="18"/>
          <w:szCs w:val="18"/>
        </w:rPr>
        <w:t>(Section II.2)</w:t>
      </w:r>
      <w:r w:rsidRPr="008F006A">
        <w:rPr>
          <w:rFonts w:ascii="Verdana" w:hAnsi="Verdana"/>
          <w:i/>
          <w:sz w:val="18"/>
          <w:szCs w:val="18"/>
        </w:rPr>
        <w:t xml:space="preserve">. </w:t>
      </w:r>
    </w:p>
    <w:p w:rsidR="00CB0B3A" w:rsidRPr="008F006A" w:rsidRDefault="00CB0B3A" w:rsidP="009D6242">
      <w:pPr>
        <w:pStyle w:val="Heading3"/>
      </w:pPr>
      <w:bookmarkStart w:id="22" w:name="_Toc32577185"/>
      <w:r w:rsidRPr="008F006A">
        <w:t>Flexible Services Funding Allocation Timeline</w:t>
      </w:r>
      <w:bookmarkEnd w:id="22"/>
    </w:p>
    <w:p w:rsidR="004D1D8F" w:rsidRPr="008F006A" w:rsidRDefault="00CB0B3A" w:rsidP="004D1D8F">
      <w:pPr>
        <w:pStyle w:val="ListParagraph"/>
        <w:numPr>
          <w:ilvl w:val="0"/>
          <w:numId w:val="4"/>
        </w:numPr>
        <w:spacing w:after="0" w:line="240" w:lineRule="auto"/>
        <w:rPr>
          <w:rFonts w:ascii="Verdana" w:eastAsia="Calibri" w:hAnsi="Verdana" w:cstheme="minorHAnsi"/>
          <w:sz w:val="18"/>
          <w:szCs w:val="18"/>
        </w:rPr>
      </w:pPr>
      <w:r w:rsidRPr="008F006A">
        <w:rPr>
          <w:rFonts w:ascii="Verdana" w:eastAsia="Calibri" w:hAnsi="Verdana" w:cstheme="minorHAnsi"/>
          <w:b/>
          <w:sz w:val="18"/>
          <w:szCs w:val="18"/>
        </w:rPr>
        <w:t xml:space="preserve">Q: </w:t>
      </w:r>
      <w:r w:rsidRPr="008F006A">
        <w:rPr>
          <w:rFonts w:ascii="Verdana" w:eastAsia="Calibri" w:hAnsi="Verdana" w:cstheme="minorHAnsi"/>
          <w:sz w:val="18"/>
          <w:szCs w:val="18"/>
        </w:rPr>
        <w:t xml:space="preserve">Once an ACO’s </w:t>
      </w:r>
      <w:r w:rsidR="003733FE" w:rsidRPr="008F006A">
        <w:rPr>
          <w:rFonts w:ascii="Verdana" w:eastAsia="Calibri" w:hAnsi="Verdana" w:cstheme="minorHAnsi"/>
          <w:sz w:val="18"/>
          <w:szCs w:val="18"/>
        </w:rPr>
        <w:t xml:space="preserve">PY3 </w:t>
      </w:r>
      <w:r w:rsidRPr="008F006A">
        <w:rPr>
          <w:rFonts w:ascii="Verdana" w:eastAsia="Calibri" w:hAnsi="Verdana" w:cstheme="minorHAnsi"/>
          <w:sz w:val="18"/>
          <w:szCs w:val="18"/>
        </w:rPr>
        <w:t>FS budget is approved,</w:t>
      </w:r>
      <w:r w:rsidR="00AB2EED" w:rsidRPr="008F006A">
        <w:rPr>
          <w:rFonts w:ascii="Verdana" w:eastAsia="Calibri" w:hAnsi="Verdana" w:cstheme="minorHAnsi"/>
          <w:sz w:val="18"/>
          <w:szCs w:val="18"/>
        </w:rPr>
        <w:t xml:space="preserve"> how will the funding be distributed? </w:t>
      </w:r>
      <w:r w:rsidRPr="008F006A">
        <w:rPr>
          <w:rFonts w:ascii="Verdana" w:eastAsia="Calibri" w:hAnsi="Verdana" w:cstheme="minorHAnsi"/>
          <w:sz w:val="18"/>
          <w:szCs w:val="18"/>
        </w:rPr>
        <w:t xml:space="preserve"> If the ACO’s </w:t>
      </w:r>
      <w:r w:rsidR="003733FE" w:rsidRPr="008F006A">
        <w:rPr>
          <w:rFonts w:ascii="Verdana" w:eastAsia="Calibri" w:hAnsi="Verdana" w:cstheme="minorHAnsi"/>
          <w:sz w:val="18"/>
          <w:szCs w:val="18"/>
        </w:rPr>
        <w:t xml:space="preserve">PY3 </w:t>
      </w:r>
      <w:r w:rsidRPr="008F006A">
        <w:rPr>
          <w:rFonts w:ascii="Verdana" w:eastAsia="Calibri" w:hAnsi="Verdana" w:cstheme="minorHAnsi"/>
          <w:sz w:val="18"/>
          <w:szCs w:val="18"/>
        </w:rPr>
        <w:t xml:space="preserve">FS budget includes costs for a program that will launch in Q2 </w:t>
      </w:r>
      <w:r w:rsidR="003733FE" w:rsidRPr="008F006A">
        <w:rPr>
          <w:rFonts w:ascii="Verdana" w:eastAsia="Calibri" w:hAnsi="Verdana" w:cstheme="minorHAnsi"/>
          <w:sz w:val="18"/>
          <w:szCs w:val="18"/>
        </w:rPr>
        <w:t>PY3</w:t>
      </w:r>
      <w:r w:rsidRPr="008F006A">
        <w:rPr>
          <w:rFonts w:ascii="Verdana" w:eastAsia="Calibri" w:hAnsi="Verdana" w:cstheme="minorHAnsi"/>
          <w:sz w:val="18"/>
          <w:szCs w:val="18"/>
        </w:rPr>
        <w:t xml:space="preserve">, will the ACO’s Q1 payment account for the program launching in Q2? </w:t>
      </w:r>
      <w:r w:rsidRPr="008F006A">
        <w:rPr>
          <w:rFonts w:ascii="Verdana" w:eastAsia="Calibri" w:hAnsi="Verdana" w:cstheme="minorHAnsi"/>
          <w:b/>
          <w:sz w:val="18"/>
          <w:szCs w:val="18"/>
        </w:rPr>
        <w:t xml:space="preserve"> </w:t>
      </w:r>
      <w:r w:rsidRPr="008F006A">
        <w:rPr>
          <w:rFonts w:ascii="Verdana" w:eastAsia="Calibri" w:hAnsi="Verdana" w:cstheme="minorHAnsi"/>
          <w:sz w:val="18"/>
          <w:szCs w:val="18"/>
        </w:rPr>
        <w:t xml:space="preserve"> </w:t>
      </w:r>
    </w:p>
    <w:p w:rsidR="00CB0B3A" w:rsidRPr="008F006A" w:rsidRDefault="00CB0B3A" w:rsidP="004D1D8F">
      <w:pPr>
        <w:pStyle w:val="ListParagraph"/>
        <w:numPr>
          <w:ilvl w:val="1"/>
          <w:numId w:val="4"/>
        </w:numPr>
        <w:spacing w:after="0" w:line="240" w:lineRule="auto"/>
        <w:rPr>
          <w:rFonts w:ascii="Verdana" w:eastAsia="Calibri" w:hAnsi="Verdana" w:cstheme="minorHAnsi"/>
          <w:sz w:val="18"/>
          <w:szCs w:val="18"/>
        </w:rPr>
      </w:pPr>
      <w:r w:rsidRPr="008F006A">
        <w:rPr>
          <w:rFonts w:ascii="Verdana" w:eastAsia="Calibri" w:hAnsi="Verdana" w:cstheme="minorHAnsi"/>
          <w:b/>
          <w:i/>
          <w:sz w:val="18"/>
          <w:szCs w:val="18"/>
        </w:rPr>
        <w:t>A:</w:t>
      </w:r>
      <w:r w:rsidRPr="008F006A">
        <w:rPr>
          <w:rFonts w:ascii="Verdana" w:eastAsia="Calibri" w:hAnsi="Verdana" w:cstheme="minorHAnsi"/>
          <w:i/>
          <w:sz w:val="18"/>
          <w:szCs w:val="18"/>
        </w:rPr>
        <w:t xml:space="preserve"> </w:t>
      </w:r>
      <w:r w:rsidR="00AB2EED" w:rsidRPr="008F006A">
        <w:rPr>
          <w:rFonts w:ascii="Verdana" w:eastAsia="Calibri" w:hAnsi="Verdana" w:cstheme="minorHAnsi"/>
          <w:i/>
          <w:sz w:val="18"/>
          <w:szCs w:val="18"/>
        </w:rPr>
        <w:t>In general,</w:t>
      </w:r>
      <w:r w:rsidRPr="008F006A">
        <w:rPr>
          <w:rFonts w:ascii="Verdana" w:eastAsia="Calibri" w:hAnsi="Verdana" w:cstheme="minorHAnsi"/>
          <w:i/>
          <w:sz w:val="18"/>
          <w:szCs w:val="18"/>
        </w:rPr>
        <w:t xml:space="preserve"> the ACO’s Q1 payment will account for the program launching in Q2.  MassHealth’s approval of the ACO’s </w:t>
      </w:r>
      <w:r w:rsidR="003733FE" w:rsidRPr="008F006A">
        <w:rPr>
          <w:rFonts w:ascii="Verdana" w:eastAsia="Calibri" w:hAnsi="Verdana" w:cstheme="minorHAnsi"/>
          <w:i/>
          <w:sz w:val="18"/>
          <w:szCs w:val="18"/>
        </w:rPr>
        <w:t xml:space="preserve">PY3 </w:t>
      </w:r>
      <w:r w:rsidRPr="008F006A">
        <w:rPr>
          <w:rFonts w:ascii="Verdana" w:eastAsia="Calibri" w:hAnsi="Verdana" w:cstheme="minorHAnsi"/>
          <w:i/>
          <w:sz w:val="18"/>
          <w:szCs w:val="18"/>
        </w:rPr>
        <w:t xml:space="preserve">FS budget is for the entire year, and MassHealth expects the ACO to appropriately manage its expenses within the quarterly payment schedule, </w:t>
      </w:r>
      <w:r w:rsidRPr="008F006A">
        <w:rPr>
          <w:rFonts w:ascii="Verdana" w:hAnsi="Verdana"/>
          <w:i/>
          <w:sz w:val="18"/>
          <w:szCs w:val="18"/>
        </w:rPr>
        <w:t>regardless of when programs are set to launch.</w:t>
      </w:r>
      <w:r w:rsidR="005E0AFD" w:rsidRPr="008F006A">
        <w:rPr>
          <w:rFonts w:ascii="Verdana" w:hAnsi="Verdana"/>
          <w:i/>
          <w:sz w:val="18"/>
          <w:szCs w:val="18"/>
        </w:rPr>
        <w:t xml:space="preserve"> Furthermore, if an ACO were to</w:t>
      </w:r>
      <w:r w:rsidR="003C3930" w:rsidRPr="008F006A">
        <w:rPr>
          <w:rFonts w:ascii="Verdana" w:hAnsi="Verdana"/>
          <w:i/>
          <w:sz w:val="18"/>
          <w:szCs w:val="18"/>
        </w:rPr>
        <w:t xml:space="preserve"> seek and obtain approval to</w:t>
      </w:r>
      <w:r w:rsidR="005E0AFD" w:rsidRPr="008F006A">
        <w:rPr>
          <w:rFonts w:ascii="Verdana" w:hAnsi="Verdana"/>
          <w:i/>
          <w:sz w:val="18"/>
          <w:szCs w:val="18"/>
        </w:rPr>
        <w:t xml:space="preserve"> increase its budget</w:t>
      </w:r>
      <w:r w:rsidR="009C2C77" w:rsidRPr="008F006A">
        <w:rPr>
          <w:rFonts w:ascii="Verdana" w:hAnsi="Verdana"/>
          <w:i/>
          <w:sz w:val="18"/>
          <w:szCs w:val="18"/>
        </w:rPr>
        <w:t xml:space="preserve"> during the year</w:t>
      </w:r>
      <w:r w:rsidR="005E0AFD" w:rsidRPr="008F006A">
        <w:rPr>
          <w:rFonts w:ascii="Verdana" w:hAnsi="Verdana"/>
          <w:i/>
          <w:sz w:val="18"/>
          <w:szCs w:val="18"/>
        </w:rPr>
        <w:t xml:space="preserve">, an ACO would see that increase reflected in the quarterly payments following approval. </w:t>
      </w:r>
      <w:r w:rsidR="00AB2EED" w:rsidRPr="008F006A">
        <w:rPr>
          <w:rFonts w:ascii="Verdana" w:hAnsi="Verdana"/>
          <w:i/>
          <w:sz w:val="18"/>
          <w:szCs w:val="18"/>
        </w:rPr>
        <w:t xml:space="preserve">The timing and distribution of payments are subject </w:t>
      </w:r>
      <w:r w:rsidR="00EE4E0F" w:rsidRPr="008F006A">
        <w:rPr>
          <w:rFonts w:ascii="Verdana" w:hAnsi="Verdana"/>
          <w:i/>
          <w:sz w:val="18"/>
          <w:szCs w:val="18"/>
        </w:rPr>
        <w:t xml:space="preserve">to </w:t>
      </w:r>
      <w:r w:rsidR="00AB2EED" w:rsidRPr="008F006A">
        <w:rPr>
          <w:rFonts w:ascii="Verdana" w:hAnsi="Verdana"/>
          <w:i/>
          <w:sz w:val="18"/>
          <w:szCs w:val="18"/>
        </w:rPr>
        <w:t xml:space="preserve">change based on a variety of factors including approval of plans. </w:t>
      </w:r>
      <w:r w:rsidRPr="008F006A">
        <w:rPr>
          <w:rFonts w:ascii="Verdana" w:hAnsi="Verdana"/>
          <w:i/>
          <w:sz w:val="18"/>
          <w:szCs w:val="18"/>
        </w:rPr>
        <w:t xml:space="preserve">For more information on this topic, please refer to </w:t>
      </w:r>
      <w:r w:rsidRPr="008F006A">
        <w:rPr>
          <w:rFonts w:ascii="Verdana" w:hAnsi="Verdana"/>
          <w:b/>
          <w:i/>
          <w:sz w:val="18"/>
          <w:szCs w:val="18"/>
        </w:rPr>
        <w:t xml:space="preserve">Section 3 </w:t>
      </w:r>
      <w:r w:rsidRPr="008F006A">
        <w:rPr>
          <w:rFonts w:ascii="Verdana" w:hAnsi="Verdana"/>
          <w:i/>
          <w:sz w:val="18"/>
          <w:szCs w:val="18"/>
        </w:rPr>
        <w:t xml:space="preserve">of the </w:t>
      </w:r>
      <w:r w:rsidR="00647692" w:rsidRPr="008F006A">
        <w:rPr>
          <w:rFonts w:ascii="Verdana" w:hAnsi="Verdana"/>
          <w:i/>
          <w:sz w:val="18"/>
          <w:szCs w:val="18"/>
        </w:rPr>
        <w:t xml:space="preserve">PY3 </w:t>
      </w:r>
      <w:r w:rsidRPr="008F006A">
        <w:rPr>
          <w:rFonts w:ascii="Verdana" w:hAnsi="Verdana"/>
          <w:i/>
          <w:sz w:val="18"/>
          <w:szCs w:val="18"/>
        </w:rPr>
        <w:t>FS Guidance Document</w:t>
      </w:r>
      <w:r w:rsidR="004D1D8F" w:rsidRPr="008F006A">
        <w:rPr>
          <w:rFonts w:ascii="Verdana" w:hAnsi="Verdana"/>
          <w:i/>
          <w:sz w:val="18"/>
          <w:szCs w:val="18"/>
        </w:rPr>
        <w:t xml:space="preserve"> </w:t>
      </w:r>
      <w:r w:rsidR="00647692" w:rsidRPr="008F006A">
        <w:rPr>
          <w:rFonts w:ascii="Verdana" w:hAnsi="Verdana"/>
          <w:i/>
          <w:sz w:val="18"/>
          <w:szCs w:val="18"/>
        </w:rPr>
        <w:t>(Version 1</w:t>
      </w:r>
      <w:r w:rsidR="001723B7" w:rsidRPr="008F006A">
        <w:rPr>
          <w:rFonts w:ascii="Verdana" w:hAnsi="Verdana"/>
          <w:i/>
          <w:sz w:val="18"/>
          <w:szCs w:val="18"/>
        </w:rPr>
        <w:t>.0</w:t>
      </w:r>
      <w:r w:rsidR="00647692" w:rsidRPr="008F006A">
        <w:rPr>
          <w:rFonts w:ascii="Verdana" w:hAnsi="Verdana"/>
          <w:i/>
          <w:sz w:val="18"/>
          <w:szCs w:val="18"/>
        </w:rPr>
        <w:t>)</w:t>
      </w:r>
      <w:r w:rsidRPr="008F006A">
        <w:rPr>
          <w:rFonts w:ascii="Verdana" w:hAnsi="Verdana"/>
          <w:i/>
          <w:sz w:val="18"/>
          <w:szCs w:val="18"/>
        </w:rPr>
        <w:t>.</w:t>
      </w:r>
      <w:r w:rsidR="004D1D8F" w:rsidRPr="008F006A">
        <w:rPr>
          <w:rFonts w:ascii="Verdana" w:hAnsi="Verdana"/>
          <w:i/>
          <w:sz w:val="18"/>
          <w:szCs w:val="18"/>
        </w:rPr>
        <w:br/>
      </w:r>
    </w:p>
    <w:p w:rsidR="00F34DAE" w:rsidRPr="008F006A" w:rsidRDefault="00225DD0" w:rsidP="009D6242">
      <w:pPr>
        <w:pStyle w:val="Heading2"/>
      </w:pPr>
      <w:bookmarkStart w:id="23" w:name="_Toc32577186"/>
      <w:r w:rsidRPr="008F006A">
        <w:t>5.</w:t>
      </w:r>
      <w:r w:rsidR="00CB3673" w:rsidRPr="008F006A">
        <w:t xml:space="preserve"> </w:t>
      </w:r>
      <w:r w:rsidR="006C2353" w:rsidRPr="008F006A">
        <w:t>Member Eligibility Screening and Use of Verification, Planning, and Referral (VPR) Forms</w:t>
      </w:r>
      <w:bookmarkEnd w:id="23"/>
    </w:p>
    <w:p w:rsidR="00F34DAE" w:rsidRPr="008F006A" w:rsidRDefault="00F34DAE" w:rsidP="009D6242">
      <w:pPr>
        <w:pStyle w:val="Heading3"/>
      </w:pPr>
      <w:bookmarkStart w:id="24" w:name="_Toc32577187"/>
      <w:r w:rsidRPr="008F006A">
        <w:t>VPR Form Transmission</w:t>
      </w:r>
      <w:bookmarkEnd w:id="24"/>
    </w:p>
    <w:p w:rsidR="004D1D8F" w:rsidRPr="008F006A" w:rsidRDefault="00F34DAE" w:rsidP="004D1D8F">
      <w:pPr>
        <w:pStyle w:val="ListParagraph"/>
        <w:numPr>
          <w:ilvl w:val="0"/>
          <w:numId w:val="17"/>
        </w:numPr>
        <w:spacing w:after="0" w:line="240" w:lineRule="auto"/>
        <w:rPr>
          <w:rFonts w:ascii="Verdana" w:eastAsia="Times New Roman" w:hAnsi="Verdana"/>
          <w:color w:val="000000"/>
          <w:sz w:val="18"/>
          <w:szCs w:val="18"/>
        </w:rPr>
      </w:pPr>
      <w:r w:rsidRPr="008F006A">
        <w:rPr>
          <w:rFonts w:ascii="Verdana" w:hAnsi="Verdana"/>
          <w:b/>
          <w:sz w:val="18"/>
          <w:szCs w:val="18"/>
        </w:rPr>
        <w:t xml:space="preserve">Q: </w:t>
      </w:r>
      <w:r w:rsidRPr="008F006A">
        <w:rPr>
          <w:rFonts w:ascii="Verdana" w:hAnsi="Verdana"/>
          <w:sz w:val="18"/>
          <w:szCs w:val="18"/>
        </w:rPr>
        <w:t>How often do VPR forms need to be sent to MassHealth?</w:t>
      </w:r>
    </w:p>
    <w:p w:rsidR="00827581" w:rsidRPr="008F006A" w:rsidRDefault="00F34DAE" w:rsidP="004D1D8F">
      <w:pPr>
        <w:pStyle w:val="ListParagraph"/>
        <w:numPr>
          <w:ilvl w:val="1"/>
          <w:numId w:val="17"/>
        </w:numPr>
        <w:spacing w:after="0" w:line="240" w:lineRule="auto"/>
        <w:rPr>
          <w:rFonts w:ascii="Verdana" w:eastAsia="Times New Roman" w:hAnsi="Verdana"/>
          <w:color w:val="000000"/>
          <w:sz w:val="18"/>
          <w:szCs w:val="18"/>
        </w:rPr>
      </w:pPr>
      <w:r w:rsidRPr="008F006A">
        <w:rPr>
          <w:rFonts w:ascii="Verdana" w:eastAsia="Calibri" w:hAnsi="Verdana" w:cstheme="minorHAnsi"/>
          <w:b/>
          <w:i/>
          <w:sz w:val="18"/>
          <w:szCs w:val="18"/>
        </w:rPr>
        <w:lastRenderedPageBreak/>
        <w:t xml:space="preserve">A: </w:t>
      </w:r>
      <w:r w:rsidR="009A69F2" w:rsidRPr="008F006A">
        <w:rPr>
          <w:rFonts w:ascii="Verdana" w:eastAsia="Calibri" w:hAnsi="Verdana" w:cstheme="minorHAnsi"/>
          <w:i/>
          <w:sz w:val="18"/>
          <w:szCs w:val="18"/>
        </w:rPr>
        <w:t>VPRs do not need to be sent to MassHealth but MassHealth reserves the right to audit VPR</w:t>
      </w:r>
      <w:r w:rsidR="009614C7" w:rsidRPr="008F006A">
        <w:rPr>
          <w:rFonts w:ascii="Verdana" w:eastAsia="Calibri" w:hAnsi="Verdana" w:cstheme="minorHAnsi"/>
          <w:i/>
          <w:sz w:val="18"/>
          <w:szCs w:val="18"/>
        </w:rPr>
        <w:t xml:space="preserve"> forms</w:t>
      </w:r>
      <w:r w:rsidR="009A69F2" w:rsidRPr="008F006A">
        <w:rPr>
          <w:rFonts w:ascii="Verdana" w:eastAsia="Calibri" w:hAnsi="Verdana" w:cstheme="minorHAnsi"/>
          <w:i/>
          <w:sz w:val="18"/>
          <w:szCs w:val="18"/>
        </w:rPr>
        <w:t>. See</w:t>
      </w:r>
      <w:r w:rsidR="00343085" w:rsidRPr="008F006A">
        <w:rPr>
          <w:rFonts w:ascii="Verdana" w:eastAsia="Calibri" w:hAnsi="Verdana" w:cstheme="minorHAnsi"/>
          <w:i/>
          <w:sz w:val="18"/>
          <w:szCs w:val="18"/>
        </w:rPr>
        <w:t xml:space="preserve"> Section 5.3 of the</w:t>
      </w:r>
      <w:r w:rsidR="009A69F2" w:rsidRPr="008F006A">
        <w:rPr>
          <w:rFonts w:ascii="Verdana" w:eastAsia="Calibri" w:hAnsi="Verdana" w:cstheme="minorHAnsi"/>
          <w:i/>
          <w:sz w:val="18"/>
          <w:szCs w:val="18"/>
        </w:rPr>
        <w:t xml:space="preserve"> </w:t>
      </w:r>
      <w:r w:rsidR="001723B7" w:rsidRPr="008F006A">
        <w:rPr>
          <w:rFonts w:ascii="Verdana" w:eastAsia="Calibri" w:hAnsi="Verdana" w:cstheme="minorHAnsi"/>
          <w:i/>
          <w:sz w:val="18"/>
          <w:szCs w:val="18"/>
        </w:rPr>
        <w:t xml:space="preserve">PY3 </w:t>
      </w:r>
      <w:r w:rsidR="009A69F2" w:rsidRPr="008F006A">
        <w:rPr>
          <w:rFonts w:ascii="Verdana" w:eastAsia="Calibri" w:hAnsi="Verdana" w:cstheme="minorHAnsi"/>
          <w:i/>
          <w:sz w:val="18"/>
          <w:szCs w:val="18"/>
        </w:rPr>
        <w:t xml:space="preserve">FS Guidance </w:t>
      </w:r>
      <w:r w:rsidR="00343085" w:rsidRPr="008F006A">
        <w:rPr>
          <w:rFonts w:ascii="Verdana" w:eastAsia="Calibri" w:hAnsi="Verdana" w:cstheme="minorHAnsi"/>
          <w:i/>
          <w:sz w:val="18"/>
          <w:szCs w:val="18"/>
        </w:rPr>
        <w:t>Document</w:t>
      </w:r>
      <w:r w:rsidR="001723B7" w:rsidRPr="008F006A">
        <w:rPr>
          <w:rFonts w:ascii="Verdana" w:eastAsia="Calibri" w:hAnsi="Verdana" w:cstheme="minorHAnsi"/>
          <w:i/>
          <w:sz w:val="18"/>
          <w:szCs w:val="18"/>
        </w:rPr>
        <w:t xml:space="preserve"> (Version 1.0)</w:t>
      </w:r>
      <w:r w:rsidR="00343085" w:rsidRPr="008F006A">
        <w:rPr>
          <w:rFonts w:ascii="Verdana" w:eastAsia="Calibri" w:hAnsi="Verdana" w:cstheme="minorHAnsi"/>
          <w:i/>
          <w:sz w:val="18"/>
          <w:szCs w:val="18"/>
        </w:rPr>
        <w:t xml:space="preserve"> </w:t>
      </w:r>
      <w:r w:rsidR="009A69F2" w:rsidRPr="008F006A">
        <w:rPr>
          <w:rFonts w:ascii="Verdana" w:eastAsia="Calibri" w:hAnsi="Verdana" w:cstheme="minorHAnsi"/>
          <w:i/>
          <w:sz w:val="18"/>
          <w:szCs w:val="18"/>
        </w:rPr>
        <w:t>for more information</w:t>
      </w:r>
      <w:r w:rsidR="0059715F" w:rsidRPr="008F006A">
        <w:rPr>
          <w:rFonts w:ascii="Verdana" w:eastAsia="Calibri" w:hAnsi="Verdana" w:cstheme="minorHAnsi"/>
          <w:i/>
          <w:sz w:val="18"/>
          <w:szCs w:val="18"/>
        </w:rPr>
        <w:t xml:space="preserve">. </w:t>
      </w:r>
    </w:p>
    <w:p w:rsidR="00827581" w:rsidRPr="008F006A" w:rsidRDefault="00827581" w:rsidP="00DE0968">
      <w:pPr>
        <w:pStyle w:val="ListParagraph"/>
        <w:spacing w:after="0" w:line="240" w:lineRule="auto"/>
        <w:ind w:left="1080"/>
        <w:rPr>
          <w:rFonts w:ascii="Verdana" w:eastAsia="Times New Roman" w:hAnsi="Verdana"/>
          <w:i/>
          <w:color w:val="000000"/>
          <w:sz w:val="18"/>
          <w:szCs w:val="18"/>
        </w:rPr>
      </w:pPr>
    </w:p>
    <w:p w:rsidR="00827581" w:rsidRPr="008F006A" w:rsidRDefault="00827581" w:rsidP="00DE0968">
      <w:pPr>
        <w:pStyle w:val="ListParagraph"/>
        <w:numPr>
          <w:ilvl w:val="0"/>
          <w:numId w:val="17"/>
        </w:numPr>
        <w:spacing w:after="0" w:line="240" w:lineRule="auto"/>
        <w:rPr>
          <w:rFonts w:ascii="Verdana" w:hAnsi="Verdana"/>
          <w:b/>
          <w:sz w:val="18"/>
          <w:szCs w:val="18"/>
        </w:rPr>
      </w:pPr>
      <w:r w:rsidRPr="008F006A">
        <w:rPr>
          <w:rFonts w:ascii="Verdana" w:hAnsi="Verdana"/>
          <w:b/>
          <w:sz w:val="18"/>
          <w:szCs w:val="18"/>
        </w:rPr>
        <w:t xml:space="preserve">Q: </w:t>
      </w:r>
      <w:r w:rsidRPr="008F006A">
        <w:rPr>
          <w:rFonts w:ascii="Verdana" w:hAnsi="Verdana"/>
          <w:sz w:val="18"/>
          <w:szCs w:val="18"/>
        </w:rPr>
        <w:t xml:space="preserve">How often do ACOs and SSOs need to complete the VPR form and VPR </w:t>
      </w:r>
      <w:r w:rsidR="00DE0968" w:rsidRPr="008F006A">
        <w:rPr>
          <w:rFonts w:ascii="Verdana" w:hAnsi="Verdana"/>
          <w:sz w:val="18"/>
          <w:szCs w:val="18"/>
        </w:rPr>
        <w:t>F</w:t>
      </w:r>
      <w:r w:rsidRPr="008F006A">
        <w:rPr>
          <w:rFonts w:ascii="Verdana" w:hAnsi="Verdana"/>
          <w:sz w:val="18"/>
          <w:szCs w:val="18"/>
        </w:rPr>
        <w:t>ollow-</w:t>
      </w:r>
      <w:r w:rsidR="00DE0968" w:rsidRPr="008F006A">
        <w:rPr>
          <w:rFonts w:ascii="Verdana" w:hAnsi="Verdana"/>
          <w:sz w:val="18"/>
          <w:szCs w:val="18"/>
        </w:rPr>
        <w:t>U</w:t>
      </w:r>
      <w:r w:rsidRPr="008F006A">
        <w:rPr>
          <w:rFonts w:ascii="Verdana" w:hAnsi="Verdana"/>
          <w:sz w:val="18"/>
          <w:szCs w:val="18"/>
        </w:rPr>
        <w:t xml:space="preserve">p </w:t>
      </w:r>
      <w:r w:rsidR="00DE0968" w:rsidRPr="008F006A">
        <w:rPr>
          <w:rFonts w:ascii="Verdana" w:hAnsi="Verdana"/>
          <w:sz w:val="18"/>
          <w:szCs w:val="18"/>
        </w:rPr>
        <w:t>F</w:t>
      </w:r>
      <w:r w:rsidRPr="008F006A">
        <w:rPr>
          <w:rFonts w:ascii="Verdana" w:hAnsi="Verdana"/>
          <w:sz w:val="18"/>
          <w:szCs w:val="18"/>
        </w:rPr>
        <w:t>orm?</w:t>
      </w:r>
    </w:p>
    <w:p w:rsidR="009A69F2" w:rsidRPr="008F006A" w:rsidRDefault="00827581" w:rsidP="003C1C6E">
      <w:pPr>
        <w:pStyle w:val="ListParagraph"/>
        <w:numPr>
          <w:ilvl w:val="0"/>
          <w:numId w:val="10"/>
        </w:numPr>
        <w:spacing w:after="0" w:line="240" w:lineRule="auto"/>
        <w:ind w:left="1440"/>
        <w:rPr>
          <w:rFonts w:ascii="Verdana" w:eastAsia="Times New Roman" w:hAnsi="Verdana"/>
          <w:i/>
          <w:color w:val="000000"/>
          <w:sz w:val="18"/>
          <w:szCs w:val="18"/>
        </w:rPr>
      </w:pPr>
      <w:r w:rsidRPr="008F006A">
        <w:rPr>
          <w:rFonts w:ascii="Verdana" w:eastAsia="Times New Roman" w:hAnsi="Verdana"/>
          <w:b/>
          <w:i/>
          <w:color w:val="000000"/>
          <w:sz w:val="18"/>
          <w:szCs w:val="18"/>
        </w:rPr>
        <w:t>A:</w:t>
      </w:r>
      <w:r w:rsidRPr="008F006A">
        <w:rPr>
          <w:rFonts w:ascii="Verdana" w:eastAsia="Times New Roman" w:hAnsi="Verdana"/>
          <w:i/>
          <w:color w:val="000000"/>
          <w:sz w:val="18"/>
          <w:szCs w:val="18"/>
        </w:rPr>
        <w:t xml:space="preserve"> </w:t>
      </w:r>
      <w:r w:rsidR="00AB0DCE" w:rsidRPr="008F006A">
        <w:rPr>
          <w:rFonts w:ascii="Verdana" w:eastAsia="Times New Roman" w:hAnsi="Verdana"/>
          <w:i/>
          <w:color w:val="000000"/>
          <w:sz w:val="18"/>
          <w:szCs w:val="18"/>
        </w:rPr>
        <w:t>In terms of</w:t>
      </w:r>
      <w:r w:rsidR="0059715F" w:rsidRPr="008F006A">
        <w:rPr>
          <w:rFonts w:ascii="Verdana" w:eastAsia="Times New Roman" w:hAnsi="Verdana"/>
          <w:i/>
          <w:color w:val="000000"/>
          <w:sz w:val="18"/>
          <w:szCs w:val="18"/>
        </w:rPr>
        <w:t xml:space="preserve"> transmission of the VPR form, </w:t>
      </w:r>
      <w:r w:rsidR="00AB0DCE" w:rsidRPr="008F006A">
        <w:rPr>
          <w:rFonts w:ascii="Verdana" w:eastAsia="Times New Roman" w:hAnsi="Verdana"/>
          <w:i/>
          <w:color w:val="000000"/>
          <w:sz w:val="18"/>
          <w:szCs w:val="18"/>
        </w:rPr>
        <w:t xml:space="preserve">an ACO should send a VPR to an SSO each time it refers a </w:t>
      </w:r>
      <w:r w:rsidR="006E7685" w:rsidRPr="008F006A">
        <w:rPr>
          <w:rFonts w:ascii="Verdana" w:eastAsia="Times New Roman" w:hAnsi="Verdana"/>
          <w:i/>
          <w:color w:val="000000"/>
          <w:sz w:val="18"/>
          <w:szCs w:val="18"/>
        </w:rPr>
        <w:t xml:space="preserve">member for a </w:t>
      </w:r>
      <w:r w:rsidR="00AB0DCE" w:rsidRPr="008F006A">
        <w:rPr>
          <w:rFonts w:ascii="Verdana" w:eastAsia="Times New Roman" w:hAnsi="Verdana"/>
          <w:i/>
          <w:color w:val="000000"/>
          <w:sz w:val="18"/>
          <w:szCs w:val="18"/>
        </w:rPr>
        <w:t xml:space="preserve">service. However, </w:t>
      </w:r>
      <w:r w:rsidR="006E7685" w:rsidRPr="008F006A">
        <w:rPr>
          <w:rFonts w:ascii="Verdana" w:eastAsia="Times New Roman" w:hAnsi="Verdana"/>
          <w:i/>
          <w:color w:val="000000"/>
          <w:sz w:val="18"/>
          <w:szCs w:val="18"/>
        </w:rPr>
        <w:t>i</w:t>
      </w:r>
      <w:r w:rsidR="00F34DAE" w:rsidRPr="008F006A">
        <w:rPr>
          <w:rFonts w:ascii="Verdana" w:eastAsia="Times New Roman" w:hAnsi="Verdana"/>
          <w:i/>
          <w:color w:val="000000"/>
          <w:sz w:val="18"/>
          <w:szCs w:val="18"/>
        </w:rPr>
        <w:t>n order to reduce the administrative burden of frequently producing VPR forms, MassHealth will not require transmission of the VPR Follow-Up Form each time a</w:t>
      </w:r>
      <w:r w:rsidR="003733FE" w:rsidRPr="008F006A">
        <w:rPr>
          <w:rFonts w:ascii="Verdana" w:eastAsia="Times New Roman" w:hAnsi="Verdana"/>
          <w:i/>
          <w:color w:val="000000"/>
          <w:sz w:val="18"/>
          <w:szCs w:val="18"/>
        </w:rPr>
        <w:t>n individual</w:t>
      </w:r>
      <w:r w:rsidR="00F34DAE" w:rsidRPr="008F006A">
        <w:rPr>
          <w:rFonts w:ascii="Verdana" w:eastAsia="Times New Roman" w:hAnsi="Verdana"/>
          <w:i/>
          <w:color w:val="000000"/>
          <w:sz w:val="18"/>
          <w:szCs w:val="18"/>
        </w:rPr>
        <w:t xml:space="preserve"> service has been delivered (e.g. meals, nutrition education, home modifications), since this would be a frequent occurrence (e.g. on a daily or weekly basis)</w:t>
      </w:r>
      <w:r w:rsidR="00C20B1F" w:rsidRPr="008F006A">
        <w:rPr>
          <w:rFonts w:ascii="Verdana" w:eastAsia="Times New Roman" w:hAnsi="Verdana"/>
          <w:i/>
          <w:color w:val="000000"/>
          <w:sz w:val="18"/>
          <w:szCs w:val="18"/>
        </w:rPr>
        <w:t>.</w:t>
      </w:r>
      <w:r w:rsidR="00F34DAE" w:rsidRPr="008F006A">
        <w:rPr>
          <w:rFonts w:ascii="Verdana" w:eastAsia="Times New Roman" w:hAnsi="Verdana"/>
          <w:i/>
          <w:color w:val="000000"/>
          <w:sz w:val="18"/>
          <w:szCs w:val="18"/>
        </w:rPr>
        <w:t xml:space="preserve"> The VPR Follow-Up Form should be completed by the SSO and sent to the ACO at the end of the Flexible Services delivery period</w:t>
      </w:r>
      <w:r w:rsidR="00A20642" w:rsidRPr="008F006A">
        <w:rPr>
          <w:rFonts w:ascii="Verdana" w:eastAsia="Times New Roman" w:hAnsi="Verdana"/>
          <w:i/>
          <w:color w:val="000000"/>
          <w:sz w:val="18"/>
          <w:szCs w:val="18"/>
        </w:rPr>
        <w:t>.</w:t>
      </w:r>
      <w:r w:rsidR="001723B7" w:rsidRPr="008F006A">
        <w:rPr>
          <w:rFonts w:ascii="Verdana" w:eastAsia="Times New Roman" w:hAnsi="Verdana"/>
          <w:i/>
          <w:color w:val="000000"/>
          <w:sz w:val="18"/>
          <w:szCs w:val="18"/>
        </w:rPr>
        <w:t xml:space="preserve"> </w:t>
      </w:r>
      <w:r w:rsidR="006E7685" w:rsidRPr="008F006A">
        <w:rPr>
          <w:rFonts w:ascii="Verdana" w:eastAsia="Times New Roman" w:hAnsi="Verdana"/>
          <w:i/>
          <w:color w:val="000000"/>
          <w:sz w:val="18"/>
          <w:szCs w:val="18"/>
        </w:rPr>
        <w:t>For example, if an SSO is delivering medically-tailored meals (MTM) to members as part of a 6-month nutrition intervention program, the SSO may complete and send the VPR Follow-Up Form to the ACO once at the end of the 6-month MTM delivery period</w:t>
      </w:r>
      <w:r w:rsidR="001723B7" w:rsidRPr="008F006A">
        <w:rPr>
          <w:rFonts w:ascii="Verdana" w:eastAsia="Times New Roman" w:hAnsi="Verdana"/>
          <w:i/>
          <w:color w:val="000000"/>
          <w:sz w:val="18"/>
          <w:szCs w:val="18"/>
        </w:rPr>
        <w:t xml:space="preserve">. </w:t>
      </w:r>
      <w:r w:rsidR="003F6D61" w:rsidRPr="008F006A">
        <w:rPr>
          <w:rFonts w:ascii="Verdana" w:eastAsia="Times New Roman" w:hAnsi="Verdana"/>
          <w:i/>
          <w:color w:val="000000"/>
          <w:sz w:val="18"/>
          <w:szCs w:val="18"/>
        </w:rPr>
        <w:t xml:space="preserve">ACOs and/or CPs must keep VPR </w:t>
      </w:r>
      <w:r w:rsidR="00211E5C" w:rsidRPr="008F006A">
        <w:rPr>
          <w:rFonts w:ascii="Verdana" w:eastAsia="Times New Roman" w:hAnsi="Verdana"/>
          <w:i/>
          <w:color w:val="000000"/>
          <w:sz w:val="18"/>
          <w:szCs w:val="18"/>
        </w:rPr>
        <w:t>f</w:t>
      </w:r>
      <w:r w:rsidR="003F6D61" w:rsidRPr="008F006A">
        <w:rPr>
          <w:rFonts w:ascii="Verdana" w:eastAsia="Times New Roman" w:hAnsi="Verdana"/>
          <w:i/>
          <w:color w:val="000000"/>
          <w:sz w:val="18"/>
          <w:szCs w:val="18"/>
        </w:rPr>
        <w:t xml:space="preserve">orms or records in a central location accessible to the individuals managing the member’s FS care. </w:t>
      </w:r>
    </w:p>
    <w:p w:rsidR="00F34DAE" w:rsidRPr="008F006A" w:rsidRDefault="00F34DAE" w:rsidP="00F34DAE">
      <w:pPr>
        <w:pStyle w:val="ListParagraph"/>
        <w:spacing w:after="0" w:line="240" w:lineRule="auto"/>
        <w:ind w:left="2160"/>
        <w:rPr>
          <w:rFonts w:ascii="Verdana" w:eastAsia="Times New Roman" w:hAnsi="Verdana"/>
          <w:color w:val="000000"/>
          <w:sz w:val="18"/>
          <w:szCs w:val="18"/>
        </w:rPr>
      </w:pPr>
    </w:p>
    <w:p w:rsidR="00F34DAE" w:rsidRPr="008F006A" w:rsidRDefault="00F34DAE" w:rsidP="009D6242">
      <w:pPr>
        <w:pStyle w:val="Heading3"/>
      </w:pPr>
      <w:bookmarkStart w:id="25" w:name="_Toc32577188"/>
      <w:r w:rsidRPr="008F006A">
        <w:t>Integration of VPR Form into Electronic Systems</w:t>
      </w:r>
      <w:bookmarkEnd w:id="25"/>
    </w:p>
    <w:p w:rsidR="00F34DAE" w:rsidRPr="008F006A" w:rsidRDefault="00F34DAE" w:rsidP="00F34DAE">
      <w:pPr>
        <w:pStyle w:val="ListParagraph"/>
        <w:numPr>
          <w:ilvl w:val="0"/>
          <w:numId w:val="17"/>
        </w:numPr>
        <w:spacing w:after="0" w:line="240" w:lineRule="auto"/>
        <w:rPr>
          <w:rFonts w:ascii="Verdana" w:eastAsia="Times New Roman" w:hAnsi="Verdana"/>
          <w:b/>
          <w:color w:val="000000"/>
          <w:sz w:val="18"/>
          <w:szCs w:val="18"/>
        </w:rPr>
      </w:pPr>
      <w:r w:rsidRPr="008F006A">
        <w:rPr>
          <w:rFonts w:ascii="Verdana" w:eastAsia="Times New Roman" w:hAnsi="Verdana"/>
          <w:b/>
          <w:color w:val="000000"/>
          <w:sz w:val="18"/>
          <w:szCs w:val="18"/>
        </w:rPr>
        <w:t xml:space="preserve">Q: </w:t>
      </w:r>
      <w:r w:rsidRPr="008F006A">
        <w:rPr>
          <w:rFonts w:ascii="Verdana" w:eastAsia="Times New Roman" w:hAnsi="Verdana"/>
          <w:color w:val="000000"/>
          <w:sz w:val="18"/>
          <w:szCs w:val="18"/>
        </w:rPr>
        <w:t>Can ACOs build the VPR form into existing</w:t>
      </w:r>
      <w:r w:rsidR="00C20B1F" w:rsidRPr="008F006A">
        <w:rPr>
          <w:rFonts w:ascii="Verdana" w:eastAsia="Times New Roman" w:hAnsi="Verdana"/>
          <w:color w:val="000000"/>
          <w:sz w:val="18"/>
          <w:szCs w:val="18"/>
        </w:rPr>
        <w:t xml:space="preserve"> electronic</w:t>
      </w:r>
      <w:r w:rsidRPr="008F006A">
        <w:rPr>
          <w:rFonts w:ascii="Verdana" w:eastAsia="Times New Roman" w:hAnsi="Verdana"/>
          <w:color w:val="000000"/>
          <w:sz w:val="18"/>
          <w:szCs w:val="18"/>
        </w:rPr>
        <w:t xml:space="preserve"> systems? Does it need to be </w:t>
      </w:r>
      <w:r w:rsidR="00C20B1F" w:rsidRPr="008F006A">
        <w:rPr>
          <w:rFonts w:ascii="Verdana" w:eastAsia="Times New Roman" w:hAnsi="Verdana"/>
          <w:color w:val="000000"/>
          <w:sz w:val="18"/>
          <w:szCs w:val="18"/>
        </w:rPr>
        <w:t>identical to the VPR</w:t>
      </w:r>
      <w:r w:rsidRPr="008F006A">
        <w:rPr>
          <w:rFonts w:ascii="Verdana" w:eastAsia="Times New Roman" w:hAnsi="Verdana"/>
          <w:color w:val="000000"/>
          <w:sz w:val="18"/>
          <w:szCs w:val="18"/>
        </w:rPr>
        <w:t>?</w:t>
      </w:r>
    </w:p>
    <w:p w:rsidR="008C5C72" w:rsidRPr="008F006A" w:rsidRDefault="00F34DAE" w:rsidP="00DA6BBD">
      <w:pPr>
        <w:pStyle w:val="ListParagraph"/>
        <w:numPr>
          <w:ilvl w:val="1"/>
          <w:numId w:val="17"/>
        </w:numPr>
        <w:spacing w:after="0" w:line="240" w:lineRule="auto"/>
        <w:rPr>
          <w:rFonts w:ascii="Verdana" w:eastAsia="Times New Roman" w:hAnsi="Verdana"/>
          <w:b/>
          <w:i/>
          <w:color w:val="000000"/>
          <w:sz w:val="18"/>
          <w:szCs w:val="18"/>
        </w:rPr>
      </w:pPr>
      <w:r w:rsidRPr="008F006A">
        <w:rPr>
          <w:rFonts w:ascii="Verdana" w:eastAsia="Times New Roman" w:hAnsi="Verdana"/>
          <w:b/>
          <w:i/>
          <w:color w:val="000000"/>
          <w:sz w:val="18"/>
          <w:szCs w:val="18"/>
        </w:rPr>
        <w:t xml:space="preserve">A: </w:t>
      </w:r>
      <w:r w:rsidRPr="008F006A">
        <w:rPr>
          <w:rFonts w:ascii="Verdana" w:eastAsia="Times New Roman" w:hAnsi="Verdana"/>
          <w:i/>
          <w:color w:val="000000"/>
          <w:sz w:val="18"/>
          <w:szCs w:val="18"/>
        </w:rPr>
        <w:t>For ACOs that prefer to build the VPR form into their own dashboard or electronic system, ACOs must maintain the same language of the questions listed in the form and use the questions provided in the same order as they appear in the VPR</w:t>
      </w:r>
      <w:r w:rsidR="00211E5C" w:rsidRPr="008F006A">
        <w:rPr>
          <w:rFonts w:ascii="Verdana" w:eastAsia="Times New Roman" w:hAnsi="Verdana"/>
          <w:i/>
          <w:color w:val="000000"/>
          <w:sz w:val="18"/>
          <w:szCs w:val="18"/>
        </w:rPr>
        <w:t xml:space="preserve"> form</w:t>
      </w:r>
      <w:r w:rsidR="008C5C72" w:rsidRPr="008F006A">
        <w:rPr>
          <w:rFonts w:ascii="Verdana" w:eastAsia="Times New Roman" w:hAnsi="Verdana"/>
          <w:i/>
          <w:color w:val="000000"/>
          <w:sz w:val="18"/>
          <w:szCs w:val="18"/>
        </w:rPr>
        <w:t>. ACOs should contact their Flexible Service Point of Contact for questions or concerns.</w:t>
      </w:r>
    </w:p>
    <w:p w:rsidR="008C5C72" w:rsidRPr="008F006A" w:rsidRDefault="008C5C72" w:rsidP="008C5C72">
      <w:pPr>
        <w:pStyle w:val="ListParagraph"/>
        <w:spacing w:after="0" w:line="240" w:lineRule="auto"/>
        <w:rPr>
          <w:rFonts w:ascii="Verdana" w:eastAsia="Times New Roman" w:hAnsi="Verdana"/>
          <w:b/>
          <w:color w:val="000000"/>
          <w:sz w:val="18"/>
          <w:szCs w:val="18"/>
        </w:rPr>
      </w:pPr>
    </w:p>
    <w:p w:rsidR="008C5C72" w:rsidRPr="008F006A" w:rsidRDefault="008C5C72" w:rsidP="008C5C72">
      <w:pPr>
        <w:pStyle w:val="ListParagraph"/>
        <w:numPr>
          <w:ilvl w:val="0"/>
          <w:numId w:val="17"/>
        </w:numPr>
        <w:spacing w:after="0" w:line="240" w:lineRule="auto"/>
        <w:rPr>
          <w:rFonts w:ascii="Verdana" w:eastAsia="Times New Roman" w:hAnsi="Verdana"/>
          <w:sz w:val="18"/>
          <w:szCs w:val="18"/>
        </w:rPr>
      </w:pPr>
      <w:r w:rsidRPr="008F006A">
        <w:rPr>
          <w:rFonts w:ascii="Verdana" w:eastAsia="Times New Roman" w:hAnsi="Verdana"/>
          <w:b/>
          <w:sz w:val="18"/>
          <w:szCs w:val="18"/>
        </w:rPr>
        <w:t xml:space="preserve">Q: </w:t>
      </w:r>
      <w:r w:rsidRPr="008F006A">
        <w:rPr>
          <w:rFonts w:ascii="Verdana" w:eastAsia="Times New Roman" w:hAnsi="Verdana"/>
          <w:sz w:val="18"/>
          <w:szCs w:val="18"/>
        </w:rPr>
        <w:t xml:space="preserve">Does the </w:t>
      </w:r>
      <w:r w:rsidR="001615B0" w:rsidRPr="008F006A">
        <w:rPr>
          <w:rFonts w:ascii="Verdana" w:eastAsia="Times New Roman" w:hAnsi="Verdana"/>
          <w:sz w:val="18"/>
          <w:szCs w:val="18"/>
        </w:rPr>
        <w:t xml:space="preserve">VPR </w:t>
      </w:r>
      <w:r w:rsidRPr="008F006A">
        <w:rPr>
          <w:rFonts w:ascii="Verdana" w:eastAsia="Times New Roman" w:hAnsi="Verdana"/>
          <w:sz w:val="18"/>
          <w:szCs w:val="18"/>
        </w:rPr>
        <w:t xml:space="preserve">form need to display </w:t>
      </w:r>
      <w:r w:rsidRPr="008F006A">
        <w:rPr>
          <w:rFonts w:ascii="Verdana" w:hAnsi="Verdana"/>
          <w:sz w:val="18"/>
          <w:szCs w:val="18"/>
        </w:rPr>
        <w:t>non-applicable options for questions such as the health needs</w:t>
      </w:r>
      <w:r w:rsidR="001615B0" w:rsidRPr="008F006A">
        <w:rPr>
          <w:rFonts w:ascii="Verdana" w:hAnsi="Verdana"/>
          <w:sz w:val="18"/>
          <w:szCs w:val="18"/>
        </w:rPr>
        <w:t>-</w:t>
      </w:r>
      <w:r w:rsidRPr="008F006A">
        <w:rPr>
          <w:rFonts w:ascii="Verdana" w:hAnsi="Verdana"/>
          <w:sz w:val="18"/>
          <w:szCs w:val="18"/>
        </w:rPr>
        <w:t xml:space="preserve">based criteria or risk factor? For example, if the target population of an FS program is not screening for </w:t>
      </w:r>
      <w:r w:rsidR="001615B0" w:rsidRPr="008F006A">
        <w:rPr>
          <w:rFonts w:ascii="Verdana" w:hAnsi="Verdana"/>
          <w:sz w:val="18"/>
          <w:szCs w:val="18"/>
        </w:rPr>
        <w:t>behavior health</w:t>
      </w:r>
      <w:r w:rsidRPr="008F006A">
        <w:rPr>
          <w:rFonts w:ascii="Verdana" w:hAnsi="Verdana"/>
          <w:sz w:val="18"/>
          <w:szCs w:val="18"/>
        </w:rPr>
        <w:t xml:space="preserve"> need, does that need to be included?</w:t>
      </w:r>
    </w:p>
    <w:p w:rsidR="008C5C72" w:rsidRPr="008F006A" w:rsidRDefault="008C5C72" w:rsidP="00DA6BBD">
      <w:pPr>
        <w:pStyle w:val="ListParagraph"/>
        <w:numPr>
          <w:ilvl w:val="1"/>
          <w:numId w:val="17"/>
        </w:numPr>
        <w:spacing w:after="0" w:line="240" w:lineRule="auto"/>
        <w:rPr>
          <w:rFonts w:ascii="Verdana" w:eastAsia="Times New Roman" w:hAnsi="Verdana"/>
          <w:i/>
          <w:sz w:val="18"/>
          <w:szCs w:val="18"/>
        </w:rPr>
      </w:pPr>
      <w:r w:rsidRPr="008F006A">
        <w:rPr>
          <w:rFonts w:ascii="Verdana" w:eastAsia="Times New Roman" w:hAnsi="Verdana"/>
          <w:b/>
          <w:i/>
          <w:sz w:val="18"/>
          <w:szCs w:val="18"/>
        </w:rPr>
        <w:t>A:</w:t>
      </w:r>
      <w:r w:rsidRPr="008F006A">
        <w:rPr>
          <w:rFonts w:ascii="Verdana" w:eastAsia="Times New Roman" w:hAnsi="Verdana"/>
          <w:i/>
          <w:sz w:val="18"/>
          <w:szCs w:val="18"/>
        </w:rPr>
        <w:t xml:space="preserve"> No, non-relevant options for questions may be removed from the form.</w:t>
      </w:r>
    </w:p>
    <w:p w:rsidR="00AB4FD4" w:rsidRPr="008F006A" w:rsidRDefault="00AB4FD4" w:rsidP="00CB0B3A">
      <w:pPr>
        <w:rPr>
          <w:rFonts w:ascii="Verdana" w:hAnsi="Verdana"/>
          <w:b/>
          <w:sz w:val="18"/>
          <w:szCs w:val="18"/>
          <w:highlight w:val="yellow"/>
          <w:u w:val="single"/>
        </w:rPr>
      </w:pPr>
    </w:p>
    <w:p w:rsidR="001615B0" w:rsidRPr="008F006A" w:rsidRDefault="001615B0" w:rsidP="009D6242">
      <w:pPr>
        <w:pStyle w:val="Heading2"/>
      </w:pPr>
      <w:bookmarkStart w:id="26" w:name="_Toc32577189"/>
      <w:r w:rsidRPr="008F006A">
        <w:t>6. Preparation Period</w:t>
      </w:r>
      <w:bookmarkEnd w:id="26"/>
    </w:p>
    <w:p w:rsidR="001615B0" w:rsidRPr="008F006A" w:rsidRDefault="001615B0" w:rsidP="009D6242">
      <w:pPr>
        <w:pStyle w:val="Heading3"/>
      </w:pPr>
      <w:bookmarkStart w:id="27" w:name="_Toc32577190"/>
      <w:r w:rsidRPr="008F006A">
        <w:t>Attestation Requirements for ACO-CP and SSO-</w:t>
      </w:r>
      <w:r w:rsidR="00827581" w:rsidRPr="008F006A">
        <w:t xml:space="preserve">ACO </w:t>
      </w:r>
      <w:r w:rsidRPr="008F006A">
        <w:t>Partnerships</w:t>
      </w:r>
      <w:bookmarkEnd w:id="27"/>
    </w:p>
    <w:p w:rsidR="001615B0" w:rsidRPr="008F006A" w:rsidRDefault="001615B0" w:rsidP="001615B0">
      <w:pPr>
        <w:pStyle w:val="ListParagraph"/>
        <w:numPr>
          <w:ilvl w:val="0"/>
          <w:numId w:val="36"/>
        </w:numPr>
        <w:shd w:val="clear" w:color="auto" w:fill="FFFFFF"/>
        <w:spacing w:after="0" w:line="240" w:lineRule="auto"/>
        <w:rPr>
          <w:rFonts w:ascii="Verdana" w:eastAsia="Times New Roman" w:hAnsi="Verdana" w:cs="Calibri"/>
          <w:b/>
          <w:sz w:val="18"/>
          <w:szCs w:val="18"/>
        </w:rPr>
      </w:pPr>
      <w:r w:rsidRPr="008F006A">
        <w:rPr>
          <w:rFonts w:ascii="Verdana" w:eastAsia="Times New Roman" w:hAnsi="Verdana" w:cs="Calibri"/>
          <w:b/>
          <w:sz w:val="18"/>
          <w:szCs w:val="18"/>
        </w:rPr>
        <w:t>Q:</w:t>
      </w:r>
      <w:r w:rsidRPr="008F006A">
        <w:rPr>
          <w:rFonts w:ascii="Verdana" w:eastAsia="Times New Roman" w:hAnsi="Verdana" w:cs="Calibri"/>
          <w:sz w:val="18"/>
          <w:szCs w:val="18"/>
        </w:rPr>
        <w:t xml:space="preserve"> If an ACO is contracting with a CP for purposes of an ACO-CP Partnership as well as an SSO, does </w:t>
      </w:r>
      <w:r w:rsidR="00437477" w:rsidRPr="008F006A">
        <w:rPr>
          <w:rFonts w:ascii="Verdana" w:eastAsia="Times New Roman" w:hAnsi="Verdana" w:cs="Calibri"/>
          <w:sz w:val="18"/>
          <w:szCs w:val="18"/>
        </w:rPr>
        <w:t xml:space="preserve">the ACO </w:t>
      </w:r>
      <w:r w:rsidRPr="008F006A">
        <w:rPr>
          <w:rFonts w:ascii="Verdana" w:eastAsia="Times New Roman" w:hAnsi="Verdana" w:cs="Calibri"/>
          <w:sz w:val="18"/>
          <w:szCs w:val="18"/>
        </w:rPr>
        <w:t>need to fill out both attestation forms?</w:t>
      </w:r>
    </w:p>
    <w:p w:rsidR="001615B0" w:rsidRPr="008F006A" w:rsidRDefault="001615B0" w:rsidP="00DA6BBD">
      <w:pPr>
        <w:pStyle w:val="ListParagraph"/>
        <w:numPr>
          <w:ilvl w:val="1"/>
          <w:numId w:val="36"/>
        </w:numPr>
        <w:shd w:val="clear" w:color="auto" w:fill="FFFFFF"/>
        <w:spacing w:after="0" w:line="240" w:lineRule="auto"/>
        <w:rPr>
          <w:rFonts w:ascii="Verdana" w:eastAsia="Times New Roman" w:hAnsi="Verdana" w:cs="Calibri"/>
          <w:b/>
          <w:i/>
          <w:sz w:val="18"/>
          <w:szCs w:val="18"/>
        </w:rPr>
      </w:pPr>
      <w:r w:rsidRPr="008F006A">
        <w:rPr>
          <w:rFonts w:ascii="Verdana" w:eastAsia="Times New Roman" w:hAnsi="Verdana" w:cs="Calibri"/>
          <w:b/>
          <w:i/>
          <w:sz w:val="18"/>
          <w:szCs w:val="18"/>
        </w:rPr>
        <w:t xml:space="preserve">A: </w:t>
      </w:r>
      <w:r w:rsidRPr="008F006A">
        <w:rPr>
          <w:rFonts w:ascii="Verdana" w:eastAsia="Times New Roman" w:hAnsi="Verdana" w:cs="Calibri"/>
          <w:i/>
          <w:sz w:val="18"/>
          <w:szCs w:val="18"/>
        </w:rPr>
        <w:t xml:space="preserve">Not necessarily. If an ACO and CP/SSO are utilizing one contract, they can submit one attestation and indicate that they have one combined contract. </w:t>
      </w:r>
      <w:r w:rsidRPr="008F006A">
        <w:rPr>
          <w:rFonts w:ascii="Verdana" w:eastAsia="Times New Roman" w:hAnsi="Verdana" w:cs="Calibri"/>
          <w:i/>
          <w:sz w:val="18"/>
          <w:szCs w:val="18"/>
        </w:rPr>
        <w:br/>
      </w:r>
    </w:p>
    <w:p w:rsidR="001615B0" w:rsidRPr="008F006A" w:rsidRDefault="001615B0" w:rsidP="009D6242">
      <w:pPr>
        <w:pStyle w:val="Heading3"/>
      </w:pPr>
      <w:bookmarkStart w:id="28" w:name="_Toc32577191"/>
      <w:r w:rsidRPr="008F006A">
        <w:t>Program Integrity Requirements</w:t>
      </w:r>
      <w:bookmarkEnd w:id="28"/>
    </w:p>
    <w:p w:rsidR="001615B0" w:rsidRPr="008F006A" w:rsidRDefault="001615B0" w:rsidP="001615B0">
      <w:pPr>
        <w:pStyle w:val="ListParagraph"/>
        <w:numPr>
          <w:ilvl w:val="0"/>
          <w:numId w:val="35"/>
        </w:numPr>
        <w:shd w:val="clear" w:color="auto" w:fill="FFFFFF"/>
        <w:spacing w:after="0" w:line="240" w:lineRule="auto"/>
        <w:rPr>
          <w:rFonts w:ascii="Verdana" w:eastAsia="Times New Roman" w:hAnsi="Verdana" w:cs="Calibri"/>
          <w:b/>
          <w:color w:val="212121"/>
          <w:sz w:val="18"/>
          <w:szCs w:val="18"/>
        </w:rPr>
      </w:pPr>
      <w:r w:rsidRPr="008F006A">
        <w:rPr>
          <w:rFonts w:ascii="Verdana" w:eastAsia="Times New Roman" w:hAnsi="Verdana" w:cs="Calibri"/>
          <w:b/>
          <w:color w:val="212121"/>
          <w:sz w:val="18"/>
          <w:szCs w:val="18"/>
        </w:rPr>
        <w:t xml:space="preserve">Q: </w:t>
      </w:r>
      <w:r w:rsidRPr="008F006A">
        <w:rPr>
          <w:rFonts w:ascii="Verdana" w:eastAsia="Times New Roman" w:hAnsi="Verdana" w:cs="Calibri"/>
          <w:color w:val="212121"/>
          <w:sz w:val="18"/>
          <w:szCs w:val="18"/>
        </w:rPr>
        <w:t xml:space="preserve">What information should an ACO include in its program integrity </w:t>
      </w:r>
      <w:r w:rsidR="003C3930" w:rsidRPr="008F006A">
        <w:rPr>
          <w:rFonts w:ascii="Verdana" w:eastAsia="Times New Roman" w:hAnsi="Verdana" w:cs="Calibri"/>
          <w:color w:val="212121"/>
          <w:sz w:val="18"/>
          <w:szCs w:val="18"/>
        </w:rPr>
        <w:t xml:space="preserve">plan </w:t>
      </w:r>
      <w:r w:rsidRPr="008F006A">
        <w:rPr>
          <w:rFonts w:ascii="Verdana" w:eastAsia="Times New Roman" w:hAnsi="Verdana" w:cs="Calibri"/>
          <w:color w:val="212121"/>
          <w:sz w:val="18"/>
          <w:szCs w:val="18"/>
        </w:rPr>
        <w:t>submission</w:t>
      </w:r>
      <w:r w:rsidR="003C3930" w:rsidRPr="008F006A">
        <w:rPr>
          <w:rFonts w:ascii="Verdana" w:eastAsia="Times New Roman" w:hAnsi="Verdana" w:cs="Calibri"/>
          <w:color w:val="212121"/>
          <w:sz w:val="18"/>
          <w:szCs w:val="18"/>
        </w:rPr>
        <w:t>(</w:t>
      </w:r>
      <w:r w:rsidR="003B1444" w:rsidRPr="008F006A">
        <w:rPr>
          <w:rFonts w:ascii="Verdana" w:eastAsia="Times New Roman" w:hAnsi="Verdana" w:cs="Calibri"/>
          <w:color w:val="212121"/>
          <w:sz w:val="18"/>
          <w:szCs w:val="18"/>
        </w:rPr>
        <w:t>s</w:t>
      </w:r>
      <w:r w:rsidR="003C3930" w:rsidRPr="008F006A">
        <w:rPr>
          <w:rFonts w:ascii="Verdana" w:eastAsia="Times New Roman" w:hAnsi="Verdana" w:cs="Calibri"/>
          <w:color w:val="212121"/>
          <w:sz w:val="18"/>
          <w:szCs w:val="18"/>
        </w:rPr>
        <w:t>)</w:t>
      </w:r>
      <w:r w:rsidR="003B1444" w:rsidRPr="008F006A">
        <w:rPr>
          <w:rFonts w:ascii="Verdana" w:eastAsia="Times New Roman" w:hAnsi="Verdana" w:cs="Calibri"/>
          <w:color w:val="212121"/>
          <w:sz w:val="18"/>
          <w:szCs w:val="18"/>
        </w:rPr>
        <w:t xml:space="preserve"> related to vouchers/gift cards/passes</w:t>
      </w:r>
      <w:r w:rsidRPr="008F006A">
        <w:rPr>
          <w:rFonts w:ascii="Verdana" w:eastAsia="Times New Roman" w:hAnsi="Verdana" w:cs="Calibri"/>
          <w:color w:val="212121"/>
          <w:sz w:val="18"/>
          <w:szCs w:val="18"/>
        </w:rPr>
        <w:t xml:space="preserve"> </w:t>
      </w:r>
      <w:r w:rsidR="003B1444" w:rsidRPr="008F006A">
        <w:rPr>
          <w:rFonts w:ascii="Verdana" w:eastAsia="Times New Roman" w:hAnsi="Verdana" w:cs="Calibri"/>
          <w:color w:val="212121"/>
          <w:sz w:val="18"/>
          <w:szCs w:val="18"/>
        </w:rPr>
        <w:t xml:space="preserve">that a member could receive for nutrition support services or </w:t>
      </w:r>
      <w:r w:rsidRPr="008F006A">
        <w:rPr>
          <w:rFonts w:ascii="Verdana" w:eastAsia="Times New Roman" w:hAnsi="Verdana" w:cs="Calibri"/>
          <w:color w:val="212121"/>
          <w:sz w:val="18"/>
          <w:szCs w:val="18"/>
        </w:rPr>
        <w:t>transportation</w:t>
      </w:r>
      <w:r w:rsidR="003B1444" w:rsidRPr="008F006A">
        <w:rPr>
          <w:rFonts w:ascii="Verdana" w:eastAsia="Times New Roman" w:hAnsi="Verdana" w:cs="Calibri"/>
          <w:color w:val="212121"/>
          <w:sz w:val="18"/>
          <w:szCs w:val="18"/>
        </w:rPr>
        <w:t xml:space="preserve"> to a Flexible Service</w:t>
      </w:r>
      <w:r w:rsidRPr="008F006A">
        <w:rPr>
          <w:rFonts w:ascii="Verdana" w:eastAsia="Times New Roman" w:hAnsi="Verdana" w:cs="Calibri"/>
          <w:color w:val="212121"/>
          <w:sz w:val="18"/>
          <w:szCs w:val="18"/>
        </w:rPr>
        <w:t>?</w:t>
      </w:r>
    </w:p>
    <w:p w:rsidR="001615B0" w:rsidRPr="008F006A" w:rsidRDefault="001615B0" w:rsidP="00DA6BBD">
      <w:pPr>
        <w:pStyle w:val="ListParagraph"/>
        <w:numPr>
          <w:ilvl w:val="1"/>
          <w:numId w:val="35"/>
        </w:numPr>
        <w:shd w:val="clear" w:color="auto" w:fill="FFFFFF"/>
        <w:spacing w:after="0" w:line="240" w:lineRule="auto"/>
        <w:rPr>
          <w:rFonts w:ascii="Verdana" w:eastAsia="Times New Roman" w:hAnsi="Verdana" w:cs="Calibri"/>
          <w:b/>
          <w:i/>
          <w:color w:val="212121"/>
          <w:sz w:val="18"/>
          <w:szCs w:val="18"/>
        </w:rPr>
      </w:pPr>
      <w:r w:rsidRPr="008F006A">
        <w:rPr>
          <w:rFonts w:ascii="Verdana" w:eastAsia="Times New Roman" w:hAnsi="Verdana" w:cs="Calibri"/>
          <w:b/>
          <w:i/>
          <w:color w:val="212121"/>
          <w:sz w:val="18"/>
          <w:szCs w:val="18"/>
        </w:rPr>
        <w:t xml:space="preserve">A: </w:t>
      </w:r>
      <w:r w:rsidRPr="008F006A">
        <w:rPr>
          <w:rFonts w:ascii="Verdana" w:eastAsia="Times New Roman" w:hAnsi="Verdana" w:cs="Calibri"/>
          <w:i/>
          <w:color w:val="212121"/>
          <w:sz w:val="18"/>
          <w:szCs w:val="18"/>
        </w:rPr>
        <w:t xml:space="preserve">If an ACO is </w:t>
      </w:r>
      <w:r w:rsidR="003B1444" w:rsidRPr="008F006A">
        <w:rPr>
          <w:rFonts w:ascii="Verdana" w:eastAsia="Times New Roman" w:hAnsi="Verdana" w:cs="Calibri"/>
          <w:i/>
          <w:color w:val="212121"/>
          <w:sz w:val="18"/>
          <w:szCs w:val="18"/>
        </w:rPr>
        <w:t xml:space="preserve">directly </w:t>
      </w:r>
      <w:r w:rsidRPr="008F006A">
        <w:rPr>
          <w:rFonts w:ascii="Verdana" w:eastAsia="Times New Roman" w:hAnsi="Verdana" w:cs="Calibri"/>
          <w:i/>
          <w:color w:val="212121"/>
          <w:sz w:val="18"/>
          <w:szCs w:val="18"/>
        </w:rPr>
        <w:t xml:space="preserve">providing a voucher to a member </w:t>
      </w:r>
      <w:r w:rsidR="003B1444" w:rsidRPr="008F006A">
        <w:rPr>
          <w:rFonts w:ascii="Verdana" w:eastAsia="Times New Roman" w:hAnsi="Verdana" w:cs="Calibri"/>
          <w:i/>
          <w:color w:val="212121"/>
          <w:sz w:val="18"/>
          <w:szCs w:val="18"/>
        </w:rPr>
        <w:t xml:space="preserve">that could potentially be inappropriately used (e.g., selling a transportation voucher or Charlie Card to somebody else), the </w:t>
      </w:r>
      <w:r w:rsidRPr="008F006A">
        <w:rPr>
          <w:rFonts w:ascii="Verdana" w:eastAsia="Times New Roman" w:hAnsi="Verdana" w:cs="Calibri"/>
          <w:i/>
          <w:color w:val="212121"/>
          <w:sz w:val="18"/>
          <w:szCs w:val="18"/>
        </w:rPr>
        <w:t xml:space="preserve">ACO must submit a program integrity plan that includes both a plan to prospectively </w:t>
      </w:r>
      <w:r w:rsidR="003B1444" w:rsidRPr="008F006A">
        <w:rPr>
          <w:rFonts w:ascii="Verdana" w:eastAsia="Times New Roman" w:hAnsi="Verdana" w:cs="Calibri"/>
          <w:i/>
          <w:color w:val="212121"/>
          <w:sz w:val="18"/>
          <w:szCs w:val="18"/>
        </w:rPr>
        <w:t xml:space="preserve">ensure appropriate usage of the voucher, gift card, or pass </w:t>
      </w:r>
      <w:r w:rsidRPr="008F006A">
        <w:rPr>
          <w:rFonts w:ascii="Verdana" w:eastAsia="Times New Roman" w:hAnsi="Verdana" w:cs="Calibri"/>
          <w:i/>
          <w:color w:val="212121"/>
          <w:sz w:val="18"/>
          <w:szCs w:val="18"/>
        </w:rPr>
        <w:t xml:space="preserve">(e.g., indicating the destination on </w:t>
      </w:r>
      <w:r w:rsidR="003B1444" w:rsidRPr="008F006A">
        <w:rPr>
          <w:rFonts w:ascii="Verdana" w:eastAsia="Times New Roman" w:hAnsi="Verdana" w:cs="Calibri"/>
          <w:i/>
          <w:color w:val="212121"/>
          <w:sz w:val="18"/>
          <w:szCs w:val="18"/>
        </w:rPr>
        <w:t xml:space="preserve">a </w:t>
      </w:r>
      <w:r w:rsidRPr="008F006A">
        <w:rPr>
          <w:rFonts w:ascii="Verdana" w:eastAsia="Times New Roman" w:hAnsi="Verdana" w:cs="Calibri"/>
          <w:i/>
          <w:color w:val="212121"/>
          <w:sz w:val="18"/>
          <w:szCs w:val="18"/>
        </w:rPr>
        <w:t xml:space="preserve">transportation voucher) and retrospectively </w:t>
      </w:r>
      <w:r w:rsidR="003B1444" w:rsidRPr="008F006A">
        <w:rPr>
          <w:rFonts w:ascii="Verdana" w:eastAsia="Times New Roman" w:hAnsi="Verdana" w:cs="Calibri"/>
          <w:i/>
          <w:color w:val="212121"/>
          <w:sz w:val="18"/>
          <w:szCs w:val="18"/>
        </w:rPr>
        <w:t xml:space="preserve">validating that the </w:t>
      </w:r>
      <w:r w:rsidRPr="008F006A">
        <w:rPr>
          <w:rFonts w:ascii="Verdana" w:eastAsia="Times New Roman" w:hAnsi="Verdana" w:cs="Calibri"/>
          <w:i/>
          <w:color w:val="212121"/>
          <w:sz w:val="18"/>
          <w:szCs w:val="18"/>
        </w:rPr>
        <w:t xml:space="preserve">voucher was used </w:t>
      </w:r>
      <w:r w:rsidR="003B1444" w:rsidRPr="008F006A">
        <w:rPr>
          <w:rFonts w:ascii="Verdana" w:eastAsia="Times New Roman" w:hAnsi="Verdana" w:cs="Calibri"/>
          <w:i/>
          <w:color w:val="212121"/>
          <w:sz w:val="18"/>
          <w:szCs w:val="18"/>
        </w:rPr>
        <w:t xml:space="preserve">appropriately </w:t>
      </w:r>
      <w:r w:rsidRPr="008F006A">
        <w:rPr>
          <w:rFonts w:ascii="Verdana" w:eastAsia="Times New Roman" w:hAnsi="Verdana" w:cs="Calibri"/>
          <w:i/>
          <w:color w:val="212121"/>
          <w:sz w:val="18"/>
          <w:szCs w:val="18"/>
        </w:rPr>
        <w:t xml:space="preserve">on transportation to FS (e.g. conducting an audit to ensure members attended appointments </w:t>
      </w:r>
      <w:r w:rsidR="003B1444" w:rsidRPr="008F006A">
        <w:rPr>
          <w:rFonts w:ascii="Verdana" w:eastAsia="Times New Roman" w:hAnsi="Verdana" w:cs="Calibri"/>
          <w:i/>
          <w:color w:val="212121"/>
          <w:sz w:val="18"/>
          <w:szCs w:val="18"/>
        </w:rPr>
        <w:t xml:space="preserve">for which the voucher was </w:t>
      </w:r>
      <w:r w:rsidRPr="008F006A">
        <w:rPr>
          <w:rFonts w:ascii="Verdana" w:eastAsia="Times New Roman" w:hAnsi="Verdana" w:cs="Calibri"/>
          <w:i/>
          <w:color w:val="212121"/>
          <w:sz w:val="18"/>
          <w:szCs w:val="18"/>
        </w:rPr>
        <w:t>provided).</w:t>
      </w:r>
      <w:r w:rsidRPr="008F006A">
        <w:rPr>
          <w:rFonts w:ascii="Verdana" w:eastAsia="Times New Roman" w:hAnsi="Verdana" w:cs="Calibri"/>
          <w:b/>
          <w:i/>
          <w:color w:val="212121"/>
          <w:sz w:val="18"/>
          <w:szCs w:val="18"/>
        </w:rPr>
        <w:t xml:space="preserve"> </w:t>
      </w:r>
    </w:p>
    <w:p w:rsidR="001615B0" w:rsidRPr="008F006A" w:rsidRDefault="001615B0" w:rsidP="001615B0">
      <w:pPr>
        <w:shd w:val="clear" w:color="auto" w:fill="FFFFFF"/>
        <w:spacing w:after="0" w:line="240" w:lineRule="auto"/>
        <w:rPr>
          <w:rFonts w:ascii="Verdana" w:eastAsia="Times New Roman" w:hAnsi="Verdana" w:cs="Calibri"/>
          <w:b/>
          <w:color w:val="212121"/>
          <w:sz w:val="18"/>
          <w:szCs w:val="18"/>
        </w:rPr>
      </w:pPr>
    </w:p>
    <w:p w:rsidR="001615B0" w:rsidRPr="008F006A" w:rsidRDefault="001615B0" w:rsidP="009D6242">
      <w:pPr>
        <w:pStyle w:val="Heading3"/>
      </w:pPr>
      <w:bookmarkStart w:id="29" w:name="_Toc32577192"/>
      <w:r w:rsidRPr="008F006A">
        <w:t>Member-Facing Materials</w:t>
      </w:r>
      <w:bookmarkEnd w:id="29"/>
    </w:p>
    <w:p w:rsidR="001615B0" w:rsidRPr="008F006A" w:rsidRDefault="001615B0" w:rsidP="001615B0">
      <w:pPr>
        <w:pStyle w:val="ListParagraph"/>
        <w:numPr>
          <w:ilvl w:val="0"/>
          <w:numId w:val="16"/>
        </w:numPr>
        <w:rPr>
          <w:rFonts w:ascii="Verdana" w:hAnsi="Verdana"/>
          <w:sz w:val="18"/>
          <w:szCs w:val="18"/>
        </w:rPr>
      </w:pPr>
      <w:r w:rsidRPr="008F006A">
        <w:rPr>
          <w:rFonts w:ascii="Verdana" w:hAnsi="Verdana"/>
          <w:b/>
          <w:sz w:val="18"/>
          <w:szCs w:val="18"/>
        </w:rPr>
        <w:t>Q:</w:t>
      </w:r>
      <w:r w:rsidRPr="008F006A">
        <w:rPr>
          <w:rFonts w:ascii="Verdana" w:hAnsi="Verdana"/>
          <w:sz w:val="18"/>
          <w:szCs w:val="18"/>
        </w:rPr>
        <w:t xml:space="preserve"> What kind of materials should be submitted to MassHealth for review?</w:t>
      </w:r>
    </w:p>
    <w:p w:rsidR="0050352A" w:rsidRPr="008F006A" w:rsidRDefault="001615B0" w:rsidP="00DA6BBD">
      <w:pPr>
        <w:pStyle w:val="ListParagraph"/>
        <w:numPr>
          <w:ilvl w:val="1"/>
          <w:numId w:val="9"/>
        </w:numPr>
        <w:rPr>
          <w:rFonts w:ascii="Verdana" w:hAnsi="Verdana"/>
          <w:i/>
          <w:sz w:val="18"/>
          <w:szCs w:val="18"/>
        </w:rPr>
      </w:pPr>
      <w:r w:rsidRPr="008F006A">
        <w:rPr>
          <w:rFonts w:ascii="Verdana" w:hAnsi="Verdana"/>
          <w:b/>
          <w:i/>
          <w:sz w:val="18"/>
          <w:szCs w:val="18"/>
        </w:rPr>
        <w:t xml:space="preserve">A: </w:t>
      </w:r>
      <w:r w:rsidRPr="008F006A">
        <w:rPr>
          <w:rFonts w:ascii="Verdana" w:hAnsi="Verdana"/>
          <w:i/>
          <w:sz w:val="18"/>
          <w:szCs w:val="18"/>
        </w:rPr>
        <w:t xml:space="preserve">New materials about the program that are either </w:t>
      </w:r>
      <w:r w:rsidR="003C3930" w:rsidRPr="008F006A">
        <w:rPr>
          <w:rFonts w:ascii="Verdana" w:hAnsi="Verdana"/>
          <w:i/>
          <w:sz w:val="18"/>
          <w:szCs w:val="18"/>
        </w:rPr>
        <w:t>FS</w:t>
      </w:r>
      <w:r w:rsidRPr="008F006A">
        <w:rPr>
          <w:rFonts w:ascii="Verdana" w:hAnsi="Verdana"/>
          <w:i/>
          <w:sz w:val="18"/>
          <w:szCs w:val="18"/>
        </w:rPr>
        <w:t xml:space="preserve">-specific or general description of services that FS members will receive as well as existing materials that were repurposed/altered for FS. There are two types of member-facing materials. Materials that are used as part of the Flexible Services intervention itself (e.g., heating instructions for meals, delivery information, etc.) do not need to be </w:t>
      </w:r>
      <w:r w:rsidRPr="008F006A">
        <w:rPr>
          <w:rFonts w:ascii="Verdana" w:hAnsi="Verdana"/>
          <w:i/>
          <w:sz w:val="18"/>
          <w:szCs w:val="18"/>
        </w:rPr>
        <w:lastRenderedPageBreak/>
        <w:t xml:space="preserve">reviewed/approved by MassHealth. However, member-facing materials that are inherently programmatic and intended to inform ACO members about the program (i.e., Flexible Services Program welcome letter, informational materials such as pamphlets, call scripts used for outreach and/or to respond to member inquiries, etc.) must be reviewed/approved by MassHealth prior to program launch, during the Preparation Period, whether developed by ACOs, CPs, </w:t>
      </w:r>
      <w:r w:rsidR="00286A71" w:rsidRPr="008F006A">
        <w:rPr>
          <w:rFonts w:ascii="Verdana" w:hAnsi="Verdana"/>
          <w:i/>
          <w:sz w:val="18"/>
          <w:szCs w:val="18"/>
        </w:rPr>
        <w:t>or</w:t>
      </w:r>
      <w:r w:rsidRPr="008F006A">
        <w:rPr>
          <w:rFonts w:ascii="Verdana" w:hAnsi="Verdana"/>
          <w:i/>
          <w:sz w:val="18"/>
          <w:szCs w:val="18"/>
        </w:rPr>
        <w:t xml:space="preserve"> SSOs.</w:t>
      </w:r>
      <w:r w:rsidR="0050352A" w:rsidRPr="008F006A">
        <w:rPr>
          <w:rFonts w:ascii="Verdana" w:hAnsi="Verdana"/>
          <w:i/>
          <w:sz w:val="18"/>
          <w:szCs w:val="18"/>
        </w:rPr>
        <w:br/>
      </w:r>
    </w:p>
    <w:p w:rsidR="0050352A" w:rsidRPr="008F006A" w:rsidRDefault="0050352A" w:rsidP="001615B0">
      <w:pPr>
        <w:pStyle w:val="ListParagraph"/>
        <w:numPr>
          <w:ilvl w:val="0"/>
          <w:numId w:val="9"/>
        </w:numPr>
        <w:rPr>
          <w:rFonts w:ascii="Verdana" w:hAnsi="Verdana"/>
          <w:sz w:val="18"/>
          <w:szCs w:val="18"/>
        </w:rPr>
      </w:pPr>
      <w:r w:rsidRPr="008F006A">
        <w:rPr>
          <w:rFonts w:ascii="Verdana" w:hAnsi="Verdana"/>
          <w:b/>
          <w:sz w:val="18"/>
          <w:szCs w:val="18"/>
        </w:rPr>
        <w:t xml:space="preserve">Q: </w:t>
      </w:r>
      <w:r w:rsidRPr="008F006A">
        <w:rPr>
          <w:rFonts w:ascii="Verdana" w:hAnsi="Verdana"/>
          <w:sz w:val="18"/>
          <w:szCs w:val="18"/>
        </w:rPr>
        <w:t>Do ACO call center scripts need to be included as member-facing material?</w:t>
      </w:r>
    </w:p>
    <w:p w:rsidR="007776F9" w:rsidRPr="008F006A" w:rsidRDefault="0050352A" w:rsidP="00DE0968">
      <w:pPr>
        <w:pStyle w:val="ListParagraph"/>
        <w:numPr>
          <w:ilvl w:val="1"/>
          <w:numId w:val="9"/>
        </w:numPr>
        <w:rPr>
          <w:rFonts w:ascii="Verdana" w:hAnsi="Verdana"/>
          <w:i/>
          <w:sz w:val="18"/>
          <w:szCs w:val="18"/>
        </w:rPr>
      </w:pPr>
      <w:r w:rsidRPr="008F006A">
        <w:rPr>
          <w:rFonts w:ascii="Verdana" w:hAnsi="Verdana"/>
          <w:b/>
          <w:i/>
          <w:sz w:val="18"/>
          <w:szCs w:val="18"/>
        </w:rPr>
        <w:t xml:space="preserve">A: </w:t>
      </w:r>
      <w:r w:rsidRPr="008F006A">
        <w:rPr>
          <w:rFonts w:ascii="Verdana" w:hAnsi="Verdana"/>
          <w:i/>
          <w:sz w:val="18"/>
          <w:szCs w:val="18"/>
        </w:rPr>
        <w:t>Yes, call center scripts must be reviewed by MassHealth as member-facing materials.</w:t>
      </w:r>
      <w:r w:rsidR="00581FBA" w:rsidRPr="008F006A">
        <w:rPr>
          <w:rFonts w:ascii="Verdana" w:hAnsi="Verdana"/>
          <w:i/>
          <w:sz w:val="18"/>
          <w:szCs w:val="18"/>
        </w:rPr>
        <w:t xml:space="preserve"> MassHealth’s Customer Service Resource Center will be providing members who ask in-depth questions about Flexible Services with ACO phone numbers to obtain support on Flexible Services thus an appropriate call center script is important. </w:t>
      </w:r>
    </w:p>
    <w:p w:rsidR="007776F9" w:rsidRPr="008F006A" w:rsidRDefault="007776F9" w:rsidP="007776F9">
      <w:pPr>
        <w:pStyle w:val="ListParagraph"/>
        <w:rPr>
          <w:rFonts w:ascii="Verdana" w:hAnsi="Verdana"/>
          <w:sz w:val="18"/>
          <w:szCs w:val="18"/>
        </w:rPr>
      </w:pPr>
    </w:p>
    <w:p w:rsidR="007776F9" w:rsidRPr="008F006A" w:rsidRDefault="001615B0" w:rsidP="007776F9">
      <w:pPr>
        <w:pStyle w:val="ListParagraph"/>
        <w:numPr>
          <w:ilvl w:val="0"/>
          <w:numId w:val="16"/>
        </w:numPr>
        <w:rPr>
          <w:rFonts w:ascii="Verdana" w:hAnsi="Verdana"/>
          <w:b/>
          <w:sz w:val="18"/>
          <w:szCs w:val="18"/>
        </w:rPr>
      </w:pPr>
      <w:r w:rsidRPr="008F006A">
        <w:rPr>
          <w:rFonts w:ascii="Verdana" w:hAnsi="Verdana"/>
          <w:b/>
          <w:sz w:val="18"/>
          <w:szCs w:val="18"/>
        </w:rPr>
        <w:t xml:space="preserve">Q: </w:t>
      </w:r>
      <w:r w:rsidRPr="008F006A">
        <w:rPr>
          <w:rFonts w:ascii="Verdana" w:hAnsi="Verdana"/>
          <w:sz w:val="18"/>
          <w:szCs w:val="18"/>
        </w:rPr>
        <w:t>What phone number should ACOs include in member-facing materials?</w:t>
      </w:r>
    </w:p>
    <w:p w:rsidR="00027D24" w:rsidRPr="008F006A" w:rsidRDefault="001615B0" w:rsidP="004E3E7C">
      <w:pPr>
        <w:pStyle w:val="ListParagraph"/>
        <w:numPr>
          <w:ilvl w:val="1"/>
          <w:numId w:val="16"/>
        </w:numPr>
        <w:rPr>
          <w:rFonts w:ascii="Verdana" w:hAnsi="Verdana"/>
          <w:b/>
          <w:i/>
          <w:sz w:val="18"/>
          <w:szCs w:val="18"/>
        </w:rPr>
      </w:pPr>
      <w:r w:rsidRPr="008F006A">
        <w:rPr>
          <w:rFonts w:ascii="Verdana" w:hAnsi="Verdana"/>
          <w:b/>
          <w:i/>
          <w:sz w:val="18"/>
          <w:szCs w:val="18"/>
        </w:rPr>
        <w:t xml:space="preserve">A: </w:t>
      </w:r>
      <w:r w:rsidR="004E3E7C" w:rsidRPr="008F006A">
        <w:rPr>
          <w:rFonts w:ascii="Verdana" w:hAnsi="Verdana"/>
          <w:i/>
          <w:sz w:val="18"/>
          <w:szCs w:val="18"/>
        </w:rPr>
        <w:t xml:space="preserve">Member-facing materials that are inherently programmatic and intended to inform </w:t>
      </w:r>
      <w:r w:rsidR="00B13E05" w:rsidRPr="008F006A">
        <w:rPr>
          <w:rFonts w:ascii="Verdana" w:hAnsi="Verdana"/>
          <w:i/>
          <w:sz w:val="18"/>
          <w:szCs w:val="18"/>
        </w:rPr>
        <w:t>targeted</w:t>
      </w:r>
      <w:r w:rsidR="00A70891" w:rsidRPr="008F006A">
        <w:rPr>
          <w:rFonts w:ascii="Verdana" w:hAnsi="Verdana"/>
          <w:i/>
          <w:sz w:val="18"/>
          <w:szCs w:val="18"/>
        </w:rPr>
        <w:t xml:space="preserve">, </w:t>
      </w:r>
      <w:r w:rsidR="00B13E05" w:rsidRPr="008F006A">
        <w:rPr>
          <w:rFonts w:ascii="Verdana" w:hAnsi="Verdana"/>
          <w:i/>
          <w:sz w:val="18"/>
          <w:szCs w:val="18"/>
        </w:rPr>
        <w:t xml:space="preserve">potentially </w:t>
      </w:r>
      <w:r w:rsidR="00A70891" w:rsidRPr="008F006A">
        <w:rPr>
          <w:rFonts w:ascii="Verdana" w:hAnsi="Verdana"/>
          <w:i/>
          <w:sz w:val="18"/>
          <w:szCs w:val="18"/>
        </w:rPr>
        <w:t>FS eligible</w:t>
      </w:r>
      <w:r w:rsidR="00B13E05" w:rsidRPr="008F006A">
        <w:rPr>
          <w:rFonts w:ascii="Verdana" w:hAnsi="Verdana"/>
          <w:i/>
          <w:sz w:val="18"/>
          <w:szCs w:val="18"/>
        </w:rPr>
        <w:t xml:space="preserve"> </w:t>
      </w:r>
      <w:r w:rsidR="004E3E7C" w:rsidRPr="008F006A">
        <w:rPr>
          <w:rFonts w:ascii="Verdana" w:hAnsi="Verdana"/>
          <w:i/>
          <w:sz w:val="18"/>
          <w:szCs w:val="18"/>
        </w:rPr>
        <w:t>ACO members</w:t>
      </w:r>
      <w:r w:rsidR="00A70891" w:rsidRPr="008F006A">
        <w:rPr>
          <w:rFonts w:ascii="Verdana" w:hAnsi="Verdana"/>
          <w:i/>
          <w:sz w:val="18"/>
          <w:szCs w:val="18"/>
        </w:rPr>
        <w:t xml:space="preserve"> and those screened eligible</w:t>
      </w:r>
      <w:r w:rsidR="004E3E7C" w:rsidRPr="008F006A">
        <w:rPr>
          <w:rFonts w:ascii="Verdana" w:hAnsi="Verdana"/>
          <w:i/>
          <w:sz w:val="18"/>
          <w:szCs w:val="18"/>
        </w:rPr>
        <w:t xml:space="preserve"> about the</w:t>
      </w:r>
      <w:r w:rsidR="00B13E05" w:rsidRPr="008F006A">
        <w:rPr>
          <w:rFonts w:ascii="Verdana" w:hAnsi="Verdana"/>
          <w:i/>
          <w:sz w:val="18"/>
          <w:szCs w:val="18"/>
        </w:rPr>
        <w:t xml:space="preserve"> FS</w:t>
      </w:r>
      <w:r w:rsidR="004E3E7C" w:rsidRPr="008F006A">
        <w:rPr>
          <w:rFonts w:ascii="Verdana" w:hAnsi="Verdana"/>
          <w:i/>
          <w:sz w:val="18"/>
          <w:szCs w:val="18"/>
        </w:rPr>
        <w:t xml:space="preserve"> program</w:t>
      </w:r>
      <w:r w:rsidR="00B13E05" w:rsidRPr="008F006A">
        <w:rPr>
          <w:rFonts w:ascii="Verdana" w:hAnsi="Verdana"/>
          <w:i/>
          <w:sz w:val="18"/>
          <w:szCs w:val="18"/>
        </w:rPr>
        <w:t xml:space="preserve"> should provide the ACO Call Center or </w:t>
      </w:r>
      <w:proofErr w:type="gramStart"/>
      <w:r w:rsidR="00B13E05" w:rsidRPr="008F006A">
        <w:rPr>
          <w:rFonts w:ascii="Verdana" w:hAnsi="Verdana"/>
          <w:i/>
          <w:sz w:val="18"/>
          <w:szCs w:val="18"/>
        </w:rPr>
        <w:t>other</w:t>
      </w:r>
      <w:proofErr w:type="gramEnd"/>
      <w:r w:rsidR="00B13E05" w:rsidRPr="008F006A">
        <w:rPr>
          <w:rFonts w:ascii="Verdana" w:hAnsi="Verdana"/>
          <w:i/>
          <w:sz w:val="18"/>
          <w:szCs w:val="18"/>
        </w:rPr>
        <w:t xml:space="preserve"> relevant referral number for the program</w:t>
      </w:r>
      <w:r w:rsidR="004E3E7C" w:rsidRPr="008F006A">
        <w:rPr>
          <w:rFonts w:ascii="Verdana" w:hAnsi="Verdana"/>
          <w:i/>
          <w:sz w:val="18"/>
          <w:szCs w:val="18"/>
        </w:rPr>
        <w:t xml:space="preserve">. </w:t>
      </w:r>
      <w:r w:rsidR="00B13E05" w:rsidRPr="008F006A">
        <w:rPr>
          <w:rFonts w:ascii="Verdana" w:hAnsi="Verdana"/>
          <w:i/>
          <w:sz w:val="18"/>
          <w:szCs w:val="18"/>
        </w:rPr>
        <w:t>Materials that are developed to be distributed to a broader public audience</w:t>
      </w:r>
      <w:r w:rsidR="00A70891" w:rsidRPr="008F006A">
        <w:rPr>
          <w:rFonts w:ascii="Verdana" w:hAnsi="Verdana"/>
          <w:i/>
          <w:sz w:val="18"/>
          <w:szCs w:val="18"/>
        </w:rPr>
        <w:t>,</w:t>
      </w:r>
      <w:r w:rsidR="00B13E05" w:rsidRPr="008F006A">
        <w:rPr>
          <w:rFonts w:ascii="Verdana" w:hAnsi="Verdana"/>
          <w:i/>
          <w:sz w:val="18"/>
          <w:szCs w:val="18"/>
        </w:rPr>
        <w:t xml:space="preserve"> which could include non-ACO members or non-FS eligible members, must follow the marketing material guidelines in the ACO Contract, which </w:t>
      </w:r>
      <w:r w:rsidR="00A70891" w:rsidRPr="008F006A">
        <w:rPr>
          <w:rFonts w:ascii="Verdana" w:hAnsi="Verdana"/>
          <w:i/>
          <w:sz w:val="18"/>
          <w:szCs w:val="18"/>
        </w:rPr>
        <w:t>includes the requirement to list</w:t>
      </w:r>
      <w:r w:rsidR="00B13E05" w:rsidRPr="008F006A">
        <w:rPr>
          <w:rFonts w:ascii="Verdana" w:hAnsi="Verdana"/>
          <w:i/>
          <w:sz w:val="18"/>
          <w:szCs w:val="18"/>
        </w:rPr>
        <w:t xml:space="preserve"> the MassHealth Customer Service Center phone number among other requirements. </w:t>
      </w:r>
    </w:p>
    <w:p w:rsidR="00CB0B3A" w:rsidRPr="008F006A" w:rsidRDefault="001615B0" w:rsidP="009D6242">
      <w:pPr>
        <w:pStyle w:val="Heading2"/>
      </w:pPr>
      <w:bookmarkStart w:id="30" w:name="_Toc32577193"/>
      <w:r w:rsidRPr="008F006A">
        <w:t>7</w:t>
      </w:r>
      <w:r w:rsidR="00225DD0" w:rsidRPr="008F006A">
        <w:t xml:space="preserve">. </w:t>
      </w:r>
      <w:r w:rsidR="00CB0B3A" w:rsidRPr="008F006A">
        <w:t>Other</w:t>
      </w:r>
      <w:bookmarkEnd w:id="30"/>
    </w:p>
    <w:p w:rsidR="00137522" w:rsidRPr="008F006A" w:rsidRDefault="00137522" w:rsidP="009D6242">
      <w:pPr>
        <w:pStyle w:val="Heading3"/>
      </w:pPr>
      <w:bookmarkStart w:id="31" w:name="_Toc32577194"/>
      <w:r w:rsidRPr="008F006A">
        <w:t>Upcoming Submission Dates</w:t>
      </w:r>
      <w:bookmarkEnd w:id="31"/>
    </w:p>
    <w:p w:rsidR="00137522" w:rsidRPr="008F006A" w:rsidRDefault="00137522" w:rsidP="00BB37F8">
      <w:pPr>
        <w:numPr>
          <w:ilvl w:val="0"/>
          <w:numId w:val="44"/>
        </w:numPr>
        <w:spacing w:after="0" w:line="252" w:lineRule="auto"/>
        <w:contextualSpacing/>
        <w:rPr>
          <w:rFonts w:ascii="Verdana" w:eastAsia="Times New Roman" w:hAnsi="Verdana"/>
          <w:b/>
          <w:bCs/>
          <w:color w:val="000000"/>
          <w:sz w:val="18"/>
          <w:szCs w:val="18"/>
        </w:rPr>
      </w:pPr>
      <w:r w:rsidRPr="008F006A">
        <w:rPr>
          <w:rFonts w:ascii="Verdana" w:eastAsia="Times New Roman" w:hAnsi="Verdana"/>
          <w:b/>
          <w:bCs/>
          <w:color w:val="000000"/>
          <w:sz w:val="18"/>
          <w:szCs w:val="18"/>
        </w:rPr>
        <w:t>Q:</w:t>
      </w:r>
      <w:r w:rsidRPr="008F006A">
        <w:rPr>
          <w:rFonts w:ascii="Verdana" w:eastAsia="Times New Roman" w:hAnsi="Verdana"/>
          <w:color w:val="000000"/>
          <w:sz w:val="18"/>
          <w:szCs w:val="18"/>
        </w:rPr>
        <w:t xml:space="preserve"> When can ACOs submit new program proposals to MassHealth after Cycle 2 submissions on March 2, 2020?</w:t>
      </w:r>
    </w:p>
    <w:p w:rsidR="00137522" w:rsidRPr="008F006A" w:rsidRDefault="00137522" w:rsidP="00112E31">
      <w:pPr>
        <w:numPr>
          <w:ilvl w:val="1"/>
          <w:numId w:val="44"/>
        </w:numPr>
        <w:spacing w:line="252" w:lineRule="auto"/>
        <w:contextualSpacing/>
        <w:rPr>
          <w:rFonts w:ascii="Verdana" w:eastAsia="Times New Roman" w:hAnsi="Verdana"/>
          <w:b/>
          <w:bCs/>
          <w:color w:val="000000"/>
          <w:sz w:val="18"/>
          <w:szCs w:val="18"/>
        </w:rPr>
      </w:pPr>
      <w:r w:rsidRPr="008F006A">
        <w:rPr>
          <w:rFonts w:ascii="Verdana" w:eastAsia="Times New Roman" w:hAnsi="Verdana"/>
          <w:b/>
          <w:bCs/>
          <w:color w:val="000000"/>
          <w:sz w:val="18"/>
          <w:szCs w:val="18"/>
        </w:rPr>
        <w:t xml:space="preserve">A: </w:t>
      </w:r>
      <w:r w:rsidRPr="008F006A">
        <w:rPr>
          <w:rFonts w:ascii="Verdana" w:eastAsia="Times New Roman" w:hAnsi="Verdana"/>
          <w:color w:val="000000"/>
          <w:sz w:val="18"/>
          <w:szCs w:val="18"/>
        </w:rPr>
        <w:t>Please note the following deadlines for future quarterly program submissions to MassHealth:</w:t>
      </w:r>
    </w:p>
    <w:p w:rsidR="00137522" w:rsidRPr="008F006A" w:rsidRDefault="00A93066" w:rsidP="00112E31">
      <w:pPr>
        <w:numPr>
          <w:ilvl w:val="2"/>
          <w:numId w:val="44"/>
        </w:numPr>
        <w:spacing w:line="252" w:lineRule="auto"/>
        <w:contextualSpacing/>
        <w:rPr>
          <w:rFonts w:ascii="Verdana" w:eastAsia="Times New Roman" w:hAnsi="Verdana"/>
          <w:b/>
          <w:bCs/>
          <w:color w:val="000000"/>
          <w:sz w:val="18"/>
          <w:szCs w:val="18"/>
        </w:rPr>
      </w:pPr>
      <w:r w:rsidRPr="008F006A">
        <w:rPr>
          <w:rFonts w:ascii="Verdana" w:eastAsia="Times New Roman" w:hAnsi="Verdana"/>
          <w:b/>
          <w:bCs/>
          <w:color w:val="000000"/>
          <w:sz w:val="18"/>
          <w:szCs w:val="18"/>
        </w:rPr>
        <w:t>2020 Program</w:t>
      </w:r>
      <w:r w:rsidR="00581FBA" w:rsidRPr="008F006A">
        <w:rPr>
          <w:rFonts w:ascii="Verdana" w:eastAsia="Times New Roman" w:hAnsi="Verdana"/>
          <w:b/>
          <w:bCs/>
          <w:color w:val="000000"/>
          <w:sz w:val="18"/>
          <w:szCs w:val="18"/>
        </w:rPr>
        <w:t>s</w:t>
      </w:r>
      <w:r w:rsidRPr="008F006A">
        <w:rPr>
          <w:rFonts w:ascii="Verdana" w:eastAsia="Times New Roman" w:hAnsi="Verdana"/>
          <w:b/>
          <w:bCs/>
          <w:color w:val="000000"/>
          <w:sz w:val="18"/>
          <w:szCs w:val="18"/>
        </w:rPr>
        <w:t xml:space="preserve"> </w:t>
      </w:r>
      <w:r w:rsidR="00137522" w:rsidRPr="008F006A">
        <w:rPr>
          <w:rFonts w:ascii="Verdana" w:eastAsia="Times New Roman" w:hAnsi="Verdana"/>
          <w:b/>
          <w:bCs/>
          <w:color w:val="000000"/>
          <w:sz w:val="18"/>
          <w:szCs w:val="18"/>
        </w:rPr>
        <w:t xml:space="preserve">Cycle 3: </w:t>
      </w:r>
      <w:r w:rsidR="003C3930" w:rsidRPr="008F006A">
        <w:rPr>
          <w:rFonts w:ascii="Verdana" w:eastAsia="Times New Roman" w:hAnsi="Verdana"/>
          <w:b/>
          <w:bCs/>
          <w:color w:val="000000"/>
          <w:sz w:val="18"/>
          <w:szCs w:val="18"/>
        </w:rPr>
        <w:t xml:space="preserve">FS </w:t>
      </w:r>
      <w:r w:rsidR="00137522" w:rsidRPr="008F006A">
        <w:rPr>
          <w:rFonts w:ascii="Verdana" w:eastAsia="Times New Roman" w:hAnsi="Verdana"/>
          <w:color w:val="000000"/>
          <w:sz w:val="18"/>
          <w:szCs w:val="18"/>
        </w:rPr>
        <w:t xml:space="preserve">FPP and BBN due to MassHealth on </w:t>
      </w:r>
      <w:r w:rsidR="00137522" w:rsidRPr="008F006A">
        <w:rPr>
          <w:rFonts w:ascii="Verdana" w:eastAsia="Times New Roman" w:hAnsi="Verdana"/>
          <w:b/>
          <w:bCs/>
          <w:color w:val="000000"/>
          <w:sz w:val="18"/>
          <w:szCs w:val="18"/>
        </w:rPr>
        <w:t>June 1, 2020</w:t>
      </w:r>
      <w:r w:rsidR="00137522" w:rsidRPr="008F006A">
        <w:rPr>
          <w:rFonts w:ascii="Verdana" w:eastAsia="Times New Roman" w:hAnsi="Verdana"/>
          <w:color w:val="000000"/>
          <w:sz w:val="18"/>
          <w:szCs w:val="18"/>
        </w:rPr>
        <w:t xml:space="preserve">. </w:t>
      </w:r>
    </w:p>
    <w:p w:rsidR="00137522" w:rsidRPr="008F006A" w:rsidRDefault="00A93066" w:rsidP="00112E31">
      <w:pPr>
        <w:numPr>
          <w:ilvl w:val="2"/>
          <w:numId w:val="44"/>
        </w:numPr>
        <w:spacing w:line="252" w:lineRule="auto"/>
        <w:contextualSpacing/>
        <w:rPr>
          <w:rFonts w:ascii="Verdana" w:eastAsia="Times New Roman" w:hAnsi="Verdana"/>
          <w:b/>
          <w:bCs/>
          <w:color w:val="000000"/>
          <w:sz w:val="18"/>
          <w:szCs w:val="18"/>
        </w:rPr>
      </w:pPr>
      <w:r w:rsidRPr="008F006A">
        <w:rPr>
          <w:rFonts w:ascii="Verdana" w:eastAsia="Times New Roman" w:hAnsi="Verdana"/>
          <w:b/>
          <w:bCs/>
          <w:color w:val="000000"/>
          <w:sz w:val="18"/>
          <w:szCs w:val="18"/>
        </w:rPr>
        <w:t xml:space="preserve">2021 Programs </w:t>
      </w:r>
      <w:r w:rsidR="00137522" w:rsidRPr="008F006A">
        <w:rPr>
          <w:rFonts w:ascii="Verdana" w:eastAsia="Times New Roman" w:hAnsi="Verdana"/>
          <w:b/>
          <w:bCs/>
          <w:color w:val="000000"/>
          <w:sz w:val="18"/>
          <w:szCs w:val="18"/>
        </w:rPr>
        <w:t xml:space="preserve">Cycle </w:t>
      </w:r>
      <w:r w:rsidRPr="008F006A">
        <w:rPr>
          <w:rFonts w:ascii="Verdana" w:eastAsia="Times New Roman" w:hAnsi="Verdana"/>
          <w:b/>
          <w:bCs/>
          <w:color w:val="000000"/>
          <w:sz w:val="18"/>
          <w:szCs w:val="18"/>
        </w:rPr>
        <w:t>1</w:t>
      </w:r>
      <w:r w:rsidR="00137522" w:rsidRPr="008F006A">
        <w:rPr>
          <w:rFonts w:ascii="Verdana" w:eastAsia="Times New Roman" w:hAnsi="Verdana"/>
          <w:b/>
          <w:bCs/>
          <w:color w:val="000000"/>
          <w:sz w:val="18"/>
          <w:szCs w:val="18"/>
        </w:rPr>
        <w:t xml:space="preserve">: </w:t>
      </w:r>
      <w:r w:rsidR="003C3930" w:rsidRPr="008F006A">
        <w:rPr>
          <w:rFonts w:ascii="Verdana" w:eastAsia="Times New Roman" w:hAnsi="Verdana"/>
          <w:b/>
          <w:bCs/>
          <w:color w:val="000000"/>
          <w:sz w:val="18"/>
          <w:szCs w:val="18"/>
        </w:rPr>
        <w:t xml:space="preserve">FS </w:t>
      </w:r>
      <w:r w:rsidR="00137522" w:rsidRPr="008F006A">
        <w:rPr>
          <w:rFonts w:ascii="Verdana" w:eastAsia="Times New Roman" w:hAnsi="Verdana"/>
          <w:color w:val="000000"/>
          <w:sz w:val="18"/>
          <w:szCs w:val="18"/>
        </w:rPr>
        <w:t xml:space="preserve">FPP and BBN due to MassHealth on </w:t>
      </w:r>
      <w:r w:rsidR="00137522" w:rsidRPr="008F006A">
        <w:rPr>
          <w:rFonts w:ascii="Verdana" w:eastAsia="Times New Roman" w:hAnsi="Verdana"/>
          <w:b/>
          <w:bCs/>
          <w:color w:val="000000"/>
          <w:sz w:val="18"/>
          <w:szCs w:val="18"/>
        </w:rPr>
        <w:t>September 1, 2020</w:t>
      </w:r>
      <w:r w:rsidR="00137522" w:rsidRPr="008F006A">
        <w:rPr>
          <w:rFonts w:ascii="Verdana" w:eastAsia="Times New Roman" w:hAnsi="Verdana"/>
          <w:color w:val="000000"/>
          <w:sz w:val="18"/>
          <w:szCs w:val="18"/>
        </w:rPr>
        <w:t xml:space="preserve">. All programs that ACOs intend to launch in January 2021 </w:t>
      </w:r>
      <w:r w:rsidR="00137522" w:rsidRPr="008F006A">
        <w:rPr>
          <w:rFonts w:ascii="Verdana" w:eastAsia="Times New Roman" w:hAnsi="Verdana"/>
          <w:b/>
          <w:bCs/>
          <w:color w:val="000000"/>
          <w:sz w:val="18"/>
          <w:szCs w:val="18"/>
        </w:rPr>
        <w:t xml:space="preserve">must be submitted </w:t>
      </w:r>
      <w:r w:rsidR="00137522" w:rsidRPr="008F006A">
        <w:rPr>
          <w:rFonts w:ascii="Verdana" w:eastAsia="Times New Roman" w:hAnsi="Verdana"/>
          <w:color w:val="000000"/>
          <w:sz w:val="18"/>
          <w:szCs w:val="18"/>
        </w:rPr>
        <w:t xml:space="preserve">by the </w:t>
      </w:r>
      <w:r w:rsidR="00581FBA" w:rsidRPr="008F006A">
        <w:rPr>
          <w:rFonts w:ascii="Verdana" w:eastAsia="Times New Roman" w:hAnsi="Verdana"/>
          <w:color w:val="000000"/>
          <w:sz w:val="18"/>
          <w:szCs w:val="18"/>
        </w:rPr>
        <w:t xml:space="preserve">2021 Programs </w:t>
      </w:r>
      <w:r w:rsidR="00137522" w:rsidRPr="008F006A">
        <w:rPr>
          <w:rFonts w:ascii="Verdana" w:eastAsia="Times New Roman" w:hAnsi="Verdana"/>
          <w:color w:val="000000"/>
          <w:sz w:val="18"/>
          <w:szCs w:val="18"/>
        </w:rPr>
        <w:t xml:space="preserve">Cycle </w:t>
      </w:r>
      <w:r w:rsidR="00581FBA" w:rsidRPr="008F006A">
        <w:rPr>
          <w:rFonts w:ascii="Verdana" w:eastAsia="Times New Roman" w:hAnsi="Verdana"/>
          <w:color w:val="000000"/>
          <w:sz w:val="18"/>
          <w:szCs w:val="18"/>
        </w:rPr>
        <w:t xml:space="preserve">1 </w:t>
      </w:r>
      <w:r w:rsidR="00137522" w:rsidRPr="008F006A">
        <w:rPr>
          <w:rFonts w:ascii="Verdana" w:eastAsia="Times New Roman" w:hAnsi="Verdana"/>
          <w:color w:val="000000"/>
          <w:sz w:val="18"/>
          <w:szCs w:val="18"/>
        </w:rPr>
        <w:t xml:space="preserve">deadline. In addition, any current programs that ACOs would like to continue in 2021 must be included in the re-submitted FPP and BBN on September 1, 2020 for review and approval by MassHealth. More information with detailed review and approval timelines will be released in advance of </w:t>
      </w:r>
      <w:r w:rsidR="00581FBA" w:rsidRPr="008F006A">
        <w:rPr>
          <w:rFonts w:ascii="Verdana" w:eastAsia="Times New Roman" w:hAnsi="Verdana"/>
          <w:color w:val="000000"/>
          <w:sz w:val="18"/>
          <w:szCs w:val="18"/>
        </w:rPr>
        <w:t xml:space="preserve">2020 </w:t>
      </w:r>
      <w:r w:rsidR="00137522" w:rsidRPr="008F006A">
        <w:rPr>
          <w:rFonts w:ascii="Verdana" w:eastAsia="Times New Roman" w:hAnsi="Verdana"/>
          <w:color w:val="000000"/>
          <w:sz w:val="18"/>
          <w:szCs w:val="18"/>
        </w:rPr>
        <w:t xml:space="preserve">Cycle 3 and </w:t>
      </w:r>
      <w:r w:rsidR="00581FBA" w:rsidRPr="008F006A">
        <w:rPr>
          <w:rFonts w:ascii="Verdana" w:eastAsia="Times New Roman" w:hAnsi="Verdana"/>
          <w:color w:val="000000"/>
          <w:sz w:val="18"/>
          <w:szCs w:val="18"/>
        </w:rPr>
        <w:t xml:space="preserve">2021 </w:t>
      </w:r>
      <w:r w:rsidR="00137522" w:rsidRPr="008F006A">
        <w:rPr>
          <w:rFonts w:ascii="Verdana" w:eastAsia="Times New Roman" w:hAnsi="Verdana"/>
          <w:color w:val="000000"/>
          <w:sz w:val="18"/>
          <w:szCs w:val="18"/>
        </w:rPr>
        <w:t xml:space="preserve">Cycle </w:t>
      </w:r>
      <w:r w:rsidR="00581FBA" w:rsidRPr="008F006A">
        <w:rPr>
          <w:rFonts w:ascii="Verdana" w:eastAsia="Times New Roman" w:hAnsi="Verdana"/>
          <w:color w:val="000000"/>
          <w:sz w:val="18"/>
          <w:szCs w:val="18"/>
        </w:rPr>
        <w:t xml:space="preserve">1 </w:t>
      </w:r>
      <w:r w:rsidR="00137522" w:rsidRPr="008F006A">
        <w:rPr>
          <w:rFonts w:ascii="Verdana" w:eastAsia="Times New Roman" w:hAnsi="Verdana"/>
          <w:color w:val="000000"/>
          <w:sz w:val="18"/>
          <w:szCs w:val="18"/>
        </w:rPr>
        <w:t xml:space="preserve">submission deadlines. There will be </w:t>
      </w:r>
      <w:r w:rsidR="00137522" w:rsidRPr="008F006A">
        <w:rPr>
          <w:rFonts w:ascii="Verdana" w:eastAsia="Times New Roman" w:hAnsi="Verdana"/>
          <w:b/>
          <w:bCs/>
          <w:color w:val="000000"/>
          <w:sz w:val="18"/>
          <w:szCs w:val="18"/>
        </w:rPr>
        <w:t>no Q4 2020 submission opportunity</w:t>
      </w:r>
      <w:r w:rsidR="00137522" w:rsidRPr="008F006A">
        <w:rPr>
          <w:rFonts w:ascii="Verdana" w:eastAsia="Times New Roman" w:hAnsi="Verdana"/>
          <w:color w:val="000000"/>
          <w:sz w:val="18"/>
          <w:szCs w:val="18"/>
        </w:rPr>
        <w:t xml:space="preserve"> for </w:t>
      </w:r>
      <w:r w:rsidR="003C3930" w:rsidRPr="008F006A">
        <w:rPr>
          <w:rFonts w:ascii="Verdana" w:eastAsia="Times New Roman" w:hAnsi="Verdana"/>
          <w:color w:val="000000"/>
          <w:sz w:val="18"/>
          <w:szCs w:val="18"/>
        </w:rPr>
        <w:t xml:space="preserve">2020 </w:t>
      </w:r>
      <w:r w:rsidR="00DE0968" w:rsidRPr="008F006A">
        <w:rPr>
          <w:rFonts w:ascii="Verdana" w:eastAsia="Times New Roman" w:hAnsi="Verdana"/>
          <w:color w:val="000000"/>
          <w:sz w:val="18"/>
          <w:szCs w:val="18"/>
        </w:rPr>
        <w:t xml:space="preserve">or 2021 </w:t>
      </w:r>
      <w:r w:rsidR="00137522" w:rsidRPr="008F006A">
        <w:rPr>
          <w:rFonts w:ascii="Verdana" w:eastAsia="Times New Roman" w:hAnsi="Verdana"/>
          <w:color w:val="000000"/>
          <w:sz w:val="18"/>
          <w:szCs w:val="18"/>
        </w:rPr>
        <w:t>FS programs as MassHealth will be reviewing all of CY 2021 plans and BBNs, both net new and current, during this period.</w:t>
      </w:r>
    </w:p>
    <w:p w:rsidR="00137522" w:rsidRPr="008F006A" w:rsidRDefault="00137522" w:rsidP="00336C49">
      <w:pPr>
        <w:spacing w:after="0" w:line="240" w:lineRule="auto"/>
        <w:rPr>
          <w:rFonts w:ascii="Verdana" w:hAnsi="Verdana"/>
          <w:b/>
          <w:sz w:val="18"/>
          <w:szCs w:val="18"/>
        </w:rPr>
      </w:pPr>
    </w:p>
    <w:p w:rsidR="00035086" w:rsidRPr="008F006A" w:rsidRDefault="00336C49" w:rsidP="009D6242">
      <w:pPr>
        <w:pStyle w:val="Heading3"/>
      </w:pPr>
      <w:bookmarkStart w:id="32" w:name="_Toc32577195"/>
      <w:r w:rsidRPr="008F006A">
        <w:t>Transportation Guidance</w:t>
      </w:r>
      <w:bookmarkEnd w:id="32"/>
    </w:p>
    <w:p w:rsidR="00035086" w:rsidRPr="008F006A" w:rsidRDefault="00035086" w:rsidP="00BB37F8">
      <w:pPr>
        <w:pStyle w:val="ListParagraph"/>
        <w:numPr>
          <w:ilvl w:val="0"/>
          <w:numId w:val="16"/>
        </w:numPr>
        <w:spacing w:after="0" w:line="240" w:lineRule="auto"/>
        <w:rPr>
          <w:rFonts w:ascii="Verdana" w:hAnsi="Verdana"/>
          <w:b/>
          <w:sz w:val="18"/>
          <w:szCs w:val="18"/>
        </w:rPr>
      </w:pPr>
      <w:r w:rsidRPr="008F006A">
        <w:rPr>
          <w:rFonts w:ascii="Verdana" w:hAnsi="Verdana"/>
          <w:b/>
          <w:sz w:val="18"/>
          <w:szCs w:val="18"/>
        </w:rPr>
        <w:t>Q:</w:t>
      </w:r>
      <w:r w:rsidRPr="008F006A">
        <w:rPr>
          <w:rFonts w:ascii="Verdana" w:hAnsi="Verdana"/>
          <w:sz w:val="18"/>
          <w:szCs w:val="18"/>
        </w:rPr>
        <w:t xml:space="preserve"> Is coordinating and setting up transportation considered an allowable FS service for ACOs?</w:t>
      </w:r>
    </w:p>
    <w:p w:rsidR="00035086" w:rsidRPr="008F006A" w:rsidRDefault="00035086" w:rsidP="00DA6BBD">
      <w:pPr>
        <w:pStyle w:val="ListParagraph"/>
        <w:numPr>
          <w:ilvl w:val="1"/>
          <w:numId w:val="16"/>
        </w:numPr>
        <w:spacing w:after="0" w:line="240" w:lineRule="auto"/>
        <w:rPr>
          <w:rFonts w:ascii="Verdana" w:hAnsi="Verdana"/>
          <w:b/>
          <w:i/>
          <w:sz w:val="18"/>
          <w:szCs w:val="18"/>
        </w:rPr>
      </w:pPr>
      <w:r w:rsidRPr="008F006A">
        <w:rPr>
          <w:rFonts w:ascii="Verdana" w:hAnsi="Verdana"/>
          <w:b/>
          <w:i/>
          <w:sz w:val="18"/>
          <w:szCs w:val="18"/>
        </w:rPr>
        <w:t xml:space="preserve">A: </w:t>
      </w:r>
      <w:r w:rsidRPr="008F006A">
        <w:rPr>
          <w:rFonts w:ascii="Verdana" w:hAnsi="Verdana"/>
          <w:i/>
          <w:sz w:val="18"/>
          <w:szCs w:val="18"/>
        </w:rPr>
        <w:t>Coordinating and setting up transportation for a member is an allowable FS cost for ACOs and SSOs. It should be factored into the overall cost of providing transportation for the member to an allowable housing or nutrition service.</w:t>
      </w:r>
    </w:p>
    <w:p w:rsidR="0002512F" w:rsidRPr="008F006A" w:rsidRDefault="0002512F" w:rsidP="0002512F">
      <w:pPr>
        <w:pStyle w:val="ListParagraph"/>
        <w:spacing w:after="0" w:line="240" w:lineRule="auto"/>
        <w:rPr>
          <w:rFonts w:ascii="Verdana" w:hAnsi="Verdana"/>
          <w:b/>
          <w:sz w:val="18"/>
          <w:szCs w:val="18"/>
        </w:rPr>
      </w:pPr>
    </w:p>
    <w:p w:rsidR="0002512F" w:rsidRPr="008F006A" w:rsidRDefault="0002512F" w:rsidP="0002512F">
      <w:pPr>
        <w:pStyle w:val="ListParagraph"/>
        <w:numPr>
          <w:ilvl w:val="0"/>
          <w:numId w:val="16"/>
        </w:numPr>
        <w:spacing w:after="0" w:line="240" w:lineRule="auto"/>
        <w:rPr>
          <w:rFonts w:ascii="Verdana" w:hAnsi="Verdana"/>
          <w:b/>
          <w:sz w:val="18"/>
          <w:szCs w:val="18"/>
        </w:rPr>
      </w:pPr>
      <w:r w:rsidRPr="008F006A">
        <w:rPr>
          <w:rFonts w:ascii="Verdana" w:hAnsi="Verdana"/>
          <w:b/>
          <w:sz w:val="18"/>
          <w:szCs w:val="18"/>
        </w:rPr>
        <w:t xml:space="preserve">Q: </w:t>
      </w:r>
      <w:r w:rsidRPr="008F006A">
        <w:rPr>
          <w:rFonts w:ascii="Verdana" w:hAnsi="Verdana"/>
          <w:sz w:val="18"/>
          <w:szCs w:val="18"/>
        </w:rPr>
        <w:t>Is transportation considered a good or service? Is the provider of transportation a vendor or SSO?</w:t>
      </w:r>
    </w:p>
    <w:p w:rsidR="0002512F" w:rsidRPr="008F006A" w:rsidRDefault="0002512F" w:rsidP="00DA6BBD">
      <w:pPr>
        <w:pStyle w:val="ListParagraph"/>
        <w:numPr>
          <w:ilvl w:val="1"/>
          <w:numId w:val="16"/>
        </w:numPr>
        <w:spacing w:after="0" w:line="240" w:lineRule="auto"/>
        <w:rPr>
          <w:rFonts w:ascii="Verdana" w:hAnsi="Verdana"/>
          <w:b/>
          <w:i/>
          <w:sz w:val="18"/>
          <w:szCs w:val="18"/>
        </w:rPr>
      </w:pPr>
      <w:r w:rsidRPr="008F006A">
        <w:rPr>
          <w:rFonts w:ascii="Verdana" w:hAnsi="Verdana"/>
          <w:b/>
          <w:i/>
          <w:sz w:val="18"/>
          <w:szCs w:val="18"/>
        </w:rPr>
        <w:t xml:space="preserve">A: </w:t>
      </w:r>
      <w:r w:rsidRPr="008F006A">
        <w:rPr>
          <w:rFonts w:ascii="Verdana" w:hAnsi="Verdana"/>
          <w:i/>
          <w:sz w:val="18"/>
          <w:szCs w:val="18"/>
        </w:rPr>
        <w:t>Transportation is considered a good. The provider of transportation is a vendor</w:t>
      </w:r>
      <w:r w:rsidRPr="008F006A">
        <w:rPr>
          <w:rFonts w:ascii="Verdana" w:hAnsi="Verdana"/>
          <w:sz w:val="18"/>
          <w:szCs w:val="18"/>
        </w:rPr>
        <w:t>.</w:t>
      </w:r>
    </w:p>
    <w:p w:rsidR="00F66480" w:rsidRPr="008F006A" w:rsidRDefault="00F66480" w:rsidP="00336C49">
      <w:pPr>
        <w:spacing w:after="0" w:line="240" w:lineRule="auto"/>
        <w:rPr>
          <w:rFonts w:ascii="Verdana" w:hAnsi="Verdana"/>
          <w:b/>
          <w:i/>
          <w:sz w:val="18"/>
          <w:szCs w:val="18"/>
        </w:rPr>
      </w:pPr>
    </w:p>
    <w:p w:rsidR="00F66480" w:rsidRPr="008F006A" w:rsidRDefault="00F66480" w:rsidP="009D6242">
      <w:pPr>
        <w:pStyle w:val="Heading3"/>
      </w:pPr>
      <w:bookmarkStart w:id="33" w:name="_Toc32577196"/>
      <w:r w:rsidRPr="008F006A">
        <w:t>Appeals Process</w:t>
      </w:r>
      <w:bookmarkEnd w:id="33"/>
    </w:p>
    <w:p w:rsidR="00F66480" w:rsidRPr="008F006A" w:rsidRDefault="00F66480" w:rsidP="00F66480">
      <w:pPr>
        <w:pStyle w:val="ListParagraph"/>
        <w:numPr>
          <w:ilvl w:val="0"/>
          <w:numId w:val="16"/>
        </w:numPr>
        <w:spacing w:after="0" w:line="240" w:lineRule="auto"/>
        <w:rPr>
          <w:rFonts w:ascii="Verdana" w:hAnsi="Verdana"/>
          <w:sz w:val="18"/>
          <w:szCs w:val="18"/>
        </w:rPr>
      </w:pPr>
      <w:r w:rsidRPr="008F006A">
        <w:rPr>
          <w:rFonts w:ascii="Verdana" w:hAnsi="Verdana"/>
          <w:b/>
          <w:sz w:val="18"/>
          <w:szCs w:val="18"/>
        </w:rPr>
        <w:t xml:space="preserve">Q: </w:t>
      </w:r>
      <w:r w:rsidRPr="008F006A">
        <w:rPr>
          <w:rFonts w:ascii="Verdana" w:hAnsi="Verdana"/>
          <w:sz w:val="18"/>
          <w:szCs w:val="18"/>
        </w:rPr>
        <w:t xml:space="preserve">Do ACOs need to implement an </w:t>
      </w:r>
      <w:proofErr w:type="gramStart"/>
      <w:r w:rsidRPr="008F006A">
        <w:rPr>
          <w:rFonts w:ascii="Verdana" w:hAnsi="Verdana"/>
          <w:sz w:val="18"/>
          <w:szCs w:val="18"/>
        </w:rPr>
        <w:t>appeals</w:t>
      </w:r>
      <w:proofErr w:type="gramEnd"/>
      <w:r w:rsidRPr="008F006A">
        <w:rPr>
          <w:rFonts w:ascii="Verdana" w:hAnsi="Verdana"/>
          <w:sz w:val="18"/>
          <w:szCs w:val="18"/>
        </w:rPr>
        <w:t xml:space="preserve"> process for members who want to appeal a denial for receiving Flexible Services?</w:t>
      </w:r>
    </w:p>
    <w:p w:rsidR="00F66480" w:rsidRPr="008F006A" w:rsidRDefault="00F66480" w:rsidP="00A93066">
      <w:pPr>
        <w:pStyle w:val="ListParagraph"/>
        <w:numPr>
          <w:ilvl w:val="1"/>
          <w:numId w:val="16"/>
        </w:numPr>
        <w:spacing w:after="0" w:line="240" w:lineRule="auto"/>
        <w:rPr>
          <w:rFonts w:ascii="Verdana" w:hAnsi="Verdana"/>
          <w:sz w:val="18"/>
          <w:szCs w:val="18"/>
        </w:rPr>
      </w:pPr>
      <w:r w:rsidRPr="008F006A">
        <w:rPr>
          <w:rFonts w:ascii="Verdana" w:hAnsi="Verdana"/>
          <w:b/>
          <w:i/>
          <w:sz w:val="18"/>
          <w:szCs w:val="18"/>
        </w:rPr>
        <w:lastRenderedPageBreak/>
        <w:t xml:space="preserve">A: </w:t>
      </w:r>
      <w:r w:rsidR="00E9738B" w:rsidRPr="008F006A">
        <w:rPr>
          <w:rFonts w:ascii="Verdana" w:hAnsi="Verdana"/>
          <w:i/>
          <w:sz w:val="18"/>
          <w:szCs w:val="18"/>
        </w:rPr>
        <w:t xml:space="preserve">No, ACOs are not required to implement an appeals process. However, members should have access to </w:t>
      </w:r>
      <w:r w:rsidR="00A93066" w:rsidRPr="008F006A">
        <w:rPr>
          <w:rFonts w:ascii="Verdana" w:hAnsi="Verdana"/>
          <w:i/>
          <w:sz w:val="18"/>
          <w:szCs w:val="18"/>
        </w:rPr>
        <w:t xml:space="preserve">the ACO’s contractually required </w:t>
      </w:r>
      <w:r w:rsidR="00E9738B" w:rsidRPr="008F006A">
        <w:rPr>
          <w:rFonts w:ascii="Verdana" w:hAnsi="Verdana"/>
          <w:i/>
          <w:sz w:val="18"/>
          <w:szCs w:val="18"/>
        </w:rPr>
        <w:t>grievance process</w:t>
      </w:r>
      <w:r w:rsidR="00E9738B" w:rsidRPr="008F006A">
        <w:rPr>
          <w:rFonts w:ascii="Verdana" w:hAnsi="Verdana"/>
          <w:sz w:val="18"/>
          <w:szCs w:val="18"/>
        </w:rPr>
        <w:t>.</w:t>
      </w:r>
    </w:p>
    <w:p w:rsidR="00AB4FD4" w:rsidRPr="008F006A" w:rsidRDefault="00AB4FD4" w:rsidP="00AB4FD4">
      <w:pPr>
        <w:spacing w:after="0" w:line="240" w:lineRule="auto"/>
        <w:rPr>
          <w:rFonts w:ascii="Verdana" w:hAnsi="Verdana"/>
          <w:sz w:val="18"/>
          <w:szCs w:val="18"/>
        </w:rPr>
      </w:pPr>
    </w:p>
    <w:p w:rsidR="00AB4FD4" w:rsidRPr="008F006A" w:rsidRDefault="00AB4FD4" w:rsidP="009D6242">
      <w:pPr>
        <w:pStyle w:val="Heading3"/>
      </w:pPr>
      <w:bookmarkStart w:id="34" w:name="_Toc32577197"/>
      <w:r w:rsidRPr="008F006A">
        <w:t>Amending FPP/BBN following approval due to material / non-material changes to Flexible Services Program(s)</w:t>
      </w:r>
      <w:bookmarkEnd w:id="34"/>
    </w:p>
    <w:p w:rsidR="0016706F" w:rsidRPr="008F006A" w:rsidRDefault="0016706F" w:rsidP="0016706F">
      <w:pPr>
        <w:pStyle w:val="ListParagraph"/>
        <w:numPr>
          <w:ilvl w:val="0"/>
          <w:numId w:val="16"/>
        </w:numPr>
        <w:spacing w:after="0" w:line="240" w:lineRule="auto"/>
        <w:rPr>
          <w:rFonts w:ascii="Verdana" w:hAnsi="Verdana"/>
          <w:sz w:val="18"/>
          <w:szCs w:val="18"/>
        </w:rPr>
      </w:pPr>
      <w:r w:rsidRPr="008F006A">
        <w:rPr>
          <w:rFonts w:ascii="Verdana" w:hAnsi="Verdana"/>
          <w:b/>
          <w:sz w:val="18"/>
          <w:szCs w:val="18"/>
        </w:rPr>
        <w:t xml:space="preserve">Q: </w:t>
      </w:r>
      <w:r w:rsidRPr="008F006A">
        <w:rPr>
          <w:rFonts w:ascii="Verdana" w:hAnsi="Verdana"/>
          <w:sz w:val="18"/>
          <w:szCs w:val="18"/>
        </w:rPr>
        <w:t>If an ACO is interested in making updates to their Flexible Services program following FPP and BBN approval (e.g. adding a new service or building onto an existing service), would a new FPP or BBN submission be required?</w:t>
      </w:r>
    </w:p>
    <w:p w:rsidR="0016706F" w:rsidRPr="008F006A" w:rsidRDefault="0016706F" w:rsidP="00DA6BBD">
      <w:pPr>
        <w:pStyle w:val="ListParagraph"/>
        <w:numPr>
          <w:ilvl w:val="1"/>
          <w:numId w:val="16"/>
        </w:numPr>
        <w:spacing w:after="0" w:line="240" w:lineRule="auto"/>
        <w:rPr>
          <w:rFonts w:ascii="Verdana" w:hAnsi="Verdana"/>
          <w:i/>
          <w:sz w:val="18"/>
          <w:szCs w:val="18"/>
        </w:rPr>
      </w:pPr>
      <w:r w:rsidRPr="008F006A">
        <w:rPr>
          <w:rFonts w:ascii="Verdana" w:hAnsi="Verdana"/>
          <w:b/>
          <w:i/>
          <w:sz w:val="18"/>
          <w:szCs w:val="18"/>
        </w:rPr>
        <w:t>A:</w:t>
      </w:r>
      <w:r w:rsidRPr="008F006A">
        <w:rPr>
          <w:rFonts w:ascii="Verdana" w:hAnsi="Verdana"/>
          <w:i/>
          <w:sz w:val="18"/>
          <w:szCs w:val="18"/>
        </w:rPr>
        <w:t xml:space="preserve"> Depending on the nature of the programmatic change proposed, amendments to the FPP or BBN may be considered either non-material or material deviations. How an ACO goes about updating their FPP and BBN depends on the type of revision being made.</w:t>
      </w:r>
    </w:p>
    <w:p w:rsidR="0016706F" w:rsidRPr="008F006A" w:rsidRDefault="0016706F" w:rsidP="00DA6BBD">
      <w:pPr>
        <w:pStyle w:val="ListParagraph"/>
        <w:numPr>
          <w:ilvl w:val="2"/>
          <w:numId w:val="16"/>
        </w:numPr>
        <w:spacing w:after="0" w:line="240" w:lineRule="auto"/>
        <w:rPr>
          <w:rFonts w:ascii="Verdana" w:hAnsi="Verdana"/>
          <w:i/>
          <w:sz w:val="18"/>
          <w:szCs w:val="18"/>
        </w:rPr>
      </w:pPr>
      <w:r w:rsidRPr="008F006A">
        <w:rPr>
          <w:rFonts w:ascii="Verdana" w:hAnsi="Verdana"/>
          <w:b/>
          <w:i/>
          <w:sz w:val="18"/>
          <w:szCs w:val="18"/>
        </w:rPr>
        <w:t>No Pre-approval Required</w:t>
      </w:r>
      <w:r w:rsidRPr="008F006A">
        <w:rPr>
          <w:rFonts w:ascii="Verdana" w:hAnsi="Verdana"/>
          <w:i/>
          <w:sz w:val="18"/>
          <w:szCs w:val="18"/>
        </w:rPr>
        <w:t xml:space="preserve"> – for some non-material deviations, </w:t>
      </w:r>
      <w:r w:rsidR="003B1444" w:rsidRPr="008F006A">
        <w:rPr>
          <w:rFonts w:ascii="Verdana" w:hAnsi="Verdana"/>
          <w:i/>
          <w:sz w:val="18"/>
          <w:szCs w:val="18"/>
        </w:rPr>
        <w:t xml:space="preserve">an </w:t>
      </w:r>
      <w:r w:rsidRPr="008F006A">
        <w:rPr>
          <w:rFonts w:ascii="Verdana" w:hAnsi="Verdana"/>
          <w:i/>
          <w:sz w:val="18"/>
          <w:szCs w:val="18"/>
        </w:rPr>
        <w:t>ACO will not be required to receive approval from MassHealth prior to making amendments. Instead, amendments should be submitted with the ACO</w:t>
      </w:r>
      <w:r w:rsidR="003B1444" w:rsidRPr="008F006A">
        <w:rPr>
          <w:rFonts w:ascii="Verdana" w:hAnsi="Verdana"/>
          <w:i/>
          <w:sz w:val="18"/>
          <w:szCs w:val="18"/>
        </w:rPr>
        <w:t>’</w:t>
      </w:r>
      <w:r w:rsidRPr="008F006A">
        <w:rPr>
          <w:rFonts w:ascii="Verdana" w:hAnsi="Verdana"/>
          <w:i/>
          <w:sz w:val="18"/>
          <w:szCs w:val="18"/>
        </w:rPr>
        <w:t>s next Progress Report submission or formal modification request. Non-material deviations that require no pre-approval include:</w:t>
      </w:r>
    </w:p>
    <w:p w:rsidR="0016706F" w:rsidRPr="008F006A" w:rsidRDefault="0016706F" w:rsidP="00DA6BBD">
      <w:pPr>
        <w:pStyle w:val="ListParagraph"/>
        <w:numPr>
          <w:ilvl w:val="3"/>
          <w:numId w:val="16"/>
        </w:numPr>
        <w:spacing w:after="0" w:line="240" w:lineRule="auto"/>
        <w:rPr>
          <w:rFonts w:ascii="Verdana" w:hAnsi="Verdana"/>
          <w:i/>
          <w:sz w:val="18"/>
          <w:szCs w:val="18"/>
        </w:rPr>
      </w:pPr>
      <w:r w:rsidRPr="008F006A">
        <w:rPr>
          <w:rFonts w:ascii="Verdana" w:hAnsi="Verdana"/>
          <w:i/>
          <w:sz w:val="18"/>
          <w:szCs w:val="18"/>
        </w:rPr>
        <w:t>Updating Program Milestones in the Full Participation Plan</w:t>
      </w:r>
    </w:p>
    <w:p w:rsidR="0016706F" w:rsidRPr="008F006A" w:rsidRDefault="0016706F" w:rsidP="00DA6BBD">
      <w:pPr>
        <w:pStyle w:val="ListParagraph"/>
        <w:numPr>
          <w:ilvl w:val="3"/>
          <w:numId w:val="16"/>
        </w:numPr>
        <w:spacing w:after="0" w:line="240" w:lineRule="auto"/>
        <w:rPr>
          <w:rFonts w:ascii="Verdana" w:hAnsi="Verdana"/>
          <w:i/>
          <w:sz w:val="18"/>
          <w:szCs w:val="18"/>
        </w:rPr>
      </w:pPr>
      <w:r w:rsidRPr="008F006A">
        <w:rPr>
          <w:rFonts w:ascii="Verdana" w:hAnsi="Verdana"/>
          <w:i/>
          <w:sz w:val="18"/>
          <w:szCs w:val="18"/>
        </w:rPr>
        <w:t>Reallocating approved funding among approved line items up to $100K</w:t>
      </w:r>
    </w:p>
    <w:p w:rsidR="0016706F" w:rsidRPr="008F006A" w:rsidRDefault="0016706F" w:rsidP="00DA6BBD">
      <w:pPr>
        <w:pStyle w:val="ListParagraph"/>
        <w:numPr>
          <w:ilvl w:val="2"/>
          <w:numId w:val="16"/>
        </w:numPr>
        <w:spacing w:after="0" w:line="240" w:lineRule="auto"/>
        <w:rPr>
          <w:rFonts w:ascii="Verdana" w:hAnsi="Verdana"/>
          <w:i/>
          <w:sz w:val="18"/>
          <w:szCs w:val="18"/>
        </w:rPr>
      </w:pPr>
      <w:r w:rsidRPr="008F006A">
        <w:rPr>
          <w:rFonts w:ascii="Verdana" w:hAnsi="Verdana"/>
          <w:b/>
          <w:i/>
          <w:sz w:val="18"/>
          <w:szCs w:val="18"/>
        </w:rPr>
        <w:t>Informal Approval</w:t>
      </w:r>
      <w:r w:rsidRPr="008F006A">
        <w:rPr>
          <w:rFonts w:ascii="Verdana" w:hAnsi="Verdana"/>
          <w:i/>
          <w:sz w:val="18"/>
          <w:szCs w:val="18"/>
        </w:rPr>
        <w:t xml:space="preserve"> - Other non-material deviations will require an informal sign-off from MassHealth via email</w:t>
      </w:r>
      <w:r w:rsidR="00FC60F9" w:rsidRPr="008F006A">
        <w:rPr>
          <w:rFonts w:ascii="Verdana" w:hAnsi="Verdana"/>
          <w:i/>
          <w:sz w:val="18"/>
          <w:szCs w:val="18"/>
        </w:rPr>
        <w:t xml:space="preserve">. Informal approval requests may be submitted on a rolling basis. </w:t>
      </w:r>
      <w:r w:rsidRPr="008F006A">
        <w:rPr>
          <w:rFonts w:ascii="Verdana" w:hAnsi="Verdana"/>
          <w:i/>
          <w:sz w:val="18"/>
          <w:szCs w:val="18"/>
        </w:rPr>
        <w:t xml:space="preserve"> </w:t>
      </w:r>
      <w:r w:rsidR="00FC60F9" w:rsidRPr="008F006A">
        <w:rPr>
          <w:rFonts w:ascii="Verdana" w:hAnsi="Verdana"/>
          <w:i/>
          <w:sz w:val="18"/>
          <w:szCs w:val="18"/>
        </w:rPr>
        <w:t xml:space="preserve"> Amendments that have received informal email sign-off from MassHealth should be made to the F</w:t>
      </w:r>
      <w:r w:rsidR="00EE4E0F" w:rsidRPr="008F006A">
        <w:rPr>
          <w:rFonts w:ascii="Verdana" w:hAnsi="Verdana"/>
          <w:i/>
          <w:sz w:val="18"/>
          <w:szCs w:val="18"/>
        </w:rPr>
        <w:t xml:space="preserve">ull </w:t>
      </w:r>
      <w:r w:rsidR="00FC60F9" w:rsidRPr="008F006A">
        <w:rPr>
          <w:rFonts w:ascii="Verdana" w:hAnsi="Verdana"/>
          <w:i/>
          <w:sz w:val="18"/>
          <w:szCs w:val="18"/>
        </w:rPr>
        <w:t>P</w:t>
      </w:r>
      <w:r w:rsidR="00EE4E0F" w:rsidRPr="008F006A">
        <w:rPr>
          <w:rFonts w:ascii="Verdana" w:hAnsi="Verdana"/>
          <w:i/>
          <w:sz w:val="18"/>
          <w:szCs w:val="18"/>
        </w:rPr>
        <w:t xml:space="preserve">articipation </w:t>
      </w:r>
      <w:r w:rsidR="00FC60F9" w:rsidRPr="008F006A">
        <w:rPr>
          <w:rFonts w:ascii="Verdana" w:hAnsi="Verdana"/>
          <w:i/>
          <w:sz w:val="18"/>
          <w:szCs w:val="18"/>
        </w:rPr>
        <w:t>P</w:t>
      </w:r>
      <w:r w:rsidR="00EE4E0F" w:rsidRPr="008F006A">
        <w:rPr>
          <w:rFonts w:ascii="Verdana" w:hAnsi="Verdana"/>
          <w:i/>
          <w:sz w:val="18"/>
          <w:szCs w:val="18"/>
        </w:rPr>
        <w:t>lan</w:t>
      </w:r>
      <w:r w:rsidR="00FC60F9" w:rsidRPr="008F006A">
        <w:rPr>
          <w:rFonts w:ascii="Verdana" w:hAnsi="Verdana"/>
          <w:i/>
          <w:sz w:val="18"/>
          <w:szCs w:val="18"/>
        </w:rPr>
        <w:t>/BBN</w:t>
      </w:r>
      <w:r w:rsidRPr="008F006A">
        <w:rPr>
          <w:rFonts w:ascii="Verdana" w:hAnsi="Verdana"/>
          <w:i/>
          <w:sz w:val="18"/>
          <w:szCs w:val="18"/>
        </w:rPr>
        <w:t xml:space="preserve"> in the ACO</w:t>
      </w:r>
      <w:r w:rsidR="00FF21C3" w:rsidRPr="008F006A">
        <w:rPr>
          <w:rFonts w:ascii="Verdana" w:hAnsi="Verdana"/>
          <w:i/>
          <w:sz w:val="18"/>
          <w:szCs w:val="18"/>
        </w:rPr>
        <w:t>’</w:t>
      </w:r>
      <w:r w:rsidRPr="008F006A">
        <w:rPr>
          <w:rFonts w:ascii="Verdana" w:hAnsi="Verdana"/>
          <w:i/>
          <w:sz w:val="18"/>
          <w:szCs w:val="18"/>
        </w:rPr>
        <w:t>s next Progress Report Submission or formal modification request. Non-material deviation requests that require informal pre-approval includes:</w:t>
      </w:r>
    </w:p>
    <w:p w:rsidR="0016706F" w:rsidRPr="008F006A" w:rsidRDefault="0016706F" w:rsidP="00DA6BBD">
      <w:pPr>
        <w:pStyle w:val="ListParagraph"/>
        <w:numPr>
          <w:ilvl w:val="3"/>
          <w:numId w:val="16"/>
        </w:numPr>
        <w:spacing w:after="0" w:line="240" w:lineRule="auto"/>
        <w:rPr>
          <w:rFonts w:ascii="Verdana" w:hAnsi="Verdana"/>
          <w:i/>
          <w:sz w:val="18"/>
          <w:szCs w:val="18"/>
        </w:rPr>
      </w:pPr>
      <w:r w:rsidRPr="008F006A">
        <w:rPr>
          <w:rFonts w:ascii="Verdana" w:hAnsi="Verdana"/>
          <w:i/>
          <w:sz w:val="18"/>
          <w:szCs w:val="18"/>
        </w:rPr>
        <w:t>Changing Payment Mechanisms</w:t>
      </w:r>
      <w:r w:rsidR="00A05D0E" w:rsidRPr="008F006A">
        <w:rPr>
          <w:rFonts w:ascii="Verdana" w:hAnsi="Verdana"/>
          <w:i/>
          <w:sz w:val="18"/>
          <w:szCs w:val="18"/>
        </w:rPr>
        <w:t xml:space="preserve"> to the SSO</w:t>
      </w:r>
      <w:r w:rsidR="00DE0968" w:rsidRPr="008F006A">
        <w:rPr>
          <w:rFonts w:ascii="Verdana" w:hAnsi="Verdana"/>
          <w:i/>
          <w:sz w:val="18"/>
          <w:szCs w:val="18"/>
        </w:rPr>
        <w:t xml:space="preserve"> </w:t>
      </w:r>
      <w:r w:rsidR="00336D52" w:rsidRPr="008F006A">
        <w:rPr>
          <w:rFonts w:ascii="Verdana" w:hAnsi="Verdana"/>
          <w:i/>
          <w:sz w:val="18"/>
          <w:szCs w:val="18"/>
        </w:rPr>
        <w:t xml:space="preserve">(e.g., Fee </w:t>
      </w:r>
      <w:proofErr w:type="gramStart"/>
      <w:r w:rsidR="00336D52" w:rsidRPr="008F006A">
        <w:rPr>
          <w:rFonts w:ascii="Verdana" w:hAnsi="Verdana"/>
          <w:i/>
          <w:sz w:val="18"/>
          <w:szCs w:val="18"/>
        </w:rPr>
        <w:t>For</w:t>
      </w:r>
      <w:proofErr w:type="gramEnd"/>
      <w:r w:rsidR="00336D52" w:rsidRPr="008F006A">
        <w:rPr>
          <w:rFonts w:ascii="Verdana" w:hAnsi="Verdana"/>
          <w:i/>
          <w:sz w:val="18"/>
          <w:szCs w:val="18"/>
        </w:rPr>
        <w:t xml:space="preserve"> Service, Bundle)</w:t>
      </w:r>
      <w:r w:rsidRPr="008F006A">
        <w:rPr>
          <w:rFonts w:ascii="Verdana" w:hAnsi="Verdana"/>
          <w:i/>
          <w:sz w:val="18"/>
          <w:szCs w:val="18"/>
        </w:rPr>
        <w:t>; and</w:t>
      </w:r>
    </w:p>
    <w:p w:rsidR="0016706F" w:rsidRPr="008F006A" w:rsidRDefault="0016706F" w:rsidP="00DA6BBD">
      <w:pPr>
        <w:pStyle w:val="ListParagraph"/>
        <w:numPr>
          <w:ilvl w:val="3"/>
          <w:numId w:val="16"/>
        </w:numPr>
        <w:spacing w:after="0" w:line="240" w:lineRule="auto"/>
        <w:rPr>
          <w:rFonts w:ascii="Verdana" w:hAnsi="Verdana"/>
          <w:i/>
          <w:sz w:val="18"/>
          <w:szCs w:val="18"/>
        </w:rPr>
      </w:pPr>
      <w:r w:rsidRPr="008F006A">
        <w:rPr>
          <w:rFonts w:ascii="Verdana" w:hAnsi="Verdana"/>
          <w:i/>
          <w:sz w:val="18"/>
          <w:szCs w:val="18"/>
        </w:rPr>
        <w:t>Reallocating approved budget amount among approved line items between $100K and $250K</w:t>
      </w:r>
    </w:p>
    <w:p w:rsidR="0016706F" w:rsidRPr="008F006A" w:rsidRDefault="0016706F" w:rsidP="00DA6BBD">
      <w:pPr>
        <w:pStyle w:val="ListParagraph"/>
        <w:numPr>
          <w:ilvl w:val="2"/>
          <w:numId w:val="16"/>
        </w:numPr>
        <w:shd w:val="clear" w:color="auto" w:fill="FFFFFF"/>
        <w:spacing w:after="0" w:line="240" w:lineRule="auto"/>
        <w:rPr>
          <w:rFonts w:ascii="Verdana" w:eastAsia="Times New Roman" w:hAnsi="Verdana" w:cs="Calibri"/>
          <w:i/>
          <w:color w:val="212121"/>
          <w:sz w:val="18"/>
          <w:szCs w:val="18"/>
        </w:rPr>
      </w:pPr>
      <w:r w:rsidRPr="008F006A">
        <w:rPr>
          <w:rFonts w:ascii="Verdana" w:hAnsi="Verdana"/>
          <w:b/>
          <w:i/>
          <w:sz w:val="18"/>
          <w:szCs w:val="18"/>
        </w:rPr>
        <w:t>Formal Approval</w:t>
      </w:r>
      <w:r w:rsidRPr="008F006A">
        <w:rPr>
          <w:rFonts w:ascii="Verdana" w:hAnsi="Verdana"/>
          <w:i/>
          <w:sz w:val="18"/>
          <w:szCs w:val="18"/>
        </w:rPr>
        <w:t xml:space="preserve"> – Material deviations will require formal appro</w:t>
      </w:r>
      <w:r w:rsidR="00FF21C3" w:rsidRPr="008F006A">
        <w:rPr>
          <w:rFonts w:ascii="Verdana" w:hAnsi="Verdana"/>
          <w:i/>
          <w:sz w:val="18"/>
          <w:szCs w:val="18"/>
        </w:rPr>
        <w:t>val from MassHealth and require</w:t>
      </w:r>
      <w:r w:rsidRPr="008F006A">
        <w:rPr>
          <w:rFonts w:ascii="Verdana" w:hAnsi="Verdana"/>
          <w:i/>
          <w:sz w:val="18"/>
          <w:szCs w:val="18"/>
        </w:rPr>
        <w:t xml:space="preserve"> a modification request. Modification requests may be submitted on a quarterly basis</w:t>
      </w:r>
      <w:r w:rsidR="00C20B1F" w:rsidRPr="008F006A">
        <w:rPr>
          <w:rFonts w:ascii="Verdana" w:hAnsi="Verdana"/>
          <w:i/>
          <w:sz w:val="18"/>
          <w:szCs w:val="18"/>
        </w:rPr>
        <w:t xml:space="preserve"> beginning on March </w:t>
      </w:r>
      <w:r w:rsidR="003B1444" w:rsidRPr="008F006A">
        <w:rPr>
          <w:rFonts w:ascii="Verdana" w:hAnsi="Verdana"/>
          <w:i/>
          <w:sz w:val="18"/>
          <w:szCs w:val="18"/>
        </w:rPr>
        <w:t>2</w:t>
      </w:r>
      <w:r w:rsidR="00C20B1F" w:rsidRPr="008F006A">
        <w:rPr>
          <w:rFonts w:ascii="Verdana" w:hAnsi="Verdana"/>
          <w:i/>
          <w:sz w:val="18"/>
          <w:szCs w:val="18"/>
        </w:rPr>
        <w:t>, 2020</w:t>
      </w:r>
      <w:r w:rsidR="00336D52" w:rsidRPr="008F006A">
        <w:rPr>
          <w:rFonts w:ascii="Verdana" w:hAnsi="Verdana"/>
          <w:i/>
          <w:sz w:val="18"/>
          <w:szCs w:val="18"/>
        </w:rPr>
        <w:t xml:space="preserve"> on the same cycle of the program submission cycle</w:t>
      </w:r>
      <w:r w:rsidRPr="008F006A">
        <w:rPr>
          <w:rFonts w:ascii="Verdana" w:hAnsi="Verdana"/>
          <w:i/>
          <w:sz w:val="18"/>
          <w:szCs w:val="18"/>
        </w:rPr>
        <w:t>. Material deviation requests that require formal approval include:</w:t>
      </w:r>
    </w:p>
    <w:p w:rsidR="0016706F" w:rsidRPr="008F006A" w:rsidRDefault="0016706F" w:rsidP="00DA6BBD">
      <w:pPr>
        <w:pStyle w:val="ListParagraph"/>
        <w:numPr>
          <w:ilvl w:val="3"/>
          <w:numId w:val="16"/>
        </w:numPr>
        <w:shd w:val="clear" w:color="auto" w:fill="FFFFFF"/>
        <w:spacing w:after="0" w:line="240" w:lineRule="auto"/>
        <w:rPr>
          <w:rFonts w:ascii="Verdana" w:eastAsia="Times New Roman" w:hAnsi="Verdana" w:cs="Calibri"/>
          <w:i/>
          <w:color w:val="212121"/>
          <w:sz w:val="18"/>
          <w:szCs w:val="18"/>
        </w:rPr>
      </w:pPr>
      <w:r w:rsidRPr="008F006A">
        <w:rPr>
          <w:rFonts w:ascii="Verdana" w:eastAsia="Times New Roman" w:hAnsi="Verdana" w:cs="Calibri"/>
          <w:i/>
          <w:color w:val="212121"/>
          <w:sz w:val="18"/>
          <w:szCs w:val="18"/>
        </w:rPr>
        <w:t>Adding services or goods</w:t>
      </w:r>
    </w:p>
    <w:p w:rsidR="0016706F" w:rsidRPr="008F006A" w:rsidRDefault="0016706F" w:rsidP="00DA6BBD">
      <w:pPr>
        <w:pStyle w:val="ListParagraph"/>
        <w:numPr>
          <w:ilvl w:val="3"/>
          <w:numId w:val="16"/>
        </w:numPr>
        <w:shd w:val="clear" w:color="auto" w:fill="FFFFFF"/>
        <w:spacing w:after="0" w:line="240" w:lineRule="auto"/>
        <w:rPr>
          <w:rFonts w:ascii="Verdana" w:eastAsia="Times New Roman" w:hAnsi="Verdana" w:cs="Calibri"/>
          <w:i/>
          <w:color w:val="212121"/>
          <w:sz w:val="18"/>
          <w:szCs w:val="18"/>
        </w:rPr>
      </w:pPr>
      <w:r w:rsidRPr="008F006A">
        <w:rPr>
          <w:rFonts w:ascii="Verdana" w:eastAsia="Times New Roman" w:hAnsi="Verdana" w:cs="Calibri"/>
          <w:i/>
          <w:color w:val="212121"/>
          <w:sz w:val="18"/>
          <w:szCs w:val="18"/>
        </w:rPr>
        <w:t>Changing the target population</w:t>
      </w:r>
    </w:p>
    <w:p w:rsidR="0016706F" w:rsidRPr="008F006A" w:rsidRDefault="0016706F" w:rsidP="00DA6BBD">
      <w:pPr>
        <w:pStyle w:val="ListParagraph"/>
        <w:numPr>
          <w:ilvl w:val="3"/>
          <w:numId w:val="16"/>
        </w:numPr>
        <w:shd w:val="clear" w:color="auto" w:fill="FFFFFF"/>
        <w:spacing w:after="0" w:line="240" w:lineRule="auto"/>
        <w:rPr>
          <w:rFonts w:ascii="Verdana" w:eastAsia="Times New Roman" w:hAnsi="Verdana" w:cs="Calibri"/>
          <w:i/>
          <w:color w:val="212121"/>
          <w:sz w:val="18"/>
          <w:szCs w:val="18"/>
        </w:rPr>
      </w:pPr>
      <w:r w:rsidRPr="008F006A">
        <w:rPr>
          <w:rFonts w:ascii="Verdana" w:eastAsia="Times New Roman" w:hAnsi="Verdana" w:cs="Calibri"/>
          <w:i/>
          <w:color w:val="212121"/>
          <w:sz w:val="18"/>
          <w:szCs w:val="18"/>
        </w:rPr>
        <w:t>Adding an SSO</w:t>
      </w:r>
    </w:p>
    <w:p w:rsidR="0016706F" w:rsidRPr="008F006A" w:rsidRDefault="0016706F" w:rsidP="00DA6BBD">
      <w:pPr>
        <w:pStyle w:val="ListParagraph"/>
        <w:numPr>
          <w:ilvl w:val="3"/>
          <w:numId w:val="16"/>
        </w:numPr>
        <w:shd w:val="clear" w:color="auto" w:fill="FFFFFF"/>
        <w:spacing w:after="0" w:line="240" w:lineRule="auto"/>
        <w:rPr>
          <w:rFonts w:ascii="Verdana" w:eastAsia="Times New Roman" w:hAnsi="Verdana" w:cs="Calibri"/>
          <w:i/>
          <w:color w:val="212121"/>
          <w:sz w:val="18"/>
          <w:szCs w:val="18"/>
        </w:rPr>
      </w:pPr>
      <w:r w:rsidRPr="008F006A">
        <w:rPr>
          <w:rFonts w:ascii="Verdana" w:eastAsia="Times New Roman" w:hAnsi="Verdana" w:cs="Calibri"/>
          <w:i/>
          <w:color w:val="212121"/>
          <w:sz w:val="18"/>
          <w:szCs w:val="18"/>
        </w:rPr>
        <w:t>Changing Program Goals</w:t>
      </w:r>
    </w:p>
    <w:p w:rsidR="0016706F" w:rsidRPr="008F006A" w:rsidRDefault="0016706F" w:rsidP="00DA6BBD">
      <w:pPr>
        <w:pStyle w:val="ListParagraph"/>
        <w:numPr>
          <w:ilvl w:val="3"/>
          <w:numId w:val="16"/>
        </w:numPr>
        <w:shd w:val="clear" w:color="auto" w:fill="FFFFFF"/>
        <w:spacing w:after="0" w:line="240" w:lineRule="auto"/>
        <w:rPr>
          <w:rFonts w:ascii="Verdana" w:eastAsia="Times New Roman" w:hAnsi="Verdana" w:cs="Calibri"/>
          <w:i/>
          <w:color w:val="212121"/>
          <w:sz w:val="18"/>
          <w:szCs w:val="18"/>
        </w:rPr>
      </w:pPr>
      <w:r w:rsidRPr="008F006A">
        <w:rPr>
          <w:rFonts w:ascii="Verdana" w:eastAsia="Times New Roman" w:hAnsi="Verdana" w:cs="Calibri"/>
          <w:i/>
          <w:color w:val="212121"/>
          <w:sz w:val="18"/>
          <w:szCs w:val="18"/>
        </w:rPr>
        <w:t>Changing Evaluation Measures</w:t>
      </w:r>
    </w:p>
    <w:p w:rsidR="0016706F" w:rsidRPr="008F006A" w:rsidRDefault="0016706F" w:rsidP="00DA6BBD">
      <w:pPr>
        <w:pStyle w:val="ListParagraph"/>
        <w:numPr>
          <w:ilvl w:val="3"/>
          <w:numId w:val="16"/>
        </w:numPr>
        <w:shd w:val="clear" w:color="auto" w:fill="FFFFFF"/>
        <w:spacing w:after="0" w:line="240" w:lineRule="auto"/>
        <w:rPr>
          <w:rFonts w:ascii="Verdana" w:eastAsia="Times New Roman" w:hAnsi="Verdana" w:cs="Calibri"/>
          <w:i/>
          <w:color w:val="212121"/>
          <w:sz w:val="18"/>
          <w:szCs w:val="18"/>
        </w:rPr>
      </w:pPr>
      <w:r w:rsidRPr="008F006A">
        <w:rPr>
          <w:rFonts w:ascii="Verdana" w:eastAsia="Times New Roman" w:hAnsi="Verdana" w:cs="Calibri"/>
          <w:i/>
          <w:color w:val="212121"/>
          <w:sz w:val="18"/>
          <w:szCs w:val="18"/>
        </w:rPr>
        <w:t>Increasing or Decreasing the ACOs total PY3 budget</w:t>
      </w:r>
    </w:p>
    <w:p w:rsidR="0016706F" w:rsidRPr="008F006A" w:rsidRDefault="0016706F" w:rsidP="00DA6BBD">
      <w:pPr>
        <w:pStyle w:val="ListParagraph"/>
        <w:numPr>
          <w:ilvl w:val="3"/>
          <w:numId w:val="16"/>
        </w:numPr>
        <w:shd w:val="clear" w:color="auto" w:fill="FFFFFF"/>
        <w:spacing w:after="0" w:line="240" w:lineRule="auto"/>
        <w:rPr>
          <w:rFonts w:ascii="Verdana" w:eastAsia="Times New Roman" w:hAnsi="Verdana" w:cs="Calibri"/>
          <w:i/>
          <w:color w:val="212121"/>
          <w:sz w:val="18"/>
          <w:szCs w:val="18"/>
        </w:rPr>
      </w:pPr>
      <w:r w:rsidRPr="008F006A">
        <w:rPr>
          <w:rFonts w:ascii="Verdana" w:eastAsia="Times New Roman" w:hAnsi="Verdana" w:cs="Calibri"/>
          <w:i/>
          <w:color w:val="212121"/>
          <w:sz w:val="18"/>
          <w:szCs w:val="18"/>
        </w:rPr>
        <w:t>Adding a new line item</w:t>
      </w:r>
    </w:p>
    <w:p w:rsidR="0016706F" w:rsidRPr="008F006A" w:rsidRDefault="0016706F" w:rsidP="00DA6BBD">
      <w:pPr>
        <w:pStyle w:val="ListParagraph"/>
        <w:numPr>
          <w:ilvl w:val="3"/>
          <w:numId w:val="16"/>
        </w:numPr>
        <w:shd w:val="clear" w:color="auto" w:fill="FFFFFF"/>
        <w:spacing w:after="0" w:line="240" w:lineRule="auto"/>
        <w:rPr>
          <w:rFonts w:ascii="Verdana" w:eastAsia="Times New Roman" w:hAnsi="Verdana" w:cs="Calibri"/>
          <w:i/>
          <w:color w:val="212121"/>
          <w:sz w:val="18"/>
          <w:szCs w:val="18"/>
        </w:rPr>
      </w:pPr>
      <w:r w:rsidRPr="008F006A">
        <w:rPr>
          <w:rFonts w:ascii="Verdana" w:eastAsia="Times New Roman" w:hAnsi="Verdana" w:cs="Calibri"/>
          <w:i/>
          <w:color w:val="212121"/>
          <w:sz w:val="18"/>
          <w:szCs w:val="18"/>
        </w:rPr>
        <w:t>Reallocating approved budget among approved line items by more than $250K</w:t>
      </w:r>
    </w:p>
    <w:p w:rsidR="0016706F" w:rsidRPr="008F006A" w:rsidRDefault="0016706F" w:rsidP="00DA6BBD">
      <w:pPr>
        <w:pStyle w:val="ListParagraph"/>
        <w:numPr>
          <w:ilvl w:val="3"/>
          <w:numId w:val="16"/>
        </w:numPr>
        <w:shd w:val="clear" w:color="auto" w:fill="FFFFFF"/>
        <w:spacing w:after="0" w:line="240" w:lineRule="auto"/>
        <w:rPr>
          <w:rFonts w:ascii="Verdana" w:eastAsia="Times New Roman" w:hAnsi="Verdana" w:cs="Calibri"/>
          <w:i/>
          <w:color w:val="212121"/>
          <w:sz w:val="18"/>
          <w:szCs w:val="18"/>
        </w:rPr>
      </w:pPr>
      <w:r w:rsidRPr="008F006A">
        <w:rPr>
          <w:rFonts w:ascii="Verdana" w:eastAsia="Times New Roman" w:hAnsi="Verdana" w:cs="Calibri"/>
          <w:i/>
          <w:color w:val="212121"/>
          <w:sz w:val="18"/>
          <w:szCs w:val="18"/>
        </w:rPr>
        <w:t>Removal or complete de-funding of a line item or program</w:t>
      </w:r>
    </w:p>
    <w:p w:rsidR="00971A5D" w:rsidRPr="008F006A" w:rsidRDefault="0016706F" w:rsidP="00DA6BBD">
      <w:pPr>
        <w:pStyle w:val="ListParagraph"/>
        <w:numPr>
          <w:ilvl w:val="2"/>
          <w:numId w:val="16"/>
        </w:numPr>
        <w:shd w:val="clear" w:color="auto" w:fill="FFFFFF"/>
        <w:spacing w:after="0" w:line="240" w:lineRule="auto"/>
        <w:rPr>
          <w:rFonts w:ascii="Verdana" w:eastAsia="Times New Roman" w:hAnsi="Verdana" w:cs="Calibri"/>
          <w:i/>
          <w:color w:val="212121"/>
          <w:sz w:val="18"/>
          <w:szCs w:val="18"/>
        </w:rPr>
      </w:pPr>
      <w:r w:rsidRPr="008F006A">
        <w:rPr>
          <w:rFonts w:ascii="Verdana" w:hAnsi="Verdana"/>
          <w:i/>
          <w:sz w:val="18"/>
          <w:szCs w:val="18"/>
        </w:rPr>
        <w:t xml:space="preserve">Please contact your Flexible Services Point of Contact if you are unsure if your proposed change is a material or </w:t>
      </w:r>
      <w:r w:rsidRPr="008F006A">
        <w:rPr>
          <w:rFonts w:ascii="Verdana" w:eastAsia="Times New Roman" w:hAnsi="Verdana" w:cs="Calibri"/>
          <w:i/>
          <w:color w:val="212121"/>
          <w:sz w:val="18"/>
          <w:szCs w:val="18"/>
        </w:rPr>
        <w:t>non-material deviation.</w:t>
      </w:r>
      <w:r w:rsidR="004C1815" w:rsidRPr="008F006A">
        <w:rPr>
          <w:rFonts w:ascii="Verdana" w:eastAsia="Times New Roman" w:hAnsi="Verdana" w:cs="Calibri"/>
          <w:b/>
          <w:i/>
          <w:color w:val="212121"/>
          <w:sz w:val="18"/>
          <w:szCs w:val="18"/>
        </w:rPr>
        <w:t xml:space="preserve"> </w:t>
      </w:r>
    </w:p>
    <w:sectPr w:rsidR="00971A5D" w:rsidRPr="008F006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955" w:rsidRDefault="00795955" w:rsidP="007F0FE8">
      <w:pPr>
        <w:spacing w:after="0" w:line="240" w:lineRule="auto"/>
      </w:pPr>
      <w:r>
        <w:separator/>
      </w:r>
    </w:p>
  </w:endnote>
  <w:endnote w:type="continuationSeparator" w:id="0">
    <w:p w:rsidR="00795955" w:rsidRDefault="00795955" w:rsidP="007F0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83679"/>
      <w:docPartObj>
        <w:docPartGallery w:val="Page Numbers (Bottom of Page)"/>
        <w:docPartUnique/>
      </w:docPartObj>
    </w:sdtPr>
    <w:sdtEndPr>
      <w:rPr>
        <w:rFonts w:ascii="Verdana" w:hAnsi="Verdana"/>
        <w:noProof/>
        <w:sz w:val="18"/>
        <w:szCs w:val="18"/>
      </w:rPr>
    </w:sdtEndPr>
    <w:sdtContent>
      <w:p w:rsidR="00137522" w:rsidRPr="00A00E76" w:rsidRDefault="00137522">
        <w:pPr>
          <w:pStyle w:val="Footer"/>
          <w:jc w:val="right"/>
          <w:rPr>
            <w:rFonts w:ascii="Verdana" w:hAnsi="Verdana"/>
            <w:sz w:val="18"/>
            <w:szCs w:val="18"/>
          </w:rPr>
        </w:pPr>
        <w:r w:rsidRPr="00A00E76">
          <w:rPr>
            <w:rFonts w:ascii="Verdana" w:hAnsi="Verdana"/>
            <w:sz w:val="18"/>
            <w:szCs w:val="18"/>
          </w:rPr>
          <w:fldChar w:fldCharType="begin"/>
        </w:r>
        <w:r w:rsidRPr="00A00E76">
          <w:rPr>
            <w:rFonts w:ascii="Verdana" w:hAnsi="Verdana"/>
            <w:sz w:val="18"/>
            <w:szCs w:val="18"/>
          </w:rPr>
          <w:instrText xml:space="preserve"> PAGE   \* MERGEFORMAT </w:instrText>
        </w:r>
        <w:r w:rsidRPr="00A00E76">
          <w:rPr>
            <w:rFonts w:ascii="Verdana" w:hAnsi="Verdana"/>
            <w:sz w:val="18"/>
            <w:szCs w:val="18"/>
          </w:rPr>
          <w:fldChar w:fldCharType="separate"/>
        </w:r>
        <w:r w:rsidR="008D12F1">
          <w:rPr>
            <w:rFonts w:ascii="Verdana" w:hAnsi="Verdana"/>
            <w:noProof/>
            <w:sz w:val="18"/>
            <w:szCs w:val="18"/>
          </w:rPr>
          <w:t>1</w:t>
        </w:r>
        <w:r w:rsidRPr="00A00E76">
          <w:rPr>
            <w:rFonts w:ascii="Verdana" w:hAnsi="Verdana"/>
            <w:noProof/>
            <w:sz w:val="18"/>
            <w:szCs w:val="18"/>
          </w:rPr>
          <w:fldChar w:fldCharType="end"/>
        </w:r>
      </w:p>
    </w:sdtContent>
  </w:sdt>
  <w:p w:rsidR="00137522" w:rsidRDefault="00137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955" w:rsidRDefault="00795955" w:rsidP="007F0FE8">
      <w:pPr>
        <w:spacing w:after="0" w:line="240" w:lineRule="auto"/>
      </w:pPr>
      <w:r>
        <w:separator/>
      </w:r>
    </w:p>
  </w:footnote>
  <w:footnote w:type="continuationSeparator" w:id="0">
    <w:p w:rsidR="00795955" w:rsidRDefault="00795955" w:rsidP="007F0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28FF"/>
    <w:multiLevelType w:val="multilevel"/>
    <w:tmpl w:val="F3DCD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2730A"/>
    <w:multiLevelType w:val="hybridMultilevel"/>
    <w:tmpl w:val="C5943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863E0"/>
    <w:multiLevelType w:val="hybridMultilevel"/>
    <w:tmpl w:val="B3C2A14A"/>
    <w:lvl w:ilvl="0" w:tplc="9600F692">
      <w:numFmt w:val="bullet"/>
      <w:lvlText w:val="-"/>
      <w:lvlJc w:val="left"/>
      <w:pPr>
        <w:ind w:left="360" w:hanging="360"/>
      </w:pPr>
      <w:rPr>
        <w:rFonts w:ascii="Verdana" w:eastAsia="Calibri" w:hAnsi="Verdan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BC82052"/>
    <w:multiLevelType w:val="hybridMultilevel"/>
    <w:tmpl w:val="5F0A9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0C01E7"/>
    <w:multiLevelType w:val="hybridMultilevel"/>
    <w:tmpl w:val="78F85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C4EB1"/>
    <w:multiLevelType w:val="hybridMultilevel"/>
    <w:tmpl w:val="56624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655DA9"/>
    <w:multiLevelType w:val="hybridMultilevel"/>
    <w:tmpl w:val="5AA4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259CE"/>
    <w:multiLevelType w:val="hybridMultilevel"/>
    <w:tmpl w:val="5E64A2A8"/>
    <w:lvl w:ilvl="0" w:tplc="04090003">
      <w:start w:val="1"/>
      <w:numFmt w:val="bullet"/>
      <w:lvlText w:val="o"/>
      <w:lvlJc w:val="left"/>
      <w:pPr>
        <w:ind w:left="1080" w:hanging="360"/>
      </w:pPr>
      <w:rPr>
        <w:rFonts w:ascii="Courier New" w:hAnsi="Courier New" w:cs="Courier New" w:hint="default"/>
        <w:sz w:val="18"/>
      </w:rPr>
    </w:lvl>
    <w:lvl w:ilvl="1" w:tplc="22E40118">
      <w:start w:val="1"/>
      <w:numFmt w:val="bullet"/>
      <w:lvlText w:val="o"/>
      <w:lvlJc w:val="left"/>
      <w:pPr>
        <w:ind w:left="1800" w:hanging="360"/>
      </w:pPr>
      <w:rPr>
        <w:rFonts w:ascii="Courier New" w:hAnsi="Courier New" w:cs="Courier New" w:hint="default"/>
        <w:sz w:val="18"/>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026246"/>
    <w:multiLevelType w:val="hybridMultilevel"/>
    <w:tmpl w:val="B8F2D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52854"/>
    <w:multiLevelType w:val="hybridMultilevel"/>
    <w:tmpl w:val="BE8EF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A4DFF"/>
    <w:multiLevelType w:val="hybridMultilevel"/>
    <w:tmpl w:val="F668A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006977"/>
    <w:multiLevelType w:val="hybridMultilevel"/>
    <w:tmpl w:val="9648E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2B1E4E"/>
    <w:multiLevelType w:val="hybridMultilevel"/>
    <w:tmpl w:val="8DDC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2369B"/>
    <w:multiLevelType w:val="hybridMultilevel"/>
    <w:tmpl w:val="2EF25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95CC0"/>
    <w:multiLevelType w:val="hybridMultilevel"/>
    <w:tmpl w:val="05586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F16A2"/>
    <w:multiLevelType w:val="multilevel"/>
    <w:tmpl w:val="DCBEE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73EA3"/>
    <w:multiLevelType w:val="hybridMultilevel"/>
    <w:tmpl w:val="864EC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E13CE1"/>
    <w:multiLevelType w:val="hybridMultilevel"/>
    <w:tmpl w:val="B5B47364"/>
    <w:lvl w:ilvl="0" w:tplc="9600F692">
      <w:numFmt w:val="bullet"/>
      <w:lvlText w:val="-"/>
      <w:lvlJc w:val="left"/>
      <w:pPr>
        <w:ind w:left="360" w:hanging="360"/>
      </w:pPr>
      <w:rPr>
        <w:rFonts w:ascii="Verdana" w:eastAsia="Calibri" w:hAnsi="Verdan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7FA275E"/>
    <w:multiLevelType w:val="hybridMultilevel"/>
    <w:tmpl w:val="0592F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6C7B3C"/>
    <w:multiLevelType w:val="hybridMultilevel"/>
    <w:tmpl w:val="DFA07F12"/>
    <w:lvl w:ilvl="0" w:tplc="3398B83C">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876C1"/>
    <w:multiLevelType w:val="multilevel"/>
    <w:tmpl w:val="4AA4D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00778"/>
    <w:multiLevelType w:val="hybridMultilevel"/>
    <w:tmpl w:val="812CD9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B807B0"/>
    <w:multiLevelType w:val="hybridMultilevel"/>
    <w:tmpl w:val="549E97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CA8212B"/>
    <w:multiLevelType w:val="multilevel"/>
    <w:tmpl w:val="DCBEE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93108"/>
    <w:multiLevelType w:val="hybridMultilevel"/>
    <w:tmpl w:val="B930F9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18221F"/>
    <w:multiLevelType w:val="hybridMultilevel"/>
    <w:tmpl w:val="10EA4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8236C69"/>
    <w:multiLevelType w:val="hybridMultilevel"/>
    <w:tmpl w:val="2E7A7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60184"/>
    <w:multiLevelType w:val="hybridMultilevel"/>
    <w:tmpl w:val="7898D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0C1CB7"/>
    <w:multiLevelType w:val="hybridMultilevel"/>
    <w:tmpl w:val="9416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77A60"/>
    <w:multiLevelType w:val="hybridMultilevel"/>
    <w:tmpl w:val="903824F8"/>
    <w:lvl w:ilvl="0" w:tplc="CDCEF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A1940"/>
    <w:multiLevelType w:val="hybridMultilevel"/>
    <w:tmpl w:val="BE461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CD696E"/>
    <w:multiLevelType w:val="hybridMultilevel"/>
    <w:tmpl w:val="C7CC6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A1039"/>
    <w:multiLevelType w:val="multilevel"/>
    <w:tmpl w:val="39642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503B7D"/>
    <w:multiLevelType w:val="hybridMultilevel"/>
    <w:tmpl w:val="7D082B78"/>
    <w:lvl w:ilvl="0" w:tplc="0409000F">
      <w:start w:val="1"/>
      <w:numFmt w:val="decimal"/>
      <w:lvlText w:val="%1."/>
      <w:lvlJc w:val="left"/>
      <w:pPr>
        <w:ind w:left="720" w:hanging="360"/>
      </w:pPr>
      <w:rPr>
        <w:rFonts w:hint="default"/>
      </w:rPr>
    </w:lvl>
    <w:lvl w:ilvl="1" w:tplc="222A210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A777C"/>
    <w:multiLevelType w:val="hybridMultilevel"/>
    <w:tmpl w:val="0D4A4C38"/>
    <w:lvl w:ilvl="0" w:tplc="0866A3DC">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069BB"/>
    <w:multiLevelType w:val="hybridMultilevel"/>
    <w:tmpl w:val="0142C15A"/>
    <w:lvl w:ilvl="0" w:tplc="3398B83C">
      <w:start w:val="1"/>
      <w:numFmt w:val="bullet"/>
      <w:lvlText w:val=""/>
      <w:lvlJc w:val="left"/>
      <w:pPr>
        <w:ind w:left="2520" w:hanging="360"/>
      </w:pPr>
      <w:rPr>
        <w:rFonts w:ascii="Symbol" w:hAnsi="Symbol" w:hint="default"/>
        <w:sz w:val="18"/>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4930422"/>
    <w:multiLevelType w:val="hybridMultilevel"/>
    <w:tmpl w:val="47D64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27CCD"/>
    <w:multiLevelType w:val="hybridMultilevel"/>
    <w:tmpl w:val="C584FF1E"/>
    <w:lvl w:ilvl="0" w:tplc="C3CE4134">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7E21"/>
    <w:multiLevelType w:val="hybridMultilevel"/>
    <w:tmpl w:val="F576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21"/>
  </w:num>
  <w:num w:numId="4">
    <w:abstractNumId w:val="31"/>
  </w:num>
  <w:num w:numId="5">
    <w:abstractNumId w:val="37"/>
  </w:num>
  <w:num w:numId="6">
    <w:abstractNumId w:val="22"/>
  </w:num>
  <w:num w:numId="7">
    <w:abstractNumId w:val="25"/>
  </w:num>
  <w:num w:numId="8">
    <w:abstractNumId w:val="35"/>
  </w:num>
  <w:num w:numId="9">
    <w:abstractNumId w:val="34"/>
  </w:num>
  <w:num w:numId="10">
    <w:abstractNumId w:val="7"/>
  </w:num>
  <w:num w:numId="11">
    <w:abstractNumId w:val="2"/>
  </w:num>
  <w:num w:numId="12">
    <w:abstractNumId w:val="17"/>
  </w:num>
  <w:num w:numId="13">
    <w:abstractNumId w:val="2"/>
  </w:num>
  <w:num w:numId="14">
    <w:abstractNumId w:val="19"/>
  </w:num>
  <w:num w:numId="15">
    <w:abstractNumId w:val="8"/>
  </w:num>
  <w:num w:numId="16">
    <w:abstractNumId w:val="4"/>
  </w:num>
  <w:num w:numId="17">
    <w:abstractNumId w:val="26"/>
  </w:num>
  <w:num w:numId="18">
    <w:abstractNumId w:val="27"/>
  </w:num>
  <w:num w:numId="19">
    <w:abstractNumId w:val="29"/>
  </w:num>
  <w:num w:numId="20">
    <w:abstractNumId w:val="33"/>
  </w:num>
  <w:num w:numId="21">
    <w:abstractNumId w:val="16"/>
  </w:num>
  <w:num w:numId="22">
    <w:abstractNumId w:val="36"/>
  </w:num>
  <w:num w:numId="23">
    <w:abstractNumId w:val="20"/>
  </w:num>
  <w:num w:numId="24">
    <w:abstractNumId w:val="15"/>
  </w:num>
  <w:num w:numId="25">
    <w:abstractNumId w:val="32"/>
  </w:num>
  <w:num w:numId="26">
    <w:abstractNumId w:val="23"/>
  </w:num>
  <w:num w:numId="27">
    <w:abstractNumId w:val="12"/>
  </w:num>
  <w:num w:numId="28">
    <w:abstractNumId w:val="34"/>
  </w:num>
  <w:num w:numId="29">
    <w:abstractNumId w:val="38"/>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8"/>
  </w:num>
  <w:num w:numId="33">
    <w:abstractNumId w:val="28"/>
  </w:num>
  <w:num w:numId="34">
    <w:abstractNumId w:val="9"/>
  </w:num>
  <w:num w:numId="35">
    <w:abstractNumId w:val="6"/>
  </w:num>
  <w:num w:numId="36">
    <w:abstractNumId w:val="14"/>
  </w:num>
  <w:num w:numId="37">
    <w:abstractNumId w:val="11"/>
  </w:num>
  <w:num w:numId="38">
    <w:abstractNumId w:val="2"/>
  </w:num>
  <w:num w:numId="39">
    <w:abstractNumId w:val="17"/>
  </w:num>
  <w:num w:numId="40">
    <w:abstractNumId w:val="30"/>
  </w:num>
  <w:num w:numId="41">
    <w:abstractNumId w:val="5"/>
  </w:num>
  <w:num w:numId="42">
    <w:abstractNumId w:val="3"/>
  </w:num>
  <w:num w:numId="43">
    <w:abstractNumId w:val="24"/>
  </w:num>
  <w:num w:numId="44">
    <w:abstractNumId w:val="0"/>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4BC"/>
    <w:rsid w:val="0000550B"/>
    <w:rsid w:val="00005754"/>
    <w:rsid w:val="00005FE7"/>
    <w:rsid w:val="0001376F"/>
    <w:rsid w:val="00023AD2"/>
    <w:rsid w:val="00023F8B"/>
    <w:rsid w:val="0002512F"/>
    <w:rsid w:val="000267EC"/>
    <w:rsid w:val="00027D24"/>
    <w:rsid w:val="00035086"/>
    <w:rsid w:val="0003703B"/>
    <w:rsid w:val="00040BB6"/>
    <w:rsid w:val="00044A33"/>
    <w:rsid w:val="000547A2"/>
    <w:rsid w:val="00055D0D"/>
    <w:rsid w:val="000610ED"/>
    <w:rsid w:val="0006532B"/>
    <w:rsid w:val="00075043"/>
    <w:rsid w:val="000802F8"/>
    <w:rsid w:val="00083896"/>
    <w:rsid w:val="000950C8"/>
    <w:rsid w:val="000979E3"/>
    <w:rsid w:val="00097BDB"/>
    <w:rsid w:val="000A2F58"/>
    <w:rsid w:val="000A556E"/>
    <w:rsid w:val="000A77A4"/>
    <w:rsid w:val="000B6ADD"/>
    <w:rsid w:val="000C41B2"/>
    <w:rsid w:val="000D5FF1"/>
    <w:rsid w:val="000E1A5A"/>
    <w:rsid w:val="000E3131"/>
    <w:rsid w:val="000F1064"/>
    <w:rsid w:val="000F1179"/>
    <w:rsid w:val="000F6C79"/>
    <w:rsid w:val="00105966"/>
    <w:rsid w:val="00110FDD"/>
    <w:rsid w:val="00112D25"/>
    <w:rsid w:val="00112E31"/>
    <w:rsid w:val="0011665B"/>
    <w:rsid w:val="001268D9"/>
    <w:rsid w:val="00134D6A"/>
    <w:rsid w:val="00137522"/>
    <w:rsid w:val="00147B38"/>
    <w:rsid w:val="0015314C"/>
    <w:rsid w:val="001615B0"/>
    <w:rsid w:val="0016580D"/>
    <w:rsid w:val="0016706F"/>
    <w:rsid w:val="0017067F"/>
    <w:rsid w:val="00170A11"/>
    <w:rsid w:val="00171CE9"/>
    <w:rsid w:val="001723B7"/>
    <w:rsid w:val="00180E48"/>
    <w:rsid w:val="00186F9C"/>
    <w:rsid w:val="001874C5"/>
    <w:rsid w:val="00190982"/>
    <w:rsid w:val="001A5500"/>
    <w:rsid w:val="001A7DA1"/>
    <w:rsid w:val="001B2DBD"/>
    <w:rsid w:val="001B5E53"/>
    <w:rsid w:val="001B5FCC"/>
    <w:rsid w:val="001C5BC3"/>
    <w:rsid w:val="001D1331"/>
    <w:rsid w:val="001D22B9"/>
    <w:rsid w:val="001D7EE6"/>
    <w:rsid w:val="001E08B8"/>
    <w:rsid w:val="001E2AF6"/>
    <w:rsid w:val="001F0277"/>
    <w:rsid w:val="001F7624"/>
    <w:rsid w:val="00205406"/>
    <w:rsid w:val="00211E5C"/>
    <w:rsid w:val="00212D66"/>
    <w:rsid w:val="002136B8"/>
    <w:rsid w:val="002169BC"/>
    <w:rsid w:val="00220FD1"/>
    <w:rsid w:val="00224871"/>
    <w:rsid w:val="00225DD0"/>
    <w:rsid w:val="00225DF0"/>
    <w:rsid w:val="00231A2B"/>
    <w:rsid w:val="00236DB7"/>
    <w:rsid w:val="00237F66"/>
    <w:rsid w:val="00243211"/>
    <w:rsid w:val="0026359A"/>
    <w:rsid w:val="002636D3"/>
    <w:rsid w:val="00263F11"/>
    <w:rsid w:val="00265240"/>
    <w:rsid w:val="002666AA"/>
    <w:rsid w:val="00286A71"/>
    <w:rsid w:val="00291F11"/>
    <w:rsid w:val="002A2280"/>
    <w:rsid w:val="002A499D"/>
    <w:rsid w:val="002C2368"/>
    <w:rsid w:val="002E05FF"/>
    <w:rsid w:val="002F0EB4"/>
    <w:rsid w:val="002F1860"/>
    <w:rsid w:val="002F6228"/>
    <w:rsid w:val="002F6B54"/>
    <w:rsid w:val="00300B45"/>
    <w:rsid w:val="003235D5"/>
    <w:rsid w:val="00325DE8"/>
    <w:rsid w:val="003353DF"/>
    <w:rsid w:val="003361D3"/>
    <w:rsid w:val="00336C49"/>
    <w:rsid w:val="00336D52"/>
    <w:rsid w:val="00337052"/>
    <w:rsid w:val="00343085"/>
    <w:rsid w:val="00343412"/>
    <w:rsid w:val="00347650"/>
    <w:rsid w:val="00347A19"/>
    <w:rsid w:val="0035567A"/>
    <w:rsid w:val="003572C5"/>
    <w:rsid w:val="00371CA1"/>
    <w:rsid w:val="00372E7F"/>
    <w:rsid w:val="003733FE"/>
    <w:rsid w:val="00374AC1"/>
    <w:rsid w:val="00381144"/>
    <w:rsid w:val="003B1444"/>
    <w:rsid w:val="003C1C6E"/>
    <w:rsid w:val="003C3930"/>
    <w:rsid w:val="003C5359"/>
    <w:rsid w:val="003E6575"/>
    <w:rsid w:val="003F2092"/>
    <w:rsid w:val="003F6D61"/>
    <w:rsid w:val="00437477"/>
    <w:rsid w:val="00450747"/>
    <w:rsid w:val="00451B3E"/>
    <w:rsid w:val="00472453"/>
    <w:rsid w:val="00485C77"/>
    <w:rsid w:val="004913BD"/>
    <w:rsid w:val="004A1377"/>
    <w:rsid w:val="004A5EA4"/>
    <w:rsid w:val="004C1815"/>
    <w:rsid w:val="004D03EC"/>
    <w:rsid w:val="004D1D8F"/>
    <w:rsid w:val="004D2B63"/>
    <w:rsid w:val="004D4ECD"/>
    <w:rsid w:val="004D64BC"/>
    <w:rsid w:val="004E034F"/>
    <w:rsid w:val="004E3E7C"/>
    <w:rsid w:val="004E656A"/>
    <w:rsid w:val="004F1462"/>
    <w:rsid w:val="004F524D"/>
    <w:rsid w:val="00500918"/>
    <w:rsid w:val="0050352A"/>
    <w:rsid w:val="00505F2D"/>
    <w:rsid w:val="0051627C"/>
    <w:rsid w:val="00517B9C"/>
    <w:rsid w:val="00524202"/>
    <w:rsid w:val="005249C1"/>
    <w:rsid w:val="005333F5"/>
    <w:rsid w:val="0054008D"/>
    <w:rsid w:val="00544BB7"/>
    <w:rsid w:val="00561F62"/>
    <w:rsid w:val="00562A28"/>
    <w:rsid w:val="00581FBA"/>
    <w:rsid w:val="00592704"/>
    <w:rsid w:val="0059715F"/>
    <w:rsid w:val="005A3E8F"/>
    <w:rsid w:val="005A52F1"/>
    <w:rsid w:val="005B1CE7"/>
    <w:rsid w:val="005B47C3"/>
    <w:rsid w:val="005B4C8B"/>
    <w:rsid w:val="005D27DB"/>
    <w:rsid w:val="005D4C55"/>
    <w:rsid w:val="005E0AFD"/>
    <w:rsid w:val="005F52FD"/>
    <w:rsid w:val="00602C1E"/>
    <w:rsid w:val="0061083E"/>
    <w:rsid w:val="00611519"/>
    <w:rsid w:val="0061413D"/>
    <w:rsid w:val="0061483E"/>
    <w:rsid w:val="00622491"/>
    <w:rsid w:val="006336C3"/>
    <w:rsid w:val="00637512"/>
    <w:rsid w:val="00641DB4"/>
    <w:rsid w:val="00647692"/>
    <w:rsid w:val="006512CE"/>
    <w:rsid w:val="00651CC8"/>
    <w:rsid w:val="00654A61"/>
    <w:rsid w:val="00662305"/>
    <w:rsid w:val="00666D14"/>
    <w:rsid w:val="006723F9"/>
    <w:rsid w:val="00673DBB"/>
    <w:rsid w:val="00674D9C"/>
    <w:rsid w:val="00681661"/>
    <w:rsid w:val="00683373"/>
    <w:rsid w:val="00691041"/>
    <w:rsid w:val="00693DAE"/>
    <w:rsid w:val="0069611B"/>
    <w:rsid w:val="006B35EB"/>
    <w:rsid w:val="006C2353"/>
    <w:rsid w:val="006C4CE9"/>
    <w:rsid w:val="006C59CC"/>
    <w:rsid w:val="006E72DE"/>
    <w:rsid w:val="006E7685"/>
    <w:rsid w:val="006E7A1E"/>
    <w:rsid w:val="006F48E6"/>
    <w:rsid w:val="006F55D9"/>
    <w:rsid w:val="006F765F"/>
    <w:rsid w:val="007127FB"/>
    <w:rsid w:val="00714D70"/>
    <w:rsid w:val="0072580C"/>
    <w:rsid w:val="00745448"/>
    <w:rsid w:val="00760871"/>
    <w:rsid w:val="007620FE"/>
    <w:rsid w:val="00765091"/>
    <w:rsid w:val="007776F9"/>
    <w:rsid w:val="00795955"/>
    <w:rsid w:val="007A3FBF"/>
    <w:rsid w:val="007A706E"/>
    <w:rsid w:val="007B46E9"/>
    <w:rsid w:val="007D320E"/>
    <w:rsid w:val="007E443D"/>
    <w:rsid w:val="007E59D0"/>
    <w:rsid w:val="007F0FE8"/>
    <w:rsid w:val="00804DD8"/>
    <w:rsid w:val="00805C75"/>
    <w:rsid w:val="00805EDC"/>
    <w:rsid w:val="008145F5"/>
    <w:rsid w:val="00827581"/>
    <w:rsid w:val="008307A4"/>
    <w:rsid w:val="00834BA0"/>
    <w:rsid w:val="0084686E"/>
    <w:rsid w:val="0085204E"/>
    <w:rsid w:val="008542FA"/>
    <w:rsid w:val="008771D7"/>
    <w:rsid w:val="00882BBA"/>
    <w:rsid w:val="00885082"/>
    <w:rsid w:val="00893EAE"/>
    <w:rsid w:val="00897889"/>
    <w:rsid w:val="008A0ABA"/>
    <w:rsid w:val="008B048B"/>
    <w:rsid w:val="008B4260"/>
    <w:rsid w:val="008B515A"/>
    <w:rsid w:val="008B7CCB"/>
    <w:rsid w:val="008C3DCE"/>
    <w:rsid w:val="008C41BB"/>
    <w:rsid w:val="008C5C72"/>
    <w:rsid w:val="008C722E"/>
    <w:rsid w:val="008D12F1"/>
    <w:rsid w:val="008F006A"/>
    <w:rsid w:val="008F016B"/>
    <w:rsid w:val="008F4455"/>
    <w:rsid w:val="00911CDB"/>
    <w:rsid w:val="00912997"/>
    <w:rsid w:val="00926F01"/>
    <w:rsid w:val="009428C7"/>
    <w:rsid w:val="00945153"/>
    <w:rsid w:val="009614C7"/>
    <w:rsid w:val="0096530C"/>
    <w:rsid w:val="00971A5D"/>
    <w:rsid w:val="009A21D6"/>
    <w:rsid w:val="009A69F2"/>
    <w:rsid w:val="009A7E36"/>
    <w:rsid w:val="009B59F1"/>
    <w:rsid w:val="009B7B49"/>
    <w:rsid w:val="009C2C77"/>
    <w:rsid w:val="009D286E"/>
    <w:rsid w:val="009D6242"/>
    <w:rsid w:val="009E46E0"/>
    <w:rsid w:val="009F3F91"/>
    <w:rsid w:val="00A00E76"/>
    <w:rsid w:val="00A05AFC"/>
    <w:rsid w:val="00A05D0E"/>
    <w:rsid w:val="00A156A2"/>
    <w:rsid w:val="00A20642"/>
    <w:rsid w:val="00A22899"/>
    <w:rsid w:val="00A247FB"/>
    <w:rsid w:val="00A25682"/>
    <w:rsid w:val="00A27D48"/>
    <w:rsid w:val="00A313DF"/>
    <w:rsid w:val="00A339B1"/>
    <w:rsid w:val="00A34BF5"/>
    <w:rsid w:val="00A40AC3"/>
    <w:rsid w:val="00A40CE8"/>
    <w:rsid w:val="00A57C7E"/>
    <w:rsid w:val="00A70891"/>
    <w:rsid w:val="00A71296"/>
    <w:rsid w:val="00A77CCB"/>
    <w:rsid w:val="00A93066"/>
    <w:rsid w:val="00A93F42"/>
    <w:rsid w:val="00A940E4"/>
    <w:rsid w:val="00A9633A"/>
    <w:rsid w:val="00AA7331"/>
    <w:rsid w:val="00AB0DCE"/>
    <w:rsid w:val="00AB2EED"/>
    <w:rsid w:val="00AB4FD4"/>
    <w:rsid w:val="00AB59D9"/>
    <w:rsid w:val="00AB5E01"/>
    <w:rsid w:val="00AB6990"/>
    <w:rsid w:val="00AD33C8"/>
    <w:rsid w:val="00B13E05"/>
    <w:rsid w:val="00B2652E"/>
    <w:rsid w:val="00B27787"/>
    <w:rsid w:val="00B30C68"/>
    <w:rsid w:val="00B33FD1"/>
    <w:rsid w:val="00B36693"/>
    <w:rsid w:val="00B36C98"/>
    <w:rsid w:val="00B4674C"/>
    <w:rsid w:val="00B52DB2"/>
    <w:rsid w:val="00B547ED"/>
    <w:rsid w:val="00B60631"/>
    <w:rsid w:val="00B76307"/>
    <w:rsid w:val="00B824EA"/>
    <w:rsid w:val="00B86B65"/>
    <w:rsid w:val="00B873D8"/>
    <w:rsid w:val="00B874B8"/>
    <w:rsid w:val="00B928D8"/>
    <w:rsid w:val="00BA404B"/>
    <w:rsid w:val="00BA5342"/>
    <w:rsid w:val="00BB37F8"/>
    <w:rsid w:val="00BD0BC2"/>
    <w:rsid w:val="00BE07DE"/>
    <w:rsid w:val="00BE5779"/>
    <w:rsid w:val="00BE64D6"/>
    <w:rsid w:val="00BE6941"/>
    <w:rsid w:val="00C14140"/>
    <w:rsid w:val="00C149E7"/>
    <w:rsid w:val="00C207A2"/>
    <w:rsid w:val="00C20B1F"/>
    <w:rsid w:val="00C25310"/>
    <w:rsid w:val="00C33A35"/>
    <w:rsid w:val="00C46997"/>
    <w:rsid w:val="00C46B03"/>
    <w:rsid w:val="00C50D6F"/>
    <w:rsid w:val="00C5427C"/>
    <w:rsid w:val="00C54524"/>
    <w:rsid w:val="00C67559"/>
    <w:rsid w:val="00C753F6"/>
    <w:rsid w:val="00CB0645"/>
    <w:rsid w:val="00CB0B3A"/>
    <w:rsid w:val="00CB0D79"/>
    <w:rsid w:val="00CB3673"/>
    <w:rsid w:val="00CB46C8"/>
    <w:rsid w:val="00CB52A6"/>
    <w:rsid w:val="00CC1063"/>
    <w:rsid w:val="00CC295E"/>
    <w:rsid w:val="00CE5734"/>
    <w:rsid w:val="00CF6154"/>
    <w:rsid w:val="00D00406"/>
    <w:rsid w:val="00D00ED3"/>
    <w:rsid w:val="00D03B2E"/>
    <w:rsid w:val="00D26843"/>
    <w:rsid w:val="00D279DE"/>
    <w:rsid w:val="00D35631"/>
    <w:rsid w:val="00D452CF"/>
    <w:rsid w:val="00D45B34"/>
    <w:rsid w:val="00D52ED0"/>
    <w:rsid w:val="00D73621"/>
    <w:rsid w:val="00D74801"/>
    <w:rsid w:val="00D84589"/>
    <w:rsid w:val="00DA6BBD"/>
    <w:rsid w:val="00DB109B"/>
    <w:rsid w:val="00DB6D8F"/>
    <w:rsid w:val="00DC46EC"/>
    <w:rsid w:val="00DE0968"/>
    <w:rsid w:val="00DE1CFA"/>
    <w:rsid w:val="00DF11F2"/>
    <w:rsid w:val="00DF2C5B"/>
    <w:rsid w:val="00E041AD"/>
    <w:rsid w:val="00E04CD3"/>
    <w:rsid w:val="00E0583B"/>
    <w:rsid w:val="00E13245"/>
    <w:rsid w:val="00E22719"/>
    <w:rsid w:val="00E30559"/>
    <w:rsid w:val="00E47404"/>
    <w:rsid w:val="00E50411"/>
    <w:rsid w:val="00E51BAE"/>
    <w:rsid w:val="00E5396D"/>
    <w:rsid w:val="00E54E76"/>
    <w:rsid w:val="00E82AA4"/>
    <w:rsid w:val="00E831CA"/>
    <w:rsid w:val="00E90EF9"/>
    <w:rsid w:val="00E91AE5"/>
    <w:rsid w:val="00E92CDF"/>
    <w:rsid w:val="00E9738B"/>
    <w:rsid w:val="00E97B99"/>
    <w:rsid w:val="00EA7BCF"/>
    <w:rsid w:val="00EB7BA8"/>
    <w:rsid w:val="00ED18F2"/>
    <w:rsid w:val="00ED3541"/>
    <w:rsid w:val="00EE4E0F"/>
    <w:rsid w:val="00F03F4C"/>
    <w:rsid w:val="00F105AC"/>
    <w:rsid w:val="00F13AB8"/>
    <w:rsid w:val="00F13DAB"/>
    <w:rsid w:val="00F15BFD"/>
    <w:rsid w:val="00F34DAE"/>
    <w:rsid w:val="00F3620E"/>
    <w:rsid w:val="00F56C44"/>
    <w:rsid w:val="00F64999"/>
    <w:rsid w:val="00F66480"/>
    <w:rsid w:val="00F81016"/>
    <w:rsid w:val="00F91F21"/>
    <w:rsid w:val="00FA223D"/>
    <w:rsid w:val="00FA2779"/>
    <w:rsid w:val="00FA6B5C"/>
    <w:rsid w:val="00FB2EBE"/>
    <w:rsid w:val="00FB36E2"/>
    <w:rsid w:val="00FC35B9"/>
    <w:rsid w:val="00FC48B4"/>
    <w:rsid w:val="00FC60F9"/>
    <w:rsid w:val="00FD7FA8"/>
    <w:rsid w:val="00FE2CCA"/>
    <w:rsid w:val="00FF21C3"/>
    <w:rsid w:val="00FF69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065096-54C5-422E-879C-D425883A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242"/>
    <w:pPr>
      <w:spacing w:after="80"/>
      <w:jc w:val="center"/>
      <w:outlineLvl w:val="0"/>
    </w:pPr>
    <w:rPr>
      <w:rFonts w:ascii="Verdana" w:hAnsi="Verdana"/>
      <w:b/>
      <w:sz w:val="18"/>
      <w:szCs w:val="18"/>
    </w:rPr>
  </w:style>
  <w:style w:type="paragraph" w:styleId="Heading2">
    <w:name w:val="heading 2"/>
    <w:basedOn w:val="Normal"/>
    <w:next w:val="Normal"/>
    <w:link w:val="Heading2Char"/>
    <w:uiPriority w:val="9"/>
    <w:unhideWhenUsed/>
    <w:qFormat/>
    <w:rsid w:val="009D6242"/>
    <w:pPr>
      <w:spacing w:after="0" w:line="240" w:lineRule="auto"/>
      <w:outlineLvl w:val="1"/>
    </w:pPr>
    <w:rPr>
      <w:rFonts w:ascii="Verdana" w:eastAsia="Times New Roman" w:hAnsi="Verdana"/>
      <w:b/>
      <w:color w:val="000000"/>
      <w:sz w:val="18"/>
      <w:szCs w:val="18"/>
      <w:u w:val="single"/>
    </w:rPr>
  </w:style>
  <w:style w:type="paragraph" w:styleId="Heading3">
    <w:name w:val="heading 3"/>
    <w:basedOn w:val="Normal"/>
    <w:next w:val="Normal"/>
    <w:link w:val="Heading3Char"/>
    <w:uiPriority w:val="9"/>
    <w:unhideWhenUsed/>
    <w:qFormat/>
    <w:rsid w:val="009D6242"/>
    <w:pPr>
      <w:spacing w:after="0"/>
      <w:outlineLvl w:val="2"/>
    </w:pPr>
    <w:rPr>
      <w:rFonts w:ascii="Verdana" w:hAnsi="Verdana"/>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86E"/>
    <w:pPr>
      <w:ind w:left="720"/>
      <w:contextualSpacing/>
    </w:pPr>
  </w:style>
  <w:style w:type="paragraph" w:styleId="Header">
    <w:name w:val="header"/>
    <w:basedOn w:val="Normal"/>
    <w:link w:val="HeaderChar"/>
    <w:uiPriority w:val="99"/>
    <w:unhideWhenUsed/>
    <w:rsid w:val="007F0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E8"/>
  </w:style>
  <w:style w:type="paragraph" w:styleId="Footer">
    <w:name w:val="footer"/>
    <w:basedOn w:val="Normal"/>
    <w:link w:val="FooterChar"/>
    <w:uiPriority w:val="99"/>
    <w:unhideWhenUsed/>
    <w:rsid w:val="007F0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E8"/>
  </w:style>
  <w:style w:type="character" w:styleId="CommentReference">
    <w:name w:val="annotation reference"/>
    <w:basedOn w:val="DefaultParagraphFont"/>
    <w:uiPriority w:val="99"/>
    <w:semiHidden/>
    <w:unhideWhenUsed/>
    <w:rsid w:val="00FC48B4"/>
    <w:rPr>
      <w:sz w:val="16"/>
      <w:szCs w:val="16"/>
    </w:rPr>
  </w:style>
  <w:style w:type="paragraph" w:styleId="CommentText">
    <w:name w:val="annotation text"/>
    <w:basedOn w:val="Normal"/>
    <w:link w:val="CommentTextChar"/>
    <w:uiPriority w:val="99"/>
    <w:unhideWhenUsed/>
    <w:rsid w:val="00FC48B4"/>
    <w:pPr>
      <w:spacing w:line="240" w:lineRule="auto"/>
    </w:pPr>
    <w:rPr>
      <w:sz w:val="20"/>
      <w:szCs w:val="20"/>
    </w:rPr>
  </w:style>
  <w:style w:type="character" w:customStyle="1" w:styleId="CommentTextChar">
    <w:name w:val="Comment Text Char"/>
    <w:basedOn w:val="DefaultParagraphFont"/>
    <w:link w:val="CommentText"/>
    <w:uiPriority w:val="99"/>
    <w:rsid w:val="00FC48B4"/>
    <w:rPr>
      <w:sz w:val="20"/>
      <w:szCs w:val="20"/>
    </w:rPr>
  </w:style>
  <w:style w:type="paragraph" w:styleId="CommentSubject">
    <w:name w:val="annotation subject"/>
    <w:basedOn w:val="CommentText"/>
    <w:next w:val="CommentText"/>
    <w:link w:val="CommentSubjectChar"/>
    <w:uiPriority w:val="99"/>
    <w:semiHidden/>
    <w:unhideWhenUsed/>
    <w:rsid w:val="00FC48B4"/>
    <w:rPr>
      <w:b/>
      <w:bCs/>
    </w:rPr>
  </w:style>
  <w:style w:type="character" w:customStyle="1" w:styleId="CommentSubjectChar">
    <w:name w:val="Comment Subject Char"/>
    <w:basedOn w:val="CommentTextChar"/>
    <w:link w:val="CommentSubject"/>
    <w:uiPriority w:val="99"/>
    <w:semiHidden/>
    <w:rsid w:val="00FC48B4"/>
    <w:rPr>
      <w:b/>
      <w:bCs/>
      <w:sz w:val="20"/>
      <w:szCs w:val="20"/>
    </w:rPr>
  </w:style>
  <w:style w:type="paragraph" w:styleId="BalloonText">
    <w:name w:val="Balloon Text"/>
    <w:basedOn w:val="Normal"/>
    <w:link w:val="BalloonTextChar"/>
    <w:uiPriority w:val="99"/>
    <w:semiHidden/>
    <w:unhideWhenUsed/>
    <w:rsid w:val="00FC4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8B4"/>
    <w:rPr>
      <w:rFonts w:ascii="Segoe UI" w:hAnsi="Segoe UI" w:cs="Segoe UI"/>
      <w:sz w:val="18"/>
      <w:szCs w:val="18"/>
    </w:rPr>
  </w:style>
  <w:style w:type="character" w:styleId="Hyperlink">
    <w:name w:val="Hyperlink"/>
    <w:basedOn w:val="DefaultParagraphFont"/>
    <w:uiPriority w:val="99"/>
    <w:unhideWhenUsed/>
    <w:rsid w:val="002C2368"/>
    <w:rPr>
      <w:color w:val="0000FF"/>
      <w:u w:val="single"/>
    </w:rPr>
  </w:style>
  <w:style w:type="paragraph" w:styleId="NormalWeb">
    <w:name w:val="Normal (Web)"/>
    <w:basedOn w:val="Normal"/>
    <w:uiPriority w:val="99"/>
    <w:unhideWhenUsed/>
    <w:rsid w:val="007D320E"/>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6E7685"/>
    <w:pPr>
      <w:spacing w:after="0" w:line="240" w:lineRule="auto"/>
    </w:pPr>
  </w:style>
  <w:style w:type="character" w:styleId="Emphasis">
    <w:name w:val="Emphasis"/>
    <w:basedOn w:val="DefaultParagraphFont"/>
    <w:uiPriority w:val="20"/>
    <w:qFormat/>
    <w:rsid w:val="009E46E0"/>
    <w:rPr>
      <w:i/>
      <w:iCs/>
    </w:rPr>
  </w:style>
  <w:style w:type="character" w:styleId="FollowedHyperlink">
    <w:name w:val="FollowedHyperlink"/>
    <w:basedOn w:val="DefaultParagraphFont"/>
    <w:uiPriority w:val="99"/>
    <w:semiHidden/>
    <w:unhideWhenUsed/>
    <w:rsid w:val="00F15BFD"/>
    <w:rPr>
      <w:color w:val="954F72" w:themeColor="followedHyperlink"/>
      <w:u w:val="single"/>
    </w:rPr>
  </w:style>
  <w:style w:type="character" w:customStyle="1" w:styleId="Heading1Char">
    <w:name w:val="Heading 1 Char"/>
    <w:basedOn w:val="DefaultParagraphFont"/>
    <w:link w:val="Heading1"/>
    <w:uiPriority w:val="9"/>
    <w:rsid w:val="009D6242"/>
    <w:rPr>
      <w:rFonts w:ascii="Verdana" w:hAnsi="Verdana"/>
      <w:b/>
      <w:sz w:val="18"/>
      <w:szCs w:val="18"/>
    </w:rPr>
  </w:style>
  <w:style w:type="character" w:customStyle="1" w:styleId="Heading2Char">
    <w:name w:val="Heading 2 Char"/>
    <w:basedOn w:val="DefaultParagraphFont"/>
    <w:link w:val="Heading2"/>
    <w:uiPriority w:val="9"/>
    <w:rsid w:val="009D6242"/>
    <w:rPr>
      <w:rFonts w:ascii="Verdana" w:eastAsia="Times New Roman" w:hAnsi="Verdana"/>
      <w:b/>
      <w:color w:val="000000"/>
      <w:sz w:val="18"/>
      <w:szCs w:val="18"/>
      <w:u w:val="single"/>
    </w:rPr>
  </w:style>
  <w:style w:type="character" w:customStyle="1" w:styleId="Heading3Char">
    <w:name w:val="Heading 3 Char"/>
    <w:basedOn w:val="DefaultParagraphFont"/>
    <w:link w:val="Heading3"/>
    <w:uiPriority w:val="9"/>
    <w:rsid w:val="009D6242"/>
    <w:rPr>
      <w:rFonts w:ascii="Verdana" w:hAnsi="Verdana"/>
      <w:b/>
      <w:sz w:val="18"/>
      <w:szCs w:val="18"/>
    </w:rPr>
  </w:style>
  <w:style w:type="paragraph" w:styleId="TOCHeading">
    <w:name w:val="TOC Heading"/>
    <w:basedOn w:val="Heading1"/>
    <w:next w:val="Normal"/>
    <w:uiPriority w:val="39"/>
    <w:unhideWhenUsed/>
    <w:qFormat/>
    <w:rsid w:val="009D6242"/>
    <w:pPr>
      <w:keepNext/>
      <w:keepLines/>
      <w:spacing w:before="240" w:after="0"/>
      <w:jc w:val="left"/>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9D6242"/>
    <w:pPr>
      <w:spacing w:after="100"/>
      <w:ind w:left="220"/>
    </w:pPr>
    <w:rPr>
      <w:rFonts w:eastAsiaTheme="minorEastAsia" w:cs="Times New Roman"/>
    </w:rPr>
  </w:style>
  <w:style w:type="paragraph" w:styleId="TOC1">
    <w:name w:val="toc 1"/>
    <w:basedOn w:val="Normal"/>
    <w:next w:val="Normal"/>
    <w:autoRedefine/>
    <w:uiPriority w:val="39"/>
    <w:unhideWhenUsed/>
    <w:rsid w:val="009D6242"/>
    <w:pPr>
      <w:spacing w:after="100"/>
    </w:pPr>
    <w:rPr>
      <w:rFonts w:eastAsiaTheme="minorEastAsia" w:cs="Times New Roman"/>
    </w:rPr>
  </w:style>
  <w:style w:type="paragraph" w:styleId="TOC3">
    <w:name w:val="toc 3"/>
    <w:basedOn w:val="Normal"/>
    <w:next w:val="Normal"/>
    <w:autoRedefine/>
    <w:uiPriority w:val="39"/>
    <w:unhideWhenUsed/>
    <w:rsid w:val="009D6242"/>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261">
      <w:bodyDiv w:val="1"/>
      <w:marLeft w:val="0"/>
      <w:marRight w:val="0"/>
      <w:marTop w:val="0"/>
      <w:marBottom w:val="0"/>
      <w:divBdr>
        <w:top w:val="none" w:sz="0" w:space="0" w:color="auto"/>
        <w:left w:val="none" w:sz="0" w:space="0" w:color="auto"/>
        <w:bottom w:val="none" w:sz="0" w:space="0" w:color="auto"/>
        <w:right w:val="none" w:sz="0" w:space="0" w:color="auto"/>
      </w:divBdr>
    </w:div>
    <w:div w:id="118299734">
      <w:bodyDiv w:val="1"/>
      <w:marLeft w:val="0"/>
      <w:marRight w:val="0"/>
      <w:marTop w:val="0"/>
      <w:marBottom w:val="0"/>
      <w:divBdr>
        <w:top w:val="none" w:sz="0" w:space="0" w:color="auto"/>
        <w:left w:val="none" w:sz="0" w:space="0" w:color="auto"/>
        <w:bottom w:val="none" w:sz="0" w:space="0" w:color="auto"/>
        <w:right w:val="none" w:sz="0" w:space="0" w:color="auto"/>
      </w:divBdr>
    </w:div>
    <w:div w:id="314265833">
      <w:bodyDiv w:val="1"/>
      <w:marLeft w:val="0"/>
      <w:marRight w:val="0"/>
      <w:marTop w:val="0"/>
      <w:marBottom w:val="0"/>
      <w:divBdr>
        <w:top w:val="none" w:sz="0" w:space="0" w:color="auto"/>
        <w:left w:val="none" w:sz="0" w:space="0" w:color="auto"/>
        <w:bottom w:val="none" w:sz="0" w:space="0" w:color="auto"/>
        <w:right w:val="none" w:sz="0" w:space="0" w:color="auto"/>
      </w:divBdr>
    </w:div>
    <w:div w:id="348720547">
      <w:bodyDiv w:val="1"/>
      <w:marLeft w:val="0"/>
      <w:marRight w:val="0"/>
      <w:marTop w:val="0"/>
      <w:marBottom w:val="0"/>
      <w:divBdr>
        <w:top w:val="none" w:sz="0" w:space="0" w:color="auto"/>
        <w:left w:val="none" w:sz="0" w:space="0" w:color="auto"/>
        <w:bottom w:val="none" w:sz="0" w:space="0" w:color="auto"/>
        <w:right w:val="none" w:sz="0" w:space="0" w:color="auto"/>
      </w:divBdr>
    </w:div>
    <w:div w:id="411856321">
      <w:bodyDiv w:val="1"/>
      <w:marLeft w:val="0"/>
      <w:marRight w:val="0"/>
      <w:marTop w:val="0"/>
      <w:marBottom w:val="0"/>
      <w:divBdr>
        <w:top w:val="none" w:sz="0" w:space="0" w:color="auto"/>
        <w:left w:val="none" w:sz="0" w:space="0" w:color="auto"/>
        <w:bottom w:val="none" w:sz="0" w:space="0" w:color="auto"/>
        <w:right w:val="none" w:sz="0" w:space="0" w:color="auto"/>
      </w:divBdr>
    </w:div>
    <w:div w:id="423191559">
      <w:bodyDiv w:val="1"/>
      <w:marLeft w:val="0"/>
      <w:marRight w:val="0"/>
      <w:marTop w:val="0"/>
      <w:marBottom w:val="0"/>
      <w:divBdr>
        <w:top w:val="none" w:sz="0" w:space="0" w:color="auto"/>
        <w:left w:val="none" w:sz="0" w:space="0" w:color="auto"/>
        <w:bottom w:val="none" w:sz="0" w:space="0" w:color="auto"/>
        <w:right w:val="none" w:sz="0" w:space="0" w:color="auto"/>
      </w:divBdr>
    </w:div>
    <w:div w:id="503204048">
      <w:bodyDiv w:val="1"/>
      <w:marLeft w:val="0"/>
      <w:marRight w:val="0"/>
      <w:marTop w:val="0"/>
      <w:marBottom w:val="0"/>
      <w:divBdr>
        <w:top w:val="none" w:sz="0" w:space="0" w:color="auto"/>
        <w:left w:val="none" w:sz="0" w:space="0" w:color="auto"/>
        <w:bottom w:val="none" w:sz="0" w:space="0" w:color="auto"/>
        <w:right w:val="none" w:sz="0" w:space="0" w:color="auto"/>
      </w:divBdr>
    </w:div>
    <w:div w:id="633371877">
      <w:bodyDiv w:val="1"/>
      <w:marLeft w:val="0"/>
      <w:marRight w:val="0"/>
      <w:marTop w:val="0"/>
      <w:marBottom w:val="0"/>
      <w:divBdr>
        <w:top w:val="none" w:sz="0" w:space="0" w:color="auto"/>
        <w:left w:val="none" w:sz="0" w:space="0" w:color="auto"/>
        <w:bottom w:val="none" w:sz="0" w:space="0" w:color="auto"/>
        <w:right w:val="none" w:sz="0" w:space="0" w:color="auto"/>
      </w:divBdr>
    </w:div>
    <w:div w:id="811097858">
      <w:bodyDiv w:val="1"/>
      <w:marLeft w:val="0"/>
      <w:marRight w:val="0"/>
      <w:marTop w:val="0"/>
      <w:marBottom w:val="0"/>
      <w:divBdr>
        <w:top w:val="none" w:sz="0" w:space="0" w:color="auto"/>
        <w:left w:val="none" w:sz="0" w:space="0" w:color="auto"/>
        <w:bottom w:val="none" w:sz="0" w:space="0" w:color="auto"/>
        <w:right w:val="none" w:sz="0" w:space="0" w:color="auto"/>
      </w:divBdr>
    </w:div>
    <w:div w:id="818808512">
      <w:bodyDiv w:val="1"/>
      <w:marLeft w:val="0"/>
      <w:marRight w:val="0"/>
      <w:marTop w:val="0"/>
      <w:marBottom w:val="0"/>
      <w:divBdr>
        <w:top w:val="none" w:sz="0" w:space="0" w:color="auto"/>
        <w:left w:val="none" w:sz="0" w:space="0" w:color="auto"/>
        <w:bottom w:val="none" w:sz="0" w:space="0" w:color="auto"/>
        <w:right w:val="none" w:sz="0" w:space="0" w:color="auto"/>
      </w:divBdr>
    </w:div>
    <w:div w:id="830174464">
      <w:bodyDiv w:val="1"/>
      <w:marLeft w:val="0"/>
      <w:marRight w:val="0"/>
      <w:marTop w:val="0"/>
      <w:marBottom w:val="0"/>
      <w:divBdr>
        <w:top w:val="none" w:sz="0" w:space="0" w:color="auto"/>
        <w:left w:val="none" w:sz="0" w:space="0" w:color="auto"/>
        <w:bottom w:val="none" w:sz="0" w:space="0" w:color="auto"/>
        <w:right w:val="none" w:sz="0" w:space="0" w:color="auto"/>
      </w:divBdr>
    </w:div>
    <w:div w:id="855735296">
      <w:bodyDiv w:val="1"/>
      <w:marLeft w:val="0"/>
      <w:marRight w:val="0"/>
      <w:marTop w:val="0"/>
      <w:marBottom w:val="0"/>
      <w:divBdr>
        <w:top w:val="none" w:sz="0" w:space="0" w:color="auto"/>
        <w:left w:val="none" w:sz="0" w:space="0" w:color="auto"/>
        <w:bottom w:val="none" w:sz="0" w:space="0" w:color="auto"/>
        <w:right w:val="none" w:sz="0" w:space="0" w:color="auto"/>
      </w:divBdr>
    </w:div>
    <w:div w:id="904336596">
      <w:bodyDiv w:val="1"/>
      <w:marLeft w:val="0"/>
      <w:marRight w:val="0"/>
      <w:marTop w:val="0"/>
      <w:marBottom w:val="0"/>
      <w:divBdr>
        <w:top w:val="none" w:sz="0" w:space="0" w:color="auto"/>
        <w:left w:val="none" w:sz="0" w:space="0" w:color="auto"/>
        <w:bottom w:val="none" w:sz="0" w:space="0" w:color="auto"/>
        <w:right w:val="none" w:sz="0" w:space="0" w:color="auto"/>
      </w:divBdr>
    </w:div>
    <w:div w:id="906497417">
      <w:bodyDiv w:val="1"/>
      <w:marLeft w:val="0"/>
      <w:marRight w:val="0"/>
      <w:marTop w:val="0"/>
      <w:marBottom w:val="0"/>
      <w:divBdr>
        <w:top w:val="none" w:sz="0" w:space="0" w:color="auto"/>
        <w:left w:val="none" w:sz="0" w:space="0" w:color="auto"/>
        <w:bottom w:val="none" w:sz="0" w:space="0" w:color="auto"/>
        <w:right w:val="none" w:sz="0" w:space="0" w:color="auto"/>
      </w:divBdr>
    </w:div>
    <w:div w:id="908921920">
      <w:bodyDiv w:val="1"/>
      <w:marLeft w:val="0"/>
      <w:marRight w:val="0"/>
      <w:marTop w:val="0"/>
      <w:marBottom w:val="0"/>
      <w:divBdr>
        <w:top w:val="none" w:sz="0" w:space="0" w:color="auto"/>
        <w:left w:val="none" w:sz="0" w:space="0" w:color="auto"/>
        <w:bottom w:val="none" w:sz="0" w:space="0" w:color="auto"/>
        <w:right w:val="none" w:sz="0" w:space="0" w:color="auto"/>
      </w:divBdr>
    </w:div>
    <w:div w:id="946619478">
      <w:bodyDiv w:val="1"/>
      <w:marLeft w:val="0"/>
      <w:marRight w:val="0"/>
      <w:marTop w:val="0"/>
      <w:marBottom w:val="0"/>
      <w:divBdr>
        <w:top w:val="none" w:sz="0" w:space="0" w:color="auto"/>
        <w:left w:val="none" w:sz="0" w:space="0" w:color="auto"/>
        <w:bottom w:val="none" w:sz="0" w:space="0" w:color="auto"/>
        <w:right w:val="none" w:sz="0" w:space="0" w:color="auto"/>
      </w:divBdr>
    </w:div>
    <w:div w:id="999770000">
      <w:bodyDiv w:val="1"/>
      <w:marLeft w:val="0"/>
      <w:marRight w:val="0"/>
      <w:marTop w:val="0"/>
      <w:marBottom w:val="0"/>
      <w:divBdr>
        <w:top w:val="none" w:sz="0" w:space="0" w:color="auto"/>
        <w:left w:val="none" w:sz="0" w:space="0" w:color="auto"/>
        <w:bottom w:val="none" w:sz="0" w:space="0" w:color="auto"/>
        <w:right w:val="none" w:sz="0" w:space="0" w:color="auto"/>
      </w:divBdr>
    </w:div>
    <w:div w:id="1053307602">
      <w:bodyDiv w:val="1"/>
      <w:marLeft w:val="0"/>
      <w:marRight w:val="0"/>
      <w:marTop w:val="0"/>
      <w:marBottom w:val="0"/>
      <w:divBdr>
        <w:top w:val="none" w:sz="0" w:space="0" w:color="auto"/>
        <w:left w:val="none" w:sz="0" w:space="0" w:color="auto"/>
        <w:bottom w:val="none" w:sz="0" w:space="0" w:color="auto"/>
        <w:right w:val="none" w:sz="0" w:space="0" w:color="auto"/>
      </w:divBdr>
    </w:div>
    <w:div w:id="1079208668">
      <w:bodyDiv w:val="1"/>
      <w:marLeft w:val="0"/>
      <w:marRight w:val="0"/>
      <w:marTop w:val="0"/>
      <w:marBottom w:val="0"/>
      <w:divBdr>
        <w:top w:val="none" w:sz="0" w:space="0" w:color="auto"/>
        <w:left w:val="none" w:sz="0" w:space="0" w:color="auto"/>
        <w:bottom w:val="none" w:sz="0" w:space="0" w:color="auto"/>
        <w:right w:val="none" w:sz="0" w:space="0" w:color="auto"/>
      </w:divBdr>
    </w:div>
    <w:div w:id="1165434384">
      <w:bodyDiv w:val="1"/>
      <w:marLeft w:val="0"/>
      <w:marRight w:val="0"/>
      <w:marTop w:val="0"/>
      <w:marBottom w:val="0"/>
      <w:divBdr>
        <w:top w:val="none" w:sz="0" w:space="0" w:color="auto"/>
        <w:left w:val="none" w:sz="0" w:space="0" w:color="auto"/>
        <w:bottom w:val="none" w:sz="0" w:space="0" w:color="auto"/>
        <w:right w:val="none" w:sz="0" w:space="0" w:color="auto"/>
      </w:divBdr>
    </w:div>
    <w:div w:id="1247306956">
      <w:bodyDiv w:val="1"/>
      <w:marLeft w:val="0"/>
      <w:marRight w:val="0"/>
      <w:marTop w:val="0"/>
      <w:marBottom w:val="0"/>
      <w:divBdr>
        <w:top w:val="none" w:sz="0" w:space="0" w:color="auto"/>
        <w:left w:val="none" w:sz="0" w:space="0" w:color="auto"/>
        <w:bottom w:val="none" w:sz="0" w:space="0" w:color="auto"/>
        <w:right w:val="none" w:sz="0" w:space="0" w:color="auto"/>
      </w:divBdr>
    </w:div>
    <w:div w:id="1546719814">
      <w:bodyDiv w:val="1"/>
      <w:marLeft w:val="0"/>
      <w:marRight w:val="0"/>
      <w:marTop w:val="0"/>
      <w:marBottom w:val="0"/>
      <w:divBdr>
        <w:top w:val="none" w:sz="0" w:space="0" w:color="auto"/>
        <w:left w:val="none" w:sz="0" w:space="0" w:color="auto"/>
        <w:bottom w:val="none" w:sz="0" w:space="0" w:color="auto"/>
        <w:right w:val="none" w:sz="0" w:space="0" w:color="auto"/>
      </w:divBdr>
    </w:div>
    <w:div w:id="1629779993">
      <w:bodyDiv w:val="1"/>
      <w:marLeft w:val="0"/>
      <w:marRight w:val="0"/>
      <w:marTop w:val="0"/>
      <w:marBottom w:val="0"/>
      <w:divBdr>
        <w:top w:val="none" w:sz="0" w:space="0" w:color="auto"/>
        <w:left w:val="none" w:sz="0" w:space="0" w:color="auto"/>
        <w:bottom w:val="none" w:sz="0" w:space="0" w:color="auto"/>
        <w:right w:val="none" w:sz="0" w:space="0" w:color="auto"/>
      </w:divBdr>
    </w:div>
    <w:div w:id="1682079601">
      <w:bodyDiv w:val="1"/>
      <w:marLeft w:val="0"/>
      <w:marRight w:val="0"/>
      <w:marTop w:val="0"/>
      <w:marBottom w:val="0"/>
      <w:divBdr>
        <w:top w:val="none" w:sz="0" w:space="0" w:color="auto"/>
        <w:left w:val="none" w:sz="0" w:space="0" w:color="auto"/>
        <w:bottom w:val="none" w:sz="0" w:space="0" w:color="auto"/>
        <w:right w:val="none" w:sz="0" w:space="0" w:color="auto"/>
      </w:divBdr>
    </w:div>
    <w:div w:id="1696811468">
      <w:bodyDiv w:val="1"/>
      <w:marLeft w:val="0"/>
      <w:marRight w:val="0"/>
      <w:marTop w:val="0"/>
      <w:marBottom w:val="0"/>
      <w:divBdr>
        <w:top w:val="none" w:sz="0" w:space="0" w:color="auto"/>
        <w:left w:val="none" w:sz="0" w:space="0" w:color="auto"/>
        <w:bottom w:val="none" w:sz="0" w:space="0" w:color="auto"/>
        <w:right w:val="none" w:sz="0" w:space="0" w:color="auto"/>
      </w:divBdr>
    </w:div>
    <w:div w:id="1799060067">
      <w:bodyDiv w:val="1"/>
      <w:marLeft w:val="0"/>
      <w:marRight w:val="0"/>
      <w:marTop w:val="0"/>
      <w:marBottom w:val="0"/>
      <w:divBdr>
        <w:top w:val="none" w:sz="0" w:space="0" w:color="auto"/>
        <w:left w:val="none" w:sz="0" w:space="0" w:color="auto"/>
        <w:bottom w:val="none" w:sz="0" w:space="0" w:color="auto"/>
        <w:right w:val="none" w:sz="0" w:space="0" w:color="auto"/>
      </w:divBdr>
    </w:div>
    <w:div w:id="1844007650">
      <w:bodyDiv w:val="1"/>
      <w:marLeft w:val="0"/>
      <w:marRight w:val="0"/>
      <w:marTop w:val="0"/>
      <w:marBottom w:val="0"/>
      <w:divBdr>
        <w:top w:val="none" w:sz="0" w:space="0" w:color="auto"/>
        <w:left w:val="none" w:sz="0" w:space="0" w:color="auto"/>
        <w:bottom w:val="none" w:sz="0" w:space="0" w:color="auto"/>
        <w:right w:val="none" w:sz="0" w:space="0" w:color="auto"/>
      </w:divBdr>
    </w:div>
    <w:div w:id="1933853934">
      <w:bodyDiv w:val="1"/>
      <w:marLeft w:val="0"/>
      <w:marRight w:val="0"/>
      <w:marTop w:val="0"/>
      <w:marBottom w:val="0"/>
      <w:divBdr>
        <w:top w:val="none" w:sz="0" w:space="0" w:color="auto"/>
        <w:left w:val="none" w:sz="0" w:space="0" w:color="auto"/>
        <w:bottom w:val="none" w:sz="0" w:space="0" w:color="auto"/>
        <w:right w:val="none" w:sz="0" w:space="0" w:color="auto"/>
      </w:divBdr>
    </w:div>
    <w:div w:id="1945841894">
      <w:bodyDiv w:val="1"/>
      <w:marLeft w:val="0"/>
      <w:marRight w:val="0"/>
      <w:marTop w:val="0"/>
      <w:marBottom w:val="0"/>
      <w:divBdr>
        <w:top w:val="none" w:sz="0" w:space="0" w:color="auto"/>
        <w:left w:val="none" w:sz="0" w:space="0" w:color="auto"/>
        <w:bottom w:val="none" w:sz="0" w:space="0" w:color="auto"/>
        <w:right w:val="none" w:sz="0" w:space="0" w:color="auto"/>
      </w:divBdr>
    </w:div>
    <w:div w:id="1991782287">
      <w:bodyDiv w:val="1"/>
      <w:marLeft w:val="0"/>
      <w:marRight w:val="0"/>
      <w:marTop w:val="0"/>
      <w:marBottom w:val="0"/>
      <w:divBdr>
        <w:top w:val="none" w:sz="0" w:space="0" w:color="auto"/>
        <w:left w:val="none" w:sz="0" w:space="0" w:color="auto"/>
        <w:bottom w:val="none" w:sz="0" w:space="0" w:color="auto"/>
        <w:right w:val="none" w:sz="0" w:space="0" w:color="auto"/>
      </w:divBdr>
    </w:div>
    <w:div w:id="2062096142">
      <w:bodyDiv w:val="1"/>
      <w:marLeft w:val="0"/>
      <w:marRight w:val="0"/>
      <w:marTop w:val="0"/>
      <w:marBottom w:val="0"/>
      <w:divBdr>
        <w:top w:val="none" w:sz="0" w:space="0" w:color="auto"/>
        <w:left w:val="none" w:sz="0" w:space="0" w:color="auto"/>
        <w:bottom w:val="none" w:sz="0" w:space="0" w:color="auto"/>
        <w:right w:val="none" w:sz="0" w:space="0" w:color="auto"/>
      </w:divBdr>
    </w:div>
    <w:div w:id="212141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find-emergency-family-shel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how-to/find-emergency-family-shel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90A66-8BC3-41E9-9E47-896741C0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Cianci, Carly</dc:creator>
  <cp:lastModifiedBy>Andrews, Jeff</cp:lastModifiedBy>
  <cp:revision>2</cp:revision>
  <cp:lastPrinted>2020-02-05T16:20:00Z</cp:lastPrinted>
  <dcterms:created xsi:type="dcterms:W3CDTF">2020-02-18T21:07:00Z</dcterms:created>
  <dcterms:modified xsi:type="dcterms:W3CDTF">2020-02-18T21:07:00Z</dcterms:modified>
</cp:coreProperties>
</file>