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EA09D9" w14:textId="77777777" w:rsidR="009654D7" w:rsidRPr="00D9444A" w:rsidRDefault="00E1159A" w:rsidP="00D9444A">
      <w:pPr>
        <w:pStyle w:val="Heading1"/>
      </w:pPr>
      <w:r w:rsidRPr="00D9444A">
        <w:t xml:space="preserve">Attachment </w:t>
      </w:r>
      <w:r w:rsidR="008C1D78" w:rsidRPr="00D9444A">
        <w:t>APR</w:t>
      </w:r>
    </w:p>
    <w:p w14:paraId="0F88B74E" w14:textId="77777777" w:rsidR="00595BD4" w:rsidRPr="00D9444A" w:rsidRDefault="00595BD4" w:rsidP="00D9444A"/>
    <w:p w14:paraId="0AECED47" w14:textId="77777777" w:rsidR="009654D7" w:rsidRPr="00D9444A" w:rsidRDefault="009654D7" w:rsidP="00D9444A">
      <w:pPr>
        <w:pStyle w:val="Heading1"/>
      </w:pPr>
      <w:r w:rsidRPr="00D9444A">
        <w:t>Delivery System Reform Incentive Payment (DSRIP) Program</w:t>
      </w:r>
    </w:p>
    <w:p w14:paraId="7EB2A85D" w14:textId="00B72AE0" w:rsidR="009654D7" w:rsidRPr="00D9444A" w:rsidRDefault="009654D7" w:rsidP="00D9444A">
      <w:pPr>
        <w:pStyle w:val="Heading1"/>
      </w:pPr>
      <w:r w:rsidRPr="00D9444A">
        <w:t xml:space="preserve">Accountable Care Organization (ACO) </w:t>
      </w:r>
      <w:r w:rsidR="00E1159A" w:rsidRPr="00D9444A">
        <w:t>PY</w:t>
      </w:r>
      <w:r w:rsidR="00703FF2" w:rsidRPr="00D9444A">
        <w:t>2</w:t>
      </w:r>
      <w:r w:rsidR="00E1159A" w:rsidRPr="00D9444A">
        <w:t xml:space="preserve"> </w:t>
      </w:r>
      <w:r w:rsidR="008C1D78" w:rsidRPr="00D9444A">
        <w:t xml:space="preserve">Annual </w:t>
      </w:r>
      <w:r w:rsidR="00E1159A" w:rsidRPr="00D9444A">
        <w:t>Progress Report Response Form</w:t>
      </w:r>
      <w:r w:rsidRPr="00D9444A">
        <w:t xml:space="preserve"> </w:t>
      </w:r>
    </w:p>
    <w:p w14:paraId="0DF48AE6" w14:textId="798163E2" w:rsidR="00067B59" w:rsidRPr="00D9444A" w:rsidRDefault="00067B59" w:rsidP="00D9444A"/>
    <w:p w14:paraId="73E1C1A2" w14:textId="3C21D4D6" w:rsidR="00067B59" w:rsidRPr="00D9444A" w:rsidRDefault="00067B59" w:rsidP="00D9444A">
      <w:pPr>
        <w:pStyle w:val="Heading1"/>
      </w:pPr>
      <w:r w:rsidRPr="00D9444A">
        <w:t>Part 1: PY2 Progress Report Executive Summary</w:t>
      </w:r>
    </w:p>
    <w:p w14:paraId="26F202A1" w14:textId="77777777" w:rsidR="009654D7" w:rsidRPr="00370ECD" w:rsidRDefault="009654D7" w:rsidP="000E5F21">
      <w:pPr>
        <w:spacing w:after="120"/>
        <w:rPr>
          <w:rFonts w:cs="Times New Roman"/>
        </w:rPr>
      </w:pPr>
    </w:p>
    <w:p w14:paraId="2D5BA44B" w14:textId="77777777" w:rsidR="009654D7" w:rsidRPr="00370ECD" w:rsidRDefault="009654D7" w:rsidP="00D9444A">
      <w:pPr>
        <w:pStyle w:val="Heading2"/>
      </w:pPr>
      <w:r w:rsidRPr="00370ECD">
        <w:t xml:space="preserve">General </w:t>
      </w:r>
      <w:r w:rsidRPr="00D9444A">
        <w:t>Information</w:t>
      </w:r>
    </w:p>
    <w:p w14:paraId="2FBAA7DD" w14:textId="77777777" w:rsidR="009654D7" w:rsidRPr="00370ECD" w:rsidRDefault="009654D7" w:rsidP="00EA42C3">
      <w:pPr>
        <w:contextualSpacing/>
        <w:rPr>
          <w:rFonts w:cs="Times New Roman"/>
        </w:rPr>
      </w:pPr>
    </w:p>
    <w:tbl>
      <w:tblPr>
        <w:tblStyle w:val="TableGridLight"/>
        <w:tblW w:w="9560" w:type="dxa"/>
        <w:tblLook w:val="04A0" w:firstRow="1" w:lastRow="0" w:firstColumn="1" w:lastColumn="0" w:noHBand="0" w:noVBand="1"/>
        <w:tblCaption w:val="General Information"/>
      </w:tblPr>
      <w:tblGrid>
        <w:gridCol w:w="3400"/>
        <w:gridCol w:w="6160"/>
      </w:tblGrid>
      <w:tr w:rsidR="00437431" w:rsidRPr="00370ECD" w14:paraId="17CC4A50" w14:textId="77777777" w:rsidTr="008A44EE">
        <w:trPr>
          <w:trHeight w:val="375"/>
          <w:tblHeader/>
        </w:trPr>
        <w:tc>
          <w:tcPr>
            <w:tcW w:w="3400" w:type="dxa"/>
            <w:shd w:val="clear" w:color="auto" w:fill="F2F2F2"/>
            <w:hideMark/>
          </w:tcPr>
          <w:p w14:paraId="26C6A23A" w14:textId="77777777" w:rsidR="00437431" w:rsidRPr="00370ECD" w:rsidRDefault="00437431" w:rsidP="00437431">
            <w:pPr>
              <w:spacing w:after="120"/>
              <w:contextualSpacing/>
              <w:rPr>
                <w:rFonts w:eastAsia="Times New Roman" w:cs="Times New Roman"/>
                <w:b/>
                <w:bCs/>
                <w:color w:val="000000"/>
              </w:rPr>
            </w:pPr>
            <w:r w:rsidRPr="00370ECD">
              <w:rPr>
                <w:rFonts w:eastAsia="Times New Roman" w:cs="Times New Roman"/>
                <w:b/>
                <w:bCs/>
                <w:color w:val="000000"/>
              </w:rPr>
              <w:t>Full ACO Name:</w:t>
            </w:r>
          </w:p>
        </w:tc>
        <w:tc>
          <w:tcPr>
            <w:tcW w:w="6160" w:type="dxa"/>
            <w:shd w:val="clear" w:color="auto" w:fill="F2F2F2"/>
          </w:tcPr>
          <w:p w14:paraId="2D4A55DA" w14:textId="77777777" w:rsidR="00437431" w:rsidRPr="00370ECD" w:rsidRDefault="00437431" w:rsidP="00437431">
            <w:pPr>
              <w:spacing w:after="120"/>
              <w:contextualSpacing/>
              <w:rPr>
                <w:rFonts w:eastAsia="Times New Roman" w:cs="Times New Roman"/>
              </w:rPr>
            </w:pPr>
            <w:proofErr w:type="spellStart"/>
            <w:r w:rsidRPr="00370ECD">
              <w:rPr>
                <w:rFonts w:eastAsia="Times New Roman" w:cs="Times New Roman"/>
              </w:rPr>
              <w:t>Wellforce</w:t>
            </w:r>
            <w:proofErr w:type="spellEnd"/>
            <w:r w:rsidRPr="00370ECD">
              <w:rPr>
                <w:rFonts w:eastAsia="Times New Roman" w:cs="Times New Roman"/>
              </w:rPr>
              <w:t xml:space="preserve"> in partnership with Fallon Community Health Plan</w:t>
            </w:r>
          </w:p>
        </w:tc>
      </w:tr>
      <w:tr w:rsidR="00437431" w:rsidRPr="00370ECD" w14:paraId="3E0156C1" w14:textId="77777777" w:rsidTr="008A44EE">
        <w:trPr>
          <w:trHeight w:val="375"/>
          <w:tblHeader/>
        </w:trPr>
        <w:tc>
          <w:tcPr>
            <w:tcW w:w="3400" w:type="dxa"/>
            <w:hideMark/>
          </w:tcPr>
          <w:p w14:paraId="134BA8CC" w14:textId="77777777" w:rsidR="00437431" w:rsidRPr="00370ECD" w:rsidRDefault="00437431" w:rsidP="00437431">
            <w:pPr>
              <w:spacing w:after="120"/>
              <w:contextualSpacing/>
              <w:rPr>
                <w:rFonts w:eastAsia="Times New Roman" w:cs="Times New Roman"/>
                <w:b/>
                <w:bCs/>
                <w:color w:val="000000"/>
              </w:rPr>
            </w:pPr>
            <w:r w:rsidRPr="00370ECD">
              <w:rPr>
                <w:rFonts w:eastAsia="Times New Roman" w:cs="Times New Roman"/>
                <w:b/>
                <w:bCs/>
                <w:color w:val="000000"/>
              </w:rPr>
              <w:t>ACO Address:</w:t>
            </w:r>
          </w:p>
        </w:tc>
        <w:tc>
          <w:tcPr>
            <w:tcW w:w="6160" w:type="dxa"/>
          </w:tcPr>
          <w:p w14:paraId="58974365" w14:textId="77777777" w:rsidR="00437431" w:rsidRPr="00370ECD" w:rsidRDefault="00437431" w:rsidP="00437431">
            <w:pPr>
              <w:spacing w:after="120"/>
              <w:contextualSpacing/>
              <w:rPr>
                <w:rFonts w:eastAsia="Times New Roman" w:cs="Times New Roman"/>
              </w:rPr>
            </w:pPr>
            <w:r w:rsidRPr="00370ECD">
              <w:rPr>
                <w:rFonts w:eastAsia="Times New Roman" w:cs="Times New Roman"/>
              </w:rPr>
              <w:t>10 Chestnut Street, Worcester, MA  01608</w:t>
            </w:r>
          </w:p>
        </w:tc>
      </w:tr>
    </w:tbl>
    <w:p w14:paraId="3AB87FD0" w14:textId="77777777" w:rsidR="00437431" w:rsidRPr="00370ECD" w:rsidRDefault="00437431" w:rsidP="00EA42C3">
      <w:pPr>
        <w:contextualSpacing/>
        <w:rPr>
          <w:rFonts w:cs="Times New Roman"/>
        </w:rPr>
      </w:pPr>
    </w:p>
    <w:p w14:paraId="14A1E727" w14:textId="30FA2A1A" w:rsidR="009654D7" w:rsidRPr="00370ECD" w:rsidRDefault="00D9444A" w:rsidP="00D9444A">
      <w:pPr>
        <w:pStyle w:val="Heading2"/>
        <w:ind w:left="0"/>
      </w:pPr>
      <w:r w:rsidRPr="00D9444A">
        <w:rPr>
          <w:color w:val="000000" w:themeColor="text1"/>
        </w:rPr>
        <w:t xml:space="preserve">Part 1. </w:t>
      </w:r>
      <w:r w:rsidR="00D204A7" w:rsidRPr="00370ECD">
        <w:t>PY</w:t>
      </w:r>
      <w:r w:rsidR="00703FF2" w:rsidRPr="00370ECD">
        <w:t>2</w:t>
      </w:r>
      <w:r w:rsidR="00D204A7" w:rsidRPr="00370ECD">
        <w:t xml:space="preserve"> Progress Report Executive Summary</w:t>
      </w:r>
    </w:p>
    <w:p w14:paraId="1D4F5A53" w14:textId="05CD0451" w:rsidR="009654D7" w:rsidRPr="00370ECD" w:rsidRDefault="00D9444A" w:rsidP="00D9444A">
      <w:pPr>
        <w:pStyle w:val="Heading2"/>
        <w:ind w:left="0"/>
      </w:pPr>
      <w:r>
        <w:t xml:space="preserve">1.1 </w:t>
      </w:r>
      <w:r w:rsidR="00C14C85" w:rsidRPr="00370ECD">
        <w:t xml:space="preserve">ACO Goals from </w:t>
      </w:r>
      <w:r w:rsidR="003A582B" w:rsidRPr="00370ECD">
        <w:t xml:space="preserve">its </w:t>
      </w:r>
      <w:r w:rsidR="008C1D78" w:rsidRPr="00370ECD">
        <w:t>Full</w:t>
      </w:r>
      <w:r w:rsidR="00C14C85" w:rsidRPr="00370ECD">
        <w:t xml:space="preserve"> </w:t>
      </w:r>
      <w:r w:rsidR="00461D55" w:rsidRPr="00370ECD">
        <w:t>Participation Plan</w:t>
      </w:r>
    </w:p>
    <w:p w14:paraId="0848EBF6" w14:textId="77777777" w:rsidR="004C741A" w:rsidRPr="00370ECD" w:rsidRDefault="004C741A" w:rsidP="004C741A">
      <w:pPr>
        <w:rPr>
          <w:rFonts w:cs="Times New Roman"/>
        </w:rPr>
      </w:pPr>
    </w:p>
    <w:p w14:paraId="7090EC9E" w14:textId="77777777" w:rsidR="0013060F" w:rsidRPr="00370ECD" w:rsidRDefault="0013060F" w:rsidP="0013060F">
      <w:pPr>
        <w:rPr>
          <w:rFonts w:cs="Times New Roman"/>
          <w:u w:val="single"/>
        </w:rPr>
      </w:pPr>
      <w:r w:rsidRPr="00370ECD">
        <w:rPr>
          <w:rFonts w:cs="Times New Roman"/>
          <w:u w:val="single"/>
        </w:rPr>
        <w:t xml:space="preserve">Goals for </w:t>
      </w:r>
      <w:r w:rsidR="00D808AD" w:rsidRPr="00370ECD">
        <w:rPr>
          <w:rFonts w:cs="Times New Roman"/>
          <w:u w:val="single"/>
        </w:rPr>
        <w:t xml:space="preserve">our </w:t>
      </w:r>
      <w:r w:rsidRPr="00370ECD">
        <w:rPr>
          <w:rFonts w:cs="Times New Roman"/>
          <w:u w:val="single"/>
        </w:rPr>
        <w:t xml:space="preserve">DSRIP Program: </w:t>
      </w:r>
    </w:p>
    <w:p w14:paraId="02D268B5" w14:textId="77777777" w:rsidR="0013060F" w:rsidRPr="00370ECD" w:rsidRDefault="0013060F" w:rsidP="00D808AD">
      <w:pPr>
        <w:pStyle w:val="ListParagraph"/>
        <w:numPr>
          <w:ilvl w:val="0"/>
          <w:numId w:val="24"/>
        </w:numPr>
        <w:rPr>
          <w:rFonts w:cs="Times New Roman"/>
        </w:rPr>
      </w:pPr>
      <w:bookmarkStart w:id="0" w:name="_Hlk42161210"/>
      <w:bookmarkStart w:id="1" w:name="_Hlk42161990"/>
      <w:r w:rsidRPr="00370ECD">
        <w:rPr>
          <w:rFonts w:cs="Times New Roman"/>
        </w:rPr>
        <w:t>Integrating physical health, behavioral health, long-term services and supports, health-related social services, and overall member care</w:t>
      </w:r>
    </w:p>
    <w:bookmarkEnd w:id="0"/>
    <w:p w14:paraId="5D078C3E" w14:textId="77777777" w:rsidR="0013060F" w:rsidRPr="00370ECD" w:rsidRDefault="0013060F" w:rsidP="00D808AD">
      <w:pPr>
        <w:pStyle w:val="ListParagraph"/>
        <w:numPr>
          <w:ilvl w:val="0"/>
          <w:numId w:val="24"/>
        </w:numPr>
        <w:rPr>
          <w:rFonts w:cs="Times New Roman"/>
        </w:rPr>
      </w:pPr>
      <w:r w:rsidRPr="00370ECD">
        <w:rPr>
          <w:rFonts w:cs="Times New Roman"/>
        </w:rPr>
        <w:t>Increasing the member-centeredness and member experience of care</w:t>
      </w:r>
    </w:p>
    <w:p w14:paraId="059C11FA" w14:textId="77777777" w:rsidR="0013060F" w:rsidRPr="00370ECD" w:rsidRDefault="0013060F" w:rsidP="00D808AD">
      <w:pPr>
        <w:pStyle w:val="ListParagraph"/>
        <w:numPr>
          <w:ilvl w:val="0"/>
          <w:numId w:val="24"/>
        </w:numPr>
        <w:rPr>
          <w:rFonts w:cs="Times New Roman"/>
        </w:rPr>
      </w:pPr>
      <w:r w:rsidRPr="00370ECD">
        <w:rPr>
          <w:rFonts w:cs="Times New Roman"/>
        </w:rPr>
        <w:t>Increasing member access to culturally and linguistically appropriate services and to medical and diagnostic equipment that is accessible to members with disabilities</w:t>
      </w:r>
    </w:p>
    <w:p w14:paraId="4F6A5A11" w14:textId="77777777" w:rsidR="0013060F" w:rsidRPr="00370ECD" w:rsidRDefault="0013060F" w:rsidP="00D808AD">
      <w:pPr>
        <w:pStyle w:val="ListParagraph"/>
        <w:numPr>
          <w:ilvl w:val="0"/>
          <w:numId w:val="24"/>
        </w:numPr>
        <w:rPr>
          <w:rFonts w:cs="Times New Roman"/>
        </w:rPr>
      </w:pPr>
      <w:r w:rsidRPr="00370ECD">
        <w:rPr>
          <w:rFonts w:cs="Times New Roman"/>
        </w:rPr>
        <w:t xml:space="preserve">Reducing avoidable costs of care, including avoidable inpatient admissions and readmissions, </w:t>
      </w:r>
      <w:r w:rsidR="00027B42" w:rsidRPr="00370ECD">
        <w:rPr>
          <w:rFonts w:cs="Times New Roman"/>
        </w:rPr>
        <w:t>i</w:t>
      </w:r>
      <w:r w:rsidRPr="00370ECD">
        <w:rPr>
          <w:rFonts w:cs="Times New Roman"/>
        </w:rPr>
        <w:t>ncreasing the quality of member care</w:t>
      </w:r>
    </w:p>
    <w:bookmarkEnd w:id="1"/>
    <w:p w14:paraId="3E0E2B7F" w14:textId="77777777" w:rsidR="00D808AD" w:rsidRPr="00370ECD" w:rsidRDefault="00D808AD" w:rsidP="00D808AD">
      <w:pPr>
        <w:pStyle w:val="ListParagraph"/>
        <w:numPr>
          <w:ilvl w:val="0"/>
          <w:numId w:val="24"/>
        </w:numPr>
        <w:rPr>
          <w:rFonts w:cs="Times New Roman"/>
        </w:rPr>
      </w:pPr>
      <w:r w:rsidRPr="00370ECD">
        <w:rPr>
          <w:rFonts w:cs="Times New Roman"/>
        </w:rPr>
        <w:t xml:space="preserve">Adding or improving existing health information technology infrastructure or capabilities, including use of the Mass </w:t>
      </w:r>
      <w:proofErr w:type="spellStart"/>
      <w:r w:rsidRPr="00370ECD">
        <w:rPr>
          <w:rFonts w:cs="Times New Roman"/>
        </w:rPr>
        <w:t>HIway</w:t>
      </w:r>
      <w:proofErr w:type="spellEnd"/>
    </w:p>
    <w:p w14:paraId="40A78180" w14:textId="77777777" w:rsidR="00D808AD" w:rsidRPr="00370ECD" w:rsidRDefault="00D808AD" w:rsidP="00D808AD">
      <w:pPr>
        <w:pStyle w:val="ListParagraph"/>
        <w:rPr>
          <w:rFonts w:cs="Times New Roman"/>
        </w:rPr>
      </w:pPr>
    </w:p>
    <w:p w14:paraId="751FE795" w14:textId="77777777" w:rsidR="004C741A" w:rsidRPr="00370ECD" w:rsidRDefault="00107BB4" w:rsidP="004C741A">
      <w:pPr>
        <w:rPr>
          <w:rFonts w:cs="Times New Roman"/>
          <w:u w:val="single"/>
        </w:rPr>
      </w:pPr>
      <w:r w:rsidRPr="00370ECD">
        <w:rPr>
          <w:rFonts w:cs="Times New Roman"/>
          <w:u w:val="single"/>
        </w:rPr>
        <w:t>Basis for Choosing Identified Goals:</w:t>
      </w:r>
    </w:p>
    <w:p w14:paraId="64044865" w14:textId="77777777" w:rsidR="001E68E7" w:rsidRPr="00370ECD" w:rsidRDefault="00107BB4" w:rsidP="004C741A">
      <w:pPr>
        <w:rPr>
          <w:rFonts w:cs="Times New Roman"/>
        </w:rPr>
      </w:pPr>
      <w:r w:rsidRPr="00370ECD">
        <w:rPr>
          <w:rFonts w:cs="Times New Roman"/>
        </w:rPr>
        <w:t xml:space="preserve">Reducing </w:t>
      </w:r>
      <w:r w:rsidR="00237B89" w:rsidRPr="00370ECD">
        <w:rPr>
          <w:rFonts w:cs="Times New Roman"/>
        </w:rPr>
        <w:t xml:space="preserve">total medical expenses </w:t>
      </w:r>
      <w:r w:rsidRPr="00370ECD">
        <w:rPr>
          <w:rFonts w:cs="Times New Roman"/>
        </w:rPr>
        <w:t xml:space="preserve">is critical to the financial viability of the ACO.  The ACO experienced a rapid increase in costs particularly in admissions in the first half of 2019.  As a </w:t>
      </w:r>
      <w:r w:rsidR="00F32930" w:rsidRPr="00370ECD">
        <w:rPr>
          <w:rFonts w:cs="Times New Roman"/>
        </w:rPr>
        <w:t>result,</w:t>
      </w:r>
      <w:r w:rsidRPr="00370ECD">
        <w:rPr>
          <w:rFonts w:cs="Times New Roman"/>
        </w:rPr>
        <w:t xml:space="preserve"> the total costs of </w:t>
      </w:r>
      <w:r w:rsidR="00D808AD" w:rsidRPr="00370ECD">
        <w:rPr>
          <w:rFonts w:cs="Times New Roman"/>
        </w:rPr>
        <w:t>care on a Per Member Per Month (PMPM) basis</w:t>
      </w:r>
      <w:r w:rsidR="00237B89" w:rsidRPr="00370ECD">
        <w:rPr>
          <w:rFonts w:cs="Times New Roman"/>
        </w:rPr>
        <w:t xml:space="preserve"> for</w:t>
      </w:r>
      <w:r w:rsidR="00D808AD" w:rsidRPr="00370ECD">
        <w:rPr>
          <w:rFonts w:cs="Times New Roman"/>
        </w:rPr>
        <w:t xml:space="preserve"> </w:t>
      </w:r>
      <w:r w:rsidRPr="00370ECD">
        <w:rPr>
          <w:rFonts w:cs="Times New Roman"/>
        </w:rPr>
        <w:t>the ACO r</w:t>
      </w:r>
      <w:r w:rsidR="001A515C" w:rsidRPr="00370ECD">
        <w:rPr>
          <w:rFonts w:cs="Times New Roman"/>
        </w:rPr>
        <w:t xml:space="preserve">an significantly </w:t>
      </w:r>
      <w:r w:rsidRPr="00370ECD">
        <w:rPr>
          <w:rFonts w:cs="Times New Roman"/>
        </w:rPr>
        <w:t>above 2018 results</w:t>
      </w:r>
      <w:r w:rsidR="00D808AD" w:rsidRPr="00370ECD">
        <w:rPr>
          <w:rFonts w:cs="Times New Roman"/>
        </w:rPr>
        <w:t xml:space="preserve">, particularly for the </w:t>
      </w:r>
      <w:r w:rsidR="00237B89" w:rsidRPr="00370ECD">
        <w:rPr>
          <w:rFonts w:cs="Times New Roman"/>
        </w:rPr>
        <w:t>first</w:t>
      </w:r>
      <w:r w:rsidR="00D808AD" w:rsidRPr="00370ECD">
        <w:rPr>
          <w:rFonts w:cs="Times New Roman"/>
        </w:rPr>
        <w:t xml:space="preserve"> half of the year.</w:t>
      </w:r>
    </w:p>
    <w:p w14:paraId="135A41E8" w14:textId="77777777" w:rsidR="004C741A" w:rsidRPr="00370ECD" w:rsidRDefault="001E68E7" w:rsidP="004C741A">
      <w:pPr>
        <w:rPr>
          <w:rFonts w:cs="Times New Roman"/>
        </w:rPr>
      </w:pPr>
      <w:r w:rsidRPr="00370ECD">
        <w:rPr>
          <w:rFonts w:cs="Times New Roman"/>
        </w:rPr>
        <w:t xml:space="preserve">The rise in costs was driven primarily by increased inpatient expenses.  Reducing </w:t>
      </w:r>
      <w:r w:rsidR="00027B42" w:rsidRPr="00370ECD">
        <w:rPr>
          <w:rFonts w:cs="Times New Roman"/>
        </w:rPr>
        <w:t xml:space="preserve">admissions </w:t>
      </w:r>
      <w:r w:rsidRPr="00370ECD">
        <w:rPr>
          <w:rFonts w:cs="Times New Roman"/>
        </w:rPr>
        <w:t xml:space="preserve">requires a multipronged approach. Longer term reductions require reducing the future likelihood of an initial admission by better integration of primary and physical health and providing culturally competent care to </w:t>
      </w:r>
      <w:r w:rsidRPr="00370ECD">
        <w:rPr>
          <w:rFonts w:cs="Times New Roman"/>
        </w:rPr>
        <w:lastRenderedPageBreak/>
        <w:t xml:space="preserve">patients.  Shorter term reductions involve better care coordination and discharge planning to reduce the likelihood of </w:t>
      </w:r>
      <w:r w:rsidR="00D66689" w:rsidRPr="00370ECD">
        <w:rPr>
          <w:rFonts w:cs="Times New Roman"/>
        </w:rPr>
        <w:t>readmissions.</w:t>
      </w:r>
      <w:r w:rsidR="00F32930" w:rsidRPr="00370ECD">
        <w:rPr>
          <w:rFonts w:cs="Times New Roman"/>
        </w:rPr>
        <w:t xml:space="preserve"> We believe all of our goals support the reduction of total medical expense.</w:t>
      </w:r>
    </w:p>
    <w:p w14:paraId="089F1463" w14:textId="77777777" w:rsidR="001A515C" w:rsidRPr="00370ECD" w:rsidRDefault="0068376C" w:rsidP="004C741A">
      <w:pPr>
        <w:rPr>
          <w:rFonts w:cs="Times New Roman"/>
        </w:rPr>
      </w:pPr>
      <w:r w:rsidRPr="00370ECD">
        <w:rPr>
          <w:rFonts w:cs="Times New Roman"/>
        </w:rPr>
        <w:tab/>
      </w:r>
    </w:p>
    <w:p w14:paraId="59DDC8CB" w14:textId="0AD0CC1B" w:rsidR="009654D7" w:rsidRPr="00370ECD" w:rsidRDefault="00D9444A" w:rsidP="00D9444A">
      <w:pPr>
        <w:pStyle w:val="Heading2"/>
        <w:ind w:left="0"/>
      </w:pPr>
      <w:r>
        <w:t xml:space="preserve">1.2 </w:t>
      </w:r>
      <w:r w:rsidR="005A1337" w:rsidRPr="00370ECD">
        <w:t xml:space="preserve">PY2 </w:t>
      </w:r>
      <w:r w:rsidR="00C14C85" w:rsidRPr="00370ECD">
        <w:t xml:space="preserve">Investments </w:t>
      </w:r>
      <w:r w:rsidR="003A582B" w:rsidRPr="00370ECD">
        <w:t>Overview</w:t>
      </w:r>
      <w:r w:rsidR="002C271C" w:rsidRPr="00370ECD">
        <w:t xml:space="preserve"> and Progress </w:t>
      </w:r>
      <w:r w:rsidR="00226D41" w:rsidRPr="00370ECD">
        <w:t>toward</w:t>
      </w:r>
      <w:r w:rsidR="002C271C" w:rsidRPr="00370ECD">
        <w:t xml:space="preserve"> Goals</w:t>
      </w:r>
    </w:p>
    <w:p w14:paraId="2C6D01BE" w14:textId="77777777" w:rsidR="007367B8" w:rsidRPr="00370ECD" w:rsidRDefault="007367B8" w:rsidP="007367B8">
      <w:pPr>
        <w:rPr>
          <w:rFonts w:cs="Times New Roman"/>
        </w:rPr>
      </w:pPr>
      <w:r w:rsidRPr="00370ECD">
        <w:rPr>
          <w:rFonts w:cs="Times New Roman"/>
        </w:rPr>
        <w:t xml:space="preserve">Programmatic Strategy: Our vision is to deliver integrated, person-centered care at the right time, right place, and at the right level of intensity using best practices. To this end, </w:t>
      </w:r>
      <w:proofErr w:type="spellStart"/>
      <w:r w:rsidRPr="00370ECD">
        <w:rPr>
          <w:rFonts w:cs="Times New Roman"/>
        </w:rPr>
        <w:t>Wellforce</w:t>
      </w:r>
      <w:proofErr w:type="spellEnd"/>
      <w:r w:rsidRPr="00370ECD">
        <w:rPr>
          <w:rFonts w:cs="Times New Roman"/>
        </w:rPr>
        <w:t xml:space="preserve"> and Fallon Health have developed several priorities that guide our use of DSRIP funds and our alignment with EOHHS’ goals for Delivery System: </w:t>
      </w:r>
      <w:r w:rsidR="0043717B" w:rsidRPr="00370ECD">
        <w:rPr>
          <w:rFonts w:cs="Times New Roman"/>
        </w:rPr>
        <w:t xml:space="preserve">  Our funding priorities are indicated below:</w:t>
      </w:r>
    </w:p>
    <w:p w14:paraId="6CE8A25F" w14:textId="77777777" w:rsidR="007367B8" w:rsidRPr="00370ECD" w:rsidRDefault="007367B8" w:rsidP="007367B8">
      <w:pPr>
        <w:rPr>
          <w:rFonts w:cs="Times New Roman"/>
        </w:rPr>
      </w:pPr>
      <w:r w:rsidRPr="00370ECD">
        <w:rPr>
          <w:rFonts w:cs="Times New Roman"/>
        </w:rPr>
        <w:t xml:space="preserve">• Priority 1: Develop high-value, integrated provider partnerships that address Members’ medical, behavioral and psychosocial needs in a person-centered, culturally and linguistically appropriate manner.  </w:t>
      </w:r>
    </w:p>
    <w:p w14:paraId="33AA1A3D" w14:textId="77777777" w:rsidR="007367B8" w:rsidRPr="00370ECD" w:rsidRDefault="007367B8" w:rsidP="007367B8">
      <w:pPr>
        <w:rPr>
          <w:rFonts w:cs="Times New Roman"/>
        </w:rPr>
      </w:pPr>
      <w:r w:rsidRPr="00370ECD">
        <w:rPr>
          <w:rFonts w:cs="Times New Roman"/>
        </w:rPr>
        <w:t xml:space="preserve">• Priority 2: Increase BH/LTSS integration through partnerships with PCPs, Community Partners (CPs) and Care Management staff.  </w:t>
      </w:r>
    </w:p>
    <w:p w14:paraId="1FBD563A" w14:textId="77777777" w:rsidR="007367B8" w:rsidRPr="00370ECD" w:rsidRDefault="007367B8" w:rsidP="007367B8">
      <w:pPr>
        <w:rPr>
          <w:rFonts w:cs="Times New Roman"/>
        </w:rPr>
      </w:pPr>
      <w:r w:rsidRPr="00370ECD">
        <w:rPr>
          <w:rFonts w:cs="Times New Roman"/>
        </w:rPr>
        <w:t>• Priority 3: Fund “flexible services” that address social determinants of health.</w:t>
      </w:r>
    </w:p>
    <w:p w14:paraId="3DA1AE29" w14:textId="77777777" w:rsidR="007367B8" w:rsidRPr="00370ECD" w:rsidRDefault="007367B8" w:rsidP="007367B8">
      <w:pPr>
        <w:rPr>
          <w:rFonts w:cs="Times New Roman"/>
        </w:rPr>
      </w:pPr>
      <w:r w:rsidRPr="00370ECD">
        <w:rPr>
          <w:rFonts w:cs="Times New Roman"/>
        </w:rPr>
        <w:t xml:space="preserve">• Priority 4: Build a foundation to expand our role in accountable care delivery.  </w:t>
      </w:r>
    </w:p>
    <w:p w14:paraId="7EA3327B" w14:textId="77777777" w:rsidR="007367B8" w:rsidRPr="00370ECD" w:rsidRDefault="007367B8" w:rsidP="007367B8">
      <w:pPr>
        <w:rPr>
          <w:rFonts w:cs="Times New Roman"/>
        </w:rPr>
      </w:pPr>
      <w:r w:rsidRPr="00370ECD">
        <w:rPr>
          <w:rFonts w:cs="Times New Roman"/>
        </w:rPr>
        <w:t>• Priority 5: Materially improve Member experience and relationships with PCPs.</w:t>
      </w:r>
    </w:p>
    <w:p w14:paraId="55D4A5D9" w14:textId="77777777" w:rsidR="00C14C85" w:rsidRPr="00370ECD" w:rsidRDefault="007367B8" w:rsidP="007367B8">
      <w:pPr>
        <w:rPr>
          <w:rFonts w:cs="Times New Roman"/>
        </w:rPr>
      </w:pPr>
      <w:r w:rsidRPr="00370ECD">
        <w:rPr>
          <w:rFonts w:cs="Times New Roman"/>
        </w:rPr>
        <w:t xml:space="preserve">ACO Approach to Population Health Management, Provider Accountability, Total Cost of Care Management, Path to Sustainability:  </w:t>
      </w:r>
      <w:proofErr w:type="spellStart"/>
      <w:r w:rsidRPr="00370ECD">
        <w:rPr>
          <w:rFonts w:cs="Times New Roman"/>
        </w:rPr>
        <w:t>Wellforce</w:t>
      </w:r>
      <w:proofErr w:type="spellEnd"/>
      <w:r w:rsidRPr="00370ECD">
        <w:rPr>
          <w:rFonts w:cs="Times New Roman"/>
        </w:rPr>
        <w:t xml:space="preserve"> uses a population health management tool and care management platform to monitor and manage the entire membership and to identify areas at the </w:t>
      </w:r>
      <w:proofErr w:type="spellStart"/>
      <w:r w:rsidRPr="00370ECD">
        <w:rPr>
          <w:rFonts w:cs="Times New Roman"/>
        </w:rPr>
        <w:t>Wellforce</w:t>
      </w:r>
      <w:proofErr w:type="spellEnd"/>
      <w:r w:rsidRPr="00370ECD">
        <w:rPr>
          <w:rFonts w:cs="Times New Roman"/>
        </w:rPr>
        <w:t xml:space="preserve">, hospital, regional, practice, and clinician levels that can be improved through intervention. </w:t>
      </w:r>
      <w:proofErr w:type="spellStart"/>
      <w:r w:rsidRPr="00370ECD">
        <w:rPr>
          <w:rFonts w:cs="Times New Roman"/>
        </w:rPr>
        <w:t>Wellforce’s</w:t>
      </w:r>
      <w:proofErr w:type="spellEnd"/>
      <w:r w:rsidRPr="00370ECD">
        <w:rPr>
          <w:rFonts w:cs="Times New Roman"/>
        </w:rPr>
        <w:t xml:space="preserve"> effective targeting and intervention strategy is comprehensive: the strategy is built on a primary care foundation that utilizes care management teams, community partners, and patient-centered programs with a focal point of the strategy designed to decrease unnecessary ED and inpatient utilization. This approach was designed to bend the cost curve and set the ACO on the path to financial sustainability after grant funding tapers down and eventually expires.</w:t>
      </w:r>
    </w:p>
    <w:p w14:paraId="59EB57C3" w14:textId="77777777" w:rsidR="007A5696" w:rsidRPr="00370ECD" w:rsidRDefault="007A5696" w:rsidP="007367B8">
      <w:pPr>
        <w:rPr>
          <w:rFonts w:cs="Times New Roman"/>
        </w:rPr>
      </w:pPr>
      <w:r w:rsidRPr="00370ECD">
        <w:rPr>
          <w:rFonts w:cs="Times New Roman"/>
        </w:rPr>
        <w:t>Example 1:</w:t>
      </w:r>
    </w:p>
    <w:p w14:paraId="3492BD31" w14:textId="77777777" w:rsidR="007A5696" w:rsidRPr="00370ECD" w:rsidRDefault="007A5696" w:rsidP="007A5696">
      <w:pPr>
        <w:numPr>
          <w:ilvl w:val="0"/>
          <w:numId w:val="13"/>
        </w:numPr>
        <w:spacing w:after="120"/>
        <w:contextualSpacing/>
        <w:rPr>
          <w:rFonts w:cs="Times New Roman"/>
          <w:b/>
        </w:rPr>
      </w:pPr>
      <w:bookmarkStart w:id="2" w:name="_Hlk42163215"/>
      <w:r w:rsidRPr="00370ECD">
        <w:rPr>
          <w:rFonts w:cs="Times New Roman"/>
          <w:b/>
        </w:rPr>
        <w:t xml:space="preserve">Investment Identifier and Specific Investment or Program: </w:t>
      </w:r>
      <w:r w:rsidRPr="00370ECD">
        <w:rPr>
          <w:rFonts w:cs="Times New Roman"/>
        </w:rPr>
        <w:t>S/O D: 409 -- Clinical Integration</w:t>
      </w:r>
      <w:r w:rsidR="00653B21" w:rsidRPr="00370ECD">
        <w:rPr>
          <w:rFonts w:cs="Times New Roman"/>
        </w:rPr>
        <w:t xml:space="preserve"> and </w:t>
      </w:r>
      <w:r w:rsidRPr="00370ECD">
        <w:rPr>
          <w:rFonts w:cs="Times New Roman"/>
        </w:rPr>
        <w:t>Clinical Integration</w:t>
      </w:r>
      <w:r w:rsidR="00565C60" w:rsidRPr="00370ECD">
        <w:rPr>
          <w:rFonts w:cs="Times New Roman"/>
        </w:rPr>
        <w:t xml:space="preserve"> and S/O D: 407 (partial funding)</w:t>
      </w:r>
    </w:p>
    <w:p w14:paraId="7C70C31C" w14:textId="77777777" w:rsidR="00334A2D" w:rsidRPr="00370ECD" w:rsidRDefault="007A5696" w:rsidP="00334A2D">
      <w:pPr>
        <w:numPr>
          <w:ilvl w:val="1"/>
          <w:numId w:val="13"/>
        </w:numPr>
        <w:spacing w:after="120"/>
        <w:contextualSpacing/>
        <w:rPr>
          <w:rFonts w:cs="Times New Roman"/>
        </w:rPr>
      </w:pPr>
      <w:r w:rsidRPr="00370ECD">
        <w:rPr>
          <w:rFonts w:cs="Times New Roman"/>
          <w:b/>
        </w:rPr>
        <w:t>Investment Description:</w:t>
      </w:r>
      <w:r w:rsidRPr="00370ECD">
        <w:rPr>
          <w:rFonts w:cs="Times New Roman"/>
        </w:rPr>
        <w:t xml:space="preserve"> </w:t>
      </w:r>
      <w:r w:rsidR="00EB5E42" w:rsidRPr="00370ECD">
        <w:rPr>
          <w:rFonts w:cs="Times New Roman"/>
        </w:rPr>
        <w:t>The</w:t>
      </w:r>
      <w:r w:rsidRPr="00370ECD">
        <w:rPr>
          <w:rFonts w:cs="Times New Roman"/>
        </w:rPr>
        <w:t xml:space="preserve"> Lowell </w:t>
      </w:r>
      <w:r w:rsidR="00EB5E42" w:rsidRPr="00370ECD">
        <w:rPr>
          <w:rFonts w:cs="Times New Roman"/>
        </w:rPr>
        <w:t>Community Health Center (</w:t>
      </w:r>
      <w:r w:rsidRPr="00370ECD">
        <w:rPr>
          <w:rFonts w:cs="Times New Roman"/>
        </w:rPr>
        <w:t>CHC</w:t>
      </w:r>
      <w:r w:rsidR="00EB5E42" w:rsidRPr="00370ECD">
        <w:rPr>
          <w:rFonts w:cs="Times New Roman"/>
        </w:rPr>
        <w:t>)</w:t>
      </w:r>
      <w:r w:rsidRPr="00370ECD">
        <w:rPr>
          <w:rFonts w:cs="Times New Roman"/>
        </w:rPr>
        <w:t xml:space="preserve"> accounts for a significant portion of the Lowell region’s membership, this resource is essential to supporting and guiding the clinical integration strategy between the Lowell CHC, PHO, community partners, and other ACO partners to optimize care for Lowell patients.</w:t>
      </w:r>
      <w:r w:rsidR="00EB5E42" w:rsidRPr="00370ECD">
        <w:rPr>
          <w:rFonts w:cs="Times New Roman"/>
        </w:rPr>
        <w:t xml:space="preserve">  Prior to Plan Year 2 the Lowell CHC and the Lowell General PHO essentially had separate models of care for the ACO, each </w:t>
      </w:r>
      <w:r w:rsidR="00653B21" w:rsidRPr="00370ECD">
        <w:rPr>
          <w:rFonts w:cs="Times New Roman"/>
        </w:rPr>
        <w:t xml:space="preserve">with </w:t>
      </w:r>
      <w:r w:rsidR="00EB5E42" w:rsidRPr="00370ECD">
        <w:rPr>
          <w:rFonts w:cs="Times New Roman"/>
        </w:rPr>
        <w:t>their own staff.</w:t>
      </w:r>
    </w:p>
    <w:p w14:paraId="0CF9FFDD" w14:textId="77777777" w:rsidR="008926D4" w:rsidRPr="00370ECD" w:rsidRDefault="00334A2D" w:rsidP="008926D4">
      <w:pPr>
        <w:numPr>
          <w:ilvl w:val="0"/>
          <w:numId w:val="13"/>
        </w:numPr>
        <w:spacing w:after="120"/>
        <w:contextualSpacing/>
        <w:rPr>
          <w:rFonts w:cs="Times New Roman"/>
        </w:rPr>
      </w:pPr>
      <w:r w:rsidRPr="00370ECD">
        <w:rPr>
          <w:rFonts w:cs="Times New Roman"/>
          <w:b/>
        </w:rPr>
        <w:t>Status:</w:t>
      </w:r>
      <w:r w:rsidR="00EB5E42" w:rsidRPr="00370ECD">
        <w:rPr>
          <w:rFonts w:cs="Times New Roman"/>
        </w:rPr>
        <w:t xml:space="preserve"> In the </w:t>
      </w:r>
      <w:proofErr w:type="spellStart"/>
      <w:r w:rsidR="00EB5E42" w:rsidRPr="00370ECD">
        <w:rPr>
          <w:rFonts w:cs="Times New Roman"/>
        </w:rPr>
        <w:t>later</w:t>
      </w:r>
      <w:proofErr w:type="spellEnd"/>
      <w:r w:rsidR="00EB5E42" w:rsidRPr="00370ECD">
        <w:rPr>
          <w:rFonts w:cs="Times New Roman"/>
        </w:rPr>
        <w:t xml:space="preserve"> </w:t>
      </w:r>
      <w:r w:rsidRPr="00370ECD">
        <w:rPr>
          <w:rFonts w:cs="Times New Roman"/>
        </w:rPr>
        <w:t xml:space="preserve">half </w:t>
      </w:r>
      <w:r w:rsidR="00EB5E42" w:rsidRPr="00370ECD">
        <w:rPr>
          <w:rFonts w:cs="Times New Roman"/>
        </w:rPr>
        <w:t xml:space="preserve">of 2019 we streamlined our program to </w:t>
      </w:r>
      <w:r w:rsidR="00E57F56" w:rsidRPr="00370ECD">
        <w:rPr>
          <w:rFonts w:cs="Times New Roman"/>
        </w:rPr>
        <w:t>create one Model of Care in the Lowell region with a</w:t>
      </w:r>
      <w:r w:rsidR="00653B21" w:rsidRPr="00370ECD">
        <w:rPr>
          <w:rFonts w:cs="Times New Roman"/>
        </w:rPr>
        <w:t>n initial</w:t>
      </w:r>
      <w:r w:rsidR="00E57F56" w:rsidRPr="00370ECD">
        <w:rPr>
          <w:rFonts w:cs="Times New Roman"/>
        </w:rPr>
        <w:t xml:space="preserve"> focus </w:t>
      </w:r>
      <w:r w:rsidR="00653B21" w:rsidRPr="00370ECD">
        <w:rPr>
          <w:rFonts w:cs="Times New Roman"/>
        </w:rPr>
        <w:t xml:space="preserve">on </w:t>
      </w:r>
      <w:r w:rsidRPr="00370ECD">
        <w:rPr>
          <w:rFonts w:cs="Times New Roman"/>
        </w:rPr>
        <w:t>coordinating care for</w:t>
      </w:r>
      <w:r w:rsidR="00E57F56" w:rsidRPr="00370ECD">
        <w:rPr>
          <w:rFonts w:cs="Times New Roman"/>
        </w:rPr>
        <w:t xml:space="preserve"> adult</w:t>
      </w:r>
      <w:r w:rsidRPr="00370ECD">
        <w:rPr>
          <w:rFonts w:cs="Times New Roman"/>
        </w:rPr>
        <w:t xml:space="preserve"> members where we were experiencing h</w:t>
      </w:r>
      <w:r w:rsidR="00653B21" w:rsidRPr="00370ECD">
        <w:rPr>
          <w:rFonts w:cs="Times New Roman"/>
        </w:rPr>
        <w:t xml:space="preserve">igher than expected </w:t>
      </w:r>
      <w:r w:rsidRPr="00370ECD">
        <w:rPr>
          <w:rFonts w:cs="Times New Roman"/>
        </w:rPr>
        <w:t>claims.</w:t>
      </w:r>
      <w:r w:rsidR="00E57F56" w:rsidRPr="00370ECD">
        <w:rPr>
          <w:rFonts w:cs="Times New Roman"/>
        </w:rPr>
        <w:t xml:space="preserve"> </w:t>
      </w:r>
    </w:p>
    <w:p w14:paraId="6DD969F8" w14:textId="77777777" w:rsidR="0068376C" w:rsidRPr="00370ECD" w:rsidRDefault="0068376C" w:rsidP="00334A2D">
      <w:pPr>
        <w:pStyle w:val="ListParagraph"/>
        <w:numPr>
          <w:ilvl w:val="0"/>
          <w:numId w:val="28"/>
        </w:numPr>
        <w:ind w:left="720"/>
        <w:rPr>
          <w:rFonts w:cs="Times New Roman"/>
          <w:b/>
        </w:rPr>
      </w:pPr>
      <w:r w:rsidRPr="00370ECD">
        <w:rPr>
          <w:rFonts w:cs="Times New Roman"/>
          <w:b/>
        </w:rPr>
        <w:t>Target Goals</w:t>
      </w:r>
    </w:p>
    <w:p w14:paraId="48C34122" w14:textId="77777777" w:rsidR="0068376C" w:rsidRPr="00370ECD" w:rsidRDefault="0068376C" w:rsidP="00334A2D">
      <w:pPr>
        <w:pStyle w:val="ListParagraph"/>
        <w:numPr>
          <w:ilvl w:val="0"/>
          <w:numId w:val="24"/>
        </w:numPr>
        <w:ind w:left="1080"/>
        <w:rPr>
          <w:rFonts w:cs="Times New Roman"/>
        </w:rPr>
      </w:pPr>
      <w:r w:rsidRPr="00370ECD">
        <w:rPr>
          <w:rFonts w:cs="Times New Roman"/>
        </w:rPr>
        <w:lastRenderedPageBreak/>
        <w:t>Reducing avoidable costs of care, including avoidable inpatient admissions and readmissions</w:t>
      </w:r>
    </w:p>
    <w:p w14:paraId="05A6A0E1" w14:textId="77777777" w:rsidR="0068376C" w:rsidRPr="00370ECD" w:rsidRDefault="0068376C" w:rsidP="008926D4">
      <w:pPr>
        <w:pStyle w:val="ListParagraph"/>
        <w:numPr>
          <w:ilvl w:val="0"/>
          <w:numId w:val="24"/>
        </w:numPr>
        <w:ind w:left="1080"/>
        <w:rPr>
          <w:rFonts w:cs="Times New Roman"/>
        </w:rPr>
      </w:pPr>
      <w:r w:rsidRPr="00370ECD">
        <w:rPr>
          <w:rFonts w:cs="Times New Roman"/>
        </w:rPr>
        <w:t>Increasing the quality of member care and integrating physical health, behavioral health, long-term services and supports, health-related social services, and overall member care</w:t>
      </w:r>
      <w:bookmarkEnd w:id="2"/>
    </w:p>
    <w:p w14:paraId="64767DF3" w14:textId="77777777" w:rsidR="008926D4" w:rsidRPr="00370ECD" w:rsidRDefault="008926D4" w:rsidP="008926D4">
      <w:pPr>
        <w:rPr>
          <w:rFonts w:cs="Times New Roman"/>
        </w:rPr>
      </w:pPr>
      <w:r w:rsidRPr="00370ECD">
        <w:rPr>
          <w:rFonts w:cs="Times New Roman"/>
        </w:rPr>
        <w:t>Example 2:</w:t>
      </w:r>
    </w:p>
    <w:p w14:paraId="30CAC58B" w14:textId="77777777" w:rsidR="00565C60" w:rsidRPr="00370ECD" w:rsidRDefault="00565C60" w:rsidP="00565C60">
      <w:pPr>
        <w:numPr>
          <w:ilvl w:val="0"/>
          <w:numId w:val="13"/>
        </w:numPr>
        <w:spacing w:after="120"/>
        <w:contextualSpacing/>
        <w:rPr>
          <w:rFonts w:cs="Times New Roman"/>
          <w:b/>
        </w:rPr>
      </w:pPr>
      <w:r w:rsidRPr="00370ECD">
        <w:rPr>
          <w:rFonts w:cs="Times New Roman"/>
          <w:b/>
        </w:rPr>
        <w:t xml:space="preserve">Investment Identifier and Specific Investment or Program: </w:t>
      </w:r>
      <w:r w:rsidRPr="00370ECD">
        <w:rPr>
          <w:rFonts w:cs="Times New Roman"/>
        </w:rPr>
        <w:t>S/O D: 429 -- Health Information Technology: Health Information Technology</w:t>
      </w:r>
    </w:p>
    <w:p w14:paraId="6E093F68" w14:textId="77777777" w:rsidR="00334A2D" w:rsidRPr="00370ECD" w:rsidRDefault="00565C60" w:rsidP="008926D4">
      <w:pPr>
        <w:numPr>
          <w:ilvl w:val="1"/>
          <w:numId w:val="13"/>
        </w:numPr>
        <w:spacing w:after="120"/>
        <w:contextualSpacing/>
        <w:rPr>
          <w:rFonts w:cs="Times New Roman"/>
        </w:rPr>
      </w:pPr>
      <w:r w:rsidRPr="00370ECD">
        <w:rPr>
          <w:rFonts w:cs="Times New Roman"/>
          <w:b/>
        </w:rPr>
        <w:t>Investment Description:</w:t>
      </w:r>
      <w:r w:rsidRPr="00370ECD">
        <w:rPr>
          <w:rFonts w:cs="Times New Roman"/>
        </w:rPr>
        <w:t xml:space="preserve"> </w:t>
      </w:r>
      <w:proofErr w:type="spellStart"/>
      <w:r w:rsidRPr="00370ECD">
        <w:rPr>
          <w:rFonts w:cs="Times New Roman"/>
        </w:rPr>
        <w:t>Wellforce</w:t>
      </w:r>
      <w:proofErr w:type="spellEnd"/>
      <w:r w:rsidR="008926D4" w:rsidRPr="00370ECD">
        <w:rPr>
          <w:rFonts w:cs="Times New Roman"/>
        </w:rPr>
        <w:t xml:space="preserve"> extended its current </w:t>
      </w:r>
      <w:r w:rsidRPr="00370ECD">
        <w:rPr>
          <w:rFonts w:cs="Times New Roman"/>
        </w:rPr>
        <w:t xml:space="preserve">Patient Ping contract to include ACO members so care teams </w:t>
      </w:r>
      <w:r w:rsidR="008926D4" w:rsidRPr="00370ECD">
        <w:rPr>
          <w:rFonts w:cs="Times New Roman"/>
        </w:rPr>
        <w:t>can be</w:t>
      </w:r>
      <w:r w:rsidRPr="00370ECD">
        <w:rPr>
          <w:rFonts w:cs="Times New Roman"/>
        </w:rPr>
        <w:t xml:space="preserve"> notified when patients present at facilities across the state. This </w:t>
      </w:r>
      <w:r w:rsidR="008926D4" w:rsidRPr="00370ECD">
        <w:rPr>
          <w:rFonts w:cs="Times New Roman"/>
        </w:rPr>
        <w:t xml:space="preserve">funding also </w:t>
      </w:r>
      <w:r w:rsidRPr="00370ECD">
        <w:rPr>
          <w:rFonts w:cs="Times New Roman"/>
        </w:rPr>
        <w:t>include</w:t>
      </w:r>
      <w:r w:rsidR="008926D4" w:rsidRPr="00370ECD">
        <w:rPr>
          <w:rFonts w:cs="Times New Roman"/>
        </w:rPr>
        <w:t xml:space="preserve">d </w:t>
      </w:r>
      <w:r w:rsidRPr="00370ECD">
        <w:rPr>
          <w:rFonts w:cs="Times New Roman"/>
        </w:rPr>
        <w:t xml:space="preserve">working with Patient Ping to expand </w:t>
      </w:r>
      <w:r w:rsidR="008926D4" w:rsidRPr="00370ECD">
        <w:rPr>
          <w:rFonts w:cs="Times New Roman"/>
        </w:rPr>
        <w:t xml:space="preserve">the </w:t>
      </w:r>
      <w:r w:rsidRPr="00370ECD">
        <w:rPr>
          <w:rFonts w:cs="Times New Roman"/>
        </w:rPr>
        <w:t xml:space="preserve">network of facilities using Patient Ping.  </w:t>
      </w:r>
    </w:p>
    <w:p w14:paraId="73D277C8" w14:textId="77777777" w:rsidR="00565C60" w:rsidRPr="00370ECD" w:rsidRDefault="00334A2D" w:rsidP="00334A2D">
      <w:pPr>
        <w:numPr>
          <w:ilvl w:val="0"/>
          <w:numId w:val="13"/>
        </w:numPr>
        <w:spacing w:after="120"/>
        <w:contextualSpacing/>
        <w:rPr>
          <w:rFonts w:cs="Times New Roman"/>
        </w:rPr>
      </w:pPr>
      <w:r w:rsidRPr="00370ECD">
        <w:rPr>
          <w:rFonts w:cs="Times New Roman"/>
          <w:b/>
        </w:rPr>
        <w:t xml:space="preserve">Status: </w:t>
      </w:r>
      <w:r w:rsidR="00565C60" w:rsidRPr="00370ECD">
        <w:rPr>
          <w:rFonts w:cs="Times New Roman"/>
        </w:rPr>
        <w:t xml:space="preserve">Patient Ping </w:t>
      </w:r>
      <w:r w:rsidRPr="00370ECD">
        <w:rPr>
          <w:rFonts w:cs="Times New Roman"/>
        </w:rPr>
        <w:t xml:space="preserve">along with Collective Medical </w:t>
      </w:r>
      <w:r w:rsidR="00565C60" w:rsidRPr="00370ECD">
        <w:rPr>
          <w:rFonts w:cs="Times New Roman"/>
        </w:rPr>
        <w:t xml:space="preserve">is </w:t>
      </w:r>
      <w:r w:rsidR="008926D4" w:rsidRPr="00370ECD">
        <w:rPr>
          <w:rFonts w:cs="Times New Roman"/>
        </w:rPr>
        <w:t>now</w:t>
      </w:r>
      <w:r w:rsidR="00565C60" w:rsidRPr="00370ECD">
        <w:rPr>
          <w:rFonts w:cs="Times New Roman"/>
        </w:rPr>
        <w:t xml:space="preserve"> used across </w:t>
      </w:r>
      <w:proofErr w:type="spellStart"/>
      <w:r w:rsidR="00565C60" w:rsidRPr="00370ECD">
        <w:rPr>
          <w:rFonts w:cs="Times New Roman"/>
        </w:rPr>
        <w:t>Wellforce</w:t>
      </w:r>
      <w:proofErr w:type="spellEnd"/>
      <w:r w:rsidR="00565C60" w:rsidRPr="00370ECD">
        <w:rPr>
          <w:rFonts w:cs="Times New Roman"/>
        </w:rPr>
        <w:t xml:space="preserve"> to receive notifications when patients are admitted, discharged or transferred from acute care facilities as well as post-acute facilities</w:t>
      </w:r>
      <w:r w:rsidR="008926D4" w:rsidRPr="00370ECD">
        <w:rPr>
          <w:rFonts w:cs="Times New Roman"/>
        </w:rPr>
        <w:t xml:space="preserve"> While a majority of care is delivered within the ACO, </w:t>
      </w:r>
      <w:r w:rsidRPr="00370ECD">
        <w:rPr>
          <w:rFonts w:cs="Times New Roman"/>
        </w:rPr>
        <w:t>these platforms</w:t>
      </w:r>
      <w:r w:rsidR="008926D4" w:rsidRPr="00370ECD">
        <w:rPr>
          <w:rFonts w:cs="Times New Roman"/>
        </w:rPr>
        <w:t xml:space="preserve"> allow timelier notification for care outside of </w:t>
      </w:r>
      <w:proofErr w:type="spellStart"/>
      <w:r w:rsidR="008926D4" w:rsidRPr="00370ECD">
        <w:rPr>
          <w:rFonts w:cs="Times New Roman"/>
        </w:rPr>
        <w:t>Wellforce</w:t>
      </w:r>
      <w:proofErr w:type="spellEnd"/>
      <w:r w:rsidR="008926D4" w:rsidRPr="00370ECD">
        <w:rPr>
          <w:rFonts w:cs="Times New Roman"/>
        </w:rPr>
        <w:t xml:space="preserve"> providers.</w:t>
      </w:r>
    </w:p>
    <w:p w14:paraId="6C4A2F5C" w14:textId="77777777" w:rsidR="0068376C" w:rsidRPr="00370ECD" w:rsidRDefault="0068376C" w:rsidP="00D643D1">
      <w:pPr>
        <w:pStyle w:val="ListParagraph"/>
        <w:numPr>
          <w:ilvl w:val="0"/>
          <w:numId w:val="24"/>
        </w:numPr>
        <w:rPr>
          <w:rFonts w:cs="Times New Roman"/>
        </w:rPr>
      </w:pPr>
      <w:r w:rsidRPr="00370ECD">
        <w:rPr>
          <w:rFonts w:cs="Times New Roman"/>
          <w:b/>
        </w:rPr>
        <w:t xml:space="preserve">Target Goals: </w:t>
      </w:r>
      <w:r w:rsidRPr="00370ECD">
        <w:rPr>
          <w:rFonts w:cs="Times New Roman"/>
        </w:rPr>
        <w:t>Integrating physical health, behavioral health, long-term services and supports, health-related social services, and overall member car</w:t>
      </w:r>
      <w:r w:rsidR="00D643D1" w:rsidRPr="00370ECD">
        <w:rPr>
          <w:rFonts w:cs="Times New Roman"/>
        </w:rPr>
        <w:t>e.</w:t>
      </w:r>
    </w:p>
    <w:p w14:paraId="7507D86D" w14:textId="77777777" w:rsidR="008B7119" w:rsidRPr="00370ECD" w:rsidRDefault="008B7119" w:rsidP="008B7119">
      <w:pPr>
        <w:spacing w:after="120"/>
        <w:contextualSpacing/>
        <w:rPr>
          <w:rFonts w:cs="Times New Roman"/>
        </w:rPr>
      </w:pPr>
      <w:r w:rsidRPr="00370ECD">
        <w:rPr>
          <w:rFonts w:cs="Times New Roman"/>
        </w:rPr>
        <w:t>Example 3:</w:t>
      </w:r>
    </w:p>
    <w:p w14:paraId="4906BF1D" w14:textId="77777777" w:rsidR="008B7119" w:rsidRPr="00370ECD" w:rsidRDefault="008B7119" w:rsidP="008B7119">
      <w:pPr>
        <w:numPr>
          <w:ilvl w:val="0"/>
          <w:numId w:val="13"/>
        </w:numPr>
        <w:spacing w:after="120"/>
        <w:contextualSpacing/>
        <w:rPr>
          <w:rFonts w:cs="Times New Roman"/>
          <w:b/>
        </w:rPr>
      </w:pPr>
      <w:r w:rsidRPr="00370ECD">
        <w:rPr>
          <w:rFonts w:cs="Times New Roman"/>
          <w:b/>
        </w:rPr>
        <w:t xml:space="preserve">Investment Identifier and Specific Investment or Program: </w:t>
      </w:r>
      <w:r w:rsidRPr="00370ECD">
        <w:rPr>
          <w:rFonts w:cs="Times New Roman"/>
        </w:rPr>
        <w:t>S/O D: 417 -- Clinical Integration, Referral Management</w:t>
      </w:r>
    </w:p>
    <w:p w14:paraId="22DE9C92" w14:textId="77777777" w:rsidR="00334A2D" w:rsidRPr="00370ECD" w:rsidRDefault="008B7119" w:rsidP="008B7119">
      <w:pPr>
        <w:numPr>
          <w:ilvl w:val="1"/>
          <w:numId w:val="13"/>
        </w:numPr>
        <w:spacing w:after="120"/>
        <w:contextualSpacing/>
        <w:rPr>
          <w:rFonts w:cs="Times New Roman"/>
        </w:rPr>
      </w:pPr>
      <w:r w:rsidRPr="00370ECD">
        <w:rPr>
          <w:rFonts w:cs="Times New Roman"/>
          <w:b/>
        </w:rPr>
        <w:t>Investment Description:</w:t>
      </w:r>
      <w:r w:rsidRPr="00370ECD">
        <w:rPr>
          <w:rFonts w:cs="Times New Roman"/>
        </w:rPr>
        <w:t xml:space="preserve"> </w:t>
      </w:r>
      <w:proofErr w:type="spellStart"/>
      <w:r w:rsidRPr="00370ECD">
        <w:rPr>
          <w:rFonts w:cs="Times New Roman"/>
        </w:rPr>
        <w:t>Wellforce</w:t>
      </w:r>
      <w:proofErr w:type="spellEnd"/>
      <w:r w:rsidRPr="00370ECD">
        <w:rPr>
          <w:rFonts w:cs="Times New Roman"/>
        </w:rPr>
        <w:t xml:space="preserve"> ACO invested in a Referral Management program to assist practices with access to appropriate provider referrals as needed.  This investment supported the development of high-value, integrated provider partnerships and improved member experience by promoting access to services within the Medicaid ACO. </w:t>
      </w:r>
    </w:p>
    <w:p w14:paraId="51294921" w14:textId="77777777" w:rsidR="008B7119" w:rsidRPr="00370ECD" w:rsidRDefault="00334A2D" w:rsidP="00334A2D">
      <w:pPr>
        <w:numPr>
          <w:ilvl w:val="0"/>
          <w:numId w:val="13"/>
        </w:numPr>
        <w:spacing w:after="120"/>
        <w:contextualSpacing/>
        <w:rPr>
          <w:rFonts w:cs="Times New Roman"/>
        </w:rPr>
      </w:pPr>
      <w:r w:rsidRPr="00370ECD">
        <w:rPr>
          <w:rFonts w:cs="Times New Roman"/>
          <w:b/>
        </w:rPr>
        <w:t>Status:</w:t>
      </w:r>
      <w:r w:rsidR="008B7119" w:rsidRPr="00370ECD">
        <w:rPr>
          <w:rFonts w:cs="Times New Roman"/>
        </w:rPr>
        <w:t xml:space="preserve"> In 2019 approximately 73% of all facility care (based on reimbursed services) was provided by one of the three hospitals that founded the ACO. This allows for a significant improvement in care coordination. </w:t>
      </w:r>
    </w:p>
    <w:p w14:paraId="37E76AC1" w14:textId="77777777" w:rsidR="0068376C" w:rsidRPr="00370ECD" w:rsidRDefault="00D651A1" w:rsidP="0068376C">
      <w:pPr>
        <w:pStyle w:val="ListParagraph"/>
        <w:numPr>
          <w:ilvl w:val="0"/>
          <w:numId w:val="24"/>
        </w:numPr>
        <w:rPr>
          <w:rFonts w:cs="Times New Roman"/>
        </w:rPr>
      </w:pPr>
      <w:r w:rsidRPr="00370ECD">
        <w:rPr>
          <w:rFonts w:cs="Times New Roman"/>
          <w:b/>
        </w:rPr>
        <w:t xml:space="preserve">Target </w:t>
      </w:r>
      <w:r w:rsidR="0068376C" w:rsidRPr="00370ECD">
        <w:rPr>
          <w:rFonts w:cs="Times New Roman"/>
          <w:b/>
        </w:rPr>
        <w:t>Goal:</w:t>
      </w:r>
      <w:r w:rsidR="0068376C" w:rsidRPr="00370ECD">
        <w:rPr>
          <w:rFonts w:cs="Times New Roman"/>
        </w:rPr>
        <w:t xml:space="preserve"> Integrating physical health, behavioral health, long-term services and supports, health-related social services, and overall member care</w:t>
      </w:r>
    </w:p>
    <w:p w14:paraId="43F739F1" w14:textId="77777777" w:rsidR="0068376C" w:rsidRPr="00370ECD" w:rsidRDefault="0068376C" w:rsidP="0068376C">
      <w:pPr>
        <w:spacing w:after="120"/>
        <w:ind w:left="1440"/>
        <w:contextualSpacing/>
        <w:rPr>
          <w:rFonts w:cs="Times New Roman"/>
        </w:rPr>
      </w:pPr>
    </w:p>
    <w:p w14:paraId="7E76A57E" w14:textId="77777777" w:rsidR="008B7119" w:rsidRPr="00370ECD" w:rsidRDefault="00D651A1" w:rsidP="008B7119">
      <w:pPr>
        <w:spacing w:after="120"/>
        <w:contextualSpacing/>
        <w:rPr>
          <w:rFonts w:cs="Times New Roman"/>
        </w:rPr>
      </w:pPr>
      <w:r w:rsidRPr="00370ECD">
        <w:rPr>
          <w:rFonts w:cs="Times New Roman"/>
        </w:rPr>
        <w:t>Example 4:</w:t>
      </w:r>
    </w:p>
    <w:p w14:paraId="28B7D5E6" w14:textId="77777777" w:rsidR="00D651A1" w:rsidRPr="00370ECD" w:rsidRDefault="00D651A1" w:rsidP="00D651A1">
      <w:pPr>
        <w:numPr>
          <w:ilvl w:val="0"/>
          <w:numId w:val="13"/>
        </w:numPr>
        <w:spacing w:after="120"/>
        <w:contextualSpacing/>
        <w:rPr>
          <w:rFonts w:cs="Times New Roman"/>
        </w:rPr>
      </w:pPr>
      <w:bookmarkStart w:id="3" w:name="_Hlk42164719"/>
      <w:r w:rsidRPr="00370ECD">
        <w:rPr>
          <w:rFonts w:cs="Times New Roman"/>
          <w:b/>
        </w:rPr>
        <w:t xml:space="preserve">Investment Identifier and Specific Investment or Program: </w:t>
      </w:r>
      <w:r w:rsidRPr="00370ECD">
        <w:rPr>
          <w:rFonts w:cs="Times New Roman"/>
        </w:rPr>
        <w:t xml:space="preserve">S/O D: 407 </w:t>
      </w:r>
      <w:r w:rsidR="00334A2D" w:rsidRPr="00370ECD">
        <w:rPr>
          <w:rFonts w:cs="Times New Roman"/>
        </w:rPr>
        <w:t xml:space="preserve">and S/O PC: 401 </w:t>
      </w:r>
      <w:r w:rsidRPr="00370ECD">
        <w:rPr>
          <w:rFonts w:cs="Times New Roman"/>
        </w:rPr>
        <w:t>Care Coordination &amp; Care Management: Regional Care Team</w:t>
      </w:r>
    </w:p>
    <w:p w14:paraId="2F95AD9A" w14:textId="77777777" w:rsidR="0034043A" w:rsidRPr="00370ECD" w:rsidRDefault="00D651A1" w:rsidP="0026481B">
      <w:pPr>
        <w:numPr>
          <w:ilvl w:val="1"/>
          <w:numId w:val="13"/>
        </w:numPr>
        <w:spacing w:after="120"/>
        <w:contextualSpacing/>
        <w:rPr>
          <w:rFonts w:cs="Times New Roman"/>
        </w:rPr>
      </w:pPr>
      <w:r w:rsidRPr="00370ECD">
        <w:rPr>
          <w:rFonts w:cs="Times New Roman"/>
          <w:b/>
        </w:rPr>
        <w:t>Investment Description:</w:t>
      </w:r>
      <w:r w:rsidRPr="00370ECD">
        <w:rPr>
          <w:rFonts w:cs="Times New Roman"/>
        </w:rPr>
        <w:t xml:space="preserve"> ACO </w:t>
      </w:r>
      <w:r w:rsidR="0026481B" w:rsidRPr="00370ECD">
        <w:rPr>
          <w:rFonts w:cs="Times New Roman"/>
        </w:rPr>
        <w:t xml:space="preserve">has invested in </w:t>
      </w:r>
      <w:r w:rsidRPr="00370ECD">
        <w:rPr>
          <w:rFonts w:cs="Times New Roman"/>
        </w:rPr>
        <w:t>regional care teams for NEQCA, Hallmark, Tufts MC, Lowell PHO and Lowell CHC to support the Model of Care. The regional care team</w:t>
      </w:r>
      <w:r w:rsidR="0026481B" w:rsidRPr="00370ECD">
        <w:rPr>
          <w:rFonts w:cs="Times New Roman"/>
        </w:rPr>
        <w:t xml:space="preserve">s </w:t>
      </w:r>
      <w:r w:rsidRPr="00370ECD">
        <w:rPr>
          <w:rFonts w:cs="Times New Roman"/>
        </w:rPr>
        <w:t xml:space="preserve">serve as the primary contact for PCP practices and ensure every patient with complex needs is assigned a care manager. </w:t>
      </w:r>
    </w:p>
    <w:p w14:paraId="1C31A6A5" w14:textId="77777777" w:rsidR="00D651A1" w:rsidRPr="00370ECD" w:rsidRDefault="0034043A" w:rsidP="008B7119">
      <w:pPr>
        <w:numPr>
          <w:ilvl w:val="0"/>
          <w:numId w:val="13"/>
        </w:numPr>
        <w:spacing w:after="120"/>
        <w:contextualSpacing/>
        <w:rPr>
          <w:rFonts w:cs="Times New Roman"/>
        </w:rPr>
      </w:pPr>
      <w:r w:rsidRPr="00370ECD">
        <w:rPr>
          <w:rFonts w:cs="Times New Roman"/>
          <w:b/>
        </w:rPr>
        <w:t xml:space="preserve">Status: </w:t>
      </w:r>
      <w:r w:rsidR="0026481B" w:rsidRPr="00370ECD">
        <w:rPr>
          <w:rFonts w:cs="Times New Roman"/>
        </w:rPr>
        <w:t xml:space="preserve">The care teams </w:t>
      </w:r>
      <w:r w:rsidRPr="00370ECD">
        <w:rPr>
          <w:rFonts w:cs="Times New Roman"/>
        </w:rPr>
        <w:t xml:space="preserve">have been implemented and staffed.  They </w:t>
      </w:r>
      <w:proofErr w:type="spellStart"/>
      <w:r w:rsidRPr="00370ECD">
        <w:rPr>
          <w:rFonts w:cs="Times New Roman"/>
        </w:rPr>
        <w:t>acatively</w:t>
      </w:r>
      <w:proofErr w:type="spellEnd"/>
      <w:r w:rsidRPr="00370ECD">
        <w:rPr>
          <w:rFonts w:cs="Times New Roman"/>
        </w:rPr>
        <w:t xml:space="preserve"> coordinate</w:t>
      </w:r>
      <w:r w:rsidR="00D651A1" w:rsidRPr="00370ECD">
        <w:rPr>
          <w:rFonts w:cs="Times New Roman"/>
        </w:rPr>
        <w:t xml:space="preserve"> multidisciplinary care teams, PCP </w:t>
      </w:r>
      <w:proofErr w:type="gramStart"/>
      <w:r w:rsidR="00D651A1" w:rsidRPr="00370ECD">
        <w:rPr>
          <w:rFonts w:cs="Times New Roman"/>
        </w:rPr>
        <w:t>sign-offs</w:t>
      </w:r>
      <w:proofErr w:type="gramEnd"/>
      <w:r w:rsidR="00D651A1" w:rsidRPr="00370ECD">
        <w:rPr>
          <w:rFonts w:cs="Times New Roman"/>
        </w:rPr>
        <w:t xml:space="preserve"> on care plans, and facilitate flow of information between providers, community partners, Fallon, Beacon for behavioral health, and acute and subacute partners. </w:t>
      </w:r>
      <w:r w:rsidR="0026481B" w:rsidRPr="00370ECD">
        <w:rPr>
          <w:rFonts w:cs="Times New Roman"/>
        </w:rPr>
        <w:t xml:space="preserve">They also </w:t>
      </w:r>
      <w:r w:rsidR="00D651A1" w:rsidRPr="00370ECD">
        <w:rPr>
          <w:rFonts w:cs="Times New Roman"/>
        </w:rPr>
        <w:t xml:space="preserve">assist with care plans; collaborate with PCPs; provide model </w:t>
      </w:r>
      <w:r w:rsidR="00D651A1" w:rsidRPr="00370ECD">
        <w:rPr>
          <w:rFonts w:cs="Times New Roman"/>
        </w:rPr>
        <w:lastRenderedPageBreak/>
        <w:t xml:space="preserve">development, training and modifications; coordinate BH community referrals; and document in PCP EHRs. </w:t>
      </w:r>
      <w:r w:rsidRPr="00370ECD">
        <w:rPr>
          <w:rFonts w:cs="Times New Roman"/>
        </w:rPr>
        <w:t>Members of the teams also p</w:t>
      </w:r>
      <w:r w:rsidR="00D651A1" w:rsidRPr="00370ECD">
        <w:rPr>
          <w:rFonts w:cs="Times New Roman"/>
        </w:rPr>
        <w:t xml:space="preserve">rovide health and disease education; assist with patient navigation; and assist with home visits, applications, transportation needs, and community referrals. </w:t>
      </w:r>
      <w:r w:rsidR="0026481B" w:rsidRPr="00370ECD">
        <w:rPr>
          <w:rFonts w:cs="Times New Roman"/>
        </w:rPr>
        <w:t xml:space="preserve">During the last half of 2019 after a difficult </w:t>
      </w:r>
      <w:proofErr w:type="gramStart"/>
      <w:r w:rsidR="0026481B" w:rsidRPr="00370ECD">
        <w:rPr>
          <w:rFonts w:cs="Times New Roman"/>
        </w:rPr>
        <w:t>start</w:t>
      </w:r>
      <w:proofErr w:type="gramEnd"/>
      <w:r w:rsidR="0026481B" w:rsidRPr="00370ECD">
        <w:rPr>
          <w:rFonts w:cs="Times New Roman"/>
        </w:rPr>
        <w:t xml:space="preserve"> we have seen a moderation of total medical expenses that has continued to improve in early 2020.</w:t>
      </w:r>
      <w:bookmarkEnd w:id="3"/>
    </w:p>
    <w:p w14:paraId="37D2B62C" w14:textId="77777777" w:rsidR="00D651A1" w:rsidRPr="00370ECD" w:rsidRDefault="00D651A1" w:rsidP="00D651A1">
      <w:pPr>
        <w:pStyle w:val="ListParagraph"/>
        <w:numPr>
          <w:ilvl w:val="0"/>
          <w:numId w:val="24"/>
        </w:numPr>
        <w:rPr>
          <w:rFonts w:cs="Times New Roman"/>
        </w:rPr>
      </w:pPr>
      <w:r w:rsidRPr="00370ECD">
        <w:rPr>
          <w:rFonts w:cs="Times New Roman"/>
          <w:b/>
        </w:rPr>
        <w:t>Target Goals</w:t>
      </w:r>
      <w:r w:rsidRPr="00370ECD">
        <w:rPr>
          <w:rFonts w:cs="Times New Roman"/>
        </w:rPr>
        <w:t>: Integrating physical health, behavioral health, long-term services and supports, health-related social services, and overall member care</w:t>
      </w:r>
    </w:p>
    <w:p w14:paraId="29A39299" w14:textId="77777777" w:rsidR="00D651A1" w:rsidRPr="00370ECD" w:rsidRDefault="00D651A1" w:rsidP="00D651A1">
      <w:pPr>
        <w:pStyle w:val="ListParagraph"/>
        <w:numPr>
          <w:ilvl w:val="1"/>
          <w:numId w:val="29"/>
        </w:numPr>
        <w:rPr>
          <w:rFonts w:cs="Times New Roman"/>
        </w:rPr>
      </w:pPr>
      <w:r w:rsidRPr="00370ECD">
        <w:rPr>
          <w:rFonts w:cs="Times New Roman"/>
        </w:rPr>
        <w:t>Increasing the member-centeredness and member experience of care</w:t>
      </w:r>
    </w:p>
    <w:p w14:paraId="033BBE8B" w14:textId="77777777" w:rsidR="00D651A1" w:rsidRPr="00370ECD" w:rsidRDefault="00D651A1" w:rsidP="00D651A1">
      <w:pPr>
        <w:pStyle w:val="ListParagraph"/>
        <w:numPr>
          <w:ilvl w:val="1"/>
          <w:numId w:val="29"/>
        </w:numPr>
        <w:rPr>
          <w:rFonts w:cs="Times New Roman"/>
        </w:rPr>
      </w:pPr>
      <w:r w:rsidRPr="00370ECD">
        <w:rPr>
          <w:rFonts w:cs="Times New Roman"/>
        </w:rPr>
        <w:t>Increasing member access to culturally and linguistically appropriate services and to medical and diagnostic equipment that is accessible to members with disabilities</w:t>
      </w:r>
    </w:p>
    <w:p w14:paraId="26098E80" w14:textId="77777777" w:rsidR="00D651A1" w:rsidRPr="00370ECD" w:rsidRDefault="00D651A1" w:rsidP="0026481B">
      <w:pPr>
        <w:pStyle w:val="ListParagraph"/>
        <w:numPr>
          <w:ilvl w:val="1"/>
          <w:numId w:val="29"/>
        </w:numPr>
        <w:rPr>
          <w:rFonts w:cs="Times New Roman"/>
        </w:rPr>
      </w:pPr>
      <w:r w:rsidRPr="00370ECD">
        <w:rPr>
          <w:rFonts w:cs="Times New Roman"/>
        </w:rPr>
        <w:t xml:space="preserve">Reducing avoidable costs of care, including avoidable inpatient admissions and readmissions, </w:t>
      </w:r>
      <w:r w:rsidR="00653B21" w:rsidRPr="00370ECD">
        <w:rPr>
          <w:rFonts w:cs="Times New Roman"/>
        </w:rPr>
        <w:t>i</w:t>
      </w:r>
      <w:r w:rsidRPr="00370ECD">
        <w:rPr>
          <w:rFonts w:cs="Times New Roman"/>
        </w:rPr>
        <w:t>ncreasing the quality of member care</w:t>
      </w:r>
    </w:p>
    <w:p w14:paraId="57AC7A3A" w14:textId="21D5D91C" w:rsidR="00C14C85" w:rsidRPr="00370ECD" w:rsidRDefault="00D9444A" w:rsidP="00D9444A">
      <w:pPr>
        <w:pStyle w:val="Heading2"/>
        <w:ind w:left="0"/>
      </w:pPr>
      <w:r>
        <w:t xml:space="preserve">1.3 </w:t>
      </w:r>
      <w:r w:rsidR="00C14C85" w:rsidRPr="00370ECD">
        <w:t>Success and Challenges of PY</w:t>
      </w:r>
      <w:r w:rsidR="00703FF2" w:rsidRPr="00370ECD">
        <w:t>2</w:t>
      </w:r>
    </w:p>
    <w:p w14:paraId="0ED9D69E" w14:textId="77777777" w:rsidR="00EF27D7" w:rsidRPr="00370ECD" w:rsidRDefault="00EF27D7" w:rsidP="00EF27D7">
      <w:pPr>
        <w:rPr>
          <w:rFonts w:cs="Times New Roman"/>
        </w:rPr>
      </w:pPr>
      <w:r w:rsidRPr="00370ECD">
        <w:rPr>
          <w:rFonts w:cs="Times New Roman"/>
        </w:rPr>
        <w:t>Success Example 1:</w:t>
      </w:r>
    </w:p>
    <w:p w14:paraId="560B332E" w14:textId="77777777" w:rsidR="00EF27D7" w:rsidRPr="00370ECD" w:rsidRDefault="00EF27D7" w:rsidP="00EF27D7">
      <w:pPr>
        <w:numPr>
          <w:ilvl w:val="0"/>
          <w:numId w:val="13"/>
        </w:numPr>
        <w:spacing w:after="120"/>
        <w:contextualSpacing/>
        <w:rPr>
          <w:rFonts w:cs="Times New Roman"/>
          <w:b/>
        </w:rPr>
      </w:pPr>
      <w:r w:rsidRPr="00370ECD">
        <w:rPr>
          <w:rFonts w:cs="Times New Roman"/>
          <w:b/>
        </w:rPr>
        <w:t xml:space="preserve">Investment Identifier and Specific Investment or Program: </w:t>
      </w:r>
      <w:r w:rsidRPr="00370ECD">
        <w:rPr>
          <w:rFonts w:cs="Times New Roman"/>
        </w:rPr>
        <w:t>S/O D: 409 -- Clinical Integration: Clinical Integration and S/O D: 407 (partial funding)</w:t>
      </w:r>
    </w:p>
    <w:p w14:paraId="06B74601" w14:textId="77777777" w:rsidR="00EF27D7" w:rsidRPr="00370ECD" w:rsidRDefault="00EF27D7" w:rsidP="00EF27D7">
      <w:pPr>
        <w:numPr>
          <w:ilvl w:val="1"/>
          <w:numId w:val="13"/>
        </w:numPr>
        <w:spacing w:after="120"/>
        <w:contextualSpacing/>
        <w:rPr>
          <w:rFonts w:cs="Times New Roman"/>
        </w:rPr>
      </w:pPr>
      <w:r w:rsidRPr="00370ECD">
        <w:rPr>
          <w:rFonts w:cs="Times New Roman"/>
        </w:rPr>
        <w:t xml:space="preserve">Prior to Plan Year 2 the Lowell CHC and the Lowell General PHO essentially had separate models of care for the ACO, each their own staff. In the later </w:t>
      </w:r>
      <w:proofErr w:type="gramStart"/>
      <w:r w:rsidRPr="00370ECD">
        <w:rPr>
          <w:rFonts w:cs="Times New Roman"/>
        </w:rPr>
        <w:t>part of 2019</w:t>
      </w:r>
      <w:proofErr w:type="gramEnd"/>
      <w:r w:rsidRPr="00370ECD">
        <w:rPr>
          <w:rFonts w:cs="Times New Roman"/>
        </w:rPr>
        <w:t xml:space="preserve"> we streamlined our program to create one Model of Care in the Lowell region with a focus on adults.  Both the CHC and Lowell General PHO saw positive results (displayed below).</w:t>
      </w:r>
    </w:p>
    <w:p w14:paraId="4005431E" w14:textId="77777777" w:rsidR="00EF27D7" w:rsidRPr="00370ECD" w:rsidRDefault="00EF27D7" w:rsidP="00EF27D7">
      <w:pPr>
        <w:rPr>
          <w:rFonts w:cs="Times New Roman"/>
        </w:rPr>
      </w:pPr>
    </w:p>
    <w:p w14:paraId="24ECBCED" w14:textId="77777777" w:rsidR="00EF27D7" w:rsidRPr="00370ECD" w:rsidRDefault="00EF27D7" w:rsidP="00EF27D7">
      <w:pPr>
        <w:rPr>
          <w:rFonts w:cs="Times New Roman"/>
        </w:rPr>
      </w:pPr>
      <w:r w:rsidRPr="00370ECD">
        <w:rPr>
          <w:rFonts w:cs="Times New Roman"/>
          <w:noProof/>
        </w:rPr>
        <w:drawing>
          <wp:inline distT="0" distB="0" distL="0" distR="0" wp14:anchorId="077D2D8A" wp14:editId="3395FA09">
            <wp:extent cx="5838809" cy="2619375"/>
            <wp:effectExtent l="0" t="0" r="0" b="0"/>
            <wp:docPr id="5" name="Picture 5" descr="Graph of Lowell General PHO Adults number of ER Avoidable Visits per 1,000 from 2018 to 2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Graph of Lowell General PHO Adults number of ER Avoidable Visits per 1,000 from 2018 to 202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850681" cy="2624701"/>
                    </a:xfrm>
                    <a:prstGeom prst="rect">
                      <a:avLst/>
                    </a:prstGeom>
                    <a:noFill/>
                  </pic:spPr>
                </pic:pic>
              </a:graphicData>
            </a:graphic>
          </wp:inline>
        </w:drawing>
      </w:r>
    </w:p>
    <w:p w14:paraId="2918A093" w14:textId="77777777" w:rsidR="00EF27D7" w:rsidRPr="00370ECD" w:rsidRDefault="00EF27D7" w:rsidP="00EF27D7">
      <w:pPr>
        <w:rPr>
          <w:rFonts w:cs="Times New Roman"/>
          <w:noProof/>
        </w:rPr>
      </w:pPr>
    </w:p>
    <w:p w14:paraId="30D4DE07" w14:textId="77777777" w:rsidR="0029710B" w:rsidRPr="00370ECD" w:rsidRDefault="00EF27D7" w:rsidP="00C14C85">
      <w:pPr>
        <w:rPr>
          <w:rFonts w:cs="Times New Roman"/>
        </w:rPr>
      </w:pPr>
      <w:r w:rsidRPr="00370ECD">
        <w:rPr>
          <w:rFonts w:cs="Times New Roman"/>
          <w:noProof/>
        </w:rPr>
        <w:lastRenderedPageBreak/>
        <w:drawing>
          <wp:inline distT="0" distB="0" distL="0" distR="0" wp14:anchorId="492324BB" wp14:editId="416A85B5">
            <wp:extent cx="5871845" cy="2396285"/>
            <wp:effectExtent l="0" t="0" r="0" b="4445"/>
            <wp:docPr id="7" name="Picture 7" descr="Graph of Lowell Community Health Center PHO Adults number of ER Avoidable Visits per 1,000 from 2018 to 2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Graph of Lowell Community Health Center PHO Adults number of ER Avoidable Visits per 1,000 from 2018 to 2020"/>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04718" cy="2409700"/>
                    </a:xfrm>
                    <a:prstGeom prst="rect">
                      <a:avLst/>
                    </a:prstGeom>
                    <a:noFill/>
                  </pic:spPr>
                </pic:pic>
              </a:graphicData>
            </a:graphic>
          </wp:inline>
        </w:drawing>
      </w:r>
    </w:p>
    <w:p w14:paraId="715675FA" w14:textId="77777777" w:rsidR="00C14C85" w:rsidRPr="00370ECD" w:rsidRDefault="00EF27D7" w:rsidP="00C14C85">
      <w:pPr>
        <w:rPr>
          <w:rFonts w:cs="Times New Roman"/>
        </w:rPr>
      </w:pPr>
      <w:r w:rsidRPr="00370ECD">
        <w:rPr>
          <w:rFonts w:cs="Times New Roman"/>
        </w:rPr>
        <w:t>Success Example 2:</w:t>
      </w:r>
    </w:p>
    <w:p w14:paraId="1CF8E3F2" w14:textId="77777777" w:rsidR="00334A2D" w:rsidRPr="00370ECD" w:rsidRDefault="00334A2D" w:rsidP="00334A2D">
      <w:pPr>
        <w:numPr>
          <w:ilvl w:val="0"/>
          <w:numId w:val="13"/>
        </w:numPr>
        <w:spacing w:after="120"/>
        <w:contextualSpacing/>
        <w:rPr>
          <w:rFonts w:cs="Times New Roman"/>
        </w:rPr>
      </w:pPr>
      <w:r w:rsidRPr="00370ECD">
        <w:rPr>
          <w:rFonts w:cs="Times New Roman"/>
          <w:b/>
        </w:rPr>
        <w:t xml:space="preserve">Investment Identifier and Specific Investment or Program: </w:t>
      </w:r>
      <w:r w:rsidRPr="00370ECD">
        <w:rPr>
          <w:rFonts w:cs="Times New Roman"/>
        </w:rPr>
        <w:t>S/O D: 407 and S/O PC: 401 Care Coordination &amp; Care Management: Regional Care Team</w:t>
      </w:r>
    </w:p>
    <w:p w14:paraId="134D7297" w14:textId="77777777" w:rsidR="00334A2D" w:rsidRPr="00370ECD" w:rsidRDefault="0034043A" w:rsidP="00334A2D">
      <w:pPr>
        <w:numPr>
          <w:ilvl w:val="1"/>
          <w:numId w:val="13"/>
        </w:numPr>
        <w:spacing w:after="120"/>
        <w:contextualSpacing/>
        <w:rPr>
          <w:rFonts w:cs="Times New Roman"/>
        </w:rPr>
      </w:pPr>
      <w:r w:rsidRPr="00370ECD">
        <w:rPr>
          <w:rFonts w:cs="Times New Roman"/>
        </w:rPr>
        <w:t xml:space="preserve">The </w:t>
      </w:r>
      <w:r w:rsidR="00334A2D" w:rsidRPr="00370ECD">
        <w:rPr>
          <w:rFonts w:cs="Times New Roman"/>
        </w:rPr>
        <w:t xml:space="preserve">ACO has invested in regional care teams for NEQCA, Hallmark, Tufts MC, Lowell PHO and Lowell CHC to support the Model of Care. The regional care teams serve as the primary contact for PCP practices and ensure every patient with complex needs is assigned a care manager. The care teams also assemble multidisciplinary care teams, coordinate PCP </w:t>
      </w:r>
      <w:proofErr w:type="gramStart"/>
      <w:r w:rsidR="00334A2D" w:rsidRPr="00370ECD">
        <w:rPr>
          <w:rFonts w:cs="Times New Roman"/>
        </w:rPr>
        <w:t>sign-offs</w:t>
      </w:r>
      <w:proofErr w:type="gramEnd"/>
      <w:r w:rsidR="00334A2D" w:rsidRPr="00370ECD">
        <w:rPr>
          <w:rFonts w:cs="Times New Roman"/>
        </w:rPr>
        <w:t xml:space="preserve"> on care plans, and facilitate flow of information between providers, community partners, Fallon, Beacon for behavioral health, and acute and subacute partners. They also assist with care plans; collaborate with PCPs; provide model development, training and modifications; coordinate BH community referrals; and document in PCP EHRs. Provide health and disease education; assist with patient navigation; and assist with home visits, applications, transportation needs, and community referrals. Administrative oversight is provided to ensure that teams are properly resourced and effective in their goals. During the last half of 2019 after a difficult </w:t>
      </w:r>
      <w:proofErr w:type="gramStart"/>
      <w:r w:rsidR="00334A2D" w:rsidRPr="00370ECD">
        <w:rPr>
          <w:rFonts w:cs="Times New Roman"/>
        </w:rPr>
        <w:t>start</w:t>
      </w:r>
      <w:proofErr w:type="gramEnd"/>
      <w:r w:rsidR="00334A2D" w:rsidRPr="00370ECD">
        <w:rPr>
          <w:rFonts w:cs="Times New Roman"/>
        </w:rPr>
        <w:t xml:space="preserve"> we have seen a moderation of total medical expenses that has continued to improve in early 2020.</w:t>
      </w:r>
    </w:p>
    <w:p w14:paraId="1D31BCC3" w14:textId="77777777" w:rsidR="00EF27D7" w:rsidRPr="00370ECD" w:rsidRDefault="00EF27D7" w:rsidP="00C14C85">
      <w:pPr>
        <w:rPr>
          <w:rFonts w:cs="Times New Roman"/>
        </w:rPr>
      </w:pPr>
    </w:p>
    <w:p w14:paraId="18233745" w14:textId="77777777" w:rsidR="00C14C85" w:rsidRPr="00370ECD" w:rsidRDefault="00D66689" w:rsidP="00C14C85">
      <w:pPr>
        <w:rPr>
          <w:rFonts w:cs="Times New Roman"/>
        </w:rPr>
      </w:pPr>
      <w:r w:rsidRPr="00370ECD">
        <w:rPr>
          <w:rFonts w:cs="Times New Roman"/>
          <w:noProof/>
        </w:rPr>
        <w:lastRenderedPageBreak/>
        <w:drawing>
          <wp:inline distT="0" distB="0" distL="0" distR="0" wp14:anchorId="134B66D5" wp14:editId="47C470A3">
            <wp:extent cx="5943600" cy="3016885"/>
            <wp:effectExtent l="0" t="0" r="0" b="0"/>
            <wp:docPr id="1" name="Picture 1" descr="Graph of Total Wellforce Med/Surg Admits per 1,000 from 2018 to 2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 of Total Wellforce Med/Surg Admits per 1,000 from 2018 to 2020."/>
                    <pic:cNvPicPr/>
                  </pic:nvPicPr>
                  <pic:blipFill>
                    <a:blip r:embed="rId10"/>
                    <a:stretch>
                      <a:fillRect/>
                    </a:stretch>
                  </pic:blipFill>
                  <pic:spPr>
                    <a:xfrm>
                      <a:off x="0" y="0"/>
                      <a:ext cx="5943600" cy="3016885"/>
                    </a:xfrm>
                    <a:prstGeom prst="rect">
                      <a:avLst/>
                    </a:prstGeom>
                  </pic:spPr>
                </pic:pic>
              </a:graphicData>
            </a:graphic>
          </wp:inline>
        </w:drawing>
      </w:r>
    </w:p>
    <w:p w14:paraId="1A0C0EE9" w14:textId="77777777" w:rsidR="00E1159A" w:rsidRPr="00D9444A" w:rsidRDefault="00E1159A" w:rsidP="00D9444A"/>
    <w:p w14:paraId="5BA4C700" w14:textId="77777777" w:rsidR="00D643D1" w:rsidRPr="00370ECD" w:rsidRDefault="00D643D1" w:rsidP="00D9444A">
      <w:pPr>
        <w:rPr>
          <w:b/>
        </w:rPr>
      </w:pPr>
      <w:r w:rsidRPr="00370ECD">
        <w:t>Challenges:</w:t>
      </w:r>
    </w:p>
    <w:p w14:paraId="5B733A58" w14:textId="77777777" w:rsidR="003A5244" w:rsidRPr="00370ECD" w:rsidRDefault="00D643D1" w:rsidP="00D9444A">
      <w:pPr>
        <w:rPr>
          <w:b/>
        </w:rPr>
      </w:pPr>
      <w:r w:rsidRPr="00370ECD">
        <w:t xml:space="preserve">The most significant challenges in 2019 centered on refining the Model of Care.  </w:t>
      </w:r>
      <w:proofErr w:type="spellStart"/>
      <w:r w:rsidRPr="00370ECD">
        <w:t>Wellforce</w:t>
      </w:r>
      <w:proofErr w:type="spellEnd"/>
      <w:r w:rsidRPr="00370ECD">
        <w:t xml:space="preserve"> Care Plan is a relatively new entity.  Prior the ACO program patients were serviced by a number of different managed care plans as well as the state Primary Care Clinician program.  Since the provider system uses multiple EMRs a full data set of the ACO membership was elusive.  After the first year of </w:t>
      </w:r>
      <w:proofErr w:type="gramStart"/>
      <w:r w:rsidRPr="00370ECD">
        <w:t>experience</w:t>
      </w:r>
      <w:proofErr w:type="gramEnd"/>
      <w:r w:rsidRPr="00370ECD">
        <w:t xml:space="preserve"> we realized our model was not focused enough on “emerging risks”.  Rethinking how we stratify risk has been a key part of 2019 and has resulted in necessary changes.</w:t>
      </w:r>
    </w:p>
    <w:p w14:paraId="6E9218A9" w14:textId="77777777" w:rsidR="003A5244" w:rsidRPr="00D9444A" w:rsidRDefault="003A5244" w:rsidP="00D9444A"/>
    <w:p w14:paraId="19FED365" w14:textId="1DC3503F" w:rsidR="00714326" w:rsidRPr="00AA05E4" w:rsidRDefault="003A5244" w:rsidP="00D9444A">
      <w:pPr>
        <w:rPr>
          <w:b/>
        </w:rPr>
      </w:pPr>
      <w:r w:rsidRPr="00370ECD">
        <w:t xml:space="preserve">An additional challenge has been the launch of the Community </w:t>
      </w:r>
      <w:r w:rsidR="00720FEA" w:rsidRPr="00370ECD">
        <w:t>Partners (</w:t>
      </w:r>
      <w:r w:rsidRPr="00370ECD">
        <w:t>CP) program.  While we believe this program can have a meaningful impact on our patients the number of CPs</w:t>
      </w:r>
      <w:r w:rsidR="00720FEA" w:rsidRPr="00370ECD">
        <w:t>, lack of standardization, and differing views of responsibilities has hampered progress.  As a result, many of the members that should be managed by CPs are still receiving a great deal of coordination by our care teams.</w:t>
      </w:r>
    </w:p>
    <w:sectPr w:rsidR="00714326" w:rsidRPr="00AA05E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32A562C" w14:textId="77777777" w:rsidR="00F4524B" w:rsidRDefault="00F4524B" w:rsidP="00437431">
      <w:pPr>
        <w:spacing w:after="0" w:line="240" w:lineRule="auto"/>
      </w:pPr>
      <w:r>
        <w:separator/>
      </w:r>
    </w:p>
  </w:endnote>
  <w:endnote w:type="continuationSeparator" w:id="0">
    <w:p w14:paraId="31278511" w14:textId="77777777" w:rsidR="00F4524B" w:rsidRDefault="00F4524B" w:rsidP="004374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591896E" w14:textId="77777777" w:rsidR="00F4524B" w:rsidRDefault="00F4524B" w:rsidP="00437431">
      <w:pPr>
        <w:spacing w:after="0" w:line="240" w:lineRule="auto"/>
      </w:pPr>
      <w:r>
        <w:separator/>
      </w:r>
    </w:p>
  </w:footnote>
  <w:footnote w:type="continuationSeparator" w:id="0">
    <w:p w14:paraId="288D3421" w14:textId="77777777" w:rsidR="00F4524B" w:rsidRDefault="00F4524B" w:rsidP="0043743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347F51"/>
    <w:multiLevelType w:val="hybridMultilevel"/>
    <w:tmpl w:val="0F7A27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AA50C7"/>
    <w:multiLevelType w:val="hybridMultilevel"/>
    <w:tmpl w:val="4E047F34"/>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A9B17C0"/>
    <w:multiLevelType w:val="hybridMultilevel"/>
    <w:tmpl w:val="955C894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D704072"/>
    <w:multiLevelType w:val="hybridMultilevel"/>
    <w:tmpl w:val="363C14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2763FB"/>
    <w:multiLevelType w:val="hybridMultilevel"/>
    <w:tmpl w:val="DF42A69E"/>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3">
      <w:start w:val="1"/>
      <w:numFmt w:val="bullet"/>
      <w:lvlText w:val="o"/>
      <w:lvlJc w:val="left"/>
      <w:pPr>
        <w:ind w:left="2520" w:hanging="360"/>
      </w:pPr>
      <w:rPr>
        <w:rFonts w:ascii="Courier New" w:hAnsi="Courier New" w:cs="Courier New"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243479B"/>
    <w:multiLevelType w:val="hybridMultilevel"/>
    <w:tmpl w:val="940860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C271A7"/>
    <w:multiLevelType w:val="hybridMultilevel"/>
    <w:tmpl w:val="CB4A8B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63345BF"/>
    <w:multiLevelType w:val="hybridMultilevel"/>
    <w:tmpl w:val="C944CF6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9C55528"/>
    <w:multiLevelType w:val="hybridMultilevel"/>
    <w:tmpl w:val="3A2E5CB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BA40B1D4">
      <w:start w:val="1"/>
      <w:numFmt w:val="lowerRoman"/>
      <w:lvlText w:val="%3."/>
      <w:lvlJc w:val="right"/>
      <w:pPr>
        <w:ind w:left="2160" w:hanging="180"/>
      </w:pPr>
      <w:rPr>
        <w:b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9DE1353"/>
    <w:multiLevelType w:val="hybridMultilevel"/>
    <w:tmpl w:val="3BFC82B0"/>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1EAB3BE7"/>
    <w:multiLevelType w:val="hybridMultilevel"/>
    <w:tmpl w:val="9A52A7D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237560D"/>
    <w:multiLevelType w:val="hybridMultilevel"/>
    <w:tmpl w:val="2EA288D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3">
      <w:start w:val="1"/>
      <w:numFmt w:val="bullet"/>
      <w:lvlText w:val="o"/>
      <w:lvlJc w:val="left"/>
      <w:pPr>
        <w:ind w:left="1800" w:hanging="360"/>
      </w:pPr>
      <w:rPr>
        <w:rFonts w:ascii="Courier New" w:hAnsi="Courier New" w:cs="Courier New"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46D2DF1"/>
    <w:multiLevelType w:val="hybridMultilevel"/>
    <w:tmpl w:val="687CDAB4"/>
    <w:lvl w:ilvl="0" w:tplc="6BC25FC2">
      <w:numFmt w:val="bullet"/>
      <w:lvlText w:val="•"/>
      <w:lvlJc w:val="left"/>
      <w:pPr>
        <w:ind w:left="720" w:hanging="360"/>
      </w:pPr>
      <w:rPr>
        <w:rFonts w:ascii="Times New Roman" w:eastAsiaTheme="minorHAnsi" w:hAnsi="Times New Roman" w:cs="Times New Roman" w:hint="default"/>
      </w:rPr>
    </w:lvl>
    <w:lvl w:ilvl="1" w:tplc="6BC25FC2">
      <w:numFmt w:val="bullet"/>
      <w:lvlText w:val="•"/>
      <w:lvlJc w:val="left"/>
      <w:pPr>
        <w:ind w:left="1440" w:hanging="360"/>
      </w:pPr>
      <w:rPr>
        <w:rFonts w:ascii="Times New Roman" w:eastAsiaTheme="minorHAnsi"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7837B98"/>
    <w:multiLevelType w:val="multilevel"/>
    <w:tmpl w:val="36C48EF4"/>
    <w:lvl w:ilvl="0">
      <w:start w:val="1"/>
      <w:numFmt w:val="decimal"/>
      <w:suff w:val="space"/>
      <w:lvlText w:val="Part %1."/>
      <w:lvlJc w:val="left"/>
      <w:pPr>
        <w:ind w:left="360" w:hanging="360"/>
      </w:pPr>
      <w:rPr>
        <w:rFonts w:ascii="Times New Roman" w:hAnsi="Times New Roman"/>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suff w:val="space"/>
      <w:lvlText w:val="%1.%2 "/>
      <w:lvlJc w:val="left"/>
      <w:pPr>
        <w:ind w:left="360" w:hanging="360"/>
      </w:pPr>
      <w:rPr>
        <w:rFonts w:hint="default"/>
      </w:rPr>
    </w:lvl>
    <w:lvl w:ilvl="2">
      <w:start w:val="1"/>
      <w:numFmt w:val="decimal"/>
      <w:pStyle w:val="Heading3"/>
      <w:lvlText w:val="%1.%2.%3"/>
      <w:lvlJc w:val="left"/>
      <w:pPr>
        <w:ind w:left="360" w:hanging="360"/>
      </w:pPr>
      <w:rPr>
        <w:rFonts w:hint="default"/>
      </w:rPr>
    </w:lvl>
    <w:lvl w:ilvl="3">
      <w:start w:val="1"/>
      <w:numFmt w:val="decimal"/>
      <w:pStyle w:val="Heading4"/>
      <w:lvlText w:val="%1.%2.%3.%4"/>
      <w:lvlJc w:val="left"/>
      <w:pPr>
        <w:ind w:left="360" w:hanging="360"/>
      </w:pPr>
      <w:rPr>
        <w:rFonts w:hint="default"/>
      </w:rPr>
    </w:lvl>
    <w:lvl w:ilvl="4">
      <w:start w:val="1"/>
      <w:numFmt w:val="lowerLetter"/>
      <w:lvlText w:val="(%5)"/>
      <w:lvlJc w:val="left"/>
      <w:pPr>
        <w:ind w:left="360" w:hanging="360"/>
      </w:pPr>
      <w:rPr>
        <w:rFonts w:hint="default"/>
      </w:rPr>
    </w:lvl>
    <w:lvl w:ilvl="5">
      <w:start w:val="1"/>
      <w:numFmt w:val="lowerRoman"/>
      <w:lvlText w:val="(%6)"/>
      <w:lvlJc w:val="left"/>
      <w:pPr>
        <w:ind w:left="360" w:hanging="360"/>
      </w:pPr>
      <w:rPr>
        <w:rFonts w:hint="default"/>
      </w:rPr>
    </w:lvl>
    <w:lvl w:ilvl="6">
      <w:start w:val="1"/>
      <w:numFmt w:val="decimal"/>
      <w:lvlText w:val="%7."/>
      <w:lvlJc w:val="left"/>
      <w:pPr>
        <w:ind w:left="360" w:hanging="360"/>
      </w:pPr>
      <w:rPr>
        <w:rFonts w:hint="default"/>
      </w:rPr>
    </w:lvl>
    <w:lvl w:ilvl="7">
      <w:start w:val="1"/>
      <w:numFmt w:val="lowerLetter"/>
      <w:lvlText w:val="%8."/>
      <w:lvlJc w:val="left"/>
      <w:pPr>
        <w:ind w:left="360" w:hanging="360"/>
      </w:pPr>
      <w:rPr>
        <w:rFonts w:hint="default"/>
      </w:rPr>
    </w:lvl>
    <w:lvl w:ilvl="8">
      <w:start w:val="1"/>
      <w:numFmt w:val="lowerRoman"/>
      <w:lvlText w:val="%9."/>
      <w:lvlJc w:val="left"/>
      <w:pPr>
        <w:ind w:left="360" w:hanging="360"/>
      </w:pPr>
      <w:rPr>
        <w:rFonts w:hint="default"/>
      </w:rPr>
    </w:lvl>
  </w:abstractNum>
  <w:abstractNum w:abstractNumId="14" w15:restartNumberingAfterBreak="0">
    <w:nsid w:val="2D930FEA"/>
    <w:multiLevelType w:val="multilevel"/>
    <w:tmpl w:val="D3E812DE"/>
    <w:lvl w:ilvl="0">
      <w:start w:val="1"/>
      <w:numFmt w:val="decimal"/>
      <w:lvlText w:val="Section %1.  "/>
      <w:lvlJc w:val="left"/>
      <w:pPr>
        <w:ind w:left="360" w:hanging="360"/>
      </w:pPr>
      <w:rPr>
        <w:b/>
        <w:bCs w:val="0"/>
        <w:i w:val="0"/>
        <w:iCs w:val="0"/>
        <w:caps w:val="0"/>
        <w:smallCaps w:val="0"/>
        <w:strike w:val="0"/>
        <w:dstrike w:val="0"/>
        <w:noProof w:val="0"/>
        <w:vanish w:val="0"/>
        <w:color w:val="244061" w:themeColor="accent1" w:themeShade="8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suff w:val="space"/>
      <w:lvlText w:val="%1.%2"/>
      <w:lvlJc w:val="left"/>
      <w:pPr>
        <w:ind w:left="189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189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31C03CE8"/>
    <w:multiLevelType w:val="hybridMultilevel"/>
    <w:tmpl w:val="8C10BA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E724C3B"/>
    <w:multiLevelType w:val="hybridMultilevel"/>
    <w:tmpl w:val="151085FA"/>
    <w:lvl w:ilvl="0" w:tplc="6BC25FC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04273DB"/>
    <w:multiLevelType w:val="hybridMultilevel"/>
    <w:tmpl w:val="B1D47DB8"/>
    <w:lvl w:ilvl="0" w:tplc="6BC25FC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0A122C3"/>
    <w:multiLevelType w:val="multilevel"/>
    <w:tmpl w:val="7C2C0D1E"/>
    <w:lvl w:ilvl="0">
      <w:start w:val="1"/>
      <w:numFmt w:val="decimal"/>
      <w:lvlText w:val="%1.0"/>
      <w:lvlJc w:val="left"/>
      <w:pPr>
        <w:ind w:left="1800" w:hanging="360"/>
      </w:pPr>
      <w:rPr>
        <w:rFonts w:hint="default"/>
      </w:rPr>
    </w:lvl>
    <w:lvl w:ilvl="1">
      <w:start w:val="1"/>
      <w:numFmt w:val="decimal"/>
      <w:lvlText w:val="%1.%2"/>
      <w:lvlJc w:val="left"/>
      <w:pPr>
        <w:ind w:left="252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432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120" w:hanging="1080"/>
      </w:pPr>
      <w:rPr>
        <w:rFonts w:hint="default"/>
      </w:rPr>
    </w:lvl>
    <w:lvl w:ilvl="6">
      <w:start w:val="1"/>
      <w:numFmt w:val="decimal"/>
      <w:lvlText w:val="%1.%2.%3.%4.%5.%6.%7"/>
      <w:lvlJc w:val="left"/>
      <w:pPr>
        <w:ind w:left="7200" w:hanging="1440"/>
      </w:pPr>
      <w:rPr>
        <w:rFonts w:hint="default"/>
      </w:rPr>
    </w:lvl>
    <w:lvl w:ilvl="7">
      <w:start w:val="1"/>
      <w:numFmt w:val="decimal"/>
      <w:lvlText w:val="%1.%2.%3.%4.%5.%6.%7.%8"/>
      <w:lvlJc w:val="left"/>
      <w:pPr>
        <w:ind w:left="7920" w:hanging="1440"/>
      </w:pPr>
      <w:rPr>
        <w:rFonts w:hint="default"/>
      </w:rPr>
    </w:lvl>
    <w:lvl w:ilvl="8">
      <w:start w:val="1"/>
      <w:numFmt w:val="decimal"/>
      <w:lvlText w:val="%1.%2.%3.%4.%5.%6.%7.%8.%9"/>
      <w:lvlJc w:val="left"/>
      <w:pPr>
        <w:ind w:left="8640" w:hanging="1440"/>
      </w:pPr>
      <w:rPr>
        <w:rFonts w:hint="default"/>
      </w:rPr>
    </w:lvl>
  </w:abstractNum>
  <w:abstractNum w:abstractNumId="19" w15:restartNumberingAfterBreak="0">
    <w:nsid w:val="4D3660E8"/>
    <w:multiLevelType w:val="hybridMultilevel"/>
    <w:tmpl w:val="E1F2B6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4341990"/>
    <w:multiLevelType w:val="hybridMultilevel"/>
    <w:tmpl w:val="BC521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5002B8C"/>
    <w:multiLevelType w:val="hybridMultilevel"/>
    <w:tmpl w:val="88A0DE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69E2EDA"/>
    <w:multiLevelType w:val="hybridMultilevel"/>
    <w:tmpl w:val="1C343D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9A14693"/>
    <w:multiLevelType w:val="hybridMultilevel"/>
    <w:tmpl w:val="1EE830DE"/>
    <w:lvl w:ilvl="0" w:tplc="B6AA156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1EB3FDD"/>
    <w:multiLevelType w:val="hybridMultilevel"/>
    <w:tmpl w:val="88B297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2895EEE"/>
    <w:multiLevelType w:val="hybridMultilevel"/>
    <w:tmpl w:val="1840AF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F">
      <w:start w:val="1"/>
      <w:numFmt w:val="decimal"/>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4F9608E"/>
    <w:multiLevelType w:val="hybridMultilevel"/>
    <w:tmpl w:val="FF702332"/>
    <w:lvl w:ilvl="0" w:tplc="04090015">
      <w:start w:val="1"/>
      <w:numFmt w:val="upperLetter"/>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BA40B1D4">
      <w:start w:val="1"/>
      <w:numFmt w:val="lowerRoman"/>
      <w:lvlText w:val="%3."/>
      <w:lvlJc w:val="right"/>
      <w:pPr>
        <w:ind w:left="2160" w:hanging="180"/>
      </w:pPr>
      <w:rPr>
        <w:b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61A4111"/>
    <w:multiLevelType w:val="hybridMultilevel"/>
    <w:tmpl w:val="F8A6A96C"/>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8" w15:restartNumberingAfterBreak="0">
    <w:nsid w:val="6B3D5E58"/>
    <w:multiLevelType w:val="hybridMultilevel"/>
    <w:tmpl w:val="4962AF88"/>
    <w:lvl w:ilvl="0" w:tplc="6BC25FC2">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6C070F55"/>
    <w:multiLevelType w:val="hybridMultilevel"/>
    <w:tmpl w:val="B052AD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F0561AB"/>
    <w:multiLevelType w:val="hybridMultilevel"/>
    <w:tmpl w:val="AC14E8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6032CC4"/>
    <w:multiLevelType w:val="multilevel"/>
    <w:tmpl w:val="11741516"/>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7795563F"/>
    <w:multiLevelType w:val="hybridMultilevel"/>
    <w:tmpl w:val="51C44F84"/>
    <w:lvl w:ilvl="0" w:tplc="6BC25FC2">
      <w:numFmt w:val="bullet"/>
      <w:lvlText w:val="•"/>
      <w:lvlJc w:val="left"/>
      <w:pPr>
        <w:ind w:left="720" w:hanging="360"/>
      </w:pPr>
      <w:rPr>
        <w:rFonts w:ascii="Times New Roman" w:eastAsiaTheme="minorHAnsi" w:hAnsi="Times New Roman" w:cs="Times New Roman"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C662C52"/>
    <w:multiLevelType w:val="hybridMultilevel"/>
    <w:tmpl w:val="21F405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EFA09B3"/>
    <w:multiLevelType w:val="hybridMultilevel"/>
    <w:tmpl w:val="7D56E5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3"/>
  </w:num>
  <w:num w:numId="2">
    <w:abstractNumId w:val="13"/>
  </w:num>
  <w:num w:numId="3">
    <w:abstractNumId w:val="13"/>
  </w:num>
  <w:num w:numId="4">
    <w:abstractNumId w:val="13"/>
  </w:num>
  <w:num w:numId="5">
    <w:abstractNumId w:val="14"/>
  </w:num>
  <w:num w:numId="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9"/>
  </w:num>
  <w:num w:numId="8">
    <w:abstractNumId w:val="19"/>
  </w:num>
  <w:num w:numId="9">
    <w:abstractNumId w:val="31"/>
  </w:num>
  <w:num w:numId="10">
    <w:abstractNumId w:val="5"/>
  </w:num>
  <w:num w:numId="11">
    <w:abstractNumId w:val="26"/>
  </w:num>
  <w:num w:numId="12">
    <w:abstractNumId w:val="20"/>
  </w:num>
  <w:num w:numId="13">
    <w:abstractNumId w:val="30"/>
  </w:num>
  <w:num w:numId="14">
    <w:abstractNumId w:val="8"/>
  </w:num>
  <w:num w:numId="15">
    <w:abstractNumId w:val="13"/>
  </w:num>
  <w:num w:numId="16">
    <w:abstractNumId w:val="23"/>
    <w:lvlOverride w:ilvl="0">
      <w:startOverride w:val="1"/>
    </w:lvlOverride>
  </w:num>
  <w:num w:numId="17">
    <w:abstractNumId w:val="25"/>
  </w:num>
  <w:num w:numId="18">
    <w:abstractNumId w:val="0"/>
  </w:num>
  <w:num w:numId="19">
    <w:abstractNumId w:val="21"/>
  </w:num>
  <w:num w:numId="20">
    <w:abstractNumId w:val="24"/>
  </w:num>
  <w:num w:numId="21">
    <w:abstractNumId w:val="22"/>
  </w:num>
  <w:num w:numId="22">
    <w:abstractNumId w:val="3"/>
  </w:num>
  <w:num w:numId="23">
    <w:abstractNumId w:val="15"/>
  </w:num>
  <w:num w:numId="24">
    <w:abstractNumId w:val="32"/>
  </w:num>
  <w:num w:numId="25">
    <w:abstractNumId w:val="16"/>
  </w:num>
  <w:num w:numId="26">
    <w:abstractNumId w:val="6"/>
  </w:num>
  <w:num w:numId="27">
    <w:abstractNumId w:val="17"/>
  </w:num>
  <w:num w:numId="28">
    <w:abstractNumId w:val="28"/>
  </w:num>
  <w:num w:numId="29">
    <w:abstractNumId w:val="12"/>
  </w:num>
  <w:num w:numId="30">
    <w:abstractNumId w:val="11"/>
  </w:num>
  <w:num w:numId="31">
    <w:abstractNumId w:val="27"/>
  </w:num>
  <w:num w:numId="32">
    <w:abstractNumId w:val="10"/>
  </w:num>
  <w:num w:numId="33">
    <w:abstractNumId w:val="2"/>
  </w:num>
  <w:num w:numId="34">
    <w:abstractNumId w:val="9"/>
  </w:num>
  <w:num w:numId="35">
    <w:abstractNumId w:val="18"/>
  </w:num>
  <w:num w:numId="36">
    <w:abstractNumId w:val="4"/>
  </w:num>
  <w:num w:numId="37">
    <w:abstractNumId w:val="33"/>
  </w:num>
  <w:num w:numId="38">
    <w:abstractNumId w:val="7"/>
  </w:num>
  <w:num w:numId="39">
    <w:abstractNumId w:val="1"/>
  </w:num>
  <w:num w:numId="40">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5"/>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54D7"/>
    <w:rsid w:val="00011556"/>
    <w:rsid w:val="00016B04"/>
    <w:rsid w:val="0002722F"/>
    <w:rsid w:val="00027B42"/>
    <w:rsid w:val="00067B59"/>
    <w:rsid w:val="000822CF"/>
    <w:rsid w:val="000839C1"/>
    <w:rsid w:val="0009566E"/>
    <w:rsid w:val="000B54F1"/>
    <w:rsid w:val="000D54DD"/>
    <w:rsid w:val="000E5F21"/>
    <w:rsid w:val="000E7920"/>
    <w:rsid w:val="00107BB4"/>
    <w:rsid w:val="00114EE9"/>
    <w:rsid w:val="0013060F"/>
    <w:rsid w:val="00184512"/>
    <w:rsid w:val="001A515C"/>
    <w:rsid w:val="001E6009"/>
    <w:rsid w:val="001E68E7"/>
    <w:rsid w:val="002055CF"/>
    <w:rsid w:val="00224687"/>
    <w:rsid w:val="00226D41"/>
    <w:rsid w:val="00237B89"/>
    <w:rsid w:val="00264088"/>
    <w:rsid w:val="0026481B"/>
    <w:rsid w:val="00275549"/>
    <w:rsid w:val="00276DFD"/>
    <w:rsid w:val="0029710B"/>
    <w:rsid w:val="002B7E92"/>
    <w:rsid w:val="002C14E3"/>
    <w:rsid w:val="002C271C"/>
    <w:rsid w:val="002D2B5E"/>
    <w:rsid w:val="00310AD1"/>
    <w:rsid w:val="00334A2D"/>
    <w:rsid w:val="00335DE2"/>
    <w:rsid w:val="0034043A"/>
    <w:rsid w:val="00370ECD"/>
    <w:rsid w:val="003A1B7C"/>
    <w:rsid w:val="003A5244"/>
    <w:rsid w:val="003A582B"/>
    <w:rsid w:val="003C5D05"/>
    <w:rsid w:val="003D2D28"/>
    <w:rsid w:val="0043717B"/>
    <w:rsid w:val="00437431"/>
    <w:rsid w:val="0044466E"/>
    <w:rsid w:val="00461D55"/>
    <w:rsid w:val="00463FA7"/>
    <w:rsid w:val="004659A7"/>
    <w:rsid w:val="0047487E"/>
    <w:rsid w:val="004B595B"/>
    <w:rsid w:val="004C741A"/>
    <w:rsid w:val="004E5C60"/>
    <w:rsid w:val="004F7DC9"/>
    <w:rsid w:val="00510824"/>
    <w:rsid w:val="00522EEE"/>
    <w:rsid w:val="00535ADB"/>
    <w:rsid w:val="0054607E"/>
    <w:rsid w:val="00565C60"/>
    <w:rsid w:val="00595BD4"/>
    <w:rsid w:val="005A1337"/>
    <w:rsid w:val="005D4C00"/>
    <w:rsid w:val="006061D7"/>
    <w:rsid w:val="00615BBA"/>
    <w:rsid w:val="00617EEA"/>
    <w:rsid w:val="00653B21"/>
    <w:rsid w:val="00662194"/>
    <w:rsid w:val="00676D3D"/>
    <w:rsid w:val="0068376C"/>
    <w:rsid w:val="00691F3B"/>
    <w:rsid w:val="006A2543"/>
    <w:rsid w:val="006B6EC7"/>
    <w:rsid w:val="00703FF2"/>
    <w:rsid w:val="00714326"/>
    <w:rsid w:val="00720FEA"/>
    <w:rsid w:val="0072744F"/>
    <w:rsid w:val="00727D4C"/>
    <w:rsid w:val="00733CED"/>
    <w:rsid w:val="007367B8"/>
    <w:rsid w:val="00766846"/>
    <w:rsid w:val="0077290D"/>
    <w:rsid w:val="007923D1"/>
    <w:rsid w:val="007A5696"/>
    <w:rsid w:val="007B2797"/>
    <w:rsid w:val="007C2F88"/>
    <w:rsid w:val="007C753F"/>
    <w:rsid w:val="007D6D8A"/>
    <w:rsid w:val="00801050"/>
    <w:rsid w:val="008041FA"/>
    <w:rsid w:val="008649FB"/>
    <w:rsid w:val="008926D4"/>
    <w:rsid w:val="008A44EE"/>
    <w:rsid w:val="008A4723"/>
    <w:rsid w:val="008B26A1"/>
    <w:rsid w:val="008B7119"/>
    <w:rsid w:val="008C1D78"/>
    <w:rsid w:val="009017F0"/>
    <w:rsid w:val="009106ED"/>
    <w:rsid w:val="00911D50"/>
    <w:rsid w:val="009633E3"/>
    <w:rsid w:val="009654D7"/>
    <w:rsid w:val="00990BFC"/>
    <w:rsid w:val="009A1FB7"/>
    <w:rsid w:val="009B3742"/>
    <w:rsid w:val="009D3717"/>
    <w:rsid w:val="009F6578"/>
    <w:rsid w:val="00A415B8"/>
    <w:rsid w:val="00A53C88"/>
    <w:rsid w:val="00A564D5"/>
    <w:rsid w:val="00A8050F"/>
    <w:rsid w:val="00A905C4"/>
    <w:rsid w:val="00AA05E4"/>
    <w:rsid w:val="00AA3039"/>
    <w:rsid w:val="00AD330B"/>
    <w:rsid w:val="00B135A3"/>
    <w:rsid w:val="00B377AF"/>
    <w:rsid w:val="00B668A2"/>
    <w:rsid w:val="00B70116"/>
    <w:rsid w:val="00BC0125"/>
    <w:rsid w:val="00BD434D"/>
    <w:rsid w:val="00C14C85"/>
    <w:rsid w:val="00C253A6"/>
    <w:rsid w:val="00C454D7"/>
    <w:rsid w:val="00C7469C"/>
    <w:rsid w:val="00C75F19"/>
    <w:rsid w:val="00CA2BF7"/>
    <w:rsid w:val="00CF38EF"/>
    <w:rsid w:val="00D204A7"/>
    <w:rsid w:val="00D24F9A"/>
    <w:rsid w:val="00D46D22"/>
    <w:rsid w:val="00D571BE"/>
    <w:rsid w:val="00D643D1"/>
    <w:rsid w:val="00D651A1"/>
    <w:rsid w:val="00D66689"/>
    <w:rsid w:val="00D75D26"/>
    <w:rsid w:val="00D801E2"/>
    <w:rsid w:val="00D808AD"/>
    <w:rsid w:val="00D9444A"/>
    <w:rsid w:val="00E1159A"/>
    <w:rsid w:val="00E12516"/>
    <w:rsid w:val="00E14839"/>
    <w:rsid w:val="00E16780"/>
    <w:rsid w:val="00E3162D"/>
    <w:rsid w:val="00E40EF4"/>
    <w:rsid w:val="00E46A0B"/>
    <w:rsid w:val="00E57F56"/>
    <w:rsid w:val="00E62CAF"/>
    <w:rsid w:val="00E92571"/>
    <w:rsid w:val="00EA42C3"/>
    <w:rsid w:val="00EB4A8C"/>
    <w:rsid w:val="00EB5E42"/>
    <w:rsid w:val="00ED1CB3"/>
    <w:rsid w:val="00EF27D7"/>
    <w:rsid w:val="00EF501B"/>
    <w:rsid w:val="00F21088"/>
    <w:rsid w:val="00F243A4"/>
    <w:rsid w:val="00F32930"/>
    <w:rsid w:val="00F4300A"/>
    <w:rsid w:val="00F4524B"/>
    <w:rsid w:val="00F5193A"/>
    <w:rsid w:val="00F635E2"/>
    <w:rsid w:val="00F7764A"/>
    <w:rsid w:val="00F932A4"/>
    <w:rsid w:val="00FA54A4"/>
    <w:rsid w:val="00FB4953"/>
    <w:rsid w:val="00FB65F8"/>
    <w:rsid w:val="00FB7A8E"/>
    <w:rsid w:val="00FF3F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5A825D"/>
  <w15:docId w15:val="{ACC77D24-D3A4-41B6-B5EA-00147431D1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43A4"/>
    <w:pPr>
      <w:spacing w:after="200"/>
    </w:pPr>
    <w:rPr>
      <w:rFonts w:ascii="Times New Roman" w:hAnsi="Times New Roman"/>
    </w:rPr>
  </w:style>
  <w:style w:type="paragraph" w:styleId="Heading1">
    <w:name w:val="heading 1"/>
    <w:basedOn w:val="Normal"/>
    <w:next w:val="Normal"/>
    <w:link w:val="Heading1Char"/>
    <w:uiPriority w:val="9"/>
    <w:qFormat/>
    <w:rsid w:val="00D9444A"/>
    <w:pPr>
      <w:spacing w:after="120"/>
      <w:contextualSpacing/>
      <w:jc w:val="center"/>
      <w:outlineLvl w:val="0"/>
    </w:pPr>
    <w:rPr>
      <w:rFonts w:cs="Times New Roman"/>
      <w:b/>
      <w:smallCaps/>
      <w:sz w:val="28"/>
      <w:szCs w:val="28"/>
    </w:rPr>
  </w:style>
  <w:style w:type="paragraph" w:styleId="Heading2">
    <w:name w:val="heading 2"/>
    <w:next w:val="Normal"/>
    <w:link w:val="Heading2Char"/>
    <w:uiPriority w:val="9"/>
    <w:unhideWhenUsed/>
    <w:qFormat/>
    <w:rsid w:val="00D9444A"/>
    <w:pPr>
      <w:ind w:left="360"/>
      <w:outlineLvl w:val="1"/>
    </w:pPr>
    <w:rPr>
      <w:rFonts w:ascii="Times New Roman" w:eastAsiaTheme="majorEastAsia" w:hAnsi="Times New Roman" w:cs="Times New Roman"/>
      <w:b/>
      <w:bCs/>
      <w:color w:val="244061" w:themeColor="accent1" w:themeShade="80"/>
      <w:sz w:val="24"/>
      <w:szCs w:val="28"/>
    </w:rPr>
  </w:style>
  <w:style w:type="paragraph" w:styleId="Heading3">
    <w:name w:val="heading 3"/>
    <w:basedOn w:val="Normal"/>
    <w:next w:val="Normal"/>
    <w:link w:val="Heading3Char"/>
    <w:uiPriority w:val="9"/>
    <w:unhideWhenUsed/>
    <w:qFormat/>
    <w:rsid w:val="00BD434D"/>
    <w:pPr>
      <w:keepNext/>
      <w:keepLines/>
      <w:numPr>
        <w:ilvl w:val="2"/>
        <w:numId w:val="4"/>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BD434D"/>
    <w:pPr>
      <w:keepNext/>
      <w:keepLines/>
      <w:numPr>
        <w:ilvl w:val="3"/>
        <w:numId w:val="4"/>
      </w:numPr>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444A"/>
    <w:rPr>
      <w:rFonts w:ascii="Times New Roman" w:hAnsi="Times New Roman" w:cs="Times New Roman"/>
      <w:b/>
      <w:smallCaps/>
      <w:sz w:val="28"/>
      <w:szCs w:val="28"/>
    </w:rPr>
  </w:style>
  <w:style w:type="character" w:customStyle="1" w:styleId="Heading2Char">
    <w:name w:val="Heading 2 Char"/>
    <w:basedOn w:val="DefaultParagraphFont"/>
    <w:link w:val="Heading2"/>
    <w:uiPriority w:val="9"/>
    <w:rsid w:val="00D9444A"/>
    <w:rPr>
      <w:rFonts w:ascii="Times New Roman" w:eastAsiaTheme="majorEastAsia" w:hAnsi="Times New Roman" w:cs="Times New Roman"/>
      <w:b/>
      <w:bCs/>
      <w:color w:val="244061" w:themeColor="accent1" w:themeShade="80"/>
      <w:sz w:val="24"/>
      <w:szCs w:val="28"/>
    </w:rPr>
  </w:style>
  <w:style w:type="character" w:customStyle="1" w:styleId="Heading3Char">
    <w:name w:val="Heading 3 Char"/>
    <w:basedOn w:val="DefaultParagraphFont"/>
    <w:link w:val="Heading3"/>
    <w:uiPriority w:val="9"/>
    <w:rsid w:val="00BD434D"/>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BD434D"/>
    <w:rPr>
      <w:rFonts w:asciiTheme="majorHAnsi" w:eastAsiaTheme="majorEastAsia" w:hAnsiTheme="majorHAnsi" w:cstheme="majorBidi"/>
      <w:b/>
      <w:bCs/>
      <w:i/>
      <w:iCs/>
      <w:color w:val="4F81BD" w:themeColor="accent1"/>
    </w:rPr>
  </w:style>
  <w:style w:type="paragraph" w:styleId="ListParagraph">
    <w:name w:val="List Paragraph"/>
    <w:aliases w:val="Bullet List"/>
    <w:basedOn w:val="Normal"/>
    <w:link w:val="ListParagraphChar"/>
    <w:uiPriority w:val="34"/>
    <w:qFormat/>
    <w:rsid w:val="00BD434D"/>
    <w:pPr>
      <w:ind w:left="720"/>
      <w:contextualSpacing/>
    </w:pPr>
  </w:style>
  <w:style w:type="character" w:customStyle="1" w:styleId="ListParagraphChar">
    <w:name w:val="List Paragraph Char"/>
    <w:aliases w:val="Bullet List Char"/>
    <w:basedOn w:val="DefaultParagraphFont"/>
    <w:link w:val="ListParagraph"/>
    <w:uiPriority w:val="34"/>
    <w:locked/>
    <w:rsid w:val="00BD434D"/>
  </w:style>
  <w:style w:type="paragraph" w:styleId="TOCHeading">
    <w:name w:val="TOC Heading"/>
    <w:basedOn w:val="Heading1"/>
    <w:next w:val="Normal"/>
    <w:uiPriority w:val="39"/>
    <w:semiHidden/>
    <w:unhideWhenUsed/>
    <w:qFormat/>
    <w:rsid w:val="00BD434D"/>
    <w:pPr>
      <w:outlineLvl w:val="9"/>
    </w:pPr>
    <w:rPr>
      <w:color w:val="365F91" w:themeColor="accent1" w:themeShade="BF"/>
      <w:lang w:eastAsia="ja-JP"/>
    </w:rPr>
  </w:style>
  <w:style w:type="character" w:styleId="CommentReference">
    <w:name w:val="annotation reference"/>
    <w:basedOn w:val="DefaultParagraphFont"/>
    <w:uiPriority w:val="99"/>
    <w:semiHidden/>
    <w:unhideWhenUsed/>
    <w:rsid w:val="00766846"/>
    <w:rPr>
      <w:sz w:val="16"/>
      <w:szCs w:val="16"/>
    </w:rPr>
  </w:style>
  <w:style w:type="paragraph" w:styleId="CommentText">
    <w:name w:val="annotation text"/>
    <w:basedOn w:val="Normal"/>
    <w:link w:val="CommentTextChar"/>
    <w:uiPriority w:val="99"/>
    <w:semiHidden/>
    <w:unhideWhenUsed/>
    <w:rsid w:val="00766846"/>
    <w:pPr>
      <w:spacing w:line="240" w:lineRule="auto"/>
    </w:pPr>
    <w:rPr>
      <w:sz w:val="20"/>
      <w:szCs w:val="20"/>
    </w:rPr>
  </w:style>
  <w:style w:type="character" w:customStyle="1" w:styleId="CommentTextChar">
    <w:name w:val="Comment Text Char"/>
    <w:basedOn w:val="DefaultParagraphFont"/>
    <w:link w:val="CommentText"/>
    <w:uiPriority w:val="99"/>
    <w:semiHidden/>
    <w:rsid w:val="00766846"/>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766846"/>
    <w:rPr>
      <w:b/>
      <w:bCs/>
    </w:rPr>
  </w:style>
  <w:style w:type="character" w:customStyle="1" w:styleId="CommentSubjectChar">
    <w:name w:val="Comment Subject Char"/>
    <w:basedOn w:val="CommentTextChar"/>
    <w:link w:val="CommentSubject"/>
    <w:uiPriority w:val="99"/>
    <w:semiHidden/>
    <w:rsid w:val="00766846"/>
    <w:rPr>
      <w:rFonts w:ascii="Times New Roman" w:hAnsi="Times New Roman"/>
      <w:b/>
      <w:bCs/>
      <w:sz w:val="20"/>
      <w:szCs w:val="20"/>
    </w:rPr>
  </w:style>
  <w:style w:type="paragraph" w:styleId="BalloonText">
    <w:name w:val="Balloon Text"/>
    <w:basedOn w:val="Normal"/>
    <w:link w:val="BalloonTextChar"/>
    <w:uiPriority w:val="99"/>
    <w:semiHidden/>
    <w:unhideWhenUsed/>
    <w:rsid w:val="007668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6846"/>
    <w:rPr>
      <w:rFonts w:ascii="Tahoma" w:hAnsi="Tahoma" w:cs="Tahoma"/>
      <w:sz w:val="16"/>
      <w:szCs w:val="16"/>
    </w:rPr>
  </w:style>
  <w:style w:type="paragraph" w:styleId="Revision">
    <w:name w:val="Revision"/>
    <w:hidden/>
    <w:uiPriority w:val="99"/>
    <w:semiHidden/>
    <w:rsid w:val="00F7764A"/>
    <w:pPr>
      <w:spacing w:line="240" w:lineRule="auto"/>
    </w:pPr>
    <w:rPr>
      <w:rFonts w:ascii="Times New Roman" w:hAnsi="Times New Roman"/>
    </w:rPr>
  </w:style>
  <w:style w:type="table" w:styleId="TableGrid">
    <w:name w:val="Table Grid"/>
    <w:basedOn w:val="TableNormal"/>
    <w:uiPriority w:val="39"/>
    <w:rsid w:val="0047487E"/>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37431"/>
    <w:rPr>
      <w:color w:val="0000FF" w:themeColor="hyperlink"/>
      <w:u w:val="single"/>
    </w:rPr>
  </w:style>
  <w:style w:type="character" w:styleId="UnresolvedMention">
    <w:name w:val="Unresolved Mention"/>
    <w:basedOn w:val="DefaultParagraphFont"/>
    <w:uiPriority w:val="99"/>
    <w:semiHidden/>
    <w:unhideWhenUsed/>
    <w:rsid w:val="00437431"/>
    <w:rPr>
      <w:color w:val="605E5C"/>
      <w:shd w:val="clear" w:color="auto" w:fill="E1DFDD"/>
    </w:rPr>
  </w:style>
  <w:style w:type="paragraph" w:styleId="Header">
    <w:name w:val="header"/>
    <w:basedOn w:val="Normal"/>
    <w:link w:val="HeaderChar"/>
    <w:uiPriority w:val="99"/>
    <w:unhideWhenUsed/>
    <w:rsid w:val="004374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7431"/>
    <w:rPr>
      <w:rFonts w:ascii="Times New Roman" w:hAnsi="Times New Roman"/>
    </w:rPr>
  </w:style>
  <w:style w:type="paragraph" w:styleId="Footer">
    <w:name w:val="footer"/>
    <w:basedOn w:val="Normal"/>
    <w:link w:val="FooterChar"/>
    <w:uiPriority w:val="99"/>
    <w:unhideWhenUsed/>
    <w:rsid w:val="004374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7431"/>
    <w:rPr>
      <w:rFonts w:ascii="Times New Roman" w:hAnsi="Times New Roman"/>
    </w:rPr>
  </w:style>
  <w:style w:type="table" w:styleId="TableGridLight">
    <w:name w:val="Grid Table Light"/>
    <w:basedOn w:val="TableNormal"/>
    <w:uiPriority w:val="40"/>
    <w:rsid w:val="0072744F"/>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AB23C3-DC54-4073-BDA8-7B40BE7CD3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6</Pages>
  <Words>1699</Words>
  <Characters>9686</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Kristen Hayashi</dc:creator>
  <cp:lastModifiedBy>Lam, Vivian</cp:lastModifiedBy>
  <cp:revision>6</cp:revision>
  <dcterms:created xsi:type="dcterms:W3CDTF">2020-12-08T21:37:00Z</dcterms:created>
  <dcterms:modified xsi:type="dcterms:W3CDTF">2020-12-21T19:13:00Z</dcterms:modified>
</cp:coreProperties>
</file>