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E1" w:rsidRPr="00E004B9" w:rsidRDefault="00790BE1" w:rsidP="00790BE1">
      <w:pPr>
        <w:jc w:val="center"/>
      </w:pPr>
      <w:bookmarkStart w:id="0" w:name="_GoBack"/>
      <w:bookmarkEnd w:id="0"/>
      <w:r w:rsidRPr="00E004B9">
        <w:t>COMMONWEALTH OF MASSACHUSETTS</w:t>
      </w:r>
    </w:p>
    <w:p w:rsidR="00790BE1" w:rsidRPr="00D93D93" w:rsidRDefault="00790BE1" w:rsidP="00790BE1">
      <w:pPr>
        <w:spacing w:line="240" w:lineRule="auto"/>
        <w:ind w:left="4680"/>
        <w:rPr>
          <w:b/>
        </w:rPr>
      </w:pPr>
      <w:r w:rsidRPr="00D93D93">
        <w:rPr>
          <w:b/>
        </w:rPr>
        <w:t>Division of Administrative Law Appeals</w:t>
      </w:r>
    </w:p>
    <w:p w:rsidR="00790BE1" w:rsidRPr="00D93D93" w:rsidRDefault="00790BE1" w:rsidP="00790BE1">
      <w:pPr>
        <w:spacing w:line="240" w:lineRule="auto"/>
        <w:ind w:left="4680"/>
        <w:rPr>
          <w:b/>
        </w:rPr>
      </w:pPr>
      <w:r>
        <w:rPr>
          <w:b/>
        </w:rPr>
        <w:t>1 Congress</w:t>
      </w:r>
      <w:r w:rsidRPr="00D93D93">
        <w:rPr>
          <w:b/>
        </w:rPr>
        <w:t xml:space="preserve"> Street, </w:t>
      </w:r>
      <w:r>
        <w:rPr>
          <w:b/>
        </w:rPr>
        <w:t>11</w:t>
      </w:r>
      <w:r w:rsidRPr="00D93D93">
        <w:rPr>
          <w:b/>
        </w:rPr>
        <w:t>th Floor</w:t>
      </w:r>
    </w:p>
    <w:p w:rsidR="00790BE1" w:rsidRPr="00D93D93" w:rsidRDefault="00790BE1" w:rsidP="00790BE1">
      <w:pPr>
        <w:spacing w:line="240" w:lineRule="auto"/>
        <w:ind w:left="4680"/>
        <w:rPr>
          <w:b/>
        </w:rPr>
      </w:pPr>
      <w:r w:rsidRPr="00D93D93">
        <w:rPr>
          <w:b/>
        </w:rPr>
        <w:t>Boston, MA 02114</w:t>
      </w:r>
    </w:p>
    <w:p w:rsidR="00790BE1" w:rsidRPr="00D93D93" w:rsidRDefault="00790BE1" w:rsidP="00790BE1">
      <w:pPr>
        <w:spacing w:line="240" w:lineRule="auto"/>
        <w:ind w:left="4680"/>
        <w:rPr>
          <w:b/>
        </w:rPr>
      </w:pPr>
      <w:r w:rsidRPr="00D93D93">
        <w:rPr>
          <w:b/>
        </w:rPr>
        <w:t>www.mass.gov/dala</w:t>
      </w:r>
    </w:p>
    <w:p w:rsidR="00790BE1" w:rsidRPr="00E004B9" w:rsidRDefault="00790BE1" w:rsidP="00790BE1">
      <w:pPr>
        <w:spacing w:line="240" w:lineRule="auto"/>
      </w:pPr>
    </w:p>
    <w:p w:rsidR="00790BE1" w:rsidRPr="00E004B9" w:rsidRDefault="006421F4" w:rsidP="00790BE1">
      <w:pPr>
        <w:spacing w:line="240" w:lineRule="auto"/>
      </w:pPr>
      <w:r>
        <w:rPr>
          <w:b/>
        </w:rPr>
        <w:t>Peter Forbes</w:t>
      </w:r>
      <w:r w:rsidR="00790BE1" w:rsidRPr="00E004B9">
        <w:t>,</w:t>
      </w:r>
    </w:p>
    <w:p w:rsidR="00790BE1" w:rsidRPr="00E004B9" w:rsidRDefault="00790BE1" w:rsidP="00790BE1">
      <w:pPr>
        <w:spacing w:line="240" w:lineRule="auto"/>
      </w:pPr>
      <w:r w:rsidRPr="00E004B9">
        <w:t>Petitioner</w:t>
      </w:r>
    </w:p>
    <w:p w:rsidR="00790BE1" w:rsidRPr="00E004B9" w:rsidRDefault="00790BE1" w:rsidP="00790BE1">
      <w:pPr>
        <w:spacing w:line="240" w:lineRule="auto"/>
      </w:pPr>
    </w:p>
    <w:p w:rsidR="00790BE1" w:rsidRDefault="00790BE1" w:rsidP="00790BE1">
      <w:pPr>
        <w:spacing w:line="240" w:lineRule="auto"/>
      </w:pPr>
      <w:r w:rsidRPr="00E004B9">
        <w:t xml:space="preserve">v.                                                                           Docket No. </w:t>
      </w:r>
      <w:r w:rsidR="000D197C">
        <w:t>C</w:t>
      </w:r>
      <w:r w:rsidR="006421F4">
        <w:t>R-13-146</w:t>
      </w:r>
    </w:p>
    <w:p w:rsidR="00790BE1" w:rsidRPr="00E004B9" w:rsidRDefault="00790BE1" w:rsidP="00790BE1">
      <w:pPr>
        <w:spacing w:line="240" w:lineRule="auto"/>
      </w:pPr>
    </w:p>
    <w:p w:rsidR="00790BE1" w:rsidRPr="00E004B9" w:rsidRDefault="006421F4" w:rsidP="00790BE1">
      <w:pPr>
        <w:spacing w:line="240" w:lineRule="auto"/>
      </w:pPr>
      <w:r>
        <w:rPr>
          <w:b/>
        </w:rPr>
        <w:t>State Board of Retirement</w:t>
      </w:r>
      <w:r w:rsidR="00790BE1" w:rsidRPr="00E004B9">
        <w:t>,</w:t>
      </w:r>
    </w:p>
    <w:p w:rsidR="00790BE1" w:rsidRDefault="00790BE1" w:rsidP="00790BE1">
      <w:pPr>
        <w:spacing w:line="240" w:lineRule="auto"/>
      </w:pPr>
      <w:r w:rsidRPr="00E004B9">
        <w:t xml:space="preserve">Respondent         </w:t>
      </w:r>
    </w:p>
    <w:p w:rsidR="00790BE1" w:rsidRDefault="00790BE1" w:rsidP="00790BE1">
      <w:pPr>
        <w:spacing w:line="240" w:lineRule="auto"/>
      </w:pPr>
    </w:p>
    <w:p w:rsidR="00790BE1" w:rsidRPr="00FD3CDE" w:rsidRDefault="00790BE1" w:rsidP="00790BE1">
      <w:pPr>
        <w:spacing w:line="240" w:lineRule="auto"/>
      </w:pPr>
      <w:r w:rsidRPr="00CF06CA">
        <w:rPr>
          <w:b/>
        </w:rPr>
        <w:t>Appearance for Petitioner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:rsidR="00790BE1" w:rsidRDefault="00790BE1" w:rsidP="00790BE1">
      <w:pPr>
        <w:spacing w:line="240" w:lineRule="auto"/>
        <w:rPr>
          <w:highlight w:val="lightGray"/>
        </w:rPr>
      </w:pPr>
    </w:p>
    <w:p w:rsidR="006421F4" w:rsidRDefault="006421F4" w:rsidP="00790BE1">
      <w:pPr>
        <w:spacing w:line="240" w:lineRule="auto"/>
        <w:ind w:left="720"/>
      </w:pPr>
      <w:r>
        <w:t>Peter Forbes</w:t>
      </w:r>
    </w:p>
    <w:p w:rsidR="00790BE1" w:rsidRPr="00603BE9" w:rsidRDefault="00603BE9" w:rsidP="00790BE1">
      <w:pPr>
        <w:spacing w:line="240" w:lineRule="auto"/>
        <w:ind w:left="720"/>
        <w:rPr>
          <w:i/>
        </w:rPr>
      </w:pPr>
      <w:r w:rsidRPr="00603BE9">
        <w:rPr>
          <w:i/>
        </w:rPr>
        <w:t>Pro se</w:t>
      </w:r>
    </w:p>
    <w:p w:rsidR="00790BE1" w:rsidRPr="00FD3CDE" w:rsidRDefault="00790BE1" w:rsidP="00790BE1">
      <w:pPr>
        <w:spacing w:line="240" w:lineRule="auto"/>
        <w:rPr>
          <w:highlight w:val="lightGray"/>
        </w:rPr>
      </w:pPr>
    </w:p>
    <w:p w:rsidR="00790BE1" w:rsidRPr="00FD3CDE" w:rsidRDefault="00790BE1" w:rsidP="00790BE1">
      <w:pPr>
        <w:spacing w:line="240" w:lineRule="auto"/>
      </w:pPr>
      <w:r w:rsidRPr="00CF06CA">
        <w:rPr>
          <w:b/>
        </w:rPr>
        <w:t>Appearance for Respondent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:rsidR="00790BE1" w:rsidRPr="00FD3CDE" w:rsidRDefault="00790BE1" w:rsidP="00790BE1">
      <w:pPr>
        <w:spacing w:line="240" w:lineRule="auto"/>
      </w:pPr>
    </w:p>
    <w:p w:rsidR="00790BE1" w:rsidRDefault="006421F4" w:rsidP="00790BE1">
      <w:pPr>
        <w:spacing w:line="240" w:lineRule="auto"/>
        <w:ind w:firstLine="720"/>
      </w:pPr>
      <w:r>
        <w:t>Candace L. Hodge, Esq.</w:t>
      </w:r>
    </w:p>
    <w:p w:rsidR="006421F4" w:rsidRDefault="006421F4" w:rsidP="00790BE1">
      <w:pPr>
        <w:spacing w:line="240" w:lineRule="auto"/>
        <w:ind w:firstLine="720"/>
      </w:pPr>
      <w:r w:rsidRPr="006421F4">
        <w:t>State Board of Retirement</w:t>
      </w:r>
    </w:p>
    <w:p w:rsidR="006421F4" w:rsidRDefault="006421F4" w:rsidP="00790BE1">
      <w:pPr>
        <w:spacing w:line="240" w:lineRule="auto"/>
        <w:ind w:firstLine="720"/>
      </w:pPr>
      <w:r>
        <w:t>One Winter Street, 8th Floor</w:t>
      </w:r>
    </w:p>
    <w:p w:rsidR="006421F4" w:rsidRPr="006421F4" w:rsidRDefault="006421F4" w:rsidP="00790BE1">
      <w:pPr>
        <w:spacing w:line="240" w:lineRule="auto"/>
        <w:ind w:firstLine="720"/>
      </w:pPr>
      <w:r>
        <w:t>Boston, MA 02018</w:t>
      </w:r>
    </w:p>
    <w:p w:rsidR="00790BE1" w:rsidRPr="00FD3CDE" w:rsidRDefault="00790BE1" w:rsidP="00790BE1">
      <w:pPr>
        <w:spacing w:line="240" w:lineRule="auto"/>
      </w:pPr>
    </w:p>
    <w:p w:rsidR="00790BE1" w:rsidRPr="00FD3CDE" w:rsidRDefault="00790BE1" w:rsidP="00790BE1">
      <w:pPr>
        <w:spacing w:line="240" w:lineRule="auto"/>
      </w:pPr>
      <w:r w:rsidRPr="00CF06CA">
        <w:rPr>
          <w:b/>
        </w:rPr>
        <w:t>Administrative Magistrate</w:t>
      </w:r>
      <w:r w:rsidRPr="00FD3CDE">
        <w:t>:</w:t>
      </w:r>
      <w:r w:rsidRPr="00FD3CDE">
        <w:tab/>
      </w:r>
      <w:r w:rsidRPr="00FD3CDE">
        <w:tab/>
      </w:r>
      <w:r w:rsidRPr="00FD3CDE">
        <w:tab/>
      </w:r>
    </w:p>
    <w:p w:rsidR="00790BE1" w:rsidRPr="00FD3CDE" w:rsidRDefault="00790BE1" w:rsidP="00790BE1">
      <w:pPr>
        <w:spacing w:line="240" w:lineRule="auto"/>
      </w:pPr>
    </w:p>
    <w:p w:rsidR="00790BE1" w:rsidRPr="000D620E" w:rsidRDefault="00790BE1" w:rsidP="00790BE1">
      <w:pPr>
        <w:ind w:firstLine="720"/>
      </w:pPr>
      <w:r w:rsidRPr="000D620E">
        <w:t xml:space="preserve">Kenneth Bresler                                          </w:t>
      </w:r>
    </w:p>
    <w:p w:rsidR="00790BE1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b/>
        </w:rPr>
      </w:pPr>
      <w:r w:rsidRPr="00F31BA0">
        <w:rPr>
          <w:b/>
        </w:rPr>
        <w:t>SUMMARY OF DECISION</w:t>
      </w:r>
    </w:p>
    <w:p w:rsidR="00790BE1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b/>
        </w:rPr>
      </w:pPr>
    </w:p>
    <w:p w:rsidR="00F31BA0" w:rsidRDefault="00F31BA0" w:rsidP="009103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right="720"/>
        <w:rPr>
          <w:rFonts w:cs="Times New Roman"/>
          <w:szCs w:val="24"/>
        </w:rPr>
      </w:pPr>
      <w:r>
        <w:t xml:space="preserve">Petitioner sought </w:t>
      </w:r>
      <w:r w:rsidR="00C65044">
        <w:t xml:space="preserve">pro-rated credit for service in Group 2. State Board of Retirement’s denial is affirmed </w:t>
      </w:r>
      <w:r w:rsidR="002413A9">
        <w:t>for two reasons. P</w:t>
      </w:r>
      <w:r w:rsidR="00C65044">
        <w:t>etitioner did not prove that he spent more than half of his time</w:t>
      </w:r>
      <w:r w:rsidR="002413A9">
        <w:t xml:space="preserve"> </w:t>
      </w:r>
      <w:r w:rsidR="00C65044">
        <w:rPr>
          <w:rFonts w:eastAsia="Times New Roman" w:cs="Times New Roman"/>
          <w:szCs w:val="24"/>
        </w:rPr>
        <w:t>engaged in the c</w:t>
      </w:r>
      <w:r w:rsidR="00C65044" w:rsidRPr="00CF4506">
        <w:rPr>
          <w:rFonts w:cs="Times New Roman"/>
          <w:szCs w:val="24"/>
        </w:rPr>
        <w:t xml:space="preserve">are, custody, </w:t>
      </w:r>
      <w:r w:rsidR="00C65044">
        <w:rPr>
          <w:rFonts w:cs="Times New Roman"/>
          <w:szCs w:val="24"/>
        </w:rPr>
        <w:t xml:space="preserve">or </w:t>
      </w:r>
      <w:r w:rsidR="00C65044" w:rsidRPr="00CF4506">
        <w:rPr>
          <w:rFonts w:cs="Times New Roman"/>
          <w:szCs w:val="24"/>
        </w:rPr>
        <w:t>supervision of</w:t>
      </w:r>
      <w:r w:rsidR="00C65044">
        <w:rPr>
          <w:rFonts w:cs="Times New Roman"/>
          <w:szCs w:val="24"/>
        </w:rPr>
        <w:t xml:space="preserve"> youth </w:t>
      </w:r>
      <w:r w:rsidR="002413A9">
        <w:rPr>
          <w:rFonts w:cs="Times New Roman"/>
          <w:szCs w:val="24"/>
        </w:rPr>
        <w:t>in the</w:t>
      </w:r>
      <w:r w:rsidR="00C65044">
        <w:rPr>
          <w:rFonts w:cs="Times New Roman"/>
          <w:szCs w:val="24"/>
        </w:rPr>
        <w:t xml:space="preserve"> care</w:t>
      </w:r>
      <w:r w:rsidR="002413A9">
        <w:rPr>
          <w:rFonts w:cs="Times New Roman"/>
          <w:szCs w:val="24"/>
        </w:rPr>
        <w:t xml:space="preserve"> of the Department of Youth Services</w:t>
      </w:r>
      <w:r w:rsidR="00DC6198">
        <w:rPr>
          <w:rFonts w:cs="Times New Roman"/>
          <w:szCs w:val="24"/>
        </w:rPr>
        <w:t xml:space="preserve">. Statutory language for Group 2 refers to “defective delinquents” and “wayward children,” </w:t>
      </w:r>
      <w:r w:rsidR="009103C2">
        <w:rPr>
          <w:rFonts w:cs="Times New Roman"/>
          <w:szCs w:val="24"/>
        </w:rPr>
        <w:t>but those categories</w:t>
      </w:r>
      <w:r w:rsidR="00212F3D">
        <w:rPr>
          <w:rFonts w:cs="Times New Roman"/>
          <w:szCs w:val="24"/>
        </w:rPr>
        <w:t xml:space="preserve"> of people</w:t>
      </w:r>
      <w:r w:rsidR="009103C2">
        <w:rPr>
          <w:rFonts w:cs="Times New Roman"/>
          <w:szCs w:val="24"/>
        </w:rPr>
        <w:t xml:space="preserve"> no longer exist</w:t>
      </w:r>
      <w:r w:rsidR="00212F3D">
        <w:rPr>
          <w:rFonts w:cs="Times New Roman"/>
          <w:szCs w:val="24"/>
        </w:rPr>
        <w:t xml:space="preserve"> legally</w:t>
      </w:r>
      <w:r w:rsidR="009103C2">
        <w:rPr>
          <w:rFonts w:cs="Times New Roman"/>
          <w:szCs w:val="24"/>
        </w:rPr>
        <w:t>.</w:t>
      </w:r>
    </w:p>
    <w:p w:rsidR="009103C2" w:rsidRDefault="009103C2" w:rsidP="00C83C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b/>
        </w:rPr>
      </w:pP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u w:val="single"/>
        </w:rPr>
      </w:pPr>
      <w:r w:rsidRPr="00E004B9">
        <w:rPr>
          <w:b/>
        </w:rPr>
        <w:t>DECISION</w:t>
      </w:r>
    </w:p>
    <w:p w:rsidR="00790BE1" w:rsidRDefault="00790BE1" w:rsidP="00AA0F7C">
      <w:r w:rsidRPr="00E004B9">
        <w:tab/>
      </w:r>
      <w:r>
        <w:t xml:space="preserve">The petitioner, </w:t>
      </w:r>
      <w:r w:rsidR="00AA0F7C">
        <w:t>Peter Forbes</w:t>
      </w:r>
      <w:r>
        <w:t xml:space="preserve">, </w:t>
      </w:r>
      <w:r w:rsidR="00AA0F7C">
        <w:t>appeals the denial</w:t>
      </w:r>
      <w:r w:rsidR="0083172B">
        <w:t xml:space="preserve"> by</w:t>
      </w:r>
      <w:r w:rsidR="00AA0F7C">
        <w:t xml:space="preserve"> the State Board of Retirement (SBR) of his application to classify in Group 2 his service as a case</w:t>
      </w:r>
      <w:r w:rsidR="00CF4506">
        <w:t xml:space="preserve"> </w:t>
      </w:r>
      <w:r w:rsidR="00AA0F7C">
        <w:t>work manager.</w:t>
      </w:r>
    </w:p>
    <w:p w:rsidR="00790BE1" w:rsidRDefault="00790BE1" w:rsidP="00AA0F7C">
      <w:pPr>
        <w:widowControl w:val="0"/>
      </w:pPr>
      <w:r>
        <w:lastRenderedPageBreak/>
        <w:tab/>
        <w:t xml:space="preserve">I held a hearing on </w:t>
      </w:r>
      <w:r w:rsidR="006421F4">
        <w:t>November 15, 2016</w:t>
      </w:r>
      <w:r>
        <w:t xml:space="preserve">, which I recorded digitally. </w:t>
      </w:r>
      <w:r w:rsidR="00022334">
        <w:t>Mr. Forbes</w:t>
      </w:r>
      <w:r>
        <w:t xml:space="preserve"> testified</w:t>
      </w:r>
      <w:r w:rsidR="00022334">
        <w:t xml:space="preserve"> and was the only </w:t>
      </w:r>
      <w:r>
        <w:t xml:space="preserve">witness. I accepted into evidence </w:t>
      </w:r>
      <w:r w:rsidR="00022334">
        <w:t>11</w:t>
      </w:r>
      <w:r>
        <w:t xml:space="preserve"> exhibits</w:t>
      </w:r>
      <w:r w:rsidR="00022334">
        <w:t xml:space="preserve"> for </w:t>
      </w:r>
      <w:r w:rsidR="00C370AD">
        <w:t>Mr. Forbes</w:t>
      </w:r>
      <w:r w:rsidR="00022334">
        <w:t xml:space="preserve">, and </w:t>
      </w:r>
      <w:r w:rsidR="00BA0C4A">
        <w:t>four for SBR</w:t>
      </w:r>
      <w:r>
        <w:t>.</w:t>
      </w:r>
      <w:r w:rsidR="00C36D2C">
        <w:t xml:space="preserve"> </w:t>
      </w:r>
      <w:r w:rsidRPr="006421F4">
        <w:t xml:space="preserve">Both parties </w:t>
      </w:r>
      <w:r w:rsidR="006421F4" w:rsidRPr="006421F4">
        <w:t>waived</w:t>
      </w:r>
      <w:r w:rsidR="00AA0F7C">
        <w:t xml:space="preserve"> post-hearing briefs and instead, presented their closing arguments orally.</w:t>
      </w:r>
    </w:p>
    <w:p w:rsidR="00790BE1" w:rsidRDefault="00790BE1" w:rsidP="00AA0F7C">
      <w:pPr>
        <w:widowControl w:val="0"/>
        <w:jc w:val="center"/>
        <w:rPr>
          <w:b/>
        </w:rPr>
      </w:pPr>
      <w:r w:rsidRPr="00E004B9">
        <w:rPr>
          <w:b/>
        </w:rPr>
        <w:t>Findings of Fact</w:t>
      </w:r>
    </w:p>
    <w:p w:rsidR="00424005" w:rsidRDefault="00790BE1" w:rsidP="00790BE1">
      <w:r>
        <w:tab/>
      </w:r>
      <w:r w:rsidR="005F2847">
        <w:t>1</w:t>
      </w:r>
      <w:r w:rsidR="00424005">
        <w:t xml:space="preserve">. </w:t>
      </w:r>
      <w:r w:rsidR="00CB5EDD">
        <w:t>T</w:t>
      </w:r>
      <w:r w:rsidR="00424005">
        <w:t xml:space="preserve">he </w:t>
      </w:r>
      <w:r w:rsidR="00424005" w:rsidRPr="00CB5EDD">
        <w:rPr>
          <w:szCs w:val="24"/>
        </w:rPr>
        <w:t>Departm</w:t>
      </w:r>
      <w:r w:rsidR="00CB5EDD" w:rsidRPr="00CB5EDD">
        <w:rPr>
          <w:szCs w:val="24"/>
        </w:rPr>
        <w:t>ent of Youth Services (DYS) is “</w:t>
      </w:r>
      <w:r w:rsidR="00CB5EDD" w:rsidRPr="00CB5EDD">
        <w:rPr>
          <w:szCs w:val="24"/>
          <w:lang w:val="en"/>
        </w:rPr>
        <w:t>the juvenile justice agency for the Commonwealth of Massachusetts.”</w:t>
      </w:r>
      <w:r w:rsidR="00CB5EDD">
        <w:rPr>
          <w:szCs w:val="24"/>
          <w:lang w:val="en"/>
        </w:rPr>
        <w:t xml:space="preserve"> </w:t>
      </w:r>
      <w:r w:rsidR="00CB5EDD" w:rsidRPr="00CB5EDD">
        <w:rPr>
          <w:szCs w:val="24"/>
          <w:lang w:val="en"/>
        </w:rPr>
        <w:t>www.mass.gov/eohhs/gov/departments/dys/</w:t>
      </w:r>
      <w:r w:rsidR="00CB5EDD">
        <w:rPr>
          <w:szCs w:val="24"/>
          <w:lang w:val="en"/>
        </w:rPr>
        <w:t>.</w:t>
      </w:r>
    </w:p>
    <w:p w:rsidR="00424005" w:rsidRDefault="00AA0F7C" w:rsidP="00790BE1">
      <w:r>
        <w:tab/>
      </w:r>
      <w:r w:rsidR="005F2847">
        <w:t>2</w:t>
      </w:r>
      <w:r>
        <w:t xml:space="preserve">. DYS case </w:t>
      </w:r>
      <w:r w:rsidR="00424005">
        <w:t>workers spend almost all their time</w:t>
      </w:r>
      <w:r w:rsidR="00CB5EDD">
        <w:t xml:space="preserve"> working directly with youth in DYS’s care</w:t>
      </w:r>
      <w:r w:rsidR="00BA6B3F">
        <w:t>.</w:t>
      </w:r>
      <w:r w:rsidR="00CB5EDD">
        <w:t xml:space="preserve"> </w:t>
      </w:r>
      <w:proofErr w:type="gramStart"/>
      <w:r w:rsidR="00CB5EDD">
        <w:t>(Testimony.)</w:t>
      </w:r>
      <w:proofErr w:type="gramEnd"/>
    </w:p>
    <w:p w:rsidR="00424005" w:rsidRDefault="00424005" w:rsidP="00790BE1">
      <w:r>
        <w:tab/>
      </w:r>
      <w:r w:rsidR="005F2847">
        <w:t>3</w:t>
      </w:r>
      <w:r>
        <w:t xml:space="preserve">. At one point, DYS case workers had the title of parole officer. </w:t>
      </w:r>
      <w:proofErr w:type="gramStart"/>
      <w:r>
        <w:t>(Testimony.)</w:t>
      </w:r>
      <w:proofErr w:type="gramEnd"/>
    </w:p>
    <w:p w:rsidR="00424005" w:rsidRDefault="00424005" w:rsidP="00790BE1">
      <w:r>
        <w:tab/>
      </w:r>
      <w:r w:rsidR="005F2847">
        <w:t>4</w:t>
      </w:r>
      <w:r>
        <w:t>. Before Mr. Forbes bec</w:t>
      </w:r>
      <w:r w:rsidR="00CB5EDD">
        <w:t>ame a case work manager on September</w:t>
      </w:r>
      <w:r>
        <w:t xml:space="preserve"> 16, 1987, he was a case</w:t>
      </w:r>
      <w:r w:rsidR="00AA0F7C">
        <w:t xml:space="preserve"> </w:t>
      </w:r>
      <w:r>
        <w:t xml:space="preserve">worker. </w:t>
      </w:r>
      <w:proofErr w:type="gramStart"/>
      <w:r>
        <w:t>(Testimony.)</w:t>
      </w:r>
      <w:proofErr w:type="gramEnd"/>
    </w:p>
    <w:p w:rsidR="00424005" w:rsidRDefault="00CB5EDD" w:rsidP="00790BE1">
      <w:r>
        <w:tab/>
      </w:r>
      <w:r w:rsidR="005F2847">
        <w:t>5</w:t>
      </w:r>
      <w:r>
        <w:t>. From September</w:t>
      </w:r>
      <w:r w:rsidR="00424005">
        <w:t xml:space="preserve"> 16, 1987 to May 30, 1992, Mr. Forbes </w:t>
      </w:r>
      <w:r w:rsidR="000D7242">
        <w:t xml:space="preserve">was </w:t>
      </w:r>
      <w:r w:rsidR="00424005">
        <w:t xml:space="preserve">a </w:t>
      </w:r>
      <w:r w:rsidR="000D7242">
        <w:t>case work manager</w:t>
      </w:r>
      <w:r w:rsidR="002C7FF7">
        <w:t xml:space="preserve">. </w:t>
      </w:r>
      <w:r w:rsidR="00424005">
        <w:t xml:space="preserve">A case work manager supervises case workers. </w:t>
      </w:r>
      <w:proofErr w:type="gramStart"/>
      <w:r>
        <w:t>(Testimony</w:t>
      </w:r>
      <w:r w:rsidR="000D4A42">
        <w:t xml:space="preserve">, </w:t>
      </w:r>
      <w:r w:rsidR="000D4A42" w:rsidRPr="000D4A42">
        <w:rPr>
          <w:i/>
        </w:rPr>
        <w:t>e.g.</w:t>
      </w:r>
      <w:r w:rsidR="000D4A42">
        <w:t>, Pet. ex. 4 (Form 30)</w:t>
      </w:r>
      <w:r>
        <w:t>.)</w:t>
      </w:r>
      <w:proofErr w:type="gramEnd"/>
      <w:r>
        <w:t xml:space="preserve"> </w:t>
      </w:r>
    </w:p>
    <w:p w:rsidR="00424005" w:rsidRDefault="00424005" w:rsidP="00790BE1">
      <w:r>
        <w:tab/>
      </w:r>
      <w:r w:rsidR="005F2847">
        <w:t>6</w:t>
      </w:r>
      <w:r>
        <w:t>. In addition to his supervisory duties, Mr. Forbes maintained a caseload. That is, he still performed the functions of a case worker.</w:t>
      </w:r>
      <w:r w:rsidR="000D4A42">
        <w:t xml:space="preserve"> </w:t>
      </w:r>
      <w:proofErr w:type="gramStart"/>
      <w:r w:rsidR="000D4A42">
        <w:t>(Testimony.)</w:t>
      </w:r>
      <w:proofErr w:type="gramEnd"/>
    </w:p>
    <w:p w:rsidR="000425AD" w:rsidRDefault="000425AD" w:rsidP="000425AD">
      <w:r>
        <w:tab/>
      </w:r>
      <w:r w:rsidR="005F2847">
        <w:t>7</w:t>
      </w:r>
      <w:r>
        <w:t xml:space="preserve">. </w:t>
      </w:r>
      <w:r w:rsidR="000D4A42">
        <w:t>Mr. Forbes maintained a caseload because he filled in for case workers if they left the job</w:t>
      </w:r>
      <w:r w:rsidR="0083172B">
        <w:t>,</w:t>
      </w:r>
      <w:r w:rsidR="000D4A42">
        <w:t xml:space="preserve"> were on vacation</w:t>
      </w:r>
      <w:r w:rsidR="0083172B">
        <w:t>,</w:t>
      </w:r>
      <w:r w:rsidR="000D4A42">
        <w:t xml:space="preserve"> were on leave, including maternity leave</w:t>
      </w:r>
      <w:r w:rsidR="0083172B">
        <w:t>,</w:t>
      </w:r>
      <w:r w:rsidR="000D4A42">
        <w:t xml:space="preserve"> or had </w:t>
      </w:r>
      <w:r>
        <w:t>conflicting app</w:t>
      </w:r>
      <w:r w:rsidR="000D4A42">
        <w:t>oin</w:t>
      </w:r>
      <w:r>
        <w:t>t</w:t>
      </w:r>
      <w:r w:rsidR="000D4A42">
        <w:t>ment</w:t>
      </w:r>
      <w:r>
        <w:t>s</w:t>
      </w:r>
      <w:r w:rsidR="000D4A42">
        <w:t xml:space="preserve">. </w:t>
      </w:r>
      <w:proofErr w:type="gramStart"/>
      <w:r w:rsidR="000D4A42">
        <w:t>(Testimony</w:t>
      </w:r>
      <w:r w:rsidR="00AA0F7C">
        <w:t>; Pet ex. 9, p. 7</w:t>
      </w:r>
      <w:r w:rsidR="000D4A42">
        <w:t>.)</w:t>
      </w:r>
      <w:proofErr w:type="gramEnd"/>
    </w:p>
    <w:p w:rsidR="000D4A42" w:rsidRDefault="005F2847" w:rsidP="000D4A42">
      <w:pPr>
        <w:ind w:firstLine="720"/>
      </w:pPr>
      <w:r>
        <w:t>8</w:t>
      </w:r>
      <w:r w:rsidR="000D4A42">
        <w:t xml:space="preserve">. The Form 30 for case work manager does not mention maintaining a caseload. </w:t>
      </w:r>
      <w:proofErr w:type="gramStart"/>
      <w:r w:rsidR="000D4A42">
        <w:t>(Resp. ex. 4.)</w:t>
      </w:r>
      <w:proofErr w:type="gramEnd"/>
    </w:p>
    <w:p w:rsidR="000D4A42" w:rsidRPr="00AA0F7C" w:rsidRDefault="000D4A42" w:rsidP="005F2847">
      <w:pPr>
        <w:widowControl w:val="0"/>
      </w:pPr>
      <w:r>
        <w:tab/>
      </w:r>
      <w:r w:rsidR="005F2847">
        <w:t>9</w:t>
      </w:r>
      <w:r>
        <w:t xml:space="preserve">. Mr. Forbes’s performance evaluation, dated July 1, 1988, referred to his caseload. </w:t>
      </w:r>
      <w:proofErr w:type="gramStart"/>
      <w:r>
        <w:t>(Pet. ex. 4.)</w:t>
      </w:r>
      <w:proofErr w:type="gramEnd"/>
      <w:r>
        <w:t xml:space="preserve"> So did his performance evaluation from June 1989, and a 1992 nomination for a Department of Youth Services award. </w:t>
      </w:r>
      <w:proofErr w:type="gramStart"/>
      <w:r>
        <w:t>(Pet. exs. 5, 8.)</w:t>
      </w:r>
      <w:proofErr w:type="gramEnd"/>
      <w:r w:rsidR="00AA0F7C">
        <w:t xml:space="preserve"> </w:t>
      </w:r>
      <w:r w:rsidR="00AA0F7C">
        <w:rPr>
          <w:i/>
        </w:rPr>
        <w:t>See also</w:t>
      </w:r>
      <w:r w:rsidR="00AA0F7C">
        <w:t xml:space="preserve"> Petitioner’s Exhibits 2, 3, 9, 10, </w:t>
      </w:r>
      <w:r w:rsidR="00AA0F7C">
        <w:lastRenderedPageBreak/>
        <w:t>11 (all referring to Mr. Forbes’s direct work with youth</w:t>
      </w:r>
      <w:r w:rsidR="00BA6B3F">
        <w:t xml:space="preserve"> under DYS’s care</w:t>
      </w:r>
      <w:r w:rsidR="00AA0F7C">
        <w:t>).</w:t>
      </w:r>
    </w:p>
    <w:p w:rsidR="000D4A42" w:rsidRDefault="000D4A42" w:rsidP="000412D2">
      <w:pPr>
        <w:widowControl w:val="0"/>
      </w:pPr>
      <w:r>
        <w:tab/>
      </w:r>
      <w:r w:rsidR="005F2847">
        <w:t>10</w:t>
      </w:r>
      <w:r>
        <w:t xml:space="preserve">. Approximately half of Mr. Forbes’s duties were administrative; approximately half </w:t>
      </w:r>
      <w:r w:rsidR="000412D2">
        <w:t xml:space="preserve">of his duties </w:t>
      </w:r>
      <w:r>
        <w:t>entail</w:t>
      </w:r>
      <w:r w:rsidR="0066272B">
        <w:t>ed working directly with youth under DYS’s care</w:t>
      </w:r>
      <w:r>
        <w:t xml:space="preserve">. </w:t>
      </w:r>
      <w:proofErr w:type="gramStart"/>
      <w:r>
        <w:t>(Testimony.)</w:t>
      </w:r>
      <w:proofErr w:type="gramEnd"/>
    </w:p>
    <w:p w:rsidR="000412D2" w:rsidRDefault="005F2847" w:rsidP="000412D2">
      <w:pPr>
        <w:widowControl w:val="0"/>
        <w:ind w:firstLine="720"/>
      </w:pPr>
      <w:r>
        <w:t>11</w:t>
      </w:r>
      <w:r w:rsidR="000D4A42">
        <w:t>. When Mr. Fo</w:t>
      </w:r>
      <w:r w:rsidR="0066272B">
        <w:t>rbes worked directly with youth under DYS’s c</w:t>
      </w:r>
      <w:r>
        <w:t>are</w:t>
      </w:r>
      <w:r w:rsidR="000D4A42">
        <w:t xml:space="preserve">, he drove them </w:t>
      </w:r>
      <w:r w:rsidR="000412D2">
        <w:t>to and from residential programs, where they were interviewed for admission; physically removed them from residential programs, sometimes in mechanical restraints (handcuffs and leg irons); drove them to and from medical appointments, sometimes in mechanical restraints; decided whether to remove the restraints during medical appointments; visited them and their families in their home; drove them to and from court, sometimes from home</w:t>
      </w:r>
      <w:r w:rsidR="00955ED0">
        <w:t xml:space="preserve"> and back</w:t>
      </w:r>
      <w:r w:rsidR="000412D2">
        <w:t>, sometimes from a detention facility</w:t>
      </w:r>
      <w:r w:rsidR="00603BE9">
        <w:t xml:space="preserve"> and back</w:t>
      </w:r>
      <w:r w:rsidR="000412D2">
        <w:t xml:space="preserve">; </w:t>
      </w:r>
      <w:r w:rsidR="00955ED0">
        <w:t xml:space="preserve">and </w:t>
      </w:r>
      <w:r w:rsidR="000412D2">
        <w:t>sat down with them, after they had been apprehended under a warrant, and explain</w:t>
      </w:r>
      <w:r w:rsidR="00955ED0">
        <w:t>ed</w:t>
      </w:r>
      <w:r w:rsidR="000412D2">
        <w:t xml:space="preserve"> why</w:t>
      </w:r>
      <w:r w:rsidR="00955ED0">
        <w:t xml:space="preserve">. </w:t>
      </w:r>
      <w:proofErr w:type="gramStart"/>
      <w:r w:rsidR="00955ED0">
        <w:t>(Testimony.)</w:t>
      </w:r>
      <w:proofErr w:type="gramEnd"/>
    </w:p>
    <w:p w:rsidR="000412D2" w:rsidRDefault="005F2847" w:rsidP="000412D2">
      <w:pPr>
        <w:widowControl w:val="0"/>
        <w:ind w:firstLine="720"/>
      </w:pPr>
      <w:r>
        <w:t>12</w:t>
      </w:r>
      <w:r w:rsidR="00955ED0">
        <w:t xml:space="preserve">. In </w:t>
      </w:r>
      <w:r w:rsidR="000412D2">
        <w:t>court</w:t>
      </w:r>
      <w:r w:rsidR="00955ED0">
        <w:t xml:space="preserve">, Mr. Forbes sat with or behind </w:t>
      </w:r>
      <w:r w:rsidR="0066272B">
        <w:t>youth under DYS’s care</w:t>
      </w:r>
      <w:r w:rsidR="00955ED0">
        <w:t>; tried to make sure that everything was in order, including that the</w:t>
      </w:r>
      <w:r w:rsidR="000412D2">
        <w:t xml:space="preserve"> probation office</w:t>
      </w:r>
      <w:r w:rsidR="00955ED0">
        <w:t>rs</w:t>
      </w:r>
      <w:r w:rsidR="000412D2">
        <w:t xml:space="preserve"> </w:t>
      </w:r>
      <w:r w:rsidR="00955ED0">
        <w:t xml:space="preserve">knew that the </w:t>
      </w:r>
      <w:r w:rsidR="0066272B">
        <w:t>youth</w:t>
      </w:r>
      <w:r w:rsidR="00955ED0">
        <w:t xml:space="preserve"> were there; and sometimes talked about the </w:t>
      </w:r>
      <w:r w:rsidR="0066272B">
        <w:t>youth</w:t>
      </w:r>
      <w:r w:rsidR="00955ED0">
        <w:t xml:space="preserve"> with the judges, defense lawyers, and prosecutors. </w:t>
      </w:r>
      <w:proofErr w:type="gramStart"/>
      <w:r w:rsidR="00955ED0">
        <w:t>(Testimony.)</w:t>
      </w:r>
      <w:proofErr w:type="gramEnd"/>
    </w:p>
    <w:p w:rsidR="000D4A42" w:rsidRDefault="00955ED0" w:rsidP="00790BE1">
      <w:r>
        <w:tab/>
      </w:r>
      <w:r w:rsidR="008B2D3B">
        <w:t>13</w:t>
      </w:r>
      <w:r>
        <w:t xml:space="preserve">. Mr. Forbes’s average work week </w:t>
      </w:r>
      <w:r w:rsidR="00AA0F7C">
        <w:t xml:space="preserve">was 50 hours </w:t>
      </w:r>
      <w:r>
        <w:t xml:space="preserve">when he was a case work manager. </w:t>
      </w:r>
      <w:proofErr w:type="gramStart"/>
      <w:r w:rsidR="00AA0F7C">
        <w:t>(Testimony.)</w:t>
      </w:r>
      <w:proofErr w:type="gramEnd"/>
    </w:p>
    <w:p w:rsidR="00F609C3" w:rsidRDefault="00F609C3" w:rsidP="00790BE1">
      <w:r>
        <w:tab/>
      </w:r>
      <w:r w:rsidR="008B2D3B">
        <w:t>14</w:t>
      </w:r>
      <w:r>
        <w:t>. On January 7, 2013, Mr. Forbes applied to classify in Group 2 his service as a case</w:t>
      </w:r>
      <w:r w:rsidR="00CF4506">
        <w:t xml:space="preserve"> </w:t>
      </w:r>
      <w:r>
        <w:t xml:space="preserve">work manager from September 16, 1987 to May 30, 1992. </w:t>
      </w:r>
      <w:proofErr w:type="gramStart"/>
      <w:r>
        <w:t>(Resp. ex. 3.)</w:t>
      </w:r>
      <w:proofErr w:type="gramEnd"/>
    </w:p>
    <w:p w:rsidR="00F609C3" w:rsidRDefault="00F609C3" w:rsidP="00790BE1">
      <w:r>
        <w:tab/>
      </w:r>
      <w:r w:rsidR="008B2D3B">
        <w:t>15</w:t>
      </w:r>
      <w:r>
        <w:t xml:space="preserve">. On March 1, 2013, SBR denied Mr. Forbes’s application. </w:t>
      </w:r>
      <w:proofErr w:type="gramStart"/>
      <w:r>
        <w:t>(Resp. ex. 1.)</w:t>
      </w:r>
      <w:proofErr w:type="gramEnd"/>
    </w:p>
    <w:p w:rsidR="00CA7643" w:rsidRDefault="00CA7643" w:rsidP="00790BE1">
      <w:r>
        <w:tab/>
      </w:r>
      <w:r w:rsidR="008B2D3B">
        <w:t>16</w:t>
      </w:r>
      <w:r>
        <w:t xml:space="preserve">. On March 13, 2013, Mr. Forbes appealed. </w:t>
      </w:r>
      <w:proofErr w:type="gramStart"/>
      <w:r>
        <w:t>(Pet. ex. 1.)</w:t>
      </w:r>
      <w:proofErr w:type="gramEnd"/>
    </w:p>
    <w:p w:rsidR="00790BE1" w:rsidRDefault="00790BE1" w:rsidP="00790BE1">
      <w:pPr>
        <w:jc w:val="center"/>
        <w:rPr>
          <w:rFonts w:cs="Times New Roman"/>
          <w:b/>
          <w:szCs w:val="24"/>
        </w:rPr>
      </w:pPr>
      <w:r w:rsidRPr="00F90200">
        <w:rPr>
          <w:rFonts w:cs="Times New Roman"/>
          <w:b/>
          <w:szCs w:val="24"/>
        </w:rPr>
        <w:t>Discussion</w:t>
      </w:r>
    </w:p>
    <w:p w:rsidR="00CF4506" w:rsidRDefault="00CF4506" w:rsidP="00CF4506">
      <w:pPr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For retirement purposes, Commonwealth employees fall into four groups. Group 1 is the </w:t>
      </w:r>
      <w:r>
        <w:rPr>
          <w:rFonts w:cs="Times New Roman"/>
          <w:szCs w:val="24"/>
        </w:rPr>
        <w:lastRenderedPageBreak/>
        <w:t>general group. G.L. c. 32, § 3(</w:t>
      </w:r>
      <w:r w:rsidRPr="004702EA">
        <w:rPr>
          <w:rFonts w:cs="Times New Roman"/>
          <w:szCs w:val="24"/>
        </w:rPr>
        <w:t>2</w:t>
      </w:r>
      <w:proofErr w:type="gramStart"/>
      <w:r>
        <w:rPr>
          <w:rFonts w:cs="Times New Roman"/>
          <w:szCs w:val="24"/>
        </w:rPr>
        <w:t>)(</w:t>
      </w:r>
      <w:proofErr w:type="gramEnd"/>
      <w:r>
        <w:rPr>
          <w:rFonts w:cs="Times New Roman"/>
          <w:szCs w:val="24"/>
        </w:rPr>
        <w:t xml:space="preserve">g). Group 2 is the group for various employees, including those </w:t>
      </w:r>
    </w:p>
    <w:p w:rsidR="00CF4506" w:rsidRDefault="00CF4506" w:rsidP="00CF4506">
      <w:pPr>
        <w:widowControl w:val="0"/>
        <w:spacing w:line="240" w:lineRule="auto"/>
        <w:ind w:left="720" w:right="720"/>
        <w:rPr>
          <w:rFonts w:cs="Times New Roman"/>
          <w:szCs w:val="24"/>
        </w:rPr>
      </w:pPr>
      <w:proofErr w:type="gramStart"/>
      <w:r w:rsidRPr="00CF4506">
        <w:rPr>
          <w:rFonts w:cs="Times New Roman"/>
          <w:szCs w:val="24"/>
        </w:rPr>
        <w:t>whose</w:t>
      </w:r>
      <w:proofErr w:type="gramEnd"/>
      <w:r w:rsidRPr="00CF4506">
        <w:rPr>
          <w:rFonts w:cs="Times New Roman"/>
          <w:szCs w:val="24"/>
        </w:rPr>
        <w:t xml:space="preserve"> regular and major duties require them to have the care, custody, instruction or other supervision of…defective delinquents or wayward children….</w:t>
      </w:r>
    </w:p>
    <w:p w:rsidR="00CF4506" w:rsidRDefault="00CF4506" w:rsidP="00CF4506">
      <w:pPr>
        <w:widowControl w:val="0"/>
        <w:spacing w:line="240" w:lineRule="auto"/>
        <w:ind w:left="720" w:right="720"/>
        <w:rPr>
          <w:rFonts w:ascii="Helvetica" w:hAnsi="Helvetica" w:cs="Helvetica"/>
          <w:color w:val="333333"/>
          <w:sz w:val="21"/>
          <w:szCs w:val="21"/>
        </w:rPr>
      </w:pPr>
    </w:p>
    <w:p w:rsidR="00CF4506" w:rsidRDefault="001B4B90" w:rsidP="00790BE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Citing this provision, </w:t>
      </w:r>
      <w:r w:rsidR="00CF4506">
        <w:rPr>
          <w:rFonts w:cs="Times New Roman"/>
          <w:szCs w:val="24"/>
        </w:rPr>
        <w:t xml:space="preserve">Mr. Forbes seeks to reclassify his service as a case work manager from Group 1 to Group 2, which is more advantageous for </w:t>
      </w:r>
      <w:r w:rsidR="004702EA">
        <w:rPr>
          <w:rFonts w:cs="Times New Roman"/>
          <w:szCs w:val="24"/>
        </w:rPr>
        <w:t>the purpose of calculating retirement benefits.</w:t>
      </w:r>
      <w:r w:rsidR="0038244E">
        <w:rPr>
          <w:rFonts w:cs="Times New Roman"/>
          <w:szCs w:val="24"/>
        </w:rPr>
        <w:t xml:space="preserve"> </w:t>
      </w:r>
    </w:p>
    <w:p w:rsidR="0038244E" w:rsidRDefault="0038244E" w:rsidP="00790BE1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An employee’s group generally depends on his or her duties when he or she retires</w:t>
      </w:r>
      <w:r w:rsidR="00A25B6E">
        <w:rPr>
          <w:rFonts w:cs="Times New Roman"/>
          <w:szCs w:val="24"/>
        </w:rPr>
        <w:t>.</w:t>
      </w:r>
    </w:p>
    <w:p w:rsidR="0038244E" w:rsidRPr="00A25B6E" w:rsidRDefault="0038244E" w:rsidP="00790BE1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A25B6E">
        <w:rPr>
          <w:rFonts w:cs="Times New Roman"/>
          <w:bCs/>
          <w:i/>
          <w:color w:val="000000"/>
          <w:szCs w:val="24"/>
        </w:rPr>
        <w:t>Maddocks v. Contributory Retirement Appeal Board</w:t>
      </w:r>
      <w:r w:rsidR="00A25B6E">
        <w:rPr>
          <w:rFonts w:cs="Times New Roman"/>
          <w:bCs/>
          <w:color w:val="000000"/>
          <w:szCs w:val="24"/>
        </w:rPr>
        <w:t>, 369 Mass. 488, 494 (1976). In some circumstances, an employee who has served in more than one group</w:t>
      </w:r>
      <w:r w:rsidR="00652ED5">
        <w:rPr>
          <w:rFonts w:cs="Times New Roman"/>
          <w:bCs/>
          <w:color w:val="000000"/>
          <w:szCs w:val="24"/>
        </w:rPr>
        <w:t xml:space="preserve"> may receive retirement benefits pro-rated among groups. </w:t>
      </w:r>
      <w:r w:rsidR="00C50B4D">
        <w:rPr>
          <w:rFonts w:cs="Times New Roman"/>
          <w:bCs/>
          <w:color w:val="000000"/>
          <w:szCs w:val="24"/>
        </w:rPr>
        <w:t>G.L. c. 32, § 5(2</w:t>
      </w:r>
      <w:proofErr w:type="gramStart"/>
      <w:r w:rsidR="00C50B4D">
        <w:rPr>
          <w:rFonts w:cs="Times New Roman"/>
          <w:bCs/>
          <w:color w:val="000000"/>
          <w:szCs w:val="24"/>
        </w:rPr>
        <w:t>)(</w:t>
      </w:r>
      <w:proofErr w:type="gramEnd"/>
      <w:r w:rsidR="00C50B4D">
        <w:rPr>
          <w:rFonts w:cs="Times New Roman"/>
          <w:bCs/>
          <w:color w:val="000000"/>
          <w:szCs w:val="24"/>
        </w:rPr>
        <w:t>a).</w:t>
      </w:r>
      <w:r w:rsidR="00540B0D">
        <w:rPr>
          <w:rFonts w:cs="Times New Roman"/>
          <w:bCs/>
          <w:color w:val="000000"/>
          <w:szCs w:val="24"/>
        </w:rPr>
        <w:t xml:space="preserve"> That is what Mr. Forbes seeks to do.</w:t>
      </w:r>
    </w:p>
    <w:p w:rsidR="004702EA" w:rsidRDefault="004702EA" w:rsidP="00790BE1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77089D">
        <w:rPr>
          <w:rFonts w:cs="Times New Roman"/>
          <w:szCs w:val="24"/>
        </w:rPr>
        <w:t>In its</w:t>
      </w:r>
      <w:r w:rsidR="00301BFC">
        <w:rPr>
          <w:rFonts w:cs="Times New Roman"/>
          <w:szCs w:val="24"/>
        </w:rPr>
        <w:t xml:space="preserve"> prehearing memoran</w:t>
      </w:r>
      <w:r w:rsidR="00C66BE0">
        <w:rPr>
          <w:rFonts w:cs="Times New Roman"/>
          <w:szCs w:val="24"/>
        </w:rPr>
        <w:t>dum</w:t>
      </w:r>
      <w:r w:rsidR="0077089D">
        <w:rPr>
          <w:rFonts w:cs="Times New Roman"/>
          <w:szCs w:val="24"/>
        </w:rPr>
        <w:t>, SBR</w:t>
      </w:r>
      <w:r w:rsidR="00C66BE0">
        <w:rPr>
          <w:rFonts w:cs="Times New Roman"/>
          <w:szCs w:val="24"/>
        </w:rPr>
        <w:t xml:space="preserve"> brought to my attention that Massachusetts has eliminated the terms “defective children” and </w:t>
      </w:r>
      <w:r w:rsidR="002423DD">
        <w:rPr>
          <w:rFonts w:cs="Times New Roman"/>
          <w:szCs w:val="24"/>
        </w:rPr>
        <w:t>“wayward children.”</w:t>
      </w:r>
      <w:r w:rsidR="00C66BE0">
        <w:rPr>
          <w:rFonts w:cs="Times New Roman"/>
          <w:szCs w:val="24"/>
        </w:rPr>
        <w:t xml:space="preserve"> </w:t>
      </w:r>
      <w:r w:rsidR="0077089D">
        <w:rPr>
          <w:rFonts w:cs="Times New Roman"/>
          <w:szCs w:val="24"/>
        </w:rPr>
        <w:t>At the start of the hearing, m</w:t>
      </w:r>
      <w:r>
        <w:rPr>
          <w:rFonts w:cs="Times New Roman"/>
          <w:szCs w:val="24"/>
        </w:rPr>
        <w:t xml:space="preserve">y first question to SBR </w:t>
      </w:r>
      <w:r w:rsidR="00C04EDF">
        <w:rPr>
          <w:rFonts w:cs="Times New Roman"/>
          <w:szCs w:val="24"/>
        </w:rPr>
        <w:t>was whether youth</w:t>
      </w:r>
      <w:r>
        <w:rPr>
          <w:rFonts w:cs="Times New Roman"/>
          <w:szCs w:val="24"/>
        </w:rPr>
        <w:t xml:space="preserve"> in DYS’s care were “</w:t>
      </w:r>
      <w:r w:rsidRPr="00CF4506">
        <w:rPr>
          <w:rFonts w:cs="Times New Roman"/>
          <w:szCs w:val="24"/>
        </w:rPr>
        <w:t>defective delinquents or wayward children</w:t>
      </w:r>
      <w:r>
        <w:rPr>
          <w:rFonts w:cs="Times New Roman"/>
          <w:szCs w:val="24"/>
        </w:rPr>
        <w:t xml:space="preserve">” under </w:t>
      </w:r>
      <w:r w:rsidR="00301BFC">
        <w:rPr>
          <w:rFonts w:cs="Times New Roman"/>
          <w:szCs w:val="24"/>
        </w:rPr>
        <w:t>G.L. c. 32, § 3(</w:t>
      </w:r>
      <w:r w:rsidR="00301BFC" w:rsidRPr="004702EA">
        <w:rPr>
          <w:rFonts w:cs="Times New Roman"/>
          <w:szCs w:val="24"/>
        </w:rPr>
        <w:t>2</w:t>
      </w:r>
      <w:proofErr w:type="gramStart"/>
      <w:r w:rsidR="00301BFC">
        <w:rPr>
          <w:rFonts w:cs="Times New Roman"/>
          <w:szCs w:val="24"/>
        </w:rPr>
        <w:t>)(</w:t>
      </w:r>
      <w:proofErr w:type="gramEnd"/>
      <w:r w:rsidR="00301BFC">
        <w:rPr>
          <w:rFonts w:cs="Times New Roman"/>
          <w:szCs w:val="24"/>
        </w:rPr>
        <w:t>g)</w:t>
      </w:r>
      <w:r>
        <w:rPr>
          <w:rFonts w:cs="Times New Roman"/>
          <w:szCs w:val="24"/>
        </w:rPr>
        <w:t>. SBR answered yes.</w:t>
      </w:r>
    </w:p>
    <w:p w:rsidR="004B1E87" w:rsidRDefault="00B86E8F" w:rsidP="00790BE1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The statutory provision for “defective delinquents,” G.L. c. 123, § 113, </w:t>
      </w:r>
      <w:r>
        <w:rPr>
          <w:rFonts w:cs="Times New Roman"/>
          <w:i/>
          <w:szCs w:val="24"/>
        </w:rPr>
        <w:t>see In re Arthur Chinouinard</w:t>
      </w:r>
      <w:r>
        <w:rPr>
          <w:rFonts w:cs="Times New Roman"/>
          <w:szCs w:val="24"/>
        </w:rPr>
        <w:t>, 358 Mass. 780 (1971</w:t>
      </w:r>
      <w:proofErr w:type="gramStart"/>
      <w:r>
        <w:rPr>
          <w:rFonts w:cs="Times New Roman"/>
          <w:szCs w:val="24"/>
        </w:rPr>
        <w:t>)(</w:t>
      </w:r>
      <w:proofErr w:type="gramEnd"/>
      <w:r>
        <w:rPr>
          <w:rFonts w:cs="Times New Roman"/>
          <w:szCs w:val="24"/>
        </w:rPr>
        <w:t xml:space="preserve">interpreting statute), was repealed in 1970. </w:t>
      </w:r>
      <w:proofErr w:type="gramStart"/>
      <w:r>
        <w:rPr>
          <w:rFonts w:cs="Times New Roman"/>
          <w:szCs w:val="24"/>
        </w:rPr>
        <w:t>St. 1970, c. 888, § 4.</w:t>
      </w:r>
      <w:proofErr w:type="gramEnd"/>
      <w:r>
        <w:rPr>
          <w:rFonts w:cs="Times New Roman"/>
          <w:szCs w:val="24"/>
        </w:rPr>
        <w:t xml:space="preserve"> </w:t>
      </w:r>
    </w:p>
    <w:p w:rsidR="004702EA" w:rsidRPr="00B86E8F" w:rsidRDefault="004B1E87" w:rsidP="004B1E87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definition of “wayward child” was repealed in 1973. </w:t>
      </w:r>
      <w:proofErr w:type="gramStart"/>
      <w:r>
        <w:rPr>
          <w:rFonts w:cs="Times New Roman"/>
          <w:szCs w:val="24"/>
        </w:rPr>
        <w:t>St. 1973, c. 1073, § 6.</w:t>
      </w:r>
      <w:proofErr w:type="gramEnd"/>
      <w:r>
        <w:rPr>
          <w:rFonts w:cs="Times New Roman"/>
          <w:szCs w:val="24"/>
        </w:rPr>
        <w:t xml:space="preserve"> </w:t>
      </w:r>
      <w:r w:rsidR="00C65AF0">
        <w:rPr>
          <w:rFonts w:cs="Times New Roman"/>
          <w:szCs w:val="24"/>
        </w:rPr>
        <w:t>The term “wayward child”</w:t>
      </w:r>
      <w:r w:rsidR="00B86E8F">
        <w:rPr>
          <w:rFonts w:cs="Times New Roman"/>
          <w:szCs w:val="24"/>
        </w:rPr>
        <w:t xml:space="preserve"> </w:t>
      </w:r>
      <w:r w:rsidR="00C65AF0">
        <w:rPr>
          <w:rFonts w:cs="Times New Roman"/>
          <w:szCs w:val="24"/>
        </w:rPr>
        <w:t xml:space="preserve">was eliminated from G.L. c. 120, § 21 in 1996. </w:t>
      </w:r>
      <w:proofErr w:type="gramStart"/>
      <w:r w:rsidR="00C65AF0">
        <w:rPr>
          <w:rFonts w:cs="Times New Roman"/>
          <w:szCs w:val="24"/>
        </w:rPr>
        <w:t>St. 1996, c. 23.</w:t>
      </w:r>
      <w:proofErr w:type="gramEnd"/>
      <w:r>
        <w:rPr>
          <w:rFonts w:cs="Times New Roman"/>
          <w:szCs w:val="24"/>
        </w:rPr>
        <w:t xml:space="preserve"> </w:t>
      </w:r>
    </w:p>
    <w:p w:rsidR="00C65AF0" w:rsidRDefault="00C65AF0" w:rsidP="002423DD">
      <w:pPr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The language in Chapter 32 was not amended</w:t>
      </w:r>
      <w:r w:rsidR="006E4BC1">
        <w:rPr>
          <w:rFonts w:cs="Times New Roman"/>
          <w:szCs w:val="24"/>
        </w:rPr>
        <w:t xml:space="preserve"> to reflect the elimination of these terms</w:t>
      </w:r>
      <w:r>
        <w:rPr>
          <w:rFonts w:cs="Times New Roman"/>
          <w:szCs w:val="24"/>
        </w:rPr>
        <w:t xml:space="preserve">. As far as I know, no </w:t>
      </w:r>
      <w:r w:rsidR="006E4BC1">
        <w:rPr>
          <w:rFonts w:cs="Times New Roman"/>
          <w:szCs w:val="24"/>
        </w:rPr>
        <w:t>statute, specific court decision, or general principle of statutory construction</w:t>
      </w:r>
      <w:r>
        <w:rPr>
          <w:rFonts w:cs="Times New Roman"/>
          <w:szCs w:val="24"/>
        </w:rPr>
        <w:t xml:space="preserve"> provide</w:t>
      </w:r>
      <w:r w:rsidR="006E4BC1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that references to “defective delinquents” and “wayward children” now mean </w:t>
      </w:r>
      <w:proofErr w:type="gramStart"/>
      <w:r w:rsidR="00BA0FD6">
        <w:rPr>
          <w:rFonts w:cs="Times New Roman"/>
          <w:szCs w:val="24"/>
        </w:rPr>
        <w:t xml:space="preserve">youth </w:t>
      </w:r>
      <w:r>
        <w:rPr>
          <w:rFonts w:cs="Times New Roman"/>
          <w:szCs w:val="24"/>
        </w:rPr>
        <w:t xml:space="preserve"> under</w:t>
      </w:r>
      <w:proofErr w:type="gramEnd"/>
      <w:r>
        <w:rPr>
          <w:rFonts w:cs="Times New Roman"/>
          <w:szCs w:val="24"/>
        </w:rPr>
        <w:t xml:space="preserve"> DYS’s care.</w:t>
      </w:r>
    </w:p>
    <w:p w:rsidR="001B4B90" w:rsidRDefault="001B4B90" w:rsidP="00AE417A">
      <w:pPr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In fact, the elimination of the terms “defective delinquents” and “wayward children” </w:t>
      </w:r>
      <w:r>
        <w:rPr>
          <w:rFonts w:cs="Times New Roman"/>
          <w:szCs w:val="24"/>
        </w:rPr>
        <w:lastRenderedPageBreak/>
        <w:t xml:space="preserve">means that </w:t>
      </w:r>
      <w:r w:rsidR="00B344A2">
        <w:rPr>
          <w:rFonts w:cs="Times New Roman"/>
          <w:szCs w:val="24"/>
        </w:rPr>
        <w:t xml:space="preserve">it is no longer possible for </w:t>
      </w:r>
      <w:r>
        <w:rPr>
          <w:rFonts w:cs="Times New Roman"/>
          <w:szCs w:val="24"/>
        </w:rPr>
        <w:t xml:space="preserve">state employees </w:t>
      </w:r>
      <w:r w:rsidR="00B344A2">
        <w:rPr>
          <w:rFonts w:cs="Times New Roman"/>
          <w:szCs w:val="24"/>
        </w:rPr>
        <w:t xml:space="preserve">to </w:t>
      </w:r>
      <w:r>
        <w:rPr>
          <w:rFonts w:cs="Times New Roman"/>
          <w:szCs w:val="24"/>
        </w:rPr>
        <w:t>engage in “</w:t>
      </w:r>
      <w:r w:rsidRPr="00CF4506">
        <w:rPr>
          <w:rFonts w:cs="Times New Roman"/>
          <w:szCs w:val="24"/>
        </w:rPr>
        <w:t>the care, custody, instruction or other supervision of…defective delinquents or wayward children</w:t>
      </w:r>
      <w:r>
        <w:rPr>
          <w:rFonts w:cs="Times New Roman"/>
          <w:szCs w:val="24"/>
        </w:rPr>
        <w:t xml:space="preserve">,” </w:t>
      </w:r>
      <w:r w:rsidR="00B344A2">
        <w:rPr>
          <w:rFonts w:cs="Times New Roman"/>
          <w:szCs w:val="24"/>
        </w:rPr>
        <w:t>to</w:t>
      </w:r>
      <w:r>
        <w:rPr>
          <w:rFonts w:cs="Times New Roman"/>
          <w:szCs w:val="24"/>
        </w:rPr>
        <w:t xml:space="preserve"> have “</w:t>
      </w:r>
      <w:r w:rsidRPr="00CF4506">
        <w:rPr>
          <w:rFonts w:cs="Times New Roman"/>
          <w:szCs w:val="24"/>
        </w:rPr>
        <w:t>regular and major duties</w:t>
      </w:r>
      <w:r>
        <w:rPr>
          <w:rFonts w:cs="Times New Roman"/>
          <w:szCs w:val="24"/>
        </w:rPr>
        <w:t xml:space="preserve">” involving </w:t>
      </w:r>
      <w:r w:rsidRPr="00CF4506">
        <w:rPr>
          <w:rFonts w:cs="Times New Roman"/>
          <w:szCs w:val="24"/>
        </w:rPr>
        <w:t>defective delinquents or wayward children</w:t>
      </w:r>
      <w:r>
        <w:rPr>
          <w:rFonts w:cs="Times New Roman"/>
          <w:szCs w:val="24"/>
        </w:rPr>
        <w:t xml:space="preserve">, and </w:t>
      </w:r>
      <w:r w:rsidR="00B344A2">
        <w:rPr>
          <w:rFonts w:cs="Times New Roman"/>
          <w:szCs w:val="24"/>
        </w:rPr>
        <w:t>to</w:t>
      </w:r>
      <w:r>
        <w:rPr>
          <w:rFonts w:cs="Times New Roman"/>
          <w:szCs w:val="24"/>
        </w:rPr>
        <w:t xml:space="preserve"> be classified in Group 2 </w:t>
      </w:r>
      <w:r w:rsidR="00B344A2">
        <w:rPr>
          <w:rFonts w:cs="Times New Roman"/>
          <w:szCs w:val="24"/>
        </w:rPr>
        <w:t>or receive pro-rated benefits for Group 2 service</w:t>
      </w:r>
      <w:r w:rsidR="00AE417A">
        <w:rPr>
          <w:rFonts w:cs="Times New Roman"/>
          <w:szCs w:val="24"/>
        </w:rPr>
        <w:t xml:space="preserve"> on that basis</w:t>
      </w:r>
      <w:r>
        <w:rPr>
          <w:rFonts w:cs="Times New Roman"/>
          <w:szCs w:val="24"/>
        </w:rPr>
        <w:t xml:space="preserve">. </w:t>
      </w:r>
      <w:proofErr w:type="gramStart"/>
      <w:r>
        <w:rPr>
          <w:rFonts w:cs="Times New Roman"/>
          <w:szCs w:val="24"/>
        </w:rPr>
        <w:t xml:space="preserve">So opined the Contributory Retirement Appeal Board in </w:t>
      </w:r>
      <w:r>
        <w:rPr>
          <w:rFonts w:cs="Times New Roman"/>
          <w:i/>
          <w:szCs w:val="24"/>
        </w:rPr>
        <w:t>Denise DellaGuistina v. State Board of Retirement</w:t>
      </w:r>
      <w:r>
        <w:rPr>
          <w:rFonts w:cs="Times New Roman"/>
          <w:szCs w:val="24"/>
        </w:rPr>
        <w:t>, CR-11-699 (CRAB 2015).</w:t>
      </w:r>
      <w:proofErr w:type="gramEnd"/>
      <w:r>
        <w:rPr>
          <w:rFonts w:cs="Times New Roman"/>
          <w:szCs w:val="24"/>
        </w:rPr>
        <w:t xml:space="preserve"> CRAB noted that “it may safely be assumed that there are no longer any children in Massachusetts who have been adjudicated a ‘wayward child’” and </w:t>
      </w:r>
    </w:p>
    <w:p w:rsidR="000412D2" w:rsidRDefault="001B4B90" w:rsidP="00FD1E19">
      <w:pPr>
        <w:spacing w:line="240" w:lineRule="auto"/>
        <w:ind w:left="720" w:right="72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it</w:t>
      </w:r>
      <w:proofErr w:type="gramEnd"/>
      <w:r>
        <w:rPr>
          <w:rFonts w:cs="Times New Roman"/>
          <w:szCs w:val="24"/>
        </w:rPr>
        <w:t xml:space="preserve"> may safely be assumed that no persons are currently committed as “defective delinquents.”</w:t>
      </w:r>
      <w:r w:rsidR="00FD1E19">
        <w:rPr>
          <w:rFonts w:cs="Times New Roman"/>
          <w:szCs w:val="24"/>
        </w:rPr>
        <w:t xml:space="preserve"> These categories cannot add any support to DellaGuistina’s claim that a majority of her clients fell within a population covered </w:t>
      </w:r>
    </w:p>
    <w:p w:rsidR="00FD1E19" w:rsidRDefault="00FD1E19" w:rsidP="00FD1E19">
      <w:pPr>
        <w:spacing w:line="240" w:lineRule="auto"/>
        <w:ind w:left="720" w:right="720"/>
        <w:rPr>
          <w:rFonts w:cs="Times New Roman"/>
          <w:szCs w:val="24"/>
        </w:rPr>
      </w:pPr>
    </w:p>
    <w:p w:rsidR="00FD1E19" w:rsidRDefault="00FD1E19" w:rsidP="001B4B90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by</w:t>
      </w:r>
      <w:proofErr w:type="gramEnd"/>
      <w:r>
        <w:rPr>
          <w:rFonts w:cs="Times New Roman"/>
          <w:szCs w:val="24"/>
        </w:rPr>
        <w:t xml:space="preserve"> Group 2. </w:t>
      </w:r>
      <w:proofErr w:type="gramStart"/>
      <w:r>
        <w:rPr>
          <w:rFonts w:cs="Times New Roman"/>
          <w:i/>
          <w:szCs w:val="24"/>
        </w:rPr>
        <w:t>Id.</w:t>
      </w:r>
      <w:r>
        <w:rPr>
          <w:rFonts w:cs="Times New Roman"/>
          <w:szCs w:val="24"/>
        </w:rPr>
        <w:t xml:space="preserve"> at 4, 5.</w:t>
      </w:r>
      <w:proofErr w:type="gramEnd"/>
    </w:p>
    <w:p w:rsidR="00FD1E19" w:rsidRDefault="00FD1E19" w:rsidP="001B4B90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The </w:t>
      </w:r>
      <w:r w:rsidR="003B338B">
        <w:rPr>
          <w:rFonts w:cs="Times New Roman"/>
          <w:szCs w:val="24"/>
        </w:rPr>
        <w:t xml:space="preserve">parties agree </w:t>
      </w:r>
      <w:r>
        <w:rPr>
          <w:rFonts w:cs="Times New Roman"/>
          <w:szCs w:val="24"/>
        </w:rPr>
        <w:t xml:space="preserve">that </w:t>
      </w:r>
      <w:r w:rsidR="008D60A5">
        <w:rPr>
          <w:rFonts w:cs="Times New Roman"/>
          <w:szCs w:val="24"/>
        </w:rPr>
        <w:t xml:space="preserve">DYS </w:t>
      </w:r>
      <w:r>
        <w:rPr>
          <w:rFonts w:cs="Times New Roman"/>
          <w:szCs w:val="24"/>
        </w:rPr>
        <w:t>employees “</w:t>
      </w:r>
      <w:r w:rsidRPr="00CF4506">
        <w:rPr>
          <w:rFonts w:cs="Times New Roman"/>
          <w:szCs w:val="24"/>
        </w:rPr>
        <w:t>whose regular and major duties require them to have the care, custody, instruction or other supervision</w:t>
      </w:r>
      <w:r>
        <w:rPr>
          <w:rFonts w:cs="Times New Roman"/>
          <w:szCs w:val="24"/>
        </w:rPr>
        <w:t xml:space="preserve">” of </w:t>
      </w:r>
      <w:r w:rsidR="008D60A5">
        <w:rPr>
          <w:rFonts w:cs="Times New Roman"/>
          <w:szCs w:val="24"/>
        </w:rPr>
        <w:t>youth</w:t>
      </w:r>
      <w:r>
        <w:rPr>
          <w:rFonts w:cs="Times New Roman"/>
          <w:szCs w:val="24"/>
        </w:rPr>
        <w:t xml:space="preserve"> in DYS’s care are eligible for Group 2</w:t>
      </w:r>
      <w:r w:rsidR="003B338B">
        <w:rPr>
          <w:rFonts w:cs="Times New Roman"/>
          <w:szCs w:val="24"/>
        </w:rPr>
        <w:t>. However, the agreement of the parties cannot</w:t>
      </w:r>
      <w:r w:rsidR="00365D0C">
        <w:rPr>
          <w:rFonts w:cs="Times New Roman"/>
          <w:szCs w:val="24"/>
        </w:rPr>
        <w:t xml:space="preserve"> override the absence of </w:t>
      </w:r>
      <w:r w:rsidR="00857AA6">
        <w:rPr>
          <w:rFonts w:cs="Times New Roman"/>
          <w:szCs w:val="24"/>
        </w:rPr>
        <w:t>statutory authority for their position.</w:t>
      </w:r>
      <w:r>
        <w:rPr>
          <w:rFonts w:cs="Times New Roman"/>
          <w:szCs w:val="24"/>
        </w:rPr>
        <w:t xml:space="preserve"> </w:t>
      </w:r>
      <w:r w:rsidR="00857AA6">
        <w:rPr>
          <w:rFonts w:cs="Times New Roman"/>
          <w:szCs w:val="24"/>
        </w:rPr>
        <w:t xml:space="preserve">In </w:t>
      </w:r>
      <w:r w:rsidR="00194669">
        <w:rPr>
          <w:rFonts w:cs="Times New Roman"/>
          <w:szCs w:val="24"/>
        </w:rPr>
        <w:t>addition</w:t>
      </w:r>
      <w:r w:rsidR="00857AA6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I am bound by CRAB’s decision.</w:t>
      </w:r>
    </w:p>
    <w:p w:rsidR="00FD1E19" w:rsidRDefault="00FD1E19" w:rsidP="001B4B90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My understanding is that </w:t>
      </w:r>
      <w:r w:rsidR="00857AA6">
        <w:rPr>
          <w:rFonts w:cs="Times New Roman"/>
          <w:szCs w:val="24"/>
        </w:rPr>
        <w:t xml:space="preserve">DYS employees </w:t>
      </w:r>
      <w:r w:rsidR="00857AA6" w:rsidRPr="00CF4506">
        <w:rPr>
          <w:rFonts w:cs="Times New Roman"/>
          <w:szCs w:val="24"/>
        </w:rPr>
        <w:t>whose regular and major duties require them to have the care, custody, instruction or other supervision</w:t>
      </w:r>
      <w:r w:rsidR="00857AA6">
        <w:rPr>
          <w:rFonts w:cs="Times New Roman"/>
          <w:szCs w:val="24"/>
        </w:rPr>
        <w:t xml:space="preserve"> of youth in DYS’s care</w:t>
      </w:r>
      <w:r w:rsidR="007336CD">
        <w:rPr>
          <w:rFonts w:cs="Times New Roman"/>
          <w:szCs w:val="24"/>
        </w:rPr>
        <w:t xml:space="preserve"> are placed in Group 2. If my understanding is correct</w:t>
      </w:r>
      <w:r w:rsidR="00C771E7">
        <w:rPr>
          <w:rFonts w:cs="Times New Roman"/>
          <w:szCs w:val="24"/>
        </w:rPr>
        <w:t>, then an anomaly exists</w:t>
      </w:r>
      <w:r w:rsidR="00D8245B">
        <w:rPr>
          <w:rFonts w:cs="Times New Roman"/>
          <w:szCs w:val="24"/>
        </w:rPr>
        <w:t xml:space="preserve">. </w:t>
      </w:r>
      <w:r w:rsidR="00C771E7">
        <w:rPr>
          <w:rFonts w:cs="Times New Roman"/>
          <w:szCs w:val="24"/>
        </w:rPr>
        <w:t xml:space="preserve">DYS employees who retire in Group 2 </w:t>
      </w:r>
      <w:r w:rsidR="003B7FEA">
        <w:rPr>
          <w:rFonts w:cs="Times New Roman"/>
          <w:szCs w:val="24"/>
        </w:rPr>
        <w:t xml:space="preserve">or </w:t>
      </w:r>
      <w:r w:rsidR="00D8245B">
        <w:rPr>
          <w:rFonts w:cs="Times New Roman"/>
          <w:szCs w:val="24"/>
        </w:rPr>
        <w:t>seek pro-rated Group 2 benefits</w:t>
      </w:r>
      <w:r w:rsidR="0079600A">
        <w:rPr>
          <w:rFonts w:cs="Times New Roman"/>
          <w:szCs w:val="24"/>
        </w:rPr>
        <w:t>,</w:t>
      </w:r>
      <w:r w:rsidR="00D8245B">
        <w:rPr>
          <w:rFonts w:cs="Times New Roman"/>
          <w:szCs w:val="24"/>
        </w:rPr>
        <w:t xml:space="preserve"> and </w:t>
      </w:r>
      <w:r w:rsidR="0083172B">
        <w:rPr>
          <w:rFonts w:cs="Times New Roman"/>
          <w:szCs w:val="24"/>
        </w:rPr>
        <w:t>receive Group 2 status</w:t>
      </w:r>
      <w:r w:rsidR="00D8245B">
        <w:rPr>
          <w:rFonts w:cs="Times New Roman"/>
          <w:szCs w:val="24"/>
        </w:rPr>
        <w:t xml:space="preserve"> </w:t>
      </w:r>
      <w:r w:rsidR="00C771E7">
        <w:rPr>
          <w:rFonts w:cs="Times New Roman"/>
          <w:szCs w:val="24"/>
        </w:rPr>
        <w:t>without an appeal</w:t>
      </w:r>
      <w:r w:rsidR="0079600A">
        <w:rPr>
          <w:rFonts w:cs="Times New Roman"/>
          <w:szCs w:val="24"/>
        </w:rPr>
        <w:t>,</w:t>
      </w:r>
      <w:r w:rsidR="00D8245B">
        <w:rPr>
          <w:rFonts w:cs="Times New Roman"/>
          <w:szCs w:val="24"/>
        </w:rPr>
        <w:t xml:space="preserve"> receive the advantage of Group 2 classification. Mr. Forbes and</w:t>
      </w:r>
      <w:r w:rsidR="0079600A">
        <w:rPr>
          <w:rFonts w:cs="Times New Roman"/>
          <w:szCs w:val="24"/>
        </w:rPr>
        <w:t xml:space="preserve"> other DYS employees who </w:t>
      </w:r>
      <w:r w:rsidR="0083172B">
        <w:rPr>
          <w:rFonts w:cs="Times New Roman"/>
          <w:szCs w:val="24"/>
        </w:rPr>
        <w:t xml:space="preserve">are denied Group 2 status and who </w:t>
      </w:r>
      <w:r w:rsidR="009F28E2">
        <w:rPr>
          <w:rFonts w:cs="Times New Roman"/>
          <w:szCs w:val="24"/>
        </w:rPr>
        <w:t xml:space="preserve">may </w:t>
      </w:r>
      <w:r w:rsidR="0079600A">
        <w:rPr>
          <w:rFonts w:cs="Times New Roman"/>
          <w:szCs w:val="24"/>
        </w:rPr>
        <w:t>appeal</w:t>
      </w:r>
      <w:r w:rsidR="009F28E2">
        <w:rPr>
          <w:rFonts w:cs="Times New Roman"/>
          <w:szCs w:val="24"/>
        </w:rPr>
        <w:t xml:space="preserve"> in the future</w:t>
      </w:r>
      <w:r w:rsidR="0079600A">
        <w:rPr>
          <w:rFonts w:cs="Times New Roman"/>
          <w:szCs w:val="24"/>
        </w:rPr>
        <w:t xml:space="preserve"> do not receive the advantage.</w:t>
      </w:r>
      <w:r w:rsidR="009F28E2">
        <w:rPr>
          <w:rFonts w:cs="Times New Roman"/>
          <w:szCs w:val="24"/>
        </w:rPr>
        <w:t xml:space="preserve"> However, I don’t have the au</w:t>
      </w:r>
      <w:r w:rsidR="00FE7199">
        <w:rPr>
          <w:rFonts w:cs="Times New Roman"/>
          <w:szCs w:val="24"/>
        </w:rPr>
        <w:t xml:space="preserve">thority to resolve the anomaly, for the two reasons </w:t>
      </w:r>
      <w:r w:rsidR="0083172B">
        <w:rPr>
          <w:rFonts w:cs="Times New Roman"/>
          <w:szCs w:val="24"/>
        </w:rPr>
        <w:t xml:space="preserve">stated </w:t>
      </w:r>
      <w:r w:rsidR="00FE7199">
        <w:rPr>
          <w:rFonts w:cs="Times New Roman"/>
          <w:szCs w:val="24"/>
        </w:rPr>
        <w:t>in the previous paragraph.</w:t>
      </w:r>
    </w:p>
    <w:p w:rsidR="00B97D2C" w:rsidRDefault="00981A23" w:rsidP="00FE557F">
      <w:pPr>
        <w:widowControl w:val="0"/>
        <w:rPr>
          <w:rFonts w:cs="Times New Roman"/>
          <w:bCs/>
          <w:color w:val="000000"/>
          <w:szCs w:val="24"/>
        </w:rPr>
      </w:pPr>
      <w:r>
        <w:rPr>
          <w:rFonts w:cs="Times New Roman"/>
          <w:szCs w:val="24"/>
        </w:rPr>
        <w:tab/>
        <w:t xml:space="preserve">Mr. Forbes does not prevail for another reason. </w:t>
      </w:r>
      <w:r w:rsidR="00B97D2C">
        <w:rPr>
          <w:rFonts w:cs="Times New Roman"/>
          <w:szCs w:val="24"/>
        </w:rPr>
        <w:t>The “</w:t>
      </w:r>
      <w:r w:rsidR="00B97D2C" w:rsidRPr="00CF4506">
        <w:rPr>
          <w:rFonts w:cs="Times New Roman"/>
          <w:szCs w:val="24"/>
        </w:rPr>
        <w:t>regular and major duties</w:t>
      </w:r>
      <w:r w:rsidR="00B97D2C">
        <w:rPr>
          <w:rFonts w:cs="Times New Roman"/>
          <w:szCs w:val="24"/>
        </w:rPr>
        <w:t xml:space="preserve">” </w:t>
      </w:r>
      <w:r w:rsidR="00B97D2C">
        <w:rPr>
          <w:rFonts w:cs="Times New Roman"/>
          <w:szCs w:val="24"/>
        </w:rPr>
        <w:lastRenderedPageBreak/>
        <w:t>requirement in G.L. c. 32, § 3(</w:t>
      </w:r>
      <w:r w:rsidR="00B97D2C" w:rsidRPr="004702EA">
        <w:rPr>
          <w:rFonts w:cs="Times New Roman"/>
          <w:szCs w:val="24"/>
        </w:rPr>
        <w:t>2</w:t>
      </w:r>
      <w:proofErr w:type="gramStart"/>
      <w:r w:rsidR="00B97D2C">
        <w:rPr>
          <w:rFonts w:cs="Times New Roman"/>
          <w:szCs w:val="24"/>
        </w:rPr>
        <w:t>)(</w:t>
      </w:r>
      <w:proofErr w:type="gramEnd"/>
      <w:r w:rsidR="00B97D2C">
        <w:rPr>
          <w:rFonts w:cs="Times New Roman"/>
          <w:szCs w:val="24"/>
        </w:rPr>
        <w:t>g)</w:t>
      </w:r>
      <w:r w:rsidR="00FE557F">
        <w:rPr>
          <w:rFonts w:cs="Times New Roman"/>
          <w:szCs w:val="24"/>
        </w:rPr>
        <w:t xml:space="preserve"> has come to mean that an employee must spend more than half of his or her time engaged in those duties. </w:t>
      </w:r>
      <w:r w:rsidR="00713C3F">
        <w:rPr>
          <w:rFonts w:cs="Times New Roman"/>
          <w:szCs w:val="24"/>
        </w:rPr>
        <w:t xml:space="preserve">The Division of Administrative Law Appeals has so decided multiple times. </w:t>
      </w:r>
      <w:proofErr w:type="gramStart"/>
      <w:r w:rsidR="00713C3F">
        <w:rPr>
          <w:rFonts w:cs="Times New Roman"/>
          <w:i/>
          <w:szCs w:val="24"/>
        </w:rPr>
        <w:t>E.g.</w:t>
      </w:r>
      <w:r w:rsidR="00713C3F">
        <w:rPr>
          <w:rFonts w:cs="Times New Roman"/>
          <w:szCs w:val="24"/>
        </w:rPr>
        <w:t xml:space="preserve">, </w:t>
      </w:r>
      <w:r w:rsidR="005C57AC">
        <w:rPr>
          <w:rFonts w:cs="Times New Roman"/>
          <w:i/>
          <w:szCs w:val="24"/>
        </w:rPr>
        <w:t>Jo Ann Neusner v. State Board of Retirement</w:t>
      </w:r>
      <w:r w:rsidR="005C57AC">
        <w:rPr>
          <w:rFonts w:cs="Times New Roman"/>
          <w:szCs w:val="24"/>
        </w:rPr>
        <w:t xml:space="preserve">, CR-12-56 </w:t>
      </w:r>
      <w:r w:rsidR="00F711B6">
        <w:rPr>
          <w:rFonts w:cs="Times New Roman"/>
          <w:szCs w:val="24"/>
        </w:rPr>
        <w:t xml:space="preserve">*8 </w:t>
      </w:r>
      <w:r w:rsidR="005C57AC">
        <w:rPr>
          <w:rFonts w:cs="Times New Roman"/>
          <w:szCs w:val="24"/>
        </w:rPr>
        <w:t>(DALA 2015).</w:t>
      </w:r>
      <w:proofErr w:type="gramEnd"/>
      <w:r w:rsidR="005C57AC">
        <w:rPr>
          <w:rFonts w:cs="Times New Roman"/>
          <w:szCs w:val="24"/>
        </w:rPr>
        <w:t xml:space="preserve"> </w:t>
      </w:r>
      <w:r w:rsidR="00674360">
        <w:rPr>
          <w:rFonts w:cs="Times New Roman"/>
          <w:szCs w:val="24"/>
        </w:rPr>
        <w:t xml:space="preserve">The </w:t>
      </w:r>
      <w:r w:rsidR="00674360" w:rsidRPr="00674360">
        <w:rPr>
          <w:rFonts w:cs="Times New Roman"/>
          <w:bCs/>
          <w:color w:val="000000"/>
          <w:szCs w:val="24"/>
        </w:rPr>
        <w:t>Contributory Retirement Appeal Board</w:t>
      </w:r>
      <w:r w:rsidR="00674360">
        <w:rPr>
          <w:rFonts w:cs="Times New Roman"/>
          <w:bCs/>
          <w:color w:val="000000"/>
          <w:szCs w:val="24"/>
        </w:rPr>
        <w:t xml:space="preserve"> agrees. </w:t>
      </w:r>
      <w:proofErr w:type="gramStart"/>
      <w:r w:rsidR="00DF28B9">
        <w:rPr>
          <w:rFonts w:cs="Times New Roman"/>
          <w:bCs/>
          <w:i/>
          <w:color w:val="000000"/>
          <w:szCs w:val="24"/>
        </w:rPr>
        <w:t>E.g.</w:t>
      </w:r>
      <w:r w:rsidR="00DF28B9">
        <w:rPr>
          <w:rFonts w:cs="Times New Roman"/>
          <w:bCs/>
          <w:color w:val="000000"/>
          <w:szCs w:val="24"/>
        </w:rPr>
        <w:t xml:space="preserve">, </w:t>
      </w:r>
      <w:r w:rsidR="00DF28B9">
        <w:rPr>
          <w:rFonts w:cs="Times New Roman"/>
          <w:bCs/>
          <w:i/>
          <w:color w:val="000000"/>
          <w:szCs w:val="24"/>
        </w:rPr>
        <w:t>Kathleen Bailey v. State Board of Retirement</w:t>
      </w:r>
      <w:r w:rsidR="00DF28B9">
        <w:rPr>
          <w:rFonts w:cs="Times New Roman"/>
          <w:bCs/>
          <w:color w:val="000000"/>
          <w:szCs w:val="24"/>
        </w:rPr>
        <w:t xml:space="preserve">, CR-07-724 </w:t>
      </w:r>
      <w:r w:rsidR="00F711B6">
        <w:rPr>
          <w:rFonts w:cs="Times New Roman"/>
          <w:bCs/>
          <w:color w:val="000000"/>
          <w:szCs w:val="24"/>
        </w:rPr>
        <w:t xml:space="preserve">*6 </w:t>
      </w:r>
      <w:r w:rsidR="00DF28B9">
        <w:rPr>
          <w:rFonts w:cs="Times New Roman"/>
          <w:bCs/>
          <w:color w:val="000000"/>
          <w:szCs w:val="24"/>
        </w:rPr>
        <w:t>(CRAB 2012)</w:t>
      </w:r>
      <w:r w:rsidR="00F711B6">
        <w:rPr>
          <w:rFonts w:cs="Times New Roman"/>
          <w:bCs/>
          <w:color w:val="000000"/>
          <w:szCs w:val="24"/>
        </w:rPr>
        <w:t xml:space="preserve">; </w:t>
      </w:r>
      <w:r w:rsidR="00F711B6">
        <w:rPr>
          <w:rFonts w:cs="Times New Roman"/>
          <w:bCs/>
          <w:i/>
          <w:color w:val="000000"/>
          <w:szCs w:val="24"/>
        </w:rPr>
        <w:t>Theresa Currie v. State Board of Retirement</w:t>
      </w:r>
      <w:r w:rsidR="00F711B6">
        <w:rPr>
          <w:rFonts w:cs="Times New Roman"/>
          <w:bCs/>
          <w:color w:val="000000"/>
          <w:szCs w:val="24"/>
        </w:rPr>
        <w:t xml:space="preserve">, CR-10-461 *4 (CRAB </w:t>
      </w:r>
      <w:r w:rsidR="00114701">
        <w:rPr>
          <w:rFonts w:cs="Times New Roman"/>
          <w:bCs/>
          <w:color w:val="000000"/>
          <w:szCs w:val="24"/>
        </w:rPr>
        <w:t>no date)</w:t>
      </w:r>
      <w:r w:rsidR="00737B65">
        <w:rPr>
          <w:rFonts w:cs="Times New Roman"/>
          <w:bCs/>
          <w:color w:val="000000"/>
          <w:szCs w:val="24"/>
        </w:rPr>
        <w:t>.</w:t>
      </w:r>
      <w:proofErr w:type="gramEnd"/>
    </w:p>
    <w:p w:rsidR="00560FB3" w:rsidRDefault="00737B65" w:rsidP="009A6CAB">
      <w:pPr>
        <w:widowControl w:val="0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ab/>
        <w:t xml:space="preserve">I am not sure that this </w:t>
      </w:r>
      <w:r w:rsidR="00343453">
        <w:rPr>
          <w:rFonts w:cs="Times New Roman"/>
          <w:bCs/>
          <w:color w:val="000000"/>
          <w:szCs w:val="24"/>
        </w:rPr>
        <w:t xml:space="preserve">51% rule </w:t>
      </w:r>
      <w:r>
        <w:rPr>
          <w:rFonts w:cs="Times New Roman"/>
          <w:bCs/>
          <w:color w:val="000000"/>
          <w:szCs w:val="24"/>
        </w:rPr>
        <w:t xml:space="preserve">is correct. </w:t>
      </w:r>
      <w:r w:rsidR="008C4D98">
        <w:rPr>
          <w:rFonts w:cs="Times New Roman"/>
          <w:bCs/>
          <w:color w:val="000000"/>
          <w:szCs w:val="24"/>
        </w:rPr>
        <w:t>The words “major” and “majority” are related but they are not the same. To interpret “major duties” to mean “majority of duties” may misread the statute.</w:t>
      </w:r>
      <w:r w:rsidR="009A6CAB">
        <w:rPr>
          <w:rFonts w:cs="Times New Roman"/>
          <w:bCs/>
          <w:color w:val="000000"/>
          <w:szCs w:val="24"/>
        </w:rPr>
        <w:t xml:space="preserve"> </w:t>
      </w:r>
    </w:p>
    <w:p w:rsidR="0080416F" w:rsidRDefault="00560FB3" w:rsidP="009A6CAB">
      <w:pPr>
        <w:widowControl w:val="0"/>
        <w:rPr>
          <w:rFonts w:eastAsia="Times New Roman" w:cs="Times New Roman"/>
          <w:szCs w:val="24"/>
        </w:rPr>
      </w:pPr>
      <w:r>
        <w:rPr>
          <w:rFonts w:cs="Times New Roman"/>
          <w:bCs/>
          <w:color w:val="000000"/>
          <w:szCs w:val="24"/>
        </w:rPr>
        <w:tab/>
      </w:r>
      <w:r w:rsidR="009A6CAB">
        <w:rPr>
          <w:rFonts w:cs="Times New Roman"/>
          <w:bCs/>
          <w:color w:val="000000"/>
          <w:szCs w:val="24"/>
        </w:rPr>
        <w:t>Furthermore,</w:t>
      </w:r>
      <w:r w:rsidR="00C51DBD">
        <w:rPr>
          <w:rFonts w:cs="Times New Roman"/>
          <w:bCs/>
          <w:color w:val="000000"/>
          <w:szCs w:val="24"/>
        </w:rPr>
        <w:t xml:space="preserve"> </w:t>
      </w:r>
      <w:r w:rsidR="009A6CAB">
        <w:rPr>
          <w:rFonts w:cs="Times New Roman"/>
          <w:bCs/>
          <w:color w:val="000000"/>
          <w:szCs w:val="24"/>
        </w:rPr>
        <w:t>if an employee is engaged in duties more than half of the time, the duties are necessarily regular. I</w:t>
      </w:r>
      <w:r w:rsidR="00CA1610">
        <w:rPr>
          <w:rFonts w:cs="Times New Roman"/>
          <w:bCs/>
          <w:color w:val="000000"/>
          <w:szCs w:val="24"/>
        </w:rPr>
        <w:t xml:space="preserve">f “major duties” </w:t>
      </w:r>
      <w:r w:rsidR="00CA1610" w:rsidRPr="00CA1610">
        <w:rPr>
          <w:rFonts w:cs="Times New Roman"/>
          <w:bCs/>
          <w:color w:val="000000"/>
          <w:szCs w:val="24"/>
        </w:rPr>
        <w:t>does</w:t>
      </w:r>
      <w:r w:rsidR="00CA1610">
        <w:rPr>
          <w:rFonts w:cs="Times New Roman"/>
          <w:bCs/>
          <w:i/>
          <w:color w:val="000000"/>
          <w:szCs w:val="24"/>
        </w:rPr>
        <w:t xml:space="preserve"> </w:t>
      </w:r>
      <w:r w:rsidR="00180C66">
        <w:rPr>
          <w:rFonts w:cs="Times New Roman"/>
          <w:bCs/>
          <w:color w:val="000000"/>
          <w:szCs w:val="24"/>
        </w:rPr>
        <w:t>mean</w:t>
      </w:r>
      <w:r w:rsidR="008C4D98">
        <w:rPr>
          <w:rFonts w:cs="Times New Roman"/>
          <w:bCs/>
          <w:color w:val="000000"/>
          <w:szCs w:val="24"/>
        </w:rPr>
        <w:t xml:space="preserve"> </w:t>
      </w:r>
      <w:r w:rsidR="00CA1610">
        <w:rPr>
          <w:rFonts w:cs="Times New Roman"/>
          <w:bCs/>
          <w:color w:val="000000"/>
          <w:szCs w:val="24"/>
        </w:rPr>
        <w:t>“majority of duties,” then “regular...</w:t>
      </w:r>
      <w:r w:rsidR="00AE04BF">
        <w:rPr>
          <w:rFonts w:cs="Times New Roman"/>
          <w:bCs/>
          <w:color w:val="000000"/>
          <w:szCs w:val="24"/>
        </w:rPr>
        <w:t xml:space="preserve"> </w:t>
      </w:r>
      <w:r w:rsidR="00CA1610">
        <w:rPr>
          <w:rFonts w:cs="Times New Roman"/>
          <w:bCs/>
          <w:color w:val="000000"/>
          <w:szCs w:val="24"/>
        </w:rPr>
        <w:t>duties” is superfluous.</w:t>
      </w:r>
      <w:r w:rsidR="00AE04BF">
        <w:rPr>
          <w:rFonts w:cs="Times New Roman"/>
          <w:bCs/>
          <w:color w:val="000000"/>
          <w:szCs w:val="24"/>
        </w:rPr>
        <w:t xml:space="preserve"> </w:t>
      </w:r>
      <w:r w:rsidR="009A6CAB">
        <w:rPr>
          <w:rFonts w:cs="Times New Roman"/>
          <w:bCs/>
          <w:color w:val="000000"/>
          <w:szCs w:val="24"/>
        </w:rPr>
        <w:t>However, “</w:t>
      </w:r>
      <w:r w:rsidR="009A6CAB" w:rsidRPr="00215524">
        <w:rPr>
          <w:rFonts w:eastAsia="Times New Roman" w:cs="Times New Roman"/>
          <w:szCs w:val="24"/>
        </w:rPr>
        <w:t>no word in a statute should be considered superfluous.</w:t>
      </w:r>
      <w:r w:rsidR="009A6CAB">
        <w:rPr>
          <w:rFonts w:eastAsia="Times New Roman" w:cs="Times New Roman"/>
          <w:szCs w:val="24"/>
        </w:rPr>
        <w:t xml:space="preserve">” </w:t>
      </w:r>
      <w:r w:rsidR="009A6CAB">
        <w:rPr>
          <w:rFonts w:eastAsia="Times New Roman" w:cs="Times New Roman"/>
          <w:i/>
          <w:szCs w:val="24"/>
        </w:rPr>
        <w:t>Internationa</w:t>
      </w:r>
      <w:r w:rsidR="00215524" w:rsidRPr="00215524">
        <w:rPr>
          <w:rFonts w:eastAsia="Times New Roman" w:cs="Times New Roman"/>
          <w:i/>
          <w:szCs w:val="24"/>
        </w:rPr>
        <w:t>l Org</w:t>
      </w:r>
      <w:r w:rsidR="009A6CAB">
        <w:rPr>
          <w:rFonts w:eastAsia="Times New Roman" w:cs="Times New Roman"/>
          <w:i/>
          <w:szCs w:val="24"/>
        </w:rPr>
        <w:t>anization</w:t>
      </w:r>
      <w:r w:rsidR="00215524" w:rsidRPr="00215524">
        <w:rPr>
          <w:rFonts w:eastAsia="Times New Roman" w:cs="Times New Roman"/>
          <w:i/>
          <w:szCs w:val="24"/>
        </w:rPr>
        <w:t xml:space="preserve"> </w:t>
      </w:r>
      <w:r w:rsidR="009A6CAB">
        <w:rPr>
          <w:rFonts w:eastAsia="Times New Roman" w:cs="Times New Roman"/>
          <w:i/>
          <w:szCs w:val="24"/>
        </w:rPr>
        <w:t>of Masters, Mates &amp; Pilots, Atlantic</w:t>
      </w:r>
      <w:r w:rsidR="00C51DBD">
        <w:rPr>
          <w:rFonts w:eastAsia="Times New Roman" w:cs="Times New Roman"/>
          <w:i/>
          <w:szCs w:val="24"/>
        </w:rPr>
        <w:t xml:space="preserve"> and</w:t>
      </w:r>
      <w:r w:rsidR="00215524" w:rsidRPr="00215524">
        <w:rPr>
          <w:rFonts w:eastAsia="Times New Roman" w:cs="Times New Roman"/>
          <w:i/>
          <w:szCs w:val="24"/>
        </w:rPr>
        <w:t xml:space="preserve"> Gulf Mar</w:t>
      </w:r>
      <w:r w:rsidR="009A6CAB">
        <w:rPr>
          <w:rFonts w:eastAsia="Times New Roman" w:cs="Times New Roman"/>
          <w:i/>
          <w:szCs w:val="24"/>
        </w:rPr>
        <w:t>itime</w:t>
      </w:r>
      <w:r w:rsidR="00215524" w:rsidRPr="00215524">
        <w:rPr>
          <w:rFonts w:eastAsia="Times New Roman" w:cs="Times New Roman"/>
          <w:i/>
          <w:szCs w:val="24"/>
        </w:rPr>
        <w:t xml:space="preserve"> Region, AFL-CIO v. Woods Hole, Martha's Vineyard &amp; </w:t>
      </w:r>
      <w:r w:rsidR="00C51DBD">
        <w:rPr>
          <w:rFonts w:eastAsia="Times New Roman" w:cs="Times New Roman"/>
          <w:i/>
          <w:szCs w:val="24"/>
        </w:rPr>
        <w:t>Nantucket Steamship</w:t>
      </w:r>
      <w:r w:rsidR="00215524" w:rsidRPr="00215524">
        <w:rPr>
          <w:rFonts w:eastAsia="Times New Roman" w:cs="Times New Roman"/>
          <w:i/>
          <w:szCs w:val="24"/>
        </w:rPr>
        <w:t xml:space="preserve"> Auth</w:t>
      </w:r>
      <w:r w:rsidR="00C51DBD">
        <w:rPr>
          <w:rFonts w:eastAsia="Times New Roman" w:cs="Times New Roman"/>
          <w:i/>
          <w:szCs w:val="24"/>
        </w:rPr>
        <w:t>ority</w:t>
      </w:r>
      <w:r w:rsidR="00215524" w:rsidRPr="00215524">
        <w:rPr>
          <w:rFonts w:eastAsia="Times New Roman" w:cs="Times New Roman"/>
          <w:szCs w:val="24"/>
        </w:rPr>
        <w:t>, 392 Mass. 811, 813 (1984)</w:t>
      </w:r>
      <w:r>
        <w:rPr>
          <w:rFonts w:eastAsia="Times New Roman" w:cs="Times New Roman"/>
          <w:szCs w:val="24"/>
        </w:rPr>
        <w:t xml:space="preserve">. If no statutory word is considered superfluous, then “regular” must mean something </w:t>
      </w:r>
      <w:r w:rsidR="006A43DA">
        <w:rPr>
          <w:rFonts w:eastAsia="Times New Roman" w:cs="Times New Roman"/>
          <w:szCs w:val="24"/>
        </w:rPr>
        <w:t>and “majo</w:t>
      </w:r>
      <w:r w:rsidR="00BD1174">
        <w:rPr>
          <w:rFonts w:eastAsia="Times New Roman" w:cs="Times New Roman"/>
          <w:szCs w:val="24"/>
        </w:rPr>
        <w:t>r duties” cannot mean “majority of duties.”</w:t>
      </w:r>
    </w:p>
    <w:p w:rsidR="00BD1174" w:rsidRDefault="00BD1174" w:rsidP="009A6CAB">
      <w:pPr>
        <w:widowContro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 w:rsidR="005D26F0">
        <w:rPr>
          <w:rFonts w:eastAsia="Times New Roman" w:cs="Times New Roman"/>
          <w:szCs w:val="24"/>
        </w:rPr>
        <w:t>Perhaps the 51% rule should be revisited</w:t>
      </w:r>
      <w:r w:rsidR="00343453">
        <w:rPr>
          <w:rFonts w:eastAsia="Times New Roman" w:cs="Times New Roman"/>
          <w:szCs w:val="24"/>
        </w:rPr>
        <w:t>,</w:t>
      </w:r>
      <w:r w:rsidR="005D26F0">
        <w:rPr>
          <w:rFonts w:eastAsia="Times New Roman" w:cs="Times New Roman"/>
          <w:szCs w:val="24"/>
        </w:rPr>
        <w:t xml:space="preserve"> but for now, I am bound by CRAB’s embrace of it.</w:t>
      </w:r>
    </w:p>
    <w:p w:rsidR="002C5386" w:rsidRDefault="005D26F0" w:rsidP="009A6CAB">
      <w:pPr>
        <w:widowContro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 xml:space="preserve">Mr. Forbes testified that he spent “about half” of his time </w:t>
      </w:r>
      <w:r w:rsidR="002C5386">
        <w:rPr>
          <w:rFonts w:eastAsia="Times New Roman" w:cs="Times New Roman"/>
          <w:szCs w:val="24"/>
        </w:rPr>
        <w:t>engaged in the c</w:t>
      </w:r>
      <w:r w:rsidR="002C5386" w:rsidRPr="00CF4506">
        <w:rPr>
          <w:rFonts w:cs="Times New Roman"/>
          <w:szCs w:val="24"/>
        </w:rPr>
        <w:t xml:space="preserve">are, custody, </w:t>
      </w:r>
      <w:r w:rsidR="002C5386">
        <w:rPr>
          <w:rFonts w:cs="Times New Roman"/>
          <w:szCs w:val="24"/>
        </w:rPr>
        <w:t xml:space="preserve">or </w:t>
      </w:r>
      <w:r w:rsidR="002C5386" w:rsidRPr="00CF4506">
        <w:rPr>
          <w:rFonts w:cs="Times New Roman"/>
          <w:szCs w:val="24"/>
        </w:rPr>
        <w:t>supervision of</w:t>
      </w:r>
      <w:r w:rsidR="002C5386">
        <w:rPr>
          <w:rFonts w:cs="Times New Roman"/>
          <w:szCs w:val="24"/>
        </w:rPr>
        <w:t xml:space="preserve"> youth who were, in turn, in DYS’s care. Twenty-four years after he </w:t>
      </w:r>
      <w:r w:rsidR="00B337B3">
        <w:rPr>
          <w:rFonts w:cs="Times New Roman"/>
          <w:szCs w:val="24"/>
        </w:rPr>
        <w:t xml:space="preserve">ended his service </w:t>
      </w:r>
      <w:r w:rsidR="002C5386">
        <w:rPr>
          <w:rFonts w:cs="Times New Roman"/>
          <w:szCs w:val="24"/>
        </w:rPr>
        <w:t>as a case work manager, he cannot be more specific.</w:t>
      </w:r>
      <w:r w:rsidR="00772B35">
        <w:rPr>
          <w:rFonts w:cs="Times New Roman"/>
          <w:szCs w:val="24"/>
        </w:rPr>
        <w:t xml:space="preserve"> He may have spent 55% of his time directly caring for youth, but he may have spent 45% of his time</w:t>
      </w:r>
      <w:r w:rsidR="00354A34">
        <w:rPr>
          <w:rFonts w:cs="Times New Roman"/>
          <w:szCs w:val="24"/>
        </w:rPr>
        <w:t>. Mr. Forbes has the burden of proof</w:t>
      </w:r>
      <w:r w:rsidR="00603BE9">
        <w:rPr>
          <w:rFonts w:cs="Times New Roman"/>
          <w:szCs w:val="24"/>
        </w:rPr>
        <w:t xml:space="preserve">. </w:t>
      </w:r>
      <w:r w:rsidR="00603BE9">
        <w:rPr>
          <w:i/>
        </w:rPr>
        <w:t xml:space="preserve">Deborah </w:t>
      </w:r>
      <w:proofErr w:type="spellStart"/>
      <w:r w:rsidR="00603BE9">
        <w:rPr>
          <w:i/>
        </w:rPr>
        <w:t>Herst</w:t>
      </w:r>
      <w:proofErr w:type="spellEnd"/>
      <w:r w:rsidR="00603BE9">
        <w:rPr>
          <w:i/>
        </w:rPr>
        <w:t xml:space="preserve"> Hill v. State Board of Retirement</w:t>
      </w:r>
      <w:r w:rsidR="00603BE9">
        <w:t>, CR-07-605 (DALA 2009)(“</w:t>
      </w:r>
      <w:r w:rsidR="00603BE9">
        <w:rPr>
          <w:lang w:val="en"/>
        </w:rPr>
        <w:t xml:space="preserve">The </w:t>
      </w:r>
      <w:r w:rsidR="00603BE9">
        <w:rPr>
          <w:lang w:val="en"/>
        </w:rPr>
        <w:lastRenderedPageBreak/>
        <w:t xml:space="preserve">Petitioner has the burden of proof on each element necessary to establish entitlement to a benefit under Chapter 32”). </w:t>
      </w:r>
      <w:r w:rsidR="00603BE9">
        <w:rPr>
          <w:i/>
        </w:rPr>
        <w:t>See generally</w:t>
      </w:r>
      <w:r w:rsidR="00603BE9">
        <w:t xml:space="preserve"> </w:t>
      </w:r>
      <w:r w:rsidR="00603BE9">
        <w:rPr>
          <w:i/>
        </w:rPr>
        <w:t>Lisbon v. Contributory Retirement Appeal Board</w:t>
      </w:r>
      <w:r w:rsidR="00603BE9">
        <w:t xml:space="preserve">, 41 Mass. App. Ct. 246, 255 (1996); </w:t>
      </w:r>
      <w:proofErr w:type="spellStart"/>
      <w:r w:rsidR="00603BE9">
        <w:rPr>
          <w:i/>
        </w:rPr>
        <w:t>Blanchette</w:t>
      </w:r>
      <w:proofErr w:type="spellEnd"/>
      <w:r w:rsidR="00603BE9">
        <w:rPr>
          <w:i/>
        </w:rPr>
        <w:t xml:space="preserve"> v. Contributory Retirement Appeal Board</w:t>
      </w:r>
      <w:r w:rsidR="00603BE9">
        <w:t>, 20 Mass. App. Ct. 479, 483 (1985). However, Mr. Forbes</w:t>
      </w:r>
      <w:r w:rsidR="00354A34">
        <w:rPr>
          <w:rFonts w:cs="Times New Roman"/>
          <w:szCs w:val="24"/>
        </w:rPr>
        <w:t xml:space="preserve"> has not proved that he spent more than </w:t>
      </w:r>
      <w:r w:rsidR="00354A34">
        <w:rPr>
          <w:rFonts w:eastAsia="Times New Roman" w:cs="Times New Roman"/>
          <w:szCs w:val="24"/>
        </w:rPr>
        <w:t>half of his time engaged in the c</w:t>
      </w:r>
      <w:r w:rsidR="00354A34" w:rsidRPr="00CF4506">
        <w:rPr>
          <w:rFonts w:cs="Times New Roman"/>
          <w:szCs w:val="24"/>
        </w:rPr>
        <w:t xml:space="preserve">are, custody, </w:t>
      </w:r>
      <w:r w:rsidR="00354A34">
        <w:rPr>
          <w:rFonts w:cs="Times New Roman"/>
          <w:szCs w:val="24"/>
        </w:rPr>
        <w:t xml:space="preserve">or </w:t>
      </w:r>
      <w:r w:rsidR="00354A34" w:rsidRPr="00CF4506">
        <w:rPr>
          <w:rFonts w:cs="Times New Roman"/>
          <w:szCs w:val="24"/>
        </w:rPr>
        <w:t>supervision of</w:t>
      </w:r>
      <w:r w:rsidR="00354A34">
        <w:rPr>
          <w:rFonts w:cs="Times New Roman"/>
          <w:szCs w:val="24"/>
        </w:rPr>
        <w:t xml:space="preserve"> youth in DYS’s care</w:t>
      </w:r>
      <w:r w:rsidR="00F31BA0">
        <w:rPr>
          <w:rFonts w:cs="Times New Roman"/>
          <w:szCs w:val="24"/>
        </w:rPr>
        <w:t>.</w:t>
      </w:r>
    </w:p>
    <w:p w:rsidR="00790BE1" w:rsidRDefault="00790BE1" w:rsidP="00790BE1">
      <w:pPr>
        <w:pStyle w:val="Default"/>
        <w:spacing w:line="480" w:lineRule="auto"/>
        <w:jc w:val="center"/>
        <w:rPr>
          <w:b/>
          <w:color w:val="auto"/>
        </w:rPr>
      </w:pPr>
      <w:r w:rsidRPr="00DB6139">
        <w:rPr>
          <w:b/>
          <w:color w:val="auto"/>
        </w:rPr>
        <w:t>Conclusion</w:t>
      </w:r>
      <w:r>
        <w:rPr>
          <w:b/>
          <w:color w:val="auto"/>
        </w:rPr>
        <w:t xml:space="preserve"> and Order</w:t>
      </w:r>
    </w:p>
    <w:p w:rsidR="00790BE1" w:rsidRPr="00DB6139" w:rsidRDefault="00A834B3" w:rsidP="009D34DE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90"/>
      </w:pPr>
      <w:r>
        <w:tab/>
      </w:r>
      <w:r w:rsidR="00BA0C4A">
        <w:t>S</w:t>
      </w:r>
      <w:r>
        <w:t>B</w:t>
      </w:r>
      <w:r w:rsidR="00BA0C4A">
        <w:t>R</w:t>
      </w:r>
      <w:r>
        <w:t xml:space="preserve">’s denial of Mr. Forbes’s application for </w:t>
      </w:r>
      <w:r w:rsidR="00B337B3">
        <w:t>pro-rated</w:t>
      </w:r>
      <w:r>
        <w:t xml:space="preserve"> credit for service in Group 2 is affirmed. </w:t>
      </w:r>
      <w:r w:rsidR="00CE0EE3">
        <w:t xml:space="preserve">Mr. Forbes relied on </w:t>
      </w:r>
      <w:r w:rsidR="00CE0EE3">
        <w:rPr>
          <w:rFonts w:cs="Times New Roman"/>
          <w:szCs w:val="24"/>
        </w:rPr>
        <w:t xml:space="preserve">statutory language for Group 2 </w:t>
      </w:r>
      <w:r w:rsidR="009D34DE">
        <w:rPr>
          <w:rFonts w:cs="Times New Roman"/>
          <w:szCs w:val="24"/>
        </w:rPr>
        <w:t xml:space="preserve">that refers </w:t>
      </w:r>
      <w:r w:rsidR="00CE0EE3">
        <w:rPr>
          <w:rFonts w:cs="Times New Roman"/>
          <w:szCs w:val="24"/>
        </w:rPr>
        <w:t xml:space="preserve">to “defective delinquents” and “wayward children,” but </w:t>
      </w:r>
      <w:r w:rsidR="00212F3D">
        <w:rPr>
          <w:rFonts w:cs="Times New Roman"/>
          <w:szCs w:val="24"/>
        </w:rPr>
        <w:t>there are no longer any such people under Massachusetts law to care for</w:t>
      </w:r>
      <w:r w:rsidR="00CE0EE3">
        <w:rPr>
          <w:rFonts w:cs="Times New Roman"/>
          <w:szCs w:val="24"/>
        </w:rPr>
        <w:t>.</w:t>
      </w:r>
      <w:r w:rsidR="009D34DE">
        <w:rPr>
          <w:rFonts w:cs="Times New Roman"/>
          <w:szCs w:val="24"/>
        </w:rPr>
        <w:t xml:space="preserve"> And Mr. Forbes</w:t>
      </w:r>
      <w:r w:rsidR="00B337B3">
        <w:t xml:space="preserve"> did not prove that he spent more than half of his time </w:t>
      </w:r>
      <w:r w:rsidR="00B337B3">
        <w:rPr>
          <w:rFonts w:eastAsia="Times New Roman" w:cs="Times New Roman"/>
          <w:szCs w:val="24"/>
        </w:rPr>
        <w:t>engaged in the c</w:t>
      </w:r>
      <w:r w:rsidR="00B337B3" w:rsidRPr="00CF4506">
        <w:rPr>
          <w:rFonts w:cs="Times New Roman"/>
          <w:szCs w:val="24"/>
        </w:rPr>
        <w:t xml:space="preserve">are, custody, </w:t>
      </w:r>
      <w:r w:rsidR="00B337B3">
        <w:rPr>
          <w:rFonts w:cs="Times New Roman"/>
          <w:szCs w:val="24"/>
        </w:rPr>
        <w:t xml:space="preserve">or </w:t>
      </w:r>
      <w:r w:rsidR="00B337B3" w:rsidRPr="00CF4506">
        <w:rPr>
          <w:rFonts w:cs="Times New Roman"/>
          <w:szCs w:val="24"/>
        </w:rPr>
        <w:t>supervision of</w:t>
      </w:r>
      <w:r w:rsidR="00B337B3">
        <w:rPr>
          <w:rFonts w:cs="Times New Roman"/>
          <w:szCs w:val="24"/>
        </w:rPr>
        <w:t xml:space="preserve"> youth </w:t>
      </w:r>
      <w:r w:rsidR="009D34DE">
        <w:rPr>
          <w:rFonts w:cs="Times New Roman"/>
          <w:szCs w:val="24"/>
        </w:rPr>
        <w:t>in DYS’s care.</w:t>
      </w:r>
      <w:r w:rsidR="00790BE1" w:rsidRPr="00DB6139">
        <w:t xml:space="preserve"> </w:t>
      </w: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E004B9">
        <w:tab/>
      </w:r>
      <w:r w:rsidRPr="00E004B9">
        <w:tab/>
      </w:r>
      <w:r w:rsidRPr="00E004B9">
        <w:tab/>
      </w:r>
      <w:r w:rsidRPr="00E004B9">
        <w:tab/>
      </w:r>
      <w:r w:rsidRPr="00E004B9">
        <w:tab/>
        <w:t>DIVISION OF ADMINISTRATIVE LAW APPEALS</w:t>
      </w: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E004B9">
        <w:tab/>
      </w:r>
      <w:r w:rsidRPr="00E004B9">
        <w:tab/>
      </w:r>
      <w:r w:rsidRPr="00E004B9">
        <w:tab/>
      </w:r>
      <w:r w:rsidRPr="00E004B9">
        <w:tab/>
      </w:r>
      <w:r w:rsidRPr="00E004B9">
        <w:tab/>
        <w:t>__________________________________</w:t>
      </w: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E004B9">
        <w:tab/>
      </w:r>
      <w:r w:rsidRPr="00E004B9">
        <w:tab/>
      </w:r>
      <w:r w:rsidRPr="00E004B9">
        <w:tab/>
      </w:r>
      <w:r w:rsidRPr="00E004B9">
        <w:tab/>
      </w:r>
      <w:r w:rsidRPr="00E004B9">
        <w:tab/>
        <w:t>Kenneth Bresler</w:t>
      </w: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E004B9">
        <w:tab/>
      </w:r>
      <w:r w:rsidRPr="00E004B9">
        <w:tab/>
      </w:r>
      <w:r w:rsidRPr="00E004B9">
        <w:tab/>
      </w:r>
      <w:r w:rsidRPr="00E004B9">
        <w:tab/>
      </w:r>
      <w:r w:rsidRPr="00E004B9">
        <w:tab/>
        <w:t>Administrative Magistrate</w:t>
      </w: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0A0ABD">
        <w:t>Dated:</w:t>
      </w:r>
      <w:r w:rsidRPr="00E004B9">
        <w:t xml:space="preserve"> </w:t>
      </w:r>
      <w:r w:rsidR="000D197C">
        <w:t xml:space="preserve"> December 23, 2016</w:t>
      </w:r>
    </w:p>
    <w:p w:rsidR="00790BE1" w:rsidRPr="00E004B9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E004B9">
        <w:tab/>
      </w:r>
      <w:r w:rsidRPr="00E004B9">
        <w:tab/>
      </w:r>
      <w:r w:rsidRPr="00E004B9">
        <w:tab/>
      </w:r>
      <w:r w:rsidRPr="00E004B9">
        <w:tab/>
      </w:r>
    </w:p>
    <w:p w:rsidR="00790BE1" w:rsidRPr="00E004B9" w:rsidRDefault="00790BE1" w:rsidP="00790BE1">
      <w:pPr>
        <w:ind w:firstLine="720"/>
      </w:pPr>
    </w:p>
    <w:p w:rsidR="00343DEA" w:rsidRDefault="00343DEA" w:rsidP="00A61B7F">
      <w:pPr>
        <w:widowControl w:val="0"/>
      </w:pPr>
    </w:p>
    <w:sectPr w:rsidR="00343DEA" w:rsidSect="00FB0030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63" w:rsidRDefault="00875A63">
      <w:pPr>
        <w:spacing w:line="240" w:lineRule="auto"/>
      </w:pPr>
      <w:r>
        <w:separator/>
      </w:r>
    </w:p>
  </w:endnote>
  <w:endnote w:type="continuationSeparator" w:id="0">
    <w:p w:rsidR="00875A63" w:rsidRDefault="0087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586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1DB8" w:rsidRDefault="00790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E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1C1" w:rsidRDefault="00875A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C1" w:rsidRDefault="00875A63">
    <w:pPr>
      <w:pStyle w:val="Footer"/>
      <w:jc w:val="center"/>
    </w:pPr>
  </w:p>
  <w:p w:rsidR="004721C1" w:rsidRDefault="00875A63" w:rsidP="00FB003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63" w:rsidRDefault="00875A63">
      <w:pPr>
        <w:spacing w:line="240" w:lineRule="auto"/>
      </w:pPr>
      <w:r>
        <w:separator/>
      </w:r>
    </w:p>
  </w:footnote>
  <w:footnote w:type="continuationSeparator" w:id="0">
    <w:p w:rsidR="00875A63" w:rsidRDefault="00875A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E1"/>
    <w:rsid w:val="00022334"/>
    <w:rsid w:val="000412D2"/>
    <w:rsid w:val="000425AD"/>
    <w:rsid w:val="000540CA"/>
    <w:rsid w:val="000D197C"/>
    <w:rsid w:val="000D4A42"/>
    <w:rsid w:val="000D7242"/>
    <w:rsid w:val="00112DCC"/>
    <w:rsid w:val="00114701"/>
    <w:rsid w:val="0016391A"/>
    <w:rsid w:val="00180C66"/>
    <w:rsid w:val="00194669"/>
    <w:rsid w:val="001B4B90"/>
    <w:rsid w:val="00206C74"/>
    <w:rsid w:val="00212F3D"/>
    <w:rsid w:val="00215524"/>
    <w:rsid w:val="002413A9"/>
    <w:rsid w:val="002423DD"/>
    <w:rsid w:val="002C5386"/>
    <w:rsid w:val="002C7FF7"/>
    <w:rsid w:val="00301BFC"/>
    <w:rsid w:val="00343453"/>
    <w:rsid w:val="00343DEA"/>
    <w:rsid w:val="00354A34"/>
    <w:rsid w:val="00365D0C"/>
    <w:rsid w:val="0038244E"/>
    <w:rsid w:val="003B338B"/>
    <w:rsid w:val="003B7FEA"/>
    <w:rsid w:val="00424005"/>
    <w:rsid w:val="004702EA"/>
    <w:rsid w:val="004B1E87"/>
    <w:rsid w:val="004C1D18"/>
    <w:rsid w:val="00534924"/>
    <w:rsid w:val="00540B0D"/>
    <w:rsid w:val="00560FB3"/>
    <w:rsid w:val="005C57AC"/>
    <w:rsid w:val="005D26F0"/>
    <w:rsid w:val="005F2847"/>
    <w:rsid w:val="00603BE9"/>
    <w:rsid w:val="006421F4"/>
    <w:rsid w:val="00652ED5"/>
    <w:rsid w:val="0066272B"/>
    <w:rsid w:val="00674360"/>
    <w:rsid w:val="006A43DA"/>
    <w:rsid w:val="006E4BC1"/>
    <w:rsid w:val="00713C3F"/>
    <w:rsid w:val="007336CD"/>
    <w:rsid w:val="00737B65"/>
    <w:rsid w:val="0077089D"/>
    <w:rsid w:val="00772B35"/>
    <w:rsid w:val="00786652"/>
    <w:rsid w:val="00790BE1"/>
    <w:rsid w:val="0079600A"/>
    <w:rsid w:val="0080416F"/>
    <w:rsid w:val="0083172B"/>
    <w:rsid w:val="00834A07"/>
    <w:rsid w:val="00850E29"/>
    <w:rsid w:val="00857AA6"/>
    <w:rsid w:val="00875A63"/>
    <w:rsid w:val="008B2D3B"/>
    <w:rsid w:val="008C4D98"/>
    <w:rsid w:val="008D60A5"/>
    <w:rsid w:val="008D7AA9"/>
    <w:rsid w:val="009103C2"/>
    <w:rsid w:val="00955ED0"/>
    <w:rsid w:val="00981A23"/>
    <w:rsid w:val="009A6CAB"/>
    <w:rsid w:val="009D194D"/>
    <w:rsid w:val="009D34DE"/>
    <w:rsid w:val="009E0231"/>
    <w:rsid w:val="009F28E2"/>
    <w:rsid w:val="00A25B6E"/>
    <w:rsid w:val="00A61B7F"/>
    <w:rsid w:val="00A834B3"/>
    <w:rsid w:val="00AA0F7C"/>
    <w:rsid w:val="00AC7169"/>
    <w:rsid w:val="00AE04BF"/>
    <w:rsid w:val="00AE417A"/>
    <w:rsid w:val="00B337B3"/>
    <w:rsid w:val="00B344A2"/>
    <w:rsid w:val="00B558BC"/>
    <w:rsid w:val="00B86E8F"/>
    <w:rsid w:val="00B97D2C"/>
    <w:rsid w:val="00BA0C4A"/>
    <w:rsid w:val="00BA0FD6"/>
    <w:rsid w:val="00BA6B3F"/>
    <w:rsid w:val="00BD1174"/>
    <w:rsid w:val="00BE63D4"/>
    <w:rsid w:val="00BF3641"/>
    <w:rsid w:val="00C04EDF"/>
    <w:rsid w:val="00C36D2C"/>
    <w:rsid w:val="00C370AD"/>
    <w:rsid w:val="00C50B4D"/>
    <w:rsid w:val="00C51DBD"/>
    <w:rsid w:val="00C6221D"/>
    <w:rsid w:val="00C65044"/>
    <w:rsid w:val="00C65AF0"/>
    <w:rsid w:val="00C66BE0"/>
    <w:rsid w:val="00C771E7"/>
    <w:rsid w:val="00C83C59"/>
    <w:rsid w:val="00CA1610"/>
    <w:rsid w:val="00CA7643"/>
    <w:rsid w:val="00CB5EDD"/>
    <w:rsid w:val="00CE0EE3"/>
    <w:rsid w:val="00CF4506"/>
    <w:rsid w:val="00CF610C"/>
    <w:rsid w:val="00D0477B"/>
    <w:rsid w:val="00D36137"/>
    <w:rsid w:val="00D46DE0"/>
    <w:rsid w:val="00D8245B"/>
    <w:rsid w:val="00DC6198"/>
    <w:rsid w:val="00DF28B9"/>
    <w:rsid w:val="00E16C23"/>
    <w:rsid w:val="00E26ED2"/>
    <w:rsid w:val="00E7386C"/>
    <w:rsid w:val="00F12814"/>
    <w:rsid w:val="00F31BA0"/>
    <w:rsid w:val="00F37788"/>
    <w:rsid w:val="00F609C3"/>
    <w:rsid w:val="00F711B6"/>
    <w:rsid w:val="00F878BC"/>
    <w:rsid w:val="00FD1E19"/>
    <w:rsid w:val="00FE557F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E1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A0F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7C"/>
    <w:rPr>
      <w:rFonts w:ascii="Times New Roman" w:hAnsi="Times New Roman"/>
      <w:sz w:val="24"/>
    </w:rPr>
  </w:style>
  <w:style w:type="character" w:customStyle="1" w:styleId="cosearchterm">
    <w:name w:val="co_searchterm"/>
    <w:basedOn w:val="DefaultParagraphFont"/>
    <w:rsid w:val="00215524"/>
  </w:style>
  <w:style w:type="paragraph" w:styleId="BalloonText">
    <w:name w:val="Balloon Text"/>
    <w:basedOn w:val="Normal"/>
    <w:link w:val="BalloonTextChar"/>
    <w:uiPriority w:val="99"/>
    <w:semiHidden/>
    <w:unhideWhenUsed/>
    <w:rsid w:val="00603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E1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A0F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F7C"/>
    <w:rPr>
      <w:rFonts w:ascii="Times New Roman" w:hAnsi="Times New Roman"/>
      <w:sz w:val="24"/>
    </w:rPr>
  </w:style>
  <w:style w:type="character" w:customStyle="1" w:styleId="cosearchterm">
    <w:name w:val="co_searchterm"/>
    <w:basedOn w:val="DefaultParagraphFont"/>
    <w:rsid w:val="00215524"/>
  </w:style>
  <w:style w:type="paragraph" w:styleId="BalloonText">
    <w:name w:val="Balloon Text"/>
    <w:basedOn w:val="Normal"/>
    <w:link w:val="BalloonTextChar"/>
    <w:uiPriority w:val="99"/>
    <w:semiHidden/>
    <w:unhideWhenUsed/>
    <w:rsid w:val="00603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2016-12-19T15:17:00Z</cp:lastPrinted>
  <dcterms:created xsi:type="dcterms:W3CDTF">2017-11-18T00:06:00Z</dcterms:created>
  <dcterms:modified xsi:type="dcterms:W3CDTF">2017-11-18T00:06:00Z</dcterms:modified>
</cp:coreProperties>
</file>