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2830" w14:textId="77777777" w:rsidR="00F16A03" w:rsidRPr="002267D6" w:rsidRDefault="00F16A03" w:rsidP="00F16A03">
      <w:pPr>
        <w:tabs>
          <w:tab w:val="left" w:pos="9540"/>
        </w:tabs>
        <w:jc w:val="center"/>
        <w:rPr>
          <w:b/>
          <w:bCs/>
          <w:sz w:val="22"/>
          <w:szCs w:val="22"/>
        </w:rPr>
      </w:pPr>
      <w:r w:rsidRPr="002267D6">
        <w:rPr>
          <w:b/>
          <w:bCs/>
          <w:sz w:val="22"/>
          <w:szCs w:val="22"/>
        </w:rPr>
        <w:t>Form 9</w:t>
      </w:r>
    </w:p>
    <w:p w14:paraId="7B089D77" w14:textId="77777777" w:rsidR="00F16A03" w:rsidRPr="002267D6" w:rsidRDefault="00F16A03" w:rsidP="00F16A03">
      <w:pPr>
        <w:jc w:val="center"/>
        <w:rPr>
          <w:b/>
          <w:sz w:val="22"/>
          <w:szCs w:val="22"/>
        </w:rPr>
      </w:pPr>
      <w:r w:rsidRPr="002267D6">
        <w:rPr>
          <w:b/>
          <w:sz w:val="22"/>
          <w:szCs w:val="22"/>
        </w:rPr>
        <w:t>$</w:t>
      </w:r>
      <w:r w:rsidR="00E50E62">
        <w:rPr>
          <w:b/>
          <w:sz w:val="22"/>
          <w:szCs w:val="22"/>
        </w:rPr>
        <w:t>25</w:t>
      </w:r>
      <w:r w:rsidRPr="002267D6">
        <w:rPr>
          <w:b/>
          <w:sz w:val="22"/>
          <w:szCs w:val="22"/>
        </w:rPr>
        <w:t>,000 Bond for Professional Solicitors and Commercial Co-venturers</w:t>
      </w:r>
    </w:p>
    <w:p w14:paraId="148DCAF4" w14:textId="77777777" w:rsidR="00C5355B" w:rsidRPr="002267D6" w:rsidRDefault="00C5355B">
      <w:pPr>
        <w:rPr>
          <w:sz w:val="22"/>
          <w:szCs w:val="22"/>
        </w:rPr>
      </w:pPr>
    </w:p>
    <w:p w14:paraId="1EAFBBB3" w14:textId="77777777" w:rsidR="00F16A03" w:rsidRPr="002267D6" w:rsidRDefault="00F16A03" w:rsidP="002E5234">
      <w:pPr>
        <w:spacing w:after="120"/>
        <w:rPr>
          <w:sz w:val="22"/>
          <w:szCs w:val="22"/>
          <w:u w:val="single"/>
        </w:rPr>
      </w:pPr>
      <w:r w:rsidRPr="002267D6">
        <w:rPr>
          <w:sz w:val="22"/>
          <w:szCs w:val="22"/>
        </w:rPr>
        <w:t>Surety Bond Number</w:t>
      </w:r>
      <w:r w:rsidR="002E5234" w:rsidRPr="002267D6">
        <w:rPr>
          <w:sz w:val="22"/>
          <w:szCs w:val="22"/>
        </w:rPr>
        <w:t xml:space="preserve">  </w:t>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Pr="002267D6">
        <w:rPr>
          <w:sz w:val="22"/>
          <w:szCs w:val="22"/>
          <w:u w:val="single"/>
        </w:rPr>
        <w:t xml:space="preserve">            </w:t>
      </w:r>
      <w:r w:rsidRPr="002267D6">
        <w:rPr>
          <w:sz w:val="22"/>
          <w:szCs w:val="22"/>
        </w:rPr>
        <w:t xml:space="preserve"> </w:t>
      </w:r>
      <w:r w:rsidRPr="002267D6">
        <w:rPr>
          <w:sz w:val="22"/>
          <w:szCs w:val="22"/>
          <w:u w:val="single"/>
        </w:rPr>
        <w:t xml:space="preserve">                            </w:t>
      </w:r>
    </w:p>
    <w:p w14:paraId="56C07953" w14:textId="77777777" w:rsidR="00F16A03" w:rsidRPr="002267D6" w:rsidRDefault="00F16A03" w:rsidP="002E5234">
      <w:pPr>
        <w:spacing w:after="120"/>
        <w:rPr>
          <w:sz w:val="22"/>
          <w:szCs w:val="22"/>
          <w:u w:val="single"/>
        </w:rPr>
      </w:pPr>
    </w:p>
    <w:p w14:paraId="30FB40F1" w14:textId="77777777" w:rsidR="00F16A03" w:rsidRPr="002267D6" w:rsidRDefault="00F16A03" w:rsidP="002E5234">
      <w:pPr>
        <w:spacing w:after="120"/>
        <w:rPr>
          <w:sz w:val="22"/>
          <w:szCs w:val="22"/>
        </w:rPr>
      </w:pPr>
      <w:r w:rsidRPr="002267D6">
        <w:rPr>
          <w:sz w:val="22"/>
          <w:szCs w:val="22"/>
        </w:rPr>
        <w:t>KNOW ALL PEOPLE BY THIS PRESENT INSTRUMENT that we</w:t>
      </w:r>
      <w:r w:rsidR="002E5234" w:rsidRPr="002267D6">
        <w:rPr>
          <w:sz w:val="22"/>
          <w:szCs w:val="22"/>
        </w:rPr>
        <w:t>…</w:t>
      </w:r>
    </w:p>
    <w:p w14:paraId="31F72496" w14:textId="77777777" w:rsidR="00F16A03" w:rsidRPr="002267D6" w:rsidRDefault="002E5234" w:rsidP="002E5234">
      <w:pPr>
        <w:spacing w:after="120"/>
        <w:jc w:val="center"/>
        <w:rPr>
          <w:b/>
          <w:sz w:val="22"/>
          <w:szCs w:val="22"/>
        </w:rPr>
      </w:pPr>
      <w:r w:rsidRPr="002267D6">
        <w:rPr>
          <w:b/>
          <w:sz w:val="22"/>
          <w:szCs w:val="22"/>
        </w:rPr>
        <w:t>Principal Obligor (Applicant/Registrant):</w:t>
      </w:r>
    </w:p>
    <w:p w14:paraId="71434975" w14:textId="77777777" w:rsidR="00F16A03" w:rsidRPr="002267D6" w:rsidRDefault="00F16A03" w:rsidP="002E5234">
      <w:pPr>
        <w:spacing w:after="120"/>
        <w:rPr>
          <w:sz w:val="22"/>
          <w:szCs w:val="22"/>
          <w:u w:val="single"/>
        </w:rPr>
      </w:pPr>
      <w:r w:rsidRPr="002267D6">
        <w:rPr>
          <w:sz w:val="22"/>
          <w:szCs w:val="22"/>
        </w:rPr>
        <w:t xml:space="preserve">Name  </w:t>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7B5CF2">
        <w:rPr>
          <w:sz w:val="22"/>
          <w:szCs w:val="22"/>
          <w:u w:val="single"/>
        </w:rPr>
        <w:tab/>
      </w:r>
    </w:p>
    <w:p w14:paraId="3D660BD5" w14:textId="77777777" w:rsidR="00F16A03" w:rsidRPr="002267D6" w:rsidRDefault="00F16A03" w:rsidP="002E5234">
      <w:pPr>
        <w:spacing w:after="120"/>
        <w:rPr>
          <w:sz w:val="22"/>
          <w:szCs w:val="22"/>
        </w:rPr>
      </w:pPr>
      <w:r w:rsidRPr="002267D6">
        <w:rPr>
          <w:sz w:val="22"/>
          <w:szCs w:val="22"/>
        </w:rPr>
        <w:t xml:space="preserve">registering as a: </w:t>
      </w:r>
      <w:r w:rsidRPr="002267D6">
        <w:rPr>
          <w:b/>
          <w:sz w:val="22"/>
          <w:szCs w:val="22"/>
        </w:rPr>
        <w:t>Professional Solicitor</w:t>
      </w:r>
      <w:r w:rsidRPr="002267D6">
        <w:rPr>
          <w:sz w:val="22"/>
          <w:szCs w:val="22"/>
        </w:rPr>
        <w:t xml:space="preserve"> or </w:t>
      </w:r>
      <w:r w:rsidRPr="002267D6">
        <w:rPr>
          <w:b/>
          <w:sz w:val="22"/>
          <w:szCs w:val="22"/>
        </w:rPr>
        <w:t>Commercial Co-venturer</w:t>
      </w:r>
      <w:r w:rsidRPr="002267D6">
        <w:rPr>
          <w:sz w:val="22"/>
          <w:szCs w:val="22"/>
        </w:rPr>
        <w:t xml:space="preserve"> </w:t>
      </w:r>
      <w:r w:rsidRPr="002267D6">
        <w:rPr>
          <w:i/>
          <w:sz w:val="22"/>
          <w:szCs w:val="22"/>
        </w:rPr>
        <w:t>(circle one)</w:t>
      </w:r>
    </w:p>
    <w:p w14:paraId="0EE0CDD0" w14:textId="77777777" w:rsidR="00F16A03" w:rsidRPr="002267D6" w:rsidRDefault="00F16A03" w:rsidP="002E5234">
      <w:pPr>
        <w:spacing w:after="120"/>
        <w:rPr>
          <w:sz w:val="22"/>
          <w:szCs w:val="22"/>
          <w:u w:val="single"/>
        </w:rPr>
      </w:pPr>
      <w:r w:rsidRPr="002267D6">
        <w:rPr>
          <w:sz w:val="22"/>
          <w:szCs w:val="22"/>
        </w:rPr>
        <w:t xml:space="preserve">Mailing Address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61445976" w14:textId="77777777" w:rsidR="00F16A03" w:rsidRPr="002267D6" w:rsidRDefault="00F16A03" w:rsidP="002E5234">
      <w:pPr>
        <w:spacing w:after="120"/>
        <w:rPr>
          <w:sz w:val="22"/>
          <w:szCs w:val="22"/>
        </w:rPr>
      </w:pPr>
      <w:r w:rsidRPr="002267D6">
        <w:rPr>
          <w:sz w:val="22"/>
          <w:szCs w:val="22"/>
        </w:rPr>
        <w:t xml:space="preserve">City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002E5234" w:rsidRPr="002267D6">
        <w:rPr>
          <w:sz w:val="22"/>
          <w:szCs w:val="22"/>
          <w:u w:val="single"/>
        </w:rPr>
        <w:tab/>
      </w:r>
      <w:r w:rsidR="002E5234" w:rsidRPr="002267D6">
        <w:rPr>
          <w:sz w:val="22"/>
          <w:szCs w:val="22"/>
          <w:u w:val="single"/>
        </w:rPr>
        <w:tab/>
      </w:r>
      <w:r w:rsidR="007B5CF2">
        <w:rPr>
          <w:sz w:val="22"/>
          <w:szCs w:val="22"/>
          <w:u w:val="single"/>
        </w:rPr>
        <w:tab/>
      </w:r>
      <w:r w:rsidRPr="002267D6">
        <w:rPr>
          <w:sz w:val="22"/>
          <w:szCs w:val="22"/>
        </w:rPr>
        <w:t xml:space="preserve">   State  </w:t>
      </w:r>
      <w:r w:rsidRPr="002267D6">
        <w:rPr>
          <w:sz w:val="22"/>
          <w:szCs w:val="22"/>
          <w:u w:val="single"/>
        </w:rPr>
        <w:tab/>
      </w:r>
      <w:r w:rsidR="002E5234" w:rsidRPr="002267D6">
        <w:rPr>
          <w:sz w:val="22"/>
          <w:szCs w:val="22"/>
          <w:u w:val="single"/>
        </w:rPr>
        <w:tab/>
      </w:r>
      <w:r w:rsidR="002E5234" w:rsidRPr="002267D6">
        <w:rPr>
          <w:sz w:val="22"/>
          <w:szCs w:val="22"/>
        </w:rPr>
        <w:t xml:space="preserve">   Zip  </w:t>
      </w:r>
      <w:r w:rsidR="002E5234" w:rsidRPr="002267D6">
        <w:rPr>
          <w:sz w:val="22"/>
          <w:szCs w:val="22"/>
          <w:u w:val="single"/>
        </w:rPr>
        <w:tab/>
      </w:r>
      <w:r w:rsidR="002E5234" w:rsidRPr="002267D6">
        <w:rPr>
          <w:sz w:val="22"/>
          <w:szCs w:val="22"/>
          <w:u w:val="single"/>
        </w:rPr>
        <w:tab/>
      </w:r>
      <w:r w:rsidR="002E5234" w:rsidRPr="002267D6">
        <w:rPr>
          <w:sz w:val="22"/>
          <w:szCs w:val="22"/>
          <w:u w:val="single"/>
        </w:rPr>
        <w:tab/>
      </w:r>
      <w:r w:rsidR="002E5234" w:rsidRPr="002267D6">
        <w:rPr>
          <w:sz w:val="22"/>
          <w:szCs w:val="22"/>
          <w:u w:val="single"/>
        </w:rPr>
        <w:tab/>
      </w:r>
    </w:p>
    <w:p w14:paraId="1628E6DA" w14:textId="77777777" w:rsidR="002E5234" w:rsidRPr="002267D6" w:rsidRDefault="002E5234" w:rsidP="002E5234">
      <w:pPr>
        <w:spacing w:after="120"/>
        <w:rPr>
          <w:sz w:val="22"/>
          <w:szCs w:val="22"/>
        </w:rPr>
      </w:pPr>
      <w:r w:rsidRPr="002267D6">
        <w:rPr>
          <w:sz w:val="22"/>
          <w:szCs w:val="22"/>
        </w:rPr>
        <w:t xml:space="preserve">Phone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007B5CF2">
        <w:rPr>
          <w:sz w:val="22"/>
          <w:szCs w:val="22"/>
          <w:u w:val="single"/>
        </w:rPr>
        <w:tab/>
      </w:r>
      <w:r w:rsidRPr="002267D6">
        <w:rPr>
          <w:sz w:val="22"/>
          <w:szCs w:val="22"/>
        </w:rPr>
        <w:t xml:space="preserve">   Fax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3A2CEAA6" w14:textId="77777777" w:rsidR="002E5234" w:rsidRPr="002267D6" w:rsidRDefault="002E5234" w:rsidP="002E5234">
      <w:pPr>
        <w:spacing w:after="120"/>
        <w:rPr>
          <w:sz w:val="22"/>
          <w:szCs w:val="22"/>
          <w:u w:val="single"/>
        </w:rPr>
      </w:pPr>
      <w:r w:rsidRPr="002267D6">
        <w:rPr>
          <w:sz w:val="22"/>
          <w:szCs w:val="22"/>
        </w:rPr>
        <w:t xml:space="preserve">Email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007B5CF2">
        <w:rPr>
          <w:sz w:val="22"/>
          <w:szCs w:val="22"/>
          <w:u w:val="single"/>
        </w:rPr>
        <w:tab/>
      </w:r>
    </w:p>
    <w:p w14:paraId="6832B7A5" w14:textId="77777777" w:rsidR="002E5234" w:rsidRPr="002267D6" w:rsidRDefault="002E5234" w:rsidP="002E5234">
      <w:pPr>
        <w:spacing w:after="120"/>
        <w:jc w:val="center"/>
        <w:rPr>
          <w:b/>
          <w:sz w:val="22"/>
          <w:szCs w:val="22"/>
        </w:rPr>
      </w:pPr>
      <w:r w:rsidRPr="002267D6">
        <w:rPr>
          <w:b/>
          <w:sz w:val="22"/>
          <w:szCs w:val="22"/>
        </w:rPr>
        <w:t>AND Surety:</w:t>
      </w:r>
    </w:p>
    <w:p w14:paraId="7CBC30DF" w14:textId="77777777" w:rsidR="007B5CF2" w:rsidRPr="002267D6" w:rsidRDefault="007B5CF2" w:rsidP="007B5CF2">
      <w:pPr>
        <w:spacing w:after="120"/>
        <w:rPr>
          <w:sz w:val="22"/>
          <w:szCs w:val="22"/>
          <w:u w:val="single"/>
        </w:rPr>
      </w:pPr>
      <w:r w:rsidRPr="002267D6">
        <w:rPr>
          <w:sz w:val="22"/>
          <w:szCs w:val="22"/>
        </w:rPr>
        <w:t xml:space="preserve">Name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Pr>
          <w:sz w:val="22"/>
          <w:szCs w:val="22"/>
          <w:u w:val="single"/>
        </w:rPr>
        <w:tab/>
      </w:r>
    </w:p>
    <w:p w14:paraId="5AABC57C" w14:textId="77777777" w:rsidR="002E5234" w:rsidRPr="002267D6" w:rsidRDefault="002E5234" w:rsidP="002E5234">
      <w:pPr>
        <w:spacing w:after="120"/>
        <w:rPr>
          <w:sz w:val="22"/>
          <w:szCs w:val="22"/>
          <w:u w:val="single"/>
        </w:rPr>
      </w:pPr>
      <w:r w:rsidRPr="002267D6">
        <w:rPr>
          <w:sz w:val="22"/>
          <w:szCs w:val="22"/>
        </w:rPr>
        <w:t xml:space="preserve">Mailing Address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0AC4043C" w14:textId="77777777" w:rsidR="007B5CF2" w:rsidRPr="002267D6" w:rsidRDefault="007B5CF2" w:rsidP="007B5CF2">
      <w:pPr>
        <w:spacing w:after="120"/>
        <w:rPr>
          <w:sz w:val="22"/>
          <w:szCs w:val="22"/>
        </w:rPr>
      </w:pPr>
      <w:r w:rsidRPr="002267D6">
        <w:rPr>
          <w:sz w:val="22"/>
          <w:szCs w:val="22"/>
        </w:rPr>
        <w:t xml:space="preserve">City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Pr>
          <w:sz w:val="22"/>
          <w:szCs w:val="22"/>
          <w:u w:val="single"/>
        </w:rPr>
        <w:tab/>
      </w:r>
      <w:r w:rsidRPr="002267D6">
        <w:rPr>
          <w:sz w:val="22"/>
          <w:szCs w:val="22"/>
        </w:rPr>
        <w:t xml:space="preserve">   State  </w:t>
      </w:r>
      <w:r w:rsidRPr="002267D6">
        <w:rPr>
          <w:sz w:val="22"/>
          <w:szCs w:val="22"/>
          <w:u w:val="single"/>
        </w:rPr>
        <w:tab/>
      </w:r>
      <w:r w:rsidRPr="002267D6">
        <w:rPr>
          <w:sz w:val="22"/>
          <w:szCs w:val="22"/>
          <w:u w:val="single"/>
        </w:rPr>
        <w:tab/>
      </w:r>
      <w:r w:rsidRPr="002267D6">
        <w:rPr>
          <w:sz w:val="22"/>
          <w:szCs w:val="22"/>
        </w:rPr>
        <w:t xml:space="preserve">   Zip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1CE331A3" w14:textId="77777777" w:rsidR="007B5CF2" w:rsidRPr="002267D6" w:rsidRDefault="007B5CF2" w:rsidP="007B5CF2">
      <w:pPr>
        <w:spacing w:after="120"/>
        <w:rPr>
          <w:sz w:val="22"/>
          <w:szCs w:val="22"/>
        </w:rPr>
      </w:pPr>
      <w:r w:rsidRPr="002267D6">
        <w:rPr>
          <w:sz w:val="22"/>
          <w:szCs w:val="22"/>
        </w:rPr>
        <w:t xml:space="preserve">Phone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Pr>
          <w:sz w:val="22"/>
          <w:szCs w:val="22"/>
          <w:u w:val="single"/>
        </w:rPr>
        <w:tab/>
      </w:r>
      <w:r w:rsidRPr="002267D6">
        <w:rPr>
          <w:sz w:val="22"/>
          <w:szCs w:val="22"/>
        </w:rPr>
        <w:t xml:space="preserve">   Fax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52F40AC3" w14:textId="77777777" w:rsidR="007B5CF2" w:rsidRPr="002267D6" w:rsidRDefault="007B5CF2" w:rsidP="007B5CF2">
      <w:pPr>
        <w:spacing w:after="120"/>
        <w:rPr>
          <w:sz w:val="22"/>
          <w:szCs w:val="22"/>
          <w:u w:val="single"/>
        </w:rPr>
      </w:pPr>
      <w:r w:rsidRPr="002267D6">
        <w:rPr>
          <w:sz w:val="22"/>
          <w:szCs w:val="22"/>
        </w:rPr>
        <w:t xml:space="preserve">Email  </w:t>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Pr>
          <w:sz w:val="22"/>
          <w:szCs w:val="22"/>
          <w:u w:val="single"/>
        </w:rPr>
        <w:tab/>
      </w:r>
    </w:p>
    <w:p w14:paraId="774DBECB" w14:textId="77777777" w:rsidR="002E5234" w:rsidRPr="002267D6" w:rsidRDefault="002E5234" w:rsidP="002E5234">
      <w:pPr>
        <w:spacing w:after="120"/>
        <w:rPr>
          <w:sz w:val="22"/>
          <w:szCs w:val="22"/>
        </w:rPr>
      </w:pPr>
    </w:p>
    <w:p w14:paraId="7C9D576C" w14:textId="77777777" w:rsidR="002E5234" w:rsidRPr="002267D6" w:rsidRDefault="002E5234" w:rsidP="002E5234">
      <w:pPr>
        <w:spacing w:after="120"/>
        <w:rPr>
          <w:sz w:val="22"/>
          <w:szCs w:val="22"/>
        </w:rPr>
      </w:pPr>
      <w:r w:rsidRPr="002267D6">
        <w:rPr>
          <w:sz w:val="22"/>
          <w:szCs w:val="22"/>
        </w:rPr>
        <w:t xml:space="preserve">…which Surety is authorized to do business and issue surety bonds in the Commonwealth of Massachusetts, are held and firmly bound to Obligees (1) the Division of Non-Profit Organizations/Public Charities (“Division”) of the Department of the Attorney General of the Commonwealth of Massachusetts for the use of the Commonwealth and (2) any charitable organization that may have a cause of action against the Principal for any losses, damages, or penalties resulting from any malfeasance or misfeasance by the Principal, its members, its officers, and its employees in the conduct of the solicitation activities during the term of this surety bond.  The bond has been undertaken by the Principal in the amount of </w:t>
      </w:r>
      <w:r w:rsidR="00E50E62">
        <w:rPr>
          <w:b/>
          <w:sz w:val="22"/>
          <w:szCs w:val="22"/>
        </w:rPr>
        <w:t>Twenty-Five</w:t>
      </w:r>
      <w:r w:rsidR="00E50E62" w:rsidRPr="002267D6">
        <w:rPr>
          <w:b/>
          <w:sz w:val="22"/>
          <w:szCs w:val="22"/>
        </w:rPr>
        <w:t xml:space="preserve"> </w:t>
      </w:r>
      <w:r w:rsidRPr="002267D6">
        <w:rPr>
          <w:b/>
          <w:sz w:val="22"/>
          <w:szCs w:val="22"/>
        </w:rPr>
        <w:t>Thousand United States Dollars ($</w:t>
      </w:r>
      <w:r w:rsidR="00E50E62">
        <w:rPr>
          <w:b/>
          <w:sz w:val="22"/>
          <w:szCs w:val="22"/>
        </w:rPr>
        <w:t>25</w:t>
      </w:r>
      <w:r w:rsidRPr="002267D6">
        <w:rPr>
          <w:b/>
          <w:sz w:val="22"/>
          <w:szCs w:val="22"/>
        </w:rPr>
        <w:t>,000)</w:t>
      </w:r>
      <w:r w:rsidRPr="002267D6">
        <w:rPr>
          <w:sz w:val="22"/>
          <w:szCs w:val="22"/>
        </w:rPr>
        <w:t xml:space="preserve"> for the payment of which, we (the Principal and Surety) bind ourselves, our heirs, executors, successors and assigns, jointly and severally.</w:t>
      </w:r>
    </w:p>
    <w:p w14:paraId="3B2FB6CE" w14:textId="77777777" w:rsidR="002267D6" w:rsidRDefault="002267D6" w:rsidP="002E5234">
      <w:pPr>
        <w:spacing w:after="120"/>
        <w:rPr>
          <w:sz w:val="22"/>
          <w:szCs w:val="22"/>
        </w:rPr>
      </w:pPr>
    </w:p>
    <w:p w14:paraId="3084DE52" w14:textId="77777777" w:rsidR="002267D6" w:rsidRDefault="002267D6" w:rsidP="002E5234">
      <w:pPr>
        <w:spacing w:after="120"/>
        <w:rPr>
          <w:b/>
          <w:sz w:val="22"/>
          <w:szCs w:val="22"/>
        </w:rPr>
      </w:pPr>
    </w:p>
    <w:p w14:paraId="7451AF53" w14:textId="77777777" w:rsidR="002267D6" w:rsidRDefault="002267D6" w:rsidP="002E5234">
      <w:pPr>
        <w:spacing w:after="120"/>
        <w:rPr>
          <w:b/>
          <w:sz w:val="22"/>
          <w:szCs w:val="22"/>
        </w:rPr>
      </w:pPr>
    </w:p>
    <w:p w14:paraId="7CC0048D" w14:textId="77777777" w:rsidR="002267D6" w:rsidRDefault="002267D6" w:rsidP="002E5234">
      <w:pPr>
        <w:spacing w:after="120"/>
        <w:rPr>
          <w:b/>
          <w:sz w:val="22"/>
          <w:szCs w:val="22"/>
        </w:rPr>
      </w:pPr>
    </w:p>
    <w:p w14:paraId="6D7B89BC" w14:textId="77777777" w:rsidR="002E5234" w:rsidRPr="002267D6" w:rsidRDefault="002E5234" w:rsidP="002E5234">
      <w:pPr>
        <w:spacing w:after="120"/>
        <w:rPr>
          <w:b/>
          <w:sz w:val="22"/>
          <w:szCs w:val="22"/>
        </w:rPr>
      </w:pPr>
      <w:r w:rsidRPr="002267D6">
        <w:rPr>
          <w:b/>
          <w:sz w:val="22"/>
          <w:szCs w:val="22"/>
        </w:rPr>
        <w:t>This bond is issued subject to the following additional express conditions:</w:t>
      </w:r>
    </w:p>
    <w:p w14:paraId="375FDC85" w14:textId="77777777" w:rsidR="002E5234" w:rsidRPr="002267D6" w:rsidRDefault="002E5234" w:rsidP="002E5234">
      <w:pPr>
        <w:numPr>
          <w:ilvl w:val="0"/>
          <w:numId w:val="2"/>
        </w:numPr>
        <w:spacing w:after="120"/>
        <w:rPr>
          <w:sz w:val="22"/>
          <w:szCs w:val="22"/>
        </w:rPr>
      </w:pPr>
      <w:r w:rsidRPr="002267D6">
        <w:rPr>
          <w:b/>
          <w:sz w:val="22"/>
          <w:szCs w:val="22"/>
        </w:rPr>
        <w:t>CONDITION OF OBLIGATION.</w:t>
      </w:r>
      <w:r w:rsidRPr="002267D6">
        <w:rPr>
          <w:sz w:val="22"/>
          <w:szCs w:val="22"/>
        </w:rPr>
        <w:t xml:space="preserve">   If the Division shall register the above Principal as a </w:t>
      </w:r>
      <w:r w:rsidR="000B5EFE" w:rsidRPr="002267D6">
        <w:rPr>
          <w:sz w:val="22"/>
          <w:szCs w:val="22"/>
        </w:rPr>
        <w:t xml:space="preserve">Professional Solicitor or Commercial Co-venturer </w:t>
      </w:r>
      <w:r w:rsidRPr="002267D6">
        <w:rPr>
          <w:sz w:val="22"/>
          <w:szCs w:val="22"/>
        </w:rPr>
        <w:t xml:space="preserve">and the Principal fully complies with the provisions of sections </w:t>
      </w:r>
      <w:r w:rsidR="00B9155B">
        <w:rPr>
          <w:sz w:val="22"/>
          <w:szCs w:val="22"/>
        </w:rPr>
        <w:t>eighteen</w:t>
      </w:r>
      <w:r w:rsidR="00B9155B" w:rsidRPr="002267D6">
        <w:rPr>
          <w:sz w:val="22"/>
          <w:szCs w:val="22"/>
        </w:rPr>
        <w:t xml:space="preserve"> </w:t>
      </w:r>
      <w:r w:rsidRPr="002267D6">
        <w:rPr>
          <w:sz w:val="22"/>
          <w:szCs w:val="22"/>
        </w:rPr>
        <w:t>to thirty-five of chapter sixty-eight of the General laws and the acts amendatory thereof and supplemental thereto, then this obligation shall be discharged and be null and void.  Otherwise the bond obligation will remain in full force and effect.</w:t>
      </w:r>
    </w:p>
    <w:p w14:paraId="739BB175" w14:textId="77777777" w:rsidR="002E5234" w:rsidRPr="002267D6" w:rsidRDefault="002E5234" w:rsidP="002E5234">
      <w:pPr>
        <w:numPr>
          <w:ilvl w:val="0"/>
          <w:numId w:val="2"/>
        </w:numPr>
        <w:spacing w:after="120"/>
        <w:rPr>
          <w:sz w:val="22"/>
          <w:szCs w:val="22"/>
        </w:rPr>
      </w:pPr>
      <w:r w:rsidRPr="002267D6">
        <w:rPr>
          <w:b/>
          <w:sz w:val="22"/>
          <w:szCs w:val="22"/>
        </w:rPr>
        <w:t>ORDER OF CLAIMS.</w:t>
      </w:r>
      <w:r w:rsidRPr="002267D6">
        <w:rPr>
          <w:sz w:val="22"/>
          <w:szCs w:val="22"/>
        </w:rPr>
        <w:t xml:space="preserve">  Obligees’ claims under this bond shall be settled in the order that the claims are made. </w:t>
      </w:r>
    </w:p>
    <w:p w14:paraId="36F3B8DC" w14:textId="77777777" w:rsidR="002E5234" w:rsidRPr="002267D6" w:rsidRDefault="002E5234" w:rsidP="002E5234">
      <w:pPr>
        <w:numPr>
          <w:ilvl w:val="0"/>
          <w:numId w:val="2"/>
        </w:numPr>
        <w:spacing w:after="120"/>
        <w:rPr>
          <w:sz w:val="22"/>
          <w:szCs w:val="22"/>
        </w:rPr>
      </w:pPr>
      <w:r w:rsidRPr="002267D6">
        <w:rPr>
          <w:b/>
          <w:sz w:val="22"/>
          <w:szCs w:val="22"/>
        </w:rPr>
        <w:t>MULTIPLE CLAIMS ON THE BOND.</w:t>
      </w:r>
      <w:r w:rsidRPr="002267D6">
        <w:rPr>
          <w:sz w:val="22"/>
          <w:szCs w:val="22"/>
        </w:rPr>
        <w:t xml:space="preserve">  This bond shall not become void upon the first recovery thereon but may be sued upon from time to time until the full amount thereof shall have been exhausted.</w:t>
      </w:r>
    </w:p>
    <w:p w14:paraId="3F07A45E" w14:textId="77777777" w:rsidR="002E5234" w:rsidRPr="002267D6" w:rsidRDefault="002E5234" w:rsidP="002E5234">
      <w:pPr>
        <w:numPr>
          <w:ilvl w:val="0"/>
          <w:numId w:val="2"/>
        </w:numPr>
        <w:spacing w:after="120"/>
        <w:rPr>
          <w:sz w:val="22"/>
          <w:szCs w:val="22"/>
        </w:rPr>
      </w:pPr>
      <w:r w:rsidRPr="002267D6">
        <w:rPr>
          <w:b/>
          <w:sz w:val="22"/>
          <w:szCs w:val="22"/>
        </w:rPr>
        <w:t>LIMITATION OF RESPONSIBILITY OF SURETY.</w:t>
      </w:r>
      <w:r w:rsidRPr="002267D6">
        <w:rPr>
          <w:sz w:val="22"/>
          <w:szCs w:val="22"/>
        </w:rPr>
        <w:t xml:space="preserve">  This bond may not be construed to require the Surety to be responsible for losses, damages or penalties resulting from any malfeasance or misfeasance in the conduct of solicitation after the expiration or effective date of cancellation of this bond, provided such cancellation was in accordance with the terms set out in #6 below.  This bond is to cover all claims arising on account of the registration of the Principal and his/her acting as such Professional Solicitor or Commercial Co-venturer for the calendar year period ending on December 31, _________.  </w:t>
      </w:r>
    </w:p>
    <w:p w14:paraId="233978D3" w14:textId="77777777" w:rsidR="002E5234" w:rsidRPr="002267D6" w:rsidRDefault="002E5234" w:rsidP="002E5234">
      <w:pPr>
        <w:numPr>
          <w:ilvl w:val="0"/>
          <w:numId w:val="2"/>
        </w:numPr>
        <w:spacing w:after="120"/>
        <w:rPr>
          <w:sz w:val="22"/>
          <w:szCs w:val="22"/>
        </w:rPr>
      </w:pPr>
      <w:r w:rsidRPr="002267D6">
        <w:rPr>
          <w:b/>
          <w:sz w:val="22"/>
          <w:szCs w:val="22"/>
        </w:rPr>
        <w:t>LIMITATION ON SUM OF TOTAL LIABILITY.</w:t>
      </w:r>
      <w:r w:rsidRPr="002267D6">
        <w:rPr>
          <w:sz w:val="22"/>
          <w:szCs w:val="22"/>
        </w:rPr>
        <w:t xml:space="preserve"> </w:t>
      </w:r>
      <w:r w:rsidR="00902C93" w:rsidRPr="002267D6">
        <w:rPr>
          <w:sz w:val="22"/>
          <w:szCs w:val="22"/>
        </w:rPr>
        <w:t xml:space="preserve"> </w:t>
      </w:r>
      <w:r w:rsidRPr="002267D6">
        <w:rPr>
          <w:sz w:val="22"/>
          <w:szCs w:val="22"/>
        </w:rPr>
        <w:t>In no event shall the liability of the surety under this bond for all claims exceed the sum of this bond.</w:t>
      </w:r>
    </w:p>
    <w:p w14:paraId="6EDD05D9" w14:textId="77777777" w:rsidR="002E5234" w:rsidRPr="002267D6" w:rsidRDefault="002E5234" w:rsidP="002E5234">
      <w:pPr>
        <w:numPr>
          <w:ilvl w:val="0"/>
          <w:numId w:val="2"/>
        </w:numPr>
        <w:spacing w:after="120"/>
        <w:rPr>
          <w:sz w:val="22"/>
          <w:szCs w:val="22"/>
        </w:rPr>
      </w:pPr>
      <w:r w:rsidRPr="002267D6">
        <w:rPr>
          <w:b/>
          <w:sz w:val="22"/>
          <w:szCs w:val="22"/>
        </w:rPr>
        <w:t>NOTICE OF CANCELLATION.</w:t>
      </w:r>
      <w:r w:rsidRPr="002267D6">
        <w:rPr>
          <w:sz w:val="22"/>
          <w:szCs w:val="22"/>
        </w:rPr>
        <w:t xml:space="preserve">  This bond may be cancelled at any time by the surety upon giving thirty (30) days written notice to the </w:t>
      </w:r>
      <w:r w:rsidR="000B5EFE" w:rsidRPr="002267D6">
        <w:rPr>
          <w:sz w:val="22"/>
          <w:szCs w:val="22"/>
        </w:rPr>
        <w:t xml:space="preserve">Professional Solicitor or Commercial Co-venturer </w:t>
      </w:r>
      <w:r w:rsidRPr="002267D6">
        <w:rPr>
          <w:sz w:val="22"/>
          <w:szCs w:val="22"/>
        </w:rPr>
        <w:t xml:space="preserve">and the Attorney General’s Office by certified mail of such cancellation.  It is understood that the Surety shall continue to be liable for any cause of action for any malfeasance or misfeasance by the Principal, its members, its officers, and its employees in the conduct of the solicitation when such cause of action arose prior to the date of cancellation. </w:t>
      </w:r>
    </w:p>
    <w:p w14:paraId="303655D0" w14:textId="77777777" w:rsidR="002E5234" w:rsidRPr="002267D6" w:rsidRDefault="002E5234" w:rsidP="00902C93">
      <w:pPr>
        <w:rPr>
          <w:sz w:val="22"/>
          <w:szCs w:val="22"/>
        </w:rPr>
      </w:pPr>
      <w:r w:rsidRPr="002267D6">
        <w:rPr>
          <w:sz w:val="22"/>
          <w:szCs w:val="22"/>
        </w:rPr>
        <w:t xml:space="preserve">This bond is issued pursuant to section twenty-four of chapter sixty-eight of the Massachusetts General Laws.  This bond shall be issued for the term </w:t>
      </w:r>
      <w:r w:rsidR="00902C93" w:rsidRPr="002267D6">
        <w:rPr>
          <w:sz w:val="22"/>
          <w:szCs w:val="22"/>
        </w:rPr>
        <w:t xml:space="preserve">from </w:t>
      </w:r>
      <w:r w:rsidR="00902C93" w:rsidRPr="002267D6">
        <w:rPr>
          <w:sz w:val="22"/>
          <w:szCs w:val="22"/>
          <w:u w:val="single"/>
        </w:rPr>
        <w:tab/>
      </w:r>
      <w:r w:rsidR="00902C93" w:rsidRPr="002267D6">
        <w:rPr>
          <w:sz w:val="22"/>
          <w:szCs w:val="22"/>
          <w:u w:val="single"/>
        </w:rPr>
        <w:tab/>
      </w:r>
      <w:r w:rsidR="00902C93" w:rsidRPr="002267D6">
        <w:rPr>
          <w:sz w:val="22"/>
          <w:szCs w:val="22"/>
          <w:u w:val="single"/>
        </w:rPr>
        <w:tab/>
      </w:r>
      <w:r w:rsidR="00902C93" w:rsidRPr="002267D6">
        <w:rPr>
          <w:sz w:val="22"/>
          <w:szCs w:val="22"/>
          <w:u w:val="single"/>
        </w:rPr>
        <w:tab/>
      </w:r>
      <w:r w:rsidR="00902C93" w:rsidRPr="002267D6">
        <w:rPr>
          <w:sz w:val="22"/>
          <w:szCs w:val="22"/>
        </w:rPr>
        <w:t>, 20</w:t>
      </w:r>
      <w:r w:rsidR="00902C93" w:rsidRPr="002267D6">
        <w:rPr>
          <w:sz w:val="22"/>
          <w:szCs w:val="22"/>
          <w:u w:val="single"/>
        </w:rPr>
        <w:tab/>
      </w:r>
      <w:r w:rsidR="00902C93" w:rsidRPr="002267D6">
        <w:rPr>
          <w:sz w:val="22"/>
          <w:szCs w:val="22"/>
          <w:u w:val="single"/>
        </w:rPr>
        <w:tab/>
      </w:r>
      <w:r w:rsidR="00902C93" w:rsidRPr="002267D6">
        <w:rPr>
          <w:sz w:val="22"/>
          <w:szCs w:val="22"/>
        </w:rPr>
        <w:t xml:space="preserve"> to </w:t>
      </w:r>
      <w:r w:rsidR="00902C93" w:rsidRPr="002267D6">
        <w:rPr>
          <w:sz w:val="22"/>
          <w:szCs w:val="22"/>
          <w:u w:val="single"/>
        </w:rPr>
        <w:tab/>
      </w:r>
      <w:r w:rsidR="00551E7D">
        <w:rPr>
          <w:sz w:val="22"/>
          <w:szCs w:val="22"/>
          <w:u w:val="single"/>
        </w:rPr>
        <w:t>December 31</w:t>
      </w:r>
      <w:r w:rsidR="00902C93" w:rsidRPr="002267D6">
        <w:rPr>
          <w:sz w:val="22"/>
          <w:szCs w:val="22"/>
        </w:rPr>
        <w:t>, 20</w:t>
      </w:r>
      <w:r w:rsidR="00902C93" w:rsidRPr="002267D6">
        <w:rPr>
          <w:sz w:val="22"/>
          <w:szCs w:val="22"/>
          <w:u w:val="single"/>
        </w:rPr>
        <w:tab/>
      </w:r>
      <w:r w:rsidR="00902C93" w:rsidRPr="002267D6">
        <w:rPr>
          <w:sz w:val="22"/>
          <w:szCs w:val="22"/>
          <w:u w:val="single"/>
        </w:rPr>
        <w:tab/>
      </w:r>
      <w:r w:rsidR="00902C93" w:rsidRPr="002267D6">
        <w:rPr>
          <w:sz w:val="22"/>
          <w:szCs w:val="22"/>
        </w:rPr>
        <w:t xml:space="preserve">.  </w:t>
      </w:r>
    </w:p>
    <w:p w14:paraId="2F86C955" w14:textId="77777777" w:rsidR="00902C93" w:rsidRPr="002267D6" w:rsidRDefault="00902C93" w:rsidP="00902C93">
      <w:pPr>
        <w:spacing w:after="120"/>
        <w:rPr>
          <w:sz w:val="22"/>
          <w:szCs w:val="22"/>
        </w:rPr>
      </w:pPr>
    </w:p>
    <w:p w14:paraId="60E68144" w14:textId="77777777" w:rsidR="002E5234" w:rsidRPr="002267D6" w:rsidRDefault="002E5234" w:rsidP="00902C93">
      <w:pPr>
        <w:rPr>
          <w:sz w:val="22"/>
          <w:szCs w:val="22"/>
        </w:rPr>
      </w:pPr>
      <w:r w:rsidRPr="002267D6">
        <w:rPr>
          <w:sz w:val="22"/>
          <w:szCs w:val="22"/>
        </w:rPr>
        <w:t>SIGNED AND DATED this</w:t>
      </w:r>
      <w:r w:rsidR="00902C93" w:rsidRPr="002267D6">
        <w:rPr>
          <w:sz w:val="22"/>
          <w:szCs w:val="22"/>
        </w:rPr>
        <w:t xml:space="preserve"> </w:t>
      </w:r>
      <w:r w:rsidR="00902C93" w:rsidRPr="002267D6">
        <w:rPr>
          <w:sz w:val="22"/>
          <w:szCs w:val="22"/>
          <w:u w:val="single"/>
        </w:rPr>
        <w:tab/>
      </w:r>
      <w:r w:rsidR="00902C93" w:rsidRPr="002267D6">
        <w:rPr>
          <w:sz w:val="22"/>
          <w:szCs w:val="22"/>
          <w:u w:val="single"/>
        </w:rPr>
        <w:tab/>
      </w:r>
      <w:r w:rsidR="00902C93" w:rsidRPr="002267D6">
        <w:rPr>
          <w:sz w:val="22"/>
          <w:szCs w:val="22"/>
        </w:rPr>
        <w:t xml:space="preserve"> </w:t>
      </w:r>
      <w:r w:rsidRPr="002267D6">
        <w:rPr>
          <w:sz w:val="22"/>
          <w:szCs w:val="22"/>
        </w:rPr>
        <w:t>day</w:t>
      </w:r>
      <w:r w:rsidR="00902C93" w:rsidRPr="002267D6">
        <w:rPr>
          <w:sz w:val="22"/>
          <w:szCs w:val="22"/>
        </w:rPr>
        <w:t xml:space="preserve"> of </w:t>
      </w:r>
      <w:r w:rsidR="00902C93" w:rsidRPr="002267D6">
        <w:rPr>
          <w:sz w:val="22"/>
          <w:szCs w:val="22"/>
          <w:u w:val="single"/>
        </w:rPr>
        <w:tab/>
      </w:r>
      <w:r w:rsidR="00902C93" w:rsidRPr="002267D6">
        <w:rPr>
          <w:sz w:val="22"/>
          <w:szCs w:val="22"/>
          <w:u w:val="single"/>
        </w:rPr>
        <w:tab/>
      </w:r>
      <w:r w:rsidR="00902C93" w:rsidRPr="002267D6">
        <w:rPr>
          <w:sz w:val="22"/>
          <w:szCs w:val="22"/>
          <w:u w:val="single"/>
        </w:rPr>
        <w:tab/>
      </w:r>
      <w:r w:rsidR="00902C93" w:rsidRPr="002267D6">
        <w:rPr>
          <w:sz w:val="22"/>
          <w:szCs w:val="22"/>
        </w:rPr>
        <w:t>, 20</w:t>
      </w:r>
      <w:r w:rsidR="00902C93" w:rsidRPr="002267D6">
        <w:rPr>
          <w:sz w:val="22"/>
          <w:szCs w:val="22"/>
          <w:u w:val="single"/>
        </w:rPr>
        <w:tab/>
      </w:r>
      <w:r w:rsidR="00902C93" w:rsidRPr="002267D6">
        <w:rPr>
          <w:sz w:val="22"/>
          <w:szCs w:val="22"/>
          <w:u w:val="single"/>
        </w:rPr>
        <w:tab/>
      </w:r>
      <w:r w:rsidR="00902C93" w:rsidRPr="002267D6">
        <w:rPr>
          <w:sz w:val="22"/>
          <w:szCs w:val="22"/>
        </w:rPr>
        <w:t xml:space="preserve">.  </w:t>
      </w:r>
      <w:r w:rsidRPr="002267D6">
        <w:rPr>
          <w:sz w:val="22"/>
          <w:szCs w:val="22"/>
        </w:rPr>
        <w:t xml:space="preserve">   </w:t>
      </w:r>
    </w:p>
    <w:p w14:paraId="05FA012C" w14:textId="77777777" w:rsidR="002E5234" w:rsidRDefault="002E5234" w:rsidP="00902C93">
      <w:pPr>
        <w:rPr>
          <w:sz w:val="22"/>
          <w:szCs w:val="22"/>
        </w:rPr>
      </w:pPr>
    </w:p>
    <w:p w14:paraId="630BA4F0" w14:textId="77777777" w:rsidR="007B5CF2" w:rsidRPr="002267D6" w:rsidRDefault="007B5CF2" w:rsidP="00902C93">
      <w:pPr>
        <w:rPr>
          <w:sz w:val="22"/>
          <w:szCs w:val="22"/>
        </w:rPr>
      </w:pPr>
    </w:p>
    <w:p w14:paraId="50C36E9E" w14:textId="77777777" w:rsidR="00902C93" w:rsidRPr="002267D6" w:rsidRDefault="00902C93" w:rsidP="00902C93">
      <w:pPr>
        <w:ind w:left="4320"/>
        <w:rPr>
          <w:sz w:val="22"/>
          <w:szCs w:val="22"/>
        </w:rPr>
      </w:pP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74777EA9" w14:textId="77777777" w:rsidR="00902C93" w:rsidRPr="002267D6" w:rsidRDefault="00902C93" w:rsidP="00902C93">
      <w:pPr>
        <w:ind w:left="4320"/>
        <w:rPr>
          <w:sz w:val="22"/>
          <w:szCs w:val="22"/>
        </w:rPr>
      </w:pPr>
      <w:r w:rsidRPr="002267D6">
        <w:rPr>
          <w:sz w:val="22"/>
          <w:szCs w:val="22"/>
        </w:rPr>
        <w:t>Signature of Principal</w:t>
      </w:r>
    </w:p>
    <w:p w14:paraId="2742FC60" w14:textId="77777777" w:rsidR="00902C93" w:rsidRPr="002267D6" w:rsidRDefault="00902C93" w:rsidP="00902C93">
      <w:pPr>
        <w:ind w:left="4320"/>
        <w:rPr>
          <w:sz w:val="22"/>
          <w:szCs w:val="22"/>
        </w:rPr>
      </w:pPr>
    </w:p>
    <w:p w14:paraId="4FD8C6C4" w14:textId="77777777" w:rsidR="00902C93" w:rsidRPr="002267D6" w:rsidRDefault="00902C93" w:rsidP="00902C93">
      <w:pPr>
        <w:ind w:left="4320"/>
        <w:rPr>
          <w:sz w:val="22"/>
          <w:szCs w:val="22"/>
        </w:rPr>
      </w:pP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4A4E2984" w14:textId="77777777" w:rsidR="00902C93" w:rsidRPr="002267D6" w:rsidRDefault="00902C93" w:rsidP="00902C93">
      <w:pPr>
        <w:ind w:left="4320"/>
        <w:rPr>
          <w:sz w:val="22"/>
          <w:szCs w:val="22"/>
        </w:rPr>
      </w:pPr>
      <w:r w:rsidRPr="002267D6">
        <w:rPr>
          <w:sz w:val="22"/>
          <w:szCs w:val="22"/>
        </w:rPr>
        <w:t>By:  (please print)</w:t>
      </w:r>
    </w:p>
    <w:p w14:paraId="339B7E67" w14:textId="77777777" w:rsidR="00902C93" w:rsidRPr="002267D6" w:rsidRDefault="00902C93" w:rsidP="00902C93">
      <w:pPr>
        <w:ind w:left="4320"/>
        <w:rPr>
          <w:sz w:val="22"/>
          <w:szCs w:val="22"/>
        </w:rPr>
      </w:pPr>
    </w:p>
    <w:p w14:paraId="6F4CF9E6" w14:textId="77777777" w:rsidR="00902C93" w:rsidRPr="002267D6" w:rsidRDefault="00902C93" w:rsidP="00902C93">
      <w:pPr>
        <w:ind w:left="4320"/>
        <w:rPr>
          <w:sz w:val="22"/>
          <w:szCs w:val="22"/>
        </w:rPr>
      </w:pP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771BED81" w14:textId="77777777" w:rsidR="00902C93" w:rsidRPr="002267D6" w:rsidRDefault="00902C93" w:rsidP="00902C93">
      <w:pPr>
        <w:ind w:left="4320"/>
        <w:rPr>
          <w:sz w:val="22"/>
          <w:szCs w:val="22"/>
        </w:rPr>
      </w:pPr>
      <w:r w:rsidRPr="002267D6">
        <w:rPr>
          <w:sz w:val="22"/>
          <w:szCs w:val="22"/>
        </w:rPr>
        <w:t>Signature of Attorney-in-Fact for Surety</w:t>
      </w:r>
    </w:p>
    <w:p w14:paraId="05735EEF" w14:textId="77777777" w:rsidR="00902C93" w:rsidRPr="002267D6" w:rsidRDefault="00902C93" w:rsidP="00902C93">
      <w:pPr>
        <w:ind w:left="4320"/>
        <w:rPr>
          <w:sz w:val="22"/>
          <w:szCs w:val="22"/>
        </w:rPr>
      </w:pPr>
    </w:p>
    <w:p w14:paraId="360DAE0C" w14:textId="77777777" w:rsidR="00902C93" w:rsidRPr="002267D6" w:rsidRDefault="00902C93" w:rsidP="00902C93">
      <w:pPr>
        <w:ind w:left="4320"/>
        <w:rPr>
          <w:sz w:val="22"/>
          <w:szCs w:val="22"/>
        </w:rPr>
      </w:pP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r w:rsidRPr="002267D6">
        <w:rPr>
          <w:sz w:val="22"/>
          <w:szCs w:val="22"/>
          <w:u w:val="single"/>
        </w:rPr>
        <w:tab/>
      </w:r>
    </w:p>
    <w:p w14:paraId="777DCADC" w14:textId="0C2AFC57" w:rsidR="00902C93" w:rsidRPr="002267D6" w:rsidRDefault="00902C93" w:rsidP="001E6222">
      <w:pPr>
        <w:ind w:left="4320"/>
        <w:rPr>
          <w:sz w:val="22"/>
          <w:szCs w:val="22"/>
        </w:rPr>
      </w:pPr>
      <w:r w:rsidRPr="002267D6">
        <w:rPr>
          <w:sz w:val="22"/>
          <w:szCs w:val="22"/>
        </w:rPr>
        <w:t>By:  (please print)</w:t>
      </w:r>
    </w:p>
    <w:sectPr w:rsidR="00902C93" w:rsidRPr="002267D6" w:rsidSect="001E622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A9DB" w14:textId="77777777" w:rsidR="00E50E62" w:rsidRDefault="00E50E62">
      <w:r>
        <w:separator/>
      </w:r>
    </w:p>
  </w:endnote>
  <w:endnote w:type="continuationSeparator" w:id="0">
    <w:p w14:paraId="49631344" w14:textId="77777777" w:rsidR="00E50E62" w:rsidRDefault="00E5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53A6" w14:textId="1E7557D4" w:rsidR="00E50E62" w:rsidRDefault="00E50E62" w:rsidP="00FF420B">
    <w:pPr>
      <w:pStyle w:val="Footer"/>
      <w:tabs>
        <w:tab w:val="clear" w:pos="8640"/>
        <w:tab w:val="right" w:pos="9360"/>
      </w:tabs>
    </w:pPr>
    <w:r>
      <w:t>Form 9</w:t>
    </w:r>
    <w:r>
      <w:tab/>
      <w:t xml:space="preserve">Page </w:t>
    </w:r>
    <w:r>
      <w:fldChar w:fldCharType="begin"/>
    </w:r>
    <w:r>
      <w:instrText xml:space="preserve"> PAGE </w:instrText>
    </w:r>
    <w:r>
      <w:fldChar w:fldCharType="separate"/>
    </w:r>
    <w:r w:rsidR="00017AD4">
      <w:rPr>
        <w:noProof/>
      </w:rPr>
      <w:t>2</w:t>
    </w:r>
    <w:r>
      <w:fldChar w:fldCharType="end"/>
    </w:r>
    <w:r>
      <w:t xml:space="preserve"> of </w:t>
    </w:r>
    <w:fldSimple w:instr=" NUMPAGES ">
      <w:r w:rsidR="00017AD4">
        <w:rPr>
          <w:noProof/>
        </w:rPr>
        <w:t>2</w:t>
      </w:r>
    </w:fldSimple>
    <w:r>
      <w:tab/>
      <w:t xml:space="preserve">Rev. </w:t>
    </w:r>
    <w:r w:rsidR="00551E7D">
      <w:t>0</w:t>
    </w:r>
    <w:r w:rsidR="001E6222">
      <w:t>1/2</w:t>
    </w:r>
    <w:r w:rsidR="00551E7D">
      <w:t>0</w:t>
    </w:r>
    <w:r w:rsidR="001E6222">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FA46" w14:textId="645D2D49" w:rsidR="001E6222" w:rsidRDefault="001E6222" w:rsidP="001E6222">
    <w:pPr>
      <w:pStyle w:val="Footer"/>
      <w:tabs>
        <w:tab w:val="clear" w:pos="8640"/>
        <w:tab w:val="right" w:pos="9360"/>
      </w:tabs>
    </w:pPr>
    <w:r>
      <w:t>Form 9</w:t>
    </w:r>
    <w:r>
      <w:tab/>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2</w:t>
    </w:r>
    <w:r>
      <w:fldChar w:fldCharType="end"/>
    </w:r>
    <w:r>
      <w:tab/>
      <w:t>Rev. 0</w:t>
    </w:r>
    <w:r>
      <w:t>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FB5A" w14:textId="77777777" w:rsidR="00E50E62" w:rsidRDefault="00E50E62">
      <w:r>
        <w:separator/>
      </w:r>
    </w:p>
  </w:footnote>
  <w:footnote w:type="continuationSeparator" w:id="0">
    <w:p w14:paraId="2BC54F49" w14:textId="77777777" w:rsidR="00E50E62" w:rsidRDefault="00E5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AC63" w14:textId="77777777" w:rsidR="00E50E62" w:rsidRDefault="00E50E62" w:rsidP="00F16A03">
    <w:pPr>
      <w:pStyle w:val="Header"/>
      <w:tabs>
        <w:tab w:val="clear" w:pos="4320"/>
        <w:tab w:val="clear" w:pos="8640"/>
        <w:tab w:val="right" w:pos="9360"/>
      </w:tabs>
    </w:pPr>
    <w:r>
      <w:rPr>
        <w:rFonts w:ascii="Arial" w:hAnsi="Arial" w:cs="Arial"/>
        <w:b/>
        <w:bCs/>
        <w:sz w:val="44"/>
      </w:rPr>
      <w:t>Form 9</w:t>
    </w:r>
    <w:r>
      <w:rPr>
        <w:rFonts w:ascii="Arial" w:hAnsi="Arial" w:cs="Arial"/>
        <w:sz w:val="44"/>
      </w:rPr>
      <w:t xml:space="preserve"> </w:t>
    </w:r>
    <w:r>
      <w:rPr>
        <w:rFonts w:ascii="Arial" w:hAnsi="Arial" w:cs="Arial"/>
        <w:sz w:val="44"/>
      </w:rPr>
      <w:tab/>
    </w:r>
    <w:r>
      <w:rPr>
        <w:rFonts w:ascii="Arial" w:hAnsi="Arial" w:cs="Arial"/>
        <w:b/>
        <w:bCs/>
        <w:sz w:val="28"/>
      </w:rPr>
      <w:t>Bond Year: 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2E9D" w14:textId="09495817" w:rsidR="001E6222" w:rsidRDefault="001E6222" w:rsidP="001E6222">
    <w:pPr>
      <w:pStyle w:val="Header"/>
      <w:tabs>
        <w:tab w:val="clear" w:pos="4320"/>
        <w:tab w:val="clear" w:pos="8640"/>
        <w:tab w:val="right" w:pos="9360"/>
      </w:tabs>
      <w:rPr>
        <w:rFonts w:ascii="Arial" w:hAnsi="Arial" w:cs="Arial"/>
        <w:b/>
        <w:bCs/>
        <w:sz w:val="28"/>
      </w:rPr>
    </w:pPr>
    <w:r>
      <w:rPr>
        <w:rFonts w:ascii="Arial" w:hAnsi="Arial" w:cs="Arial"/>
        <w:b/>
        <w:bCs/>
        <w:sz w:val="44"/>
      </w:rPr>
      <w:t>Form 9</w:t>
    </w:r>
    <w:r>
      <w:rPr>
        <w:rFonts w:ascii="Arial" w:hAnsi="Arial" w:cs="Arial"/>
        <w:sz w:val="44"/>
      </w:rPr>
      <w:t xml:space="preserve"> </w:t>
    </w:r>
    <w:r>
      <w:rPr>
        <w:rFonts w:ascii="Arial" w:hAnsi="Arial" w:cs="Arial"/>
        <w:sz w:val="44"/>
      </w:rPr>
      <w:tab/>
    </w:r>
    <w:r>
      <w:rPr>
        <w:rFonts w:ascii="Arial" w:hAnsi="Arial" w:cs="Arial"/>
        <w:b/>
        <w:bCs/>
        <w:sz w:val="28"/>
      </w:rPr>
      <w:t>Bond Year: _______</w:t>
    </w:r>
  </w:p>
  <w:p w14:paraId="5DC52CBE" w14:textId="77777777" w:rsidR="001E6222" w:rsidRDefault="001E6222" w:rsidP="001E6222">
    <w:pPr>
      <w:pStyle w:val="Header"/>
      <w:tabs>
        <w:tab w:val="clear" w:pos="4320"/>
        <w:tab w:val="clear" w:pos="8640"/>
        <w:tab w:val="right" w:pos="9360"/>
      </w:tabs>
    </w:pPr>
  </w:p>
  <w:p w14:paraId="6E96B875" w14:textId="3A2B331F" w:rsidR="001E6222" w:rsidRDefault="001E6222">
    <w:pPr>
      <w:pStyle w:val="Header"/>
    </w:pPr>
  </w:p>
  <w:p w14:paraId="04E05A7E" w14:textId="5C934D5B" w:rsidR="001E6222" w:rsidRDefault="001E6222" w:rsidP="001E6222">
    <w:pPr>
      <w:ind w:left="720" w:firstLine="450"/>
      <w:jc w:val="center"/>
      <w:rPr>
        <w:smallCaps/>
        <w:sz w:val="42"/>
        <w:szCs w:val="42"/>
      </w:rPr>
    </w:pPr>
    <w:r>
      <w:rPr>
        <w:noProof/>
      </w:rPr>
      <w:drawing>
        <wp:anchor distT="0" distB="0" distL="114300" distR="114300" simplePos="0" relativeHeight="251659264" behindDoc="0" locked="0" layoutInCell="1" allowOverlap="1" wp14:anchorId="54AF7205" wp14:editId="3344418B">
          <wp:simplePos x="0" y="0"/>
          <wp:positionH relativeFrom="column">
            <wp:posOffset>-533400</wp:posOffset>
          </wp:positionH>
          <wp:positionV relativeFrom="paragraph">
            <wp:posOffset>-243840</wp:posOffset>
          </wp:positionV>
          <wp:extent cx="1409700" cy="17373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mallCaps/>
        <w:sz w:val="42"/>
        <w:szCs w:val="42"/>
      </w:rPr>
      <w:t>The Commonwealth of Massachusetts</w:t>
    </w:r>
  </w:p>
  <w:p w14:paraId="2DFC51E4" w14:textId="77777777" w:rsidR="001E6222" w:rsidRDefault="001E6222" w:rsidP="001E6222">
    <w:pPr>
      <w:ind w:left="720" w:firstLine="450"/>
      <w:jc w:val="center"/>
      <w:rPr>
        <w:smallCaps/>
      </w:rPr>
    </w:pPr>
    <w:r>
      <w:rPr>
        <w:smallCaps/>
        <w:sz w:val="42"/>
        <w:szCs w:val="42"/>
      </w:rPr>
      <w:t>Office of the Attorney General</w:t>
    </w:r>
  </w:p>
  <w:p w14:paraId="43DE618F" w14:textId="77777777" w:rsidR="001E6222" w:rsidRPr="00AC4273" w:rsidRDefault="001E6222" w:rsidP="001E6222">
    <w:pPr>
      <w:ind w:left="720" w:firstLine="450"/>
      <w:jc w:val="center"/>
      <w:rPr>
        <w:smallCaps/>
        <w:sz w:val="28"/>
        <w:szCs w:val="28"/>
      </w:rPr>
    </w:pPr>
    <w:smartTag w:uri="urn:schemas-microsoft-com:office:smarttags" w:element="Street">
      <w:smartTag w:uri="urn:schemas-microsoft-com:office:smarttags" w:element="address">
        <w:r w:rsidRPr="00AC4273">
          <w:rPr>
            <w:smallCaps/>
            <w:sz w:val="28"/>
            <w:szCs w:val="28"/>
          </w:rPr>
          <w:t>ONE ASHBURTON PLACE</w:t>
        </w:r>
      </w:smartTag>
    </w:smartTag>
  </w:p>
  <w:p w14:paraId="45517A99" w14:textId="77777777" w:rsidR="001E6222" w:rsidRPr="00895EF8" w:rsidRDefault="001E6222" w:rsidP="001E6222">
    <w:pPr>
      <w:spacing w:after="120"/>
      <w:ind w:left="720" w:firstLine="450"/>
      <w:jc w:val="center"/>
      <w:rPr>
        <w:smallCaps/>
        <w:sz w:val="28"/>
        <w:szCs w:val="28"/>
      </w:rPr>
    </w:pPr>
    <w:r w:rsidRPr="00AC4273">
      <w:rPr>
        <w:smallCaps/>
        <w:sz w:val="28"/>
        <w:szCs w:val="28"/>
      </w:rPr>
      <w:t>BOSTON, MASSACHUSETTS 02108</w:t>
    </w:r>
  </w:p>
  <w:p w14:paraId="61D91CA4" w14:textId="77777777" w:rsidR="001E6222" w:rsidRDefault="001E6222" w:rsidP="001E6222">
    <w:pPr>
      <w:tabs>
        <w:tab w:val="center" w:pos="8280"/>
      </w:tabs>
    </w:pPr>
    <w:r>
      <w:rPr>
        <w:smallCaps/>
        <w:sz w:val="28"/>
        <w:szCs w:val="28"/>
      </w:rPr>
      <w:tab/>
    </w:r>
    <w:r>
      <w:t>(617</w:t>
    </w:r>
    <w:r w:rsidRPr="00E35C08">
      <w:t xml:space="preserve">) </w:t>
    </w:r>
    <w:r>
      <w:t>727</w:t>
    </w:r>
    <w:r w:rsidRPr="00E35C08">
      <w:t>-</w:t>
    </w:r>
    <w:r>
      <w:t>2200</w:t>
    </w:r>
  </w:p>
  <w:p w14:paraId="612CB058" w14:textId="5CDCC01D" w:rsidR="001E6222" w:rsidRDefault="001E6222" w:rsidP="001E6222">
    <w:pPr>
      <w:tabs>
        <w:tab w:val="center" w:pos="8280"/>
      </w:tabs>
    </w:pPr>
    <w:r>
      <w:tab/>
    </w:r>
    <w:hyperlink r:id="rId2" w:history="1">
      <w:r w:rsidRPr="00544AC8">
        <w:rPr>
          <w:rStyle w:val="Hyperlink"/>
        </w:rPr>
        <w:t>www.mass.gov/ago</w:t>
      </w:r>
    </w:hyperlink>
  </w:p>
  <w:p w14:paraId="20468A5B" w14:textId="77777777" w:rsidR="001E6222" w:rsidRDefault="001E6222" w:rsidP="001E6222">
    <w:pPr>
      <w:tabs>
        <w:tab w:val="center" w:pos="8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56C90"/>
    <w:multiLevelType w:val="hybridMultilevel"/>
    <w:tmpl w:val="FFFFFFFF"/>
    <w:lvl w:ilvl="0" w:tplc="E07216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84B1015"/>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67119155">
    <w:abstractNumId w:val="1"/>
  </w:num>
  <w:num w:numId="2" w16cid:durableId="37200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03"/>
    <w:rsid w:val="00017AD4"/>
    <w:rsid w:val="00035FD5"/>
    <w:rsid w:val="000414EC"/>
    <w:rsid w:val="00053606"/>
    <w:rsid w:val="00056FBB"/>
    <w:rsid w:val="00065C0B"/>
    <w:rsid w:val="0008706C"/>
    <w:rsid w:val="0009154F"/>
    <w:rsid w:val="0009406A"/>
    <w:rsid w:val="0009727B"/>
    <w:rsid w:val="000B275A"/>
    <w:rsid w:val="000B5EFE"/>
    <w:rsid w:val="000B691E"/>
    <w:rsid w:val="000C0074"/>
    <w:rsid w:val="000D02E0"/>
    <w:rsid w:val="000E02A6"/>
    <w:rsid w:val="000E697F"/>
    <w:rsid w:val="000F1648"/>
    <w:rsid w:val="000F6D0C"/>
    <w:rsid w:val="00101504"/>
    <w:rsid w:val="00105030"/>
    <w:rsid w:val="00122AB3"/>
    <w:rsid w:val="00127A26"/>
    <w:rsid w:val="00136E59"/>
    <w:rsid w:val="00156642"/>
    <w:rsid w:val="00156D8F"/>
    <w:rsid w:val="00184CC4"/>
    <w:rsid w:val="001A55AA"/>
    <w:rsid w:val="001A5F32"/>
    <w:rsid w:val="001C38EB"/>
    <w:rsid w:val="001C52F4"/>
    <w:rsid w:val="001C71DB"/>
    <w:rsid w:val="001C750F"/>
    <w:rsid w:val="001E07B4"/>
    <w:rsid w:val="001E6222"/>
    <w:rsid w:val="0022369C"/>
    <w:rsid w:val="002267D6"/>
    <w:rsid w:val="002405B5"/>
    <w:rsid w:val="00243085"/>
    <w:rsid w:val="002551E5"/>
    <w:rsid w:val="00260E81"/>
    <w:rsid w:val="002768BB"/>
    <w:rsid w:val="00280907"/>
    <w:rsid w:val="00287E1A"/>
    <w:rsid w:val="002935EB"/>
    <w:rsid w:val="002A357C"/>
    <w:rsid w:val="002A511C"/>
    <w:rsid w:val="002A67E7"/>
    <w:rsid w:val="002B4C56"/>
    <w:rsid w:val="002E1D6E"/>
    <w:rsid w:val="002E5234"/>
    <w:rsid w:val="002F0480"/>
    <w:rsid w:val="00313CB6"/>
    <w:rsid w:val="003240FF"/>
    <w:rsid w:val="00337E94"/>
    <w:rsid w:val="003412B6"/>
    <w:rsid w:val="00356CAC"/>
    <w:rsid w:val="00362C24"/>
    <w:rsid w:val="00363834"/>
    <w:rsid w:val="00373A3A"/>
    <w:rsid w:val="003846B4"/>
    <w:rsid w:val="003B3E64"/>
    <w:rsid w:val="003C4096"/>
    <w:rsid w:val="003C6DB2"/>
    <w:rsid w:val="00410139"/>
    <w:rsid w:val="00414AF4"/>
    <w:rsid w:val="004220E2"/>
    <w:rsid w:val="004363EF"/>
    <w:rsid w:val="00444B5A"/>
    <w:rsid w:val="00451973"/>
    <w:rsid w:val="00454D57"/>
    <w:rsid w:val="00477A96"/>
    <w:rsid w:val="004B52D5"/>
    <w:rsid w:val="004E404F"/>
    <w:rsid w:val="004E4E9B"/>
    <w:rsid w:val="004E680F"/>
    <w:rsid w:val="004E7AB0"/>
    <w:rsid w:val="0050131A"/>
    <w:rsid w:val="00503193"/>
    <w:rsid w:val="00507BBD"/>
    <w:rsid w:val="00510E6C"/>
    <w:rsid w:val="0055077B"/>
    <w:rsid w:val="00550A08"/>
    <w:rsid w:val="00551E7D"/>
    <w:rsid w:val="00552177"/>
    <w:rsid w:val="00557D6E"/>
    <w:rsid w:val="00563AE5"/>
    <w:rsid w:val="0056678D"/>
    <w:rsid w:val="00597245"/>
    <w:rsid w:val="005B1410"/>
    <w:rsid w:val="005C18DC"/>
    <w:rsid w:val="005C3244"/>
    <w:rsid w:val="005C73E6"/>
    <w:rsid w:val="005D7546"/>
    <w:rsid w:val="005E1DA4"/>
    <w:rsid w:val="00622DCB"/>
    <w:rsid w:val="006367A6"/>
    <w:rsid w:val="006C0A98"/>
    <w:rsid w:val="006C55E9"/>
    <w:rsid w:val="006C677C"/>
    <w:rsid w:val="006D4547"/>
    <w:rsid w:val="006F3F09"/>
    <w:rsid w:val="00722259"/>
    <w:rsid w:val="0074780B"/>
    <w:rsid w:val="007869F5"/>
    <w:rsid w:val="007A1084"/>
    <w:rsid w:val="007A6801"/>
    <w:rsid w:val="007B5CF2"/>
    <w:rsid w:val="007C399A"/>
    <w:rsid w:val="007D6074"/>
    <w:rsid w:val="007E5826"/>
    <w:rsid w:val="008041B1"/>
    <w:rsid w:val="00821D83"/>
    <w:rsid w:val="00825EBE"/>
    <w:rsid w:val="0083279E"/>
    <w:rsid w:val="00846625"/>
    <w:rsid w:val="00861CBD"/>
    <w:rsid w:val="008B4A84"/>
    <w:rsid w:val="008B6622"/>
    <w:rsid w:val="008B678C"/>
    <w:rsid w:val="008C2816"/>
    <w:rsid w:val="008E2A42"/>
    <w:rsid w:val="008F38F8"/>
    <w:rsid w:val="008F593B"/>
    <w:rsid w:val="0090050F"/>
    <w:rsid w:val="00902C93"/>
    <w:rsid w:val="00902DF7"/>
    <w:rsid w:val="00905F14"/>
    <w:rsid w:val="00907A09"/>
    <w:rsid w:val="00913745"/>
    <w:rsid w:val="009428C6"/>
    <w:rsid w:val="00942D9C"/>
    <w:rsid w:val="00950E86"/>
    <w:rsid w:val="00952E8C"/>
    <w:rsid w:val="00957C72"/>
    <w:rsid w:val="00967128"/>
    <w:rsid w:val="00972B65"/>
    <w:rsid w:val="009A0690"/>
    <w:rsid w:val="009B18FF"/>
    <w:rsid w:val="009B429F"/>
    <w:rsid w:val="009C0D36"/>
    <w:rsid w:val="009C6E0A"/>
    <w:rsid w:val="009D56EA"/>
    <w:rsid w:val="009D742C"/>
    <w:rsid w:val="009E12F0"/>
    <w:rsid w:val="009E30C4"/>
    <w:rsid w:val="009E323B"/>
    <w:rsid w:val="009F3385"/>
    <w:rsid w:val="00A03692"/>
    <w:rsid w:val="00A07419"/>
    <w:rsid w:val="00A26A46"/>
    <w:rsid w:val="00A330CD"/>
    <w:rsid w:val="00A363F0"/>
    <w:rsid w:val="00A54F75"/>
    <w:rsid w:val="00A749DC"/>
    <w:rsid w:val="00A74FBE"/>
    <w:rsid w:val="00A82EB0"/>
    <w:rsid w:val="00AB3FD4"/>
    <w:rsid w:val="00AE371A"/>
    <w:rsid w:val="00AE5F5A"/>
    <w:rsid w:val="00AF4B3E"/>
    <w:rsid w:val="00B05A34"/>
    <w:rsid w:val="00B13F24"/>
    <w:rsid w:val="00B24A6F"/>
    <w:rsid w:val="00B253FD"/>
    <w:rsid w:val="00B267D1"/>
    <w:rsid w:val="00B307F7"/>
    <w:rsid w:val="00B416CC"/>
    <w:rsid w:val="00B9155B"/>
    <w:rsid w:val="00B96C22"/>
    <w:rsid w:val="00BA65C1"/>
    <w:rsid w:val="00BB0752"/>
    <w:rsid w:val="00BF72FB"/>
    <w:rsid w:val="00C0613B"/>
    <w:rsid w:val="00C27F1A"/>
    <w:rsid w:val="00C4156D"/>
    <w:rsid w:val="00C5355B"/>
    <w:rsid w:val="00C53F78"/>
    <w:rsid w:val="00C557BA"/>
    <w:rsid w:val="00C572DE"/>
    <w:rsid w:val="00C71F9B"/>
    <w:rsid w:val="00CE6A14"/>
    <w:rsid w:val="00CF4E1F"/>
    <w:rsid w:val="00D13339"/>
    <w:rsid w:val="00D17810"/>
    <w:rsid w:val="00D44C94"/>
    <w:rsid w:val="00D7179C"/>
    <w:rsid w:val="00D77464"/>
    <w:rsid w:val="00D80E4A"/>
    <w:rsid w:val="00D816A3"/>
    <w:rsid w:val="00DB4572"/>
    <w:rsid w:val="00DB6571"/>
    <w:rsid w:val="00DD4AD2"/>
    <w:rsid w:val="00DE154E"/>
    <w:rsid w:val="00E01CBA"/>
    <w:rsid w:val="00E10BEA"/>
    <w:rsid w:val="00E2185C"/>
    <w:rsid w:val="00E22D4F"/>
    <w:rsid w:val="00E37AF0"/>
    <w:rsid w:val="00E37D6C"/>
    <w:rsid w:val="00E50E62"/>
    <w:rsid w:val="00E5197B"/>
    <w:rsid w:val="00E52F3C"/>
    <w:rsid w:val="00E607AF"/>
    <w:rsid w:val="00E828D0"/>
    <w:rsid w:val="00E92A51"/>
    <w:rsid w:val="00EB1326"/>
    <w:rsid w:val="00EB59F9"/>
    <w:rsid w:val="00EB6A23"/>
    <w:rsid w:val="00EC2AD8"/>
    <w:rsid w:val="00EC4200"/>
    <w:rsid w:val="00EF067A"/>
    <w:rsid w:val="00EF21A1"/>
    <w:rsid w:val="00EF2CDA"/>
    <w:rsid w:val="00F16A03"/>
    <w:rsid w:val="00F26031"/>
    <w:rsid w:val="00F94D54"/>
    <w:rsid w:val="00FB3AB5"/>
    <w:rsid w:val="00FB5AC3"/>
    <w:rsid w:val="00FC5FE2"/>
    <w:rsid w:val="00FD5C05"/>
    <w:rsid w:val="00FF420B"/>
    <w:rsid w:val="00FF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2D616DB6"/>
  <w14:defaultImageDpi w14:val="0"/>
  <w15:docId w15:val="{6EE880E0-4D70-4CA2-B983-A9A2D5E5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A03"/>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A0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F16A0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unhideWhenUsed/>
    <w:rsid w:val="00551E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E7D"/>
    <w:rPr>
      <w:rFonts w:ascii="Tahoma" w:hAnsi="Tahoma" w:cs="Tahoma"/>
      <w:sz w:val="16"/>
      <w:szCs w:val="16"/>
    </w:rPr>
  </w:style>
  <w:style w:type="character" w:styleId="CommentReference">
    <w:name w:val="annotation reference"/>
    <w:basedOn w:val="DefaultParagraphFont"/>
    <w:uiPriority w:val="99"/>
    <w:semiHidden/>
    <w:unhideWhenUsed/>
    <w:rsid w:val="00243085"/>
    <w:rPr>
      <w:rFonts w:cs="Times New Roman"/>
      <w:sz w:val="16"/>
      <w:szCs w:val="16"/>
    </w:rPr>
  </w:style>
  <w:style w:type="paragraph" w:styleId="CommentText">
    <w:name w:val="annotation text"/>
    <w:basedOn w:val="Normal"/>
    <w:link w:val="CommentTextChar"/>
    <w:uiPriority w:val="99"/>
    <w:semiHidden/>
    <w:unhideWhenUsed/>
    <w:rsid w:val="00243085"/>
  </w:style>
  <w:style w:type="character" w:customStyle="1" w:styleId="CommentTextChar">
    <w:name w:val="Comment Text Char"/>
    <w:basedOn w:val="DefaultParagraphFont"/>
    <w:link w:val="CommentText"/>
    <w:uiPriority w:val="99"/>
    <w:semiHidden/>
    <w:locked/>
    <w:rsid w:val="00243085"/>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3085"/>
    <w:rPr>
      <w:b/>
      <w:bCs/>
    </w:rPr>
  </w:style>
  <w:style w:type="character" w:customStyle="1" w:styleId="CommentSubjectChar">
    <w:name w:val="Comment Subject Char"/>
    <w:basedOn w:val="CommentTextChar"/>
    <w:link w:val="CommentSubject"/>
    <w:uiPriority w:val="99"/>
    <w:semiHidden/>
    <w:locked/>
    <w:rsid w:val="00243085"/>
    <w:rPr>
      <w:rFonts w:cs="Times New Roman"/>
      <w:b/>
      <w:bCs/>
      <w:sz w:val="20"/>
      <w:szCs w:val="20"/>
    </w:rPr>
  </w:style>
  <w:style w:type="paragraph" w:styleId="Revision">
    <w:name w:val="Revision"/>
    <w:hidden/>
    <w:uiPriority w:val="99"/>
    <w:semiHidden/>
    <w:rsid w:val="001E6222"/>
    <w:pPr>
      <w:spacing w:after="0" w:line="240" w:lineRule="auto"/>
    </w:pPr>
    <w:rPr>
      <w:sz w:val="20"/>
      <w:szCs w:val="20"/>
    </w:rPr>
  </w:style>
  <w:style w:type="character" w:styleId="Hyperlink">
    <w:name w:val="Hyperlink"/>
    <w:basedOn w:val="DefaultParagraphFont"/>
    <w:uiPriority w:val="99"/>
    <w:rsid w:val="001E6222"/>
    <w:rPr>
      <w:color w:val="0000FF" w:themeColor="hyperlink"/>
      <w:u w:val="single"/>
    </w:rPr>
  </w:style>
  <w:style w:type="character" w:styleId="UnresolvedMention">
    <w:name w:val="Unresolved Mention"/>
    <w:basedOn w:val="DefaultParagraphFont"/>
    <w:uiPriority w:val="99"/>
    <w:semiHidden/>
    <w:unhideWhenUsed/>
    <w:rsid w:val="001E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ass.gov/ag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817B-21BD-4A81-A501-4E05AD07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 Bond for Professional Fundraisers</dc:title>
  <dc:subject/>
  <dc:creator>AGO</dc:creator>
  <cp:keywords/>
  <dc:description/>
  <cp:lastModifiedBy>Kravitz, Aaron (AGO)</cp:lastModifiedBy>
  <cp:revision>2</cp:revision>
  <cp:lastPrinted>2010-09-28T16:34:00Z</cp:lastPrinted>
  <dcterms:created xsi:type="dcterms:W3CDTF">2023-01-26T15:01:00Z</dcterms:created>
  <dcterms:modified xsi:type="dcterms:W3CDTF">2023-01-26T15:01:00Z</dcterms:modified>
</cp:coreProperties>
</file>