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461" w14:textId="1DBABD3C" w:rsidR="27718351" w:rsidRPr="00905574" w:rsidRDefault="27718351" w:rsidP="27718351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af-ZA"/>
        </w:rPr>
      </w:pPr>
    </w:p>
    <w:p w14:paraId="559F84BA" w14:textId="2B811B92" w:rsidR="7B596215" w:rsidRPr="00905574" w:rsidRDefault="000F4897" w:rsidP="27718351">
      <w:pPr>
        <w:spacing w:after="160"/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af-ZA"/>
        </w:rPr>
      </w:pPr>
      <w:r w:rsidRPr="00905574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af-ZA"/>
        </w:rPr>
        <w:t>Fòmilè Plent Administratif Fòmèl</w:t>
      </w:r>
      <w:r w:rsidRPr="00905574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af-ZA"/>
        </w:rPr>
        <w:br/>
        <w:t>Nan Kad Entèvansyon pou Timoun Piti</w:t>
      </w:r>
    </w:p>
    <w:p w14:paraId="08DCC693" w14:textId="0C167DBF" w:rsidR="006D6087" w:rsidRPr="00905574" w:rsidRDefault="000F4897" w:rsidP="27718351">
      <w:pPr>
        <w:ind w:left="-360" w:right="-270"/>
        <w:rPr>
          <w:rFonts w:ascii="Avenir Next LT Pro" w:eastAsia="Calibri" w:hAnsi="Avenir Next LT Pro" w:cs="Calibri"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>Itilizasyon fòmilè sa a pa obligatwa</w:t>
      </w:r>
      <w:r w:rsidR="006D6087" w:rsidRPr="00905574">
        <w:rPr>
          <w:rFonts w:ascii="Avenir Next LT Pro" w:eastAsia="Calibri" w:hAnsi="Avenir Next LT Pro" w:cs="Calibri"/>
          <w:b/>
          <w:bCs/>
          <w:sz w:val="24"/>
          <w:szCs w:val="24"/>
          <w:lang w:val="af-ZA"/>
        </w:rPr>
        <w:t xml:space="preserve">.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Fòmilè sa a pwodui pou ede w depoze yon plent administratif fòmèl </w:t>
      </w:r>
      <w:r w:rsidR="00837F00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(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>plent nan nivo Eta a</w:t>
      </w:r>
      <w:r w:rsidR="00837F00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)</w:t>
      </w:r>
      <w:r w:rsidR="006D6087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nan Depatman Sante Piblik </w:t>
      </w:r>
      <w:r w:rsidR="00B762EB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Massachusetts (DPH).</w:t>
      </w:r>
      <w:r w:rsidR="006D6087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Se sèlman enfòmasyon yo 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make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pi ba a kòm enfòmasyon obligatwa 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yo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ki nesesè pou lanse 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yon plent nan Eta a</w:t>
      </w:r>
      <w:r w:rsidR="006D6087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. 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Pou depoze yon plent, nou dwe resevwa plent lan nan espas ennan pou pi plis apre vyolasyon an te fin fèt</w:t>
      </w:r>
      <w:r w:rsidR="006D6087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. </w:t>
      </w:r>
    </w:p>
    <w:p w14:paraId="18BA9C98" w14:textId="77777777" w:rsidR="006D6087" w:rsidRPr="00905574" w:rsidRDefault="006D6087" w:rsidP="006D6087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  <w:lang w:val="af-ZA"/>
        </w:rPr>
      </w:pPr>
    </w:p>
    <w:p w14:paraId="09990A30" w14:textId="041F9DA6" w:rsidR="00470E38" w:rsidRPr="00905574" w:rsidRDefault="006D6087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>*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Enfòmasyon ki obligatwa pou depoze yon plent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 </w:t>
      </w:r>
      <w:r w:rsidR="00D4523E" w:rsidRPr="00905574">
        <w:rPr>
          <w:rFonts w:ascii="Avenir Next LT Pro" w:eastAsia="Calibri" w:hAnsi="Avenir Next LT Pro" w:cs="Calibri"/>
          <w:sz w:val="24"/>
          <w:szCs w:val="24"/>
          <w:lang w:val="af-ZA"/>
        </w:rPr>
        <w:t>alekri nan Eta a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>.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905574" w14:paraId="02CB0E57" w14:textId="77777777" w:rsidTr="009D451D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44653A61" w:rsidR="005D4A84" w:rsidRPr="00905574" w:rsidRDefault="00D4523E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Enfòmasyon sou Plent lan</w:t>
            </w:r>
          </w:p>
        </w:tc>
      </w:tr>
      <w:tr w:rsidR="005D4A84" w:rsidRPr="00905574" w14:paraId="5083D217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5B8A823B" w:rsidR="005D4A84" w:rsidRPr="00905574" w:rsidRDefault="52CADC08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N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on moun nan oswa òganizasyon an</w:t>
            </w:r>
            <w:r w:rsidR="02D86FBF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12F44C49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39006BF3" w:rsidR="005D4A84" w:rsidRPr="00905574" w:rsidRDefault="102BBE55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Ad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rès</w:t>
            </w:r>
            <w:r w:rsidR="02D86FBF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5C467CA6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5C3A90BC" w:rsidR="005D4A84" w:rsidRPr="00905574" w:rsidRDefault="5FD095B6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Vil</w:t>
            </w:r>
            <w:r w:rsidR="3C379677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/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Eta</w:t>
            </w:r>
            <w:r w:rsidR="3C379677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/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Kòd postal</w:t>
            </w:r>
            <w:r w:rsidR="0E234DE8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77D4FFF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114B7B09" w:rsidR="66E0CB31" w:rsidRPr="00905574" w:rsidRDefault="66E0CB31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Nimewo telefòn</w:t>
            </w:r>
            <w:r w:rsidR="0E0BCE5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:</w:t>
            </w:r>
          </w:p>
        </w:tc>
      </w:tr>
      <w:tr w:rsidR="009D451D" w:rsidRPr="00905574" w14:paraId="674A6DBE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1E96A0DD" w:rsidR="009D451D" w:rsidRPr="00905574" w:rsidRDefault="00D4523E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Adrès imel</w:t>
            </w:r>
            <w:r w:rsidR="009D451D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(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pa obligatwa</w:t>
            </w:r>
            <w:r w:rsidR="009D451D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):</w:t>
            </w:r>
          </w:p>
        </w:tc>
      </w:tr>
      <w:tr w:rsidR="005D4A84" w:rsidRPr="00905574" w14:paraId="6C6195FE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2F69C711" w:rsidR="005D4A84" w:rsidRPr="00905574" w:rsidRDefault="00D4523E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Enfòmasyon sou timoun nan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(</w:t>
            </w:r>
            <w:r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Enfòmasyon sa a obligatwa sèlman nan kad akizasyon vyolasyon ki konsène tèl timoun an patikilye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.)</w:t>
            </w:r>
          </w:p>
        </w:tc>
      </w:tr>
      <w:tr w:rsidR="005D4A84" w:rsidRPr="00905574" w14:paraId="5E26D873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509D6B2C" w:rsidR="005D4A84" w:rsidRPr="00905574" w:rsidRDefault="7F299E7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Non timoun nan</w:t>
            </w:r>
            <w:r w:rsidR="6558CBF0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30FC177B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737C7380" w:rsidR="005D4A84" w:rsidRPr="00905574" w:rsidRDefault="1921A19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Adrès timoun nan</w:t>
            </w:r>
            <w:r w:rsidR="7E309EAC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1D6EF4B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1CAE5D5C" w:rsidR="005D4A84" w:rsidRPr="00905574" w:rsidRDefault="57B19203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Vil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/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Eta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/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Kòd postal</w:t>
            </w:r>
            <w:r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712FC5FC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B95A385" w:rsidR="005D4A84" w:rsidRPr="00905574" w:rsidRDefault="583364DE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N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on founisè 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EIS 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k ap sèvi timoun nan</w:t>
            </w:r>
            <w:r w:rsidR="2C9CD93B" w:rsidRPr="00905574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af-ZA"/>
              </w:rPr>
              <w:t>:</w:t>
            </w:r>
          </w:p>
        </w:tc>
      </w:tr>
      <w:tr w:rsidR="005D4A84" w:rsidRPr="00905574" w14:paraId="244292B4" w14:textId="77777777" w:rsidTr="009D451D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335FC2B2" w:rsidR="005D4A84" w:rsidRPr="00905574" w:rsidRDefault="00D4523E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Deklarasyon vyolasyon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(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Voye kèk paj apa, si sa nesesè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)</w:t>
            </w:r>
          </w:p>
        </w:tc>
      </w:tr>
      <w:tr w:rsidR="005D4A84" w:rsidRPr="00905574" w14:paraId="6D279B07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41CA56FD" w:rsidR="005D4A84" w:rsidRPr="00905574" w:rsidRDefault="46F6E060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Id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antifye egzijans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IDEA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,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Pat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i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C</w:t>
            </w:r>
            <w:r w:rsidR="00D4523E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yo sispèk </w:t>
            </w:r>
            <w:r w:rsidR="00905574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ajans ki antèt la, ajans piblik la, oswa founisè 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EIS</w:t>
            </w:r>
            <w:r w:rsidR="00905574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 la vyole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.</w:t>
            </w:r>
          </w:p>
        </w:tc>
      </w:tr>
      <w:tr w:rsidR="005D4A84" w:rsidRPr="00905574" w14:paraId="45041015" w14:textId="77777777" w:rsidTr="009D451D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2B11B2FD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24BA9676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501D7487" w14:textId="64A49C49" w:rsidR="27718351" w:rsidRPr="00905574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6DAE8384" w14:textId="76752596" w:rsidR="27718351" w:rsidRPr="00905574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7B5D2593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63805978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182107C4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46339C68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</w:tc>
      </w:tr>
      <w:tr w:rsidR="005D4A84" w:rsidRPr="00905574" w14:paraId="6EB7EC8D" w14:textId="77777777" w:rsidTr="009D451D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238808EE" w:rsidR="005D4A84" w:rsidRPr="00905574" w:rsidRDefault="7A9696EE" w:rsidP="27718351">
            <w:pPr>
              <w:rPr>
                <w:rFonts w:ascii="Avenir Next LT Pro" w:eastAsia="Calibri" w:hAnsi="Avenir Next LT Pro" w:cs="Calibri"/>
                <w:color w:val="FFFFFF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*</w:t>
            </w:r>
            <w:r w:rsidR="00905574"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Enfòmasyon reyèl ki soutni deklarasyon vyolasyon an</w:t>
            </w:r>
            <w:r w:rsidR="20DA7C69"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 xml:space="preserve"> 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(</w:t>
            </w:r>
            <w:r w:rsidR="00905574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Voye kèk paj apa, si sa nesesè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)</w:t>
            </w:r>
          </w:p>
        </w:tc>
      </w:tr>
      <w:tr w:rsidR="005D4A84" w:rsidRPr="00905574" w14:paraId="4E6A45D5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476DFD40" w:rsidR="005D4A84" w:rsidRPr="00905574" w:rsidRDefault="5B3D91F5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lastRenderedPageBreak/>
              <w:t>*</w:t>
            </w:r>
            <w:r w:rsidR="00905574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Bay kèk enfòmasyon reyèl ki soutni deklarasyon vyolasyon ou fè pi wo a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. </w:t>
            </w:r>
            <w:r w:rsidR="00905574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Ou ka ajoute dat, dokiman, oswa w ka idantifye evènman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. </w:t>
            </w:r>
          </w:p>
        </w:tc>
      </w:tr>
      <w:tr w:rsidR="005D4A84" w:rsidRPr="00905574" w14:paraId="1E2EBDFD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1F5726C5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  <w:p w14:paraId="0D94BD4C" w14:textId="2633DEE7" w:rsidR="005D4A84" w:rsidRPr="0090557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</w:p>
        </w:tc>
      </w:tr>
      <w:tr w:rsidR="005D4A84" w:rsidRPr="00905574" w14:paraId="70F1665A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2C09F980" w:rsidR="005D4A84" w:rsidRPr="00905574" w:rsidRDefault="0714310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P</w:t>
            </w:r>
            <w:r w:rsidR="00905574" w:rsidRPr="0090557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af-ZA"/>
              </w:rPr>
              <w:t>wopozisyon pou rezoud pwoblèm nan</w:t>
            </w:r>
          </w:p>
          <w:p w14:paraId="3B100736" w14:textId="6AC6D277" w:rsidR="005D4A84" w:rsidRPr="00905574" w:rsidRDefault="00905574" w:rsidP="27718351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Nan mezi ou gen konesans sou sa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, de</w:t>
            </w:r>
            <w:r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>kri pwopozisyon oswa sijesyon ou fè pou trete akizasyon vyolasyon an (yo)</w:t>
            </w:r>
            <w:r w:rsidR="098C2FC6" w:rsidRPr="0090557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af-ZA"/>
              </w:rPr>
              <w:t xml:space="preserve">. </w:t>
            </w:r>
          </w:p>
        </w:tc>
      </w:tr>
      <w:tr w:rsidR="005D4A84" w:rsidRPr="00905574" w14:paraId="6D69B143" w14:textId="77777777" w:rsidTr="009D451D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60EB1870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47040073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22907D5B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736A8BD0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028DCD98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36156252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</w:tc>
      </w:tr>
      <w:tr w:rsidR="005D4A84" w:rsidRPr="00905574" w14:paraId="5B970D66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6E90FA10" w:rsidR="005D4A84" w:rsidRPr="00905574" w:rsidRDefault="00905574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Lòt enfòmasyon anplis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 xml:space="preserve"> (</w:t>
            </w:r>
            <w:r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pa obligatwa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)</w:t>
            </w:r>
            <w:r w:rsidR="42FDF440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: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Bay nenpòt lòt enfòmasyon anplis ou ta renmen pataje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.</w:t>
            </w:r>
          </w:p>
        </w:tc>
      </w:tr>
      <w:tr w:rsidR="005D4A84" w:rsidRPr="00905574" w14:paraId="481F5ADA" w14:textId="77777777" w:rsidTr="009D451D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0B55EE43" w14:textId="2D8BCA91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397743F2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6EAEDEAE" w14:textId="77777777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6D53EFB1" w14:textId="6A400F62" w:rsidR="006974B4" w:rsidRPr="0090557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</w:tc>
      </w:tr>
      <w:tr w:rsidR="005D4A84" w:rsidRPr="00905574" w14:paraId="28BB6210" w14:textId="77777777" w:rsidTr="009D451D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1DF0E10E" w:rsidR="005D4A84" w:rsidRPr="00905574" w:rsidRDefault="66DBE6F1" w:rsidP="27718351">
            <w:pPr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</w:pPr>
            <w:r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*</w:t>
            </w:r>
            <w:r w:rsidR="098C2FC6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Si</w:t>
            </w:r>
            <w:r w:rsidR="00905574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yati</w:t>
            </w:r>
            <w:r w:rsidR="0AB128F2" w:rsidRPr="0090557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  <w:t>:</w:t>
            </w:r>
            <w:r w:rsidR="098C2FC6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 xml:space="preserve"> </w:t>
            </w:r>
            <w:r w:rsidR="00905574" w:rsidRPr="00905574">
              <w:rPr>
                <w:rFonts w:ascii="Avenir Next LT Pro" w:eastAsia="Calibri" w:hAnsi="Avenir Next LT Pro" w:cs="Calibri"/>
                <w:sz w:val="24"/>
                <w:szCs w:val="24"/>
                <w:lang w:val="af-ZA"/>
              </w:rPr>
              <w:t>Si w tape non w, yo ka konsidere sa kòm siyen ou siyen yon fason elektwonik</w:t>
            </w:r>
          </w:p>
        </w:tc>
      </w:tr>
      <w:tr w:rsidR="005D4A84" w:rsidRPr="00905574" w14:paraId="222ABCDC" w14:textId="77777777" w:rsidTr="009D451D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Pr="0090557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  <w:p w14:paraId="37ADD0A9" w14:textId="77777777" w:rsidR="00837F00" w:rsidRPr="00905574" w:rsidRDefault="00837F00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3D35D4B6" w14:textId="667FFEED" w:rsidR="27718351" w:rsidRPr="00905574" w:rsidRDefault="27718351" w:rsidP="27718351">
      <w:pPr>
        <w:rPr>
          <w:rFonts w:ascii="Avenir Next LT Pro" w:eastAsia="Calibri" w:hAnsi="Avenir Next LT Pro" w:cs="Arial"/>
          <w:sz w:val="24"/>
          <w:szCs w:val="24"/>
          <w:lang w:val="af-ZA"/>
        </w:rPr>
      </w:pPr>
    </w:p>
    <w:p w14:paraId="44605BB1" w14:textId="289283D6" w:rsidR="12E6CFA9" w:rsidRPr="00905574" w:rsidRDefault="00905574" w:rsidP="27718351">
      <w:pPr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Arial"/>
          <w:b/>
          <w:bCs/>
          <w:sz w:val="24"/>
          <w:szCs w:val="24"/>
          <w:lang w:val="af-ZA"/>
        </w:rPr>
        <w:t>Kontak</w:t>
      </w:r>
    </w:p>
    <w:p w14:paraId="2E074516" w14:textId="78C610BA" w:rsidR="37E6BD66" w:rsidRPr="00905574" w:rsidRDefault="00905574" w:rsidP="27718351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Arial"/>
          <w:sz w:val="24"/>
          <w:szCs w:val="24"/>
          <w:lang w:val="af-ZA"/>
        </w:rPr>
        <w:t xml:space="preserve">Tanpri, voye </w:t>
      </w:r>
      <w:r w:rsidRPr="00905574">
        <w:rPr>
          <w:rFonts w:ascii="Avenir Next LT Pro" w:eastAsia="Calibri" w:hAnsi="Avenir Next LT Pro" w:cs="Calibri"/>
          <w:sz w:val="24"/>
          <w:szCs w:val="24"/>
          <w:lang w:val="af-ZA"/>
        </w:rPr>
        <w:t xml:space="preserve">plent administratif fòmèl ou a (plent nan nivo Eta a) </w:t>
      </w:r>
      <w:r w:rsidRPr="00905574">
        <w:rPr>
          <w:rFonts w:ascii="Avenir Next LT Pro" w:eastAsia="Calibri" w:hAnsi="Avenir Next LT Pro" w:cs="Arial"/>
          <w:sz w:val="24"/>
          <w:szCs w:val="24"/>
          <w:lang w:val="af-ZA"/>
        </w:rPr>
        <w:t>pa mwayen imel, fax, bwat postal, oubyen ou ka kontakte nou nan</w:t>
      </w:r>
      <w:r w:rsidR="37E6BD66" w:rsidRPr="00905574">
        <w:rPr>
          <w:rFonts w:ascii="Avenir Next LT Pro" w:eastAsia="Calibri" w:hAnsi="Avenir Next LT Pro" w:cs="Arial"/>
          <w:sz w:val="24"/>
          <w:szCs w:val="24"/>
          <w:lang w:val="af-ZA"/>
        </w:rPr>
        <w:t xml:space="preserve">:  </w:t>
      </w:r>
    </w:p>
    <w:p w14:paraId="2339FD4E" w14:textId="64F890F2" w:rsidR="00195FFA" w:rsidRPr="00905574" w:rsidRDefault="00FD3624" w:rsidP="27718351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613813">
        <w:rPr>
          <w:rFonts w:ascii="Avenir Next LT Pro" w:eastAsia="Avenir Next LT Pro" w:hAnsi="Avenir Next LT Pro" w:cs="Avenir Next LT Pro"/>
          <w:noProof/>
          <w:sz w:val="24"/>
          <w:szCs w:val="24"/>
        </w:rPr>
        <w:t>Early Intervention Division</w:t>
      </w:r>
    </w:p>
    <w:p w14:paraId="02B76624" w14:textId="77777777" w:rsidR="00195FFA" w:rsidRPr="00905574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905574">
        <w:rPr>
          <w:rFonts w:ascii="Avenir Next LT Pro" w:hAnsi="Avenir Next LT Pro" w:cs="Segoe UI"/>
          <w:sz w:val="24"/>
          <w:szCs w:val="24"/>
          <w:lang w:val="af-ZA"/>
        </w:rPr>
        <w:t>c/o Dispute Resolution</w:t>
      </w:r>
    </w:p>
    <w:p w14:paraId="50D62D86" w14:textId="77777777" w:rsidR="00195FFA" w:rsidRPr="00905574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905574">
        <w:rPr>
          <w:rFonts w:ascii="Avenir Next LT Pro" w:hAnsi="Avenir Next LT Pro" w:cs="Segoe UI"/>
          <w:sz w:val="24"/>
          <w:szCs w:val="24"/>
          <w:lang w:val="af-ZA"/>
        </w:rPr>
        <w:t>250 Washington Street</w:t>
      </w:r>
    </w:p>
    <w:p w14:paraId="439D3B3C" w14:textId="77777777" w:rsidR="00195FFA" w:rsidRPr="00905574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905574">
        <w:rPr>
          <w:rFonts w:ascii="Avenir Next LT Pro" w:hAnsi="Avenir Next LT Pro" w:cs="Segoe UI"/>
          <w:sz w:val="24"/>
          <w:szCs w:val="24"/>
          <w:lang w:val="af-ZA"/>
        </w:rPr>
        <w:t>5</w:t>
      </w:r>
      <w:r w:rsidRPr="00905574">
        <w:rPr>
          <w:rFonts w:ascii="Avenir Next LT Pro" w:hAnsi="Avenir Next LT Pro" w:cs="Segoe UI"/>
          <w:sz w:val="24"/>
          <w:szCs w:val="24"/>
          <w:vertAlign w:val="superscript"/>
          <w:lang w:val="af-ZA"/>
        </w:rPr>
        <w:t>th</w:t>
      </w:r>
      <w:r w:rsidRPr="00905574">
        <w:rPr>
          <w:rFonts w:ascii="Avenir Next LT Pro" w:hAnsi="Avenir Next LT Pro" w:cs="Segoe UI"/>
          <w:sz w:val="24"/>
          <w:szCs w:val="24"/>
          <w:lang w:val="af-ZA"/>
        </w:rPr>
        <w:t> floor</w:t>
      </w:r>
    </w:p>
    <w:p w14:paraId="01F63734" w14:textId="77777777" w:rsidR="00195FFA" w:rsidRPr="00905574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  <w:lang w:val="af-ZA"/>
        </w:rPr>
      </w:pPr>
      <w:r w:rsidRPr="00905574">
        <w:rPr>
          <w:rFonts w:ascii="Avenir Next LT Pro" w:hAnsi="Avenir Next LT Pro" w:cs="Segoe UI"/>
          <w:sz w:val="24"/>
          <w:szCs w:val="24"/>
          <w:lang w:val="af-ZA"/>
        </w:rPr>
        <w:t>Boston, MA 02108</w:t>
      </w:r>
    </w:p>
    <w:p w14:paraId="1596EE35" w14:textId="125BB9A4" w:rsidR="00195FFA" w:rsidRPr="00905574" w:rsidRDefault="00905574" w:rsidP="27718351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905574">
        <w:rPr>
          <w:rFonts w:ascii="Avenir Next LT Pro" w:hAnsi="Avenir Next LT Pro"/>
          <w:sz w:val="24"/>
          <w:szCs w:val="24"/>
          <w:lang w:val="af-ZA"/>
        </w:rPr>
        <w:t>Imel</w:t>
      </w:r>
      <w:r w:rsidR="00195FFA" w:rsidRPr="00905574">
        <w:rPr>
          <w:rFonts w:ascii="Avenir Next LT Pro" w:hAnsi="Avenir Next LT Pro"/>
          <w:sz w:val="24"/>
          <w:szCs w:val="24"/>
          <w:lang w:val="af-ZA"/>
        </w:rPr>
        <w:t xml:space="preserve">: </w:t>
      </w:r>
      <w:hyperlink r:id="rId10">
        <w:r w:rsidR="008D04CC" w:rsidRPr="00905574">
          <w:rPr>
            <w:rStyle w:val="Hyperlink"/>
            <w:rFonts w:ascii="Avenir Next LT Pro" w:hAnsi="Avenir Next LT Pro"/>
            <w:sz w:val="24"/>
            <w:szCs w:val="24"/>
            <w:lang w:val="af-ZA"/>
          </w:rPr>
          <w:t>EIDisputeResolution@mass.gov</w:t>
        </w:r>
      </w:hyperlink>
      <w:r w:rsidR="001C0019" w:rsidRPr="00905574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02576001" w14:textId="21EDD901" w:rsidR="00195FFA" w:rsidRPr="00905574" w:rsidRDefault="008D04CC" w:rsidP="27718351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905574">
        <w:rPr>
          <w:rFonts w:ascii="Avenir Next LT Pro" w:hAnsi="Avenir Next LT Pro"/>
          <w:sz w:val="24"/>
          <w:szCs w:val="24"/>
          <w:lang w:val="af-ZA"/>
        </w:rPr>
        <w:t xml:space="preserve">Fax: </w:t>
      </w:r>
      <w:r w:rsidR="00905D25" w:rsidRPr="00905574">
        <w:rPr>
          <w:rFonts w:ascii="Avenir Next LT Pro" w:hAnsi="Avenir Next LT Pro"/>
          <w:sz w:val="24"/>
          <w:szCs w:val="24"/>
          <w:lang w:val="af-ZA"/>
        </w:rPr>
        <w:t>(857)-323-8350</w:t>
      </w:r>
      <w:r w:rsidR="001C0019" w:rsidRPr="00905574">
        <w:rPr>
          <w:rFonts w:ascii="Avenir Next LT Pro" w:hAnsi="Avenir Next LT Pro"/>
          <w:sz w:val="24"/>
          <w:szCs w:val="24"/>
          <w:lang w:val="af-ZA"/>
        </w:rPr>
        <w:t xml:space="preserve">    </w:t>
      </w:r>
    </w:p>
    <w:p w14:paraId="5DB08787" w14:textId="5AA96353" w:rsidR="00195FFA" w:rsidRPr="00905574" w:rsidRDefault="00905574" w:rsidP="27718351">
      <w:pPr>
        <w:rPr>
          <w:rFonts w:ascii="Avenir Next LT Pro" w:eastAsia="Calibri" w:hAnsi="Avenir Next LT Pro" w:cs="Arial"/>
          <w:sz w:val="24"/>
          <w:szCs w:val="24"/>
          <w:lang w:val="af-ZA"/>
        </w:rPr>
      </w:pPr>
      <w:r w:rsidRPr="00905574">
        <w:rPr>
          <w:rFonts w:ascii="Avenir Next LT Pro" w:eastAsia="Calibri" w:hAnsi="Avenir Next LT Pro" w:cs="Arial"/>
          <w:sz w:val="24"/>
          <w:szCs w:val="24"/>
          <w:lang w:val="af-ZA"/>
        </w:rPr>
        <w:t>Telefòn</w:t>
      </w:r>
      <w:r w:rsidR="00195FFA" w:rsidRPr="00905574">
        <w:rPr>
          <w:rFonts w:ascii="Avenir Next LT Pro" w:eastAsia="Calibri" w:hAnsi="Avenir Next LT Pro" w:cs="Arial"/>
          <w:sz w:val="24"/>
          <w:szCs w:val="24"/>
          <w:lang w:val="af-ZA"/>
        </w:rPr>
        <w:t>: (508) 454-2007</w:t>
      </w:r>
    </w:p>
    <w:p w14:paraId="49392D6E" w14:textId="77777777" w:rsidR="00222F95" w:rsidRPr="00905574" w:rsidRDefault="00222F95" w:rsidP="0015659F">
      <w:pPr>
        <w:rPr>
          <w:rFonts w:ascii="Avenir Next LT Pro" w:hAnsi="Avenir Next LT Pro" w:cs="Arial"/>
          <w:sz w:val="24"/>
          <w:szCs w:val="24"/>
          <w:lang w:val="af-ZA"/>
        </w:rPr>
      </w:pPr>
    </w:p>
    <w:sectPr w:rsidR="00222F95" w:rsidRPr="00905574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6C84" w14:textId="77777777" w:rsidR="00A1384E" w:rsidRDefault="00A1384E" w:rsidP="00DE0F0A">
      <w:r>
        <w:separator/>
      </w:r>
    </w:p>
  </w:endnote>
  <w:endnote w:type="continuationSeparator" w:id="0">
    <w:p w14:paraId="643CD309" w14:textId="77777777" w:rsidR="00A1384E" w:rsidRDefault="00A1384E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2C17873B" w:rsidR="00DE0F0A" w:rsidRPr="00854851" w:rsidRDefault="00905574" w:rsidP="2771835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proofErr w:type="spellStart"/>
    <w:r>
      <w:rPr>
        <w:rStyle w:val="PageNumber"/>
        <w:rFonts w:ascii="Avenir Next LT Pro" w:hAnsi="Avenir Next LT Pro"/>
      </w:rPr>
      <w:t>Mizajou</w:t>
    </w:r>
    <w:proofErr w:type="spellEnd"/>
    <w:r>
      <w:rPr>
        <w:rStyle w:val="PageNumber"/>
        <w:rFonts w:ascii="Avenir Next LT Pro" w:hAnsi="Avenir Next LT Pro"/>
      </w:rPr>
      <w:t>:</w:t>
    </w:r>
    <w:r w:rsidRPr="0CED163C">
      <w:rPr>
        <w:rStyle w:val="PageNumber"/>
        <w:rFonts w:ascii="Avenir Next LT Pro" w:hAnsi="Avenir Next LT Pro"/>
      </w:rPr>
      <w:t xml:space="preserve"> </w:t>
    </w:r>
    <w:proofErr w:type="spellStart"/>
    <w:r w:rsidRPr="0CED163C">
      <w:rPr>
        <w:rStyle w:val="PageNumber"/>
        <w:rFonts w:ascii="Avenir Next LT Pro" w:hAnsi="Avenir Next LT Pro"/>
      </w:rPr>
      <w:t>Fe</w:t>
    </w:r>
    <w:r>
      <w:rPr>
        <w:rStyle w:val="PageNumber"/>
        <w:rFonts w:ascii="Avenir Next LT Pro" w:hAnsi="Avenir Next LT Pro"/>
      </w:rPr>
      <w:t>vriye</w:t>
    </w:r>
    <w:proofErr w:type="spellEnd"/>
    <w:r w:rsidR="27718351" w:rsidRPr="27718351">
      <w:rPr>
        <w:rStyle w:val="PageNumber"/>
        <w:rFonts w:ascii="Avenir Next LT Pro" w:hAnsi="Avenir Next LT Pro"/>
      </w:rPr>
      <w:t xml:space="preserve">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CCA1" w14:textId="77777777" w:rsidR="00A1384E" w:rsidRDefault="00A1384E" w:rsidP="00DE0F0A">
      <w:r>
        <w:separator/>
      </w:r>
    </w:p>
  </w:footnote>
  <w:footnote w:type="continuationSeparator" w:id="0">
    <w:p w14:paraId="75CCE6C2" w14:textId="77777777" w:rsidR="00A1384E" w:rsidRDefault="00A1384E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5E667A79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18351">
      <w:t xml:space="preserve">                          </w:t>
    </w:r>
    <w:r w:rsidR="27718351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36251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4897"/>
    <w:rsid w:val="000F731A"/>
    <w:rsid w:val="001055F6"/>
    <w:rsid w:val="00110D8D"/>
    <w:rsid w:val="0011314D"/>
    <w:rsid w:val="00130107"/>
    <w:rsid w:val="00142ABC"/>
    <w:rsid w:val="0014396A"/>
    <w:rsid w:val="00144508"/>
    <w:rsid w:val="00150AA5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3CEA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1780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054B8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7E3C"/>
    <w:rsid w:val="005A2BE1"/>
    <w:rsid w:val="005A6173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47F2"/>
    <w:rsid w:val="00704096"/>
    <w:rsid w:val="0071684A"/>
    <w:rsid w:val="007321C1"/>
    <w:rsid w:val="00733517"/>
    <w:rsid w:val="007567FA"/>
    <w:rsid w:val="00764F15"/>
    <w:rsid w:val="0077040C"/>
    <w:rsid w:val="0077151B"/>
    <w:rsid w:val="007746E7"/>
    <w:rsid w:val="007810A4"/>
    <w:rsid w:val="00783DAE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7204C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574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C2694"/>
    <w:rsid w:val="009C3D65"/>
    <w:rsid w:val="009D2650"/>
    <w:rsid w:val="009D451D"/>
    <w:rsid w:val="009D53F2"/>
    <w:rsid w:val="009D785D"/>
    <w:rsid w:val="009D7D49"/>
    <w:rsid w:val="009E7F7A"/>
    <w:rsid w:val="009F2A69"/>
    <w:rsid w:val="009F404D"/>
    <w:rsid w:val="009F4F9F"/>
    <w:rsid w:val="00A05D3F"/>
    <w:rsid w:val="00A1384E"/>
    <w:rsid w:val="00A208F3"/>
    <w:rsid w:val="00A22B4E"/>
    <w:rsid w:val="00A24C96"/>
    <w:rsid w:val="00A304C1"/>
    <w:rsid w:val="00A36A9B"/>
    <w:rsid w:val="00A36E0D"/>
    <w:rsid w:val="00A44240"/>
    <w:rsid w:val="00A46C27"/>
    <w:rsid w:val="00A54010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4523E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2278A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34A5D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C3B68"/>
    <w:rsid w:val="00FD3624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1ED9944B-FB6E-4143-B399-D1939C5A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28C04-461F-4FF7-9029-1C7348992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1E214-0F55-40B6-8C0D-0653F4EE07C3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2026-06-04T14:24:00Z</dcterms:created>
  <dcterms:modified xsi:type="dcterms:W3CDTF">2026-06-04T16:59:00Z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