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9AE62" w14:textId="19091A9E" w:rsidR="00207FDA" w:rsidRPr="00C67A08" w:rsidRDefault="001700BA" w:rsidP="00C67A08">
      <w:pPr>
        <w:pStyle w:val="Title"/>
        <w:spacing w:before="129" w:line="276" w:lineRule="auto"/>
        <w:ind w:left="0"/>
        <w:jc w:val="center"/>
      </w:pPr>
      <w:r>
        <w:rPr>
          <w:rFonts w:hint="eastAsia"/>
          <w:color w:val="0070C0"/>
        </w:rPr>
        <w:t>以公平为中心的包容性社区参与</w:t>
      </w:r>
      <w:r>
        <w:rPr>
          <w:rFonts w:hint="eastAsia"/>
          <w:color w:val="FFFFFF"/>
          <w:shd w:val="clear" w:color="auto" w:fill="E56F54"/>
        </w:rPr>
        <w:t>基础与原则</w:t>
      </w:r>
      <w:r>
        <w:rPr>
          <w:rFonts w:hint="eastAsia"/>
          <w:color w:val="FFFFFF"/>
        </w:rPr>
        <w:t xml:space="preserve"> </w:t>
      </w:r>
    </w:p>
    <w:p w14:paraId="7F23C522" w14:textId="77777777" w:rsidR="00207FDA" w:rsidRPr="00C67A08" w:rsidRDefault="00207FDA">
      <w:pPr>
        <w:pStyle w:val="BodyText"/>
        <w:rPr>
          <w:rFonts w:ascii="Trebuchet MS"/>
          <w:b/>
          <w:sz w:val="20"/>
        </w:rPr>
      </w:pPr>
    </w:p>
    <w:p w14:paraId="1A4E99E6" w14:textId="77777777" w:rsidR="00207FDA" w:rsidRPr="00C67A08" w:rsidRDefault="00207FDA">
      <w:pPr>
        <w:pStyle w:val="BodyText"/>
        <w:rPr>
          <w:rFonts w:ascii="Trebuchet MS"/>
          <w:b/>
          <w:sz w:val="20"/>
        </w:rPr>
      </w:pPr>
    </w:p>
    <w:p w14:paraId="5472B970" w14:textId="66616BB0" w:rsidR="00207FDA" w:rsidRPr="00C67A08" w:rsidRDefault="003E3F89">
      <w:pPr>
        <w:pStyle w:val="BodyText"/>
        <w:spacing w:before="9"/>
        <w:rPr>
          <w:rFonts w:ascii="Trebuchet MS"/>
          <w:b/>
          <w:sz w:val="23"/>
        </w:rPr>
      </w:pPr>
      <w:r>
        <w:rPr>
          <w:rFonts w:hint="eastAsia"/>
          <w:noProof/>
        </w:rPr>
        <mc:AlternateContent>
          <mc:Choice Requires="wpg">
            <w:drawing>
              <wp:anchor distT="0" distB="0" distL="114300" distR="114300" simplePos="0" relativeHeight="251658240" behindDoc="1" locked="0" layoutInCell="1" allowOverlap="1" wp14:anchorId="3B8121DB" wp14:editId="6453C3AA">
                <wp:simplePos x="0" y="0"/>
                <wp:positionH relativeFrom="page">
                  <wp:posOffset>805543</wp:posOffset>
                </wp:positionH>
                <wp:positionV relativeFrom="paragraph">
                  <wp:posOffset>138793</wp:posOffset>
                </wp:positionV>
                <wp:extent cx="6132830" cy="3102428"/>
                <wp:effectExtent l="0" t="0" r="1270" b="3175"/>
                <wp:wrapNone/>
                <wp:docPr id="79051532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2830" cy="3102428"/>
                          <a:chOff x="1277" y="-56"/>
                          <a:chExt cx="9658" cy="6768"/>
                        </a:xfrm>
                      </wpg:grpSpPr>
                      <wps:wsp>
                        <wps:cNvPr id="1094938627" name="Rectangle 4"/>
                        <wps:cNvSpPr>
                          <a:spLocks noChangeArrowheads="1"/>
                        </wps:cNvSpPr>
                        <wps:spPr bwMode="auto">
                          <a:xfrm>
                            <a:off x="1334" y="6"/>
                            <a:ext cx="9543" cy="6648"/>
                          </a:xfrm>
                          <a:prstGeom prst="rect">
                            <a:avLst/>
                          </a:prstGeom>
                          <a:solidFill>
                            <a:srgbClr val="FBFF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1014077" name="Freeform 3"/>
                        <wps:cNvSpPr>
                          <a:spLocks/>
                        </wps:cNvSpPr>
                        <wps:spPr bwMode="auto">
                          <a:xfrm>
                            <a:off x="1276" y="-56"/>
                            <a:ext cx="9658" cy="6769"/>
                          </a:xfrm>
                          <a:custGeom>
                            <a:avLst/>
                            <a:gdLst>
                              <a:gd name="T0" fmla="+- 0 10934 1277"/>
                              <a:gd name="T1" fmla="*/ T0 w 9658"/>
                              <a:gd name="T2" fmla="+- 0 -56 -56"/>
                              <a:gd name="T3" fmla="*/ -56 h 6769"/>
                              <a:gd name="T4" fmla="+- 0 10877 1277"/>
                              <a:gd name="T5" fmla="*/ T4 w 9658"/>
                              <a:gd name="T6" fmla="+- 0 -56 -56"/>
                              <a:gd name="T7" fmla="*/ -56 h 6769"/>
                              <a:gd name="T8" fmla="+- 0 10877 1277"/>
                              <a:gd name="T9" fmla="*/ T8 w 9658"/>
                              <a:gd name="T10" fmla="+- 0 2 -56"/>
                              <a:gd name="T11" fmla="*/ 2 h 6769"/>
                              <a:gd name="T12" fmla="+- 0 10877 1277"/>
                              <a:gd name="T13" fmla="*/ T12 w 9658"/>
                              <a:gd name="T14" fmla="+- 0 103 -56"/>
                              <a:gd name="T15" fmla="*/ 103 h 6769"/>
                              <a:gd name="T16" fmla="+- 0 10877 1277"/>
                              <a:gd name="T17" fmla="*/ T16 w 9658"/>
                              <a:gd name="T18" fmla="+- 0 6655 -56"/>
                              <a:gd name="T19" fmla="*/ 6655 h 6769"/>
                              <a:gd name="T20" fmla="+- 0 1334 1277"/>
                              <a:gd name="T21" fmla="*/ T20 w 9658"/>
                              <a:gd name="T22" fmla="+- 0 6655 -56"/>
                              <a:gd name="T23" fmla="*/ 6655 h 6769"/>
                              <a:gd name="T24" fmla="+- 0 1334 1277"/>
                              <a:gd name="T25" fmla="*/ T24 w 9658"/>
                              <a:gd name="T26" fmla="+- 0 103 -56"/>
                              <a:gd name="T27" fmla="*/ 103 h 6769"/>
                              <a:gd name="T28" fmla="+- 0 1334 1277"/>
                              <a:gd name="T29" fmla="*/ T28 w 9658"/>
                              <a:gd name="T30" fmla="+- 0 2 -56"/>
                              <a:gd name="T31" fmla="*/ 2 h 6769"/>
                              <a:gd name="T32" fmla="+- 0 10877 1277"/>
                              <a:gd name="T33" fmla="*/ T32 w 9658"/>
                              <a:gd name="T34" fmla="+- 0 2 -56"/>
                              <a:gd name="T35" fmla="*/ 2 h 6769"/>
                              <a:gd name="T36" fmla="+- 0 10877 1277"/>
                              <a:gd name="T37" fmla="*/ T36 w 9658"/>
                              <a:gd name="T38" fmla="+- 0 -56 -56"/>
                              <a:gd name="T39" fmla="*/ -56 h 6769"/>
                              <a:gd name="T40" fmla="+- 0 1334 1277"/>
                              <a:gd name="T41" fmla="*/ T40 w 9658"/>
                              <a:gd name="T42" fmla="+- 0 -56 -56"/>
                              <a:gd name="T43" fmla="*/ -56 h 6769"/>
                              <a:gd name="T44" fmla="+- 0 1277 1277"/>
                              <a:gd name="T45" fmla="*/ T44 w 9658"/>
                              <a:gd name="T46" fmla="+- 0 -56 -56"/>
                              <a:gd name="T47" fmla="*/ -56 h 6769"/>
                              <a:gd name="T48" fmla="+- 0 1277 1277"/>
                              <a:gd name="T49" fmla="*/ T48 w 9658"/>
                              <a:gd name="T50" fmla="+- 0 2 -56"/>
                              <a:gd name="T51" fmla="*/ 2 h 6769"/>
                              <a:gd name="T52" fmla="+- 0 1277 1277"/>
                              <a:gd name="T53" fmla="*/ T52 w 9658"/>
                              <a:gd name="T54" fmla="+- 0 103 -56"/>
                              <a:gd name="T55" fmla="*/ 103 h 6769"/>
                              <a:gd name="T56" fmla="+- 0 1277 1277"/>
                              <a:gd name="T57" fmla="*/ T56 w 9658"/>
                              <a:gd name="T58" fmla="+- 0 6655 -56"/>
                              <a:gd name="T59" fmla="*/ 6655 h 6769"/>
                              <a:gd name="T60" fmla="+- 0 1277 1277"/>
                              <a:gd name="T61" fmla="*/ T60 w 9658"/>
                              <a:gd name="T62" fmla="+- 0 6712 -56"/>
                              <a:gd name="T63" fmla="*/ 6712 h 6769"/>
                              <a:gd name="T64" fmla="+- 0 1334 1277"/>
                              <a:gd name="T65" fmla="*/ T64 w 9658"/>
                              <a:gd name="T66" fmla="+- 0 6712 -56"/>
                              <a:gd name="T67" fmla="*/ 6712 h 6769"/>
                              <a:gd name="T68" fmla="+- 0 10877 1277"/>
                              <a:gd name="T69" fmla="*/ T68 w 9658"/>
                              <a:gd name="T70" fmla="+- 0 6712 -56"/>
                              <a:gd name="T71" fmla="*/ 6712 h 6769"/>
                              <a:gd name="T72" fmla="+- 0 10934 1277"/>
                              <a:gd name="T73" fmla="*/ T72 w 9658"/>
                              <a:gd name="T74" fmla="+- 0 6712 -56"/>
                              <a:gd name="T75" fmla="*/ 6712 h 6769"/>
                              <a:gd name="T76" fmla="+- 0 10934 1277"/>
                              <a:gd name="T77" fmla="*/ T76 w 9658"/>
                              <a:gd name="T78" fmla="+- 0 6655 -56"/>
                              <a:gd name="T79" fmla="*/ 6655 h 6769"/>
                              <a:gd name="T80" fmla="+- 0 10934 1277"/>
                              <a:gd name="T81" fmla="*/ T80 w 9658"/>
                              <a:gd name="T82" fmla="+- 0 103 -56"/>
                              <a:gd name="T83" fmla="*/ 103 h 6769"/>
                              <a:gd name="T84" fmla="+- 0 10934 1277"/>
                              <a:gd name="T85" fmla="*/ T84 w 9658"/>
                              <a:gd name="T86" fmla="+- 0 2 -56"/>
                              <a:gd name="T87" fmla="*/ 2 h 6769"/>
                              <a:gd name="T88" fmla="+- 0 10934 1277"/>
                              <a:gd name="T89" fmla="*/ T88 w 9658"/>
                              <a:gd name="T90" fmla="+- 0 -56 -56"/>
                              <a:gd name="T91" fmla="*/ -56 h 67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9658" h="6769">
                                <a:moveTo>
                                  <a:pt x="9657" y="0"/>
                                </a:moveTo>
                                <a:lnTo>
                                  <a:pt x="9600" y="0"/>
                                </a:lnTo>
                                <a:lnTo>
                                  <a:pt x="9600" y="58"/>
                                </a:lnTo>
                                <a:lnTo>
                                  <a:pt x="9600" y="159"/>
                                </a:lnTo>
                                <a:lnTo>
                                  <a:pt x="9600" y="6711"/>
                                </a:lnTo>
                                <a:lnTo>
                                  <a:pt x="57" y="6711"/>
                                </a:lnTo>
                                <a:lnTo>
                                  <a:pt x="57" y="159"/>
                                </a:lnTo>
                                <a:lnTo>
                                  <a:pt x="57" y="58"/>
                                </a:lnTo>
                                <a:lnTo>
                                  <a:pt x="9600" y="58"/>
                                </a:lnTo>
                                <a:lnTo>
                                  <a:pt x="9600" y="0"/>
                                </a:lnTo>
                                <a:lnTo>
                                  <a:pt x="57" y="0"/>
                                </a:lnTo>
                                <a:lnTo>
                                  <a:pt x="0" y="0"/>
                                </a:lnTo>
                                <a:lnTo>
                                  <a:pt x="0" y="58"/>
                                </a:lnTo>
                                <a:lnTo>
                                  <a:pt x="0" y="159"/>
                                </a:lnTo>
                                <a:lnTo>
                                  <a:pt x="0" y="6711"/>
                                </a:lnTo>
                                <a:lnTo>
                                  <a:pt x="0" y="6768"/>
                                </a:lnTo>
                                <a:lnTo>
                                  <a:pt x="57" y="6768"/>
                                </a:lnTo>
                                <a:lnTo>
                                  <a:pt x="9600" y="6768"/>
                                </a:lnTo>
                                <a:lnTo>
                                  <a:pt x="9657" y="6768"/>
                                </a:lnTo>
                                <a:lnTo>
                                  <a:pt x="9657" y="6711"/>
                                </a:lnTo>
                                <a:lnTo>
                                  <a:pt x="9657" y="159"/>
                                </a:lnTo>
                                <a:lnTo>
                                  <a:pt x="9657" y="58"/>
                                </a:lnTo>
                                <a:lnTo>
                                  <a:pt x="9657" y="0"/>
                                </a:lnTo>
                                <a:close/>
                              </a:path>
                            </a:pathLst>
                          </a:custGeom>
                          <a:solidFill>
                            <a:srgbClr val="2E7D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4C4632" id="Group 2" o:spid="_x0000_s1026" style="position:absolute;margin-left:63.45pt;margin-top:10.95pt;width:482.9pt;height:244.3pt;z-index:-251658240;mso-position-horizontal-relative:page" coordorigin="1277,-56" coordsize="9658,6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">
                <v:rect id="Rectangle 4" o:spid="_x0000_s1027" style="position:absolute;left:1334;top:6;width:9543;height:6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" fillcolor="#fbfffb" stroked="f"/>
                <v:shape id="Freeform 3" o:spid="_x0000_s1028" style="position:absolute;left:1276;top:-56;width:9658;height:6769;visibility:visible;mso-wrap-style:square;v-text-anchor:top" coordsize="9658,6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" path="m9657,r-57,l9600,58r,101l9600,6711r-9543,l57,159,57,58r9543,l9600,,57,,,,,58,,159,,6711r,57l57,6768r9543,l9657,6768r,-57l9657,159r,-101l9657,xe" fillcolor="#2e7d53" stroked="f">
                  <v:path arrowok="t" o:connecttype="custom" o:connectlocs="9657,-56;9600,-56;9600,2;9600,103;9600,6655;57,6655;57,103;57,2;9600,2;9600,-56;57,-56;0,-56;0,2;0,103;0,6655;0,6712;57,6712;9600,6712;9657,6712;9657,6655;9657,103;9657,2;9657,-56" o:connectangles="0,0,0,0,0,0,0,0,0,0,0,0,0,0,0,0,0,0,0,0,0,0,0"/>
                </v:shape>
                <w10:wrap anchorx="page"/>
              </v:group>
            </w:pict>
          </mc:Fallback>
        </mc:AlternateContent>
      </w:r>
    </w:p>
    <w:p w14:paraId="5040CFF5" w14:textId="14A7046C" w:rsidR="00207FDA" w:rsidRPr="00C67A08" w:rsidRDefault="00C67A08">
      <w:pPr>
        <w:spacing w:before="143"/>
        <w:ind w:left="91" w:right="279"/>
        <w:jc w:val="center"/>
        <w:rPr>
          <w:rFonts w:ascii="Trebuchet MS"/>
          <w:b/>
          <w:sz w:val="32"/>
        </w:rPr>
      </w:pPr>
      <w:r>
        <w:rPr>
          <w:rFonts w:ascii="Trebuchet MS" w:hint="eastAsia"/>
          <w:b/>
          <w:color w:val="2E7D53"/>
          <w:sz w:val="32"/>
        </w:rPr>
        <w:t>基础</w:t>
      </w:r>
    </w:p>
    <w:p w14:paraId="6176D4C6" w14:textId="77777777" w:rsidR="00207FDA" w:rsidRPr="00C67A08" w:rsidRDefault="001700BA">
      <w:pPr>
        <w:pStyle w:val="Heading2"/>
        <w:numPr>
          <w:ilvl w:val="0"/>
          <w:numId w:val="2"/>
        </w:numPr>
        <w:tabs>
          <w:tab w:val="left" w:pos="827"/>
        </w:tabs>
        <w:spacing w:before="256" w:line="261" w:lineRule="auto"/>
        <w:ind w:right="631"/>
        <w:rPr>
          <w:rFonts w:ascii="Tahoma"/>
        </w:rPr>
      </w:pPr>
      <w:r>
        <w:rPr>
          <w:rFonts w:ascii="Tahoma" w:hint="eastAsia"/>
          <w:color w:val="2E7D53"/>
        </w:rPr>
        <w:t>将受到气候变化不成比例影响的人群有权参与与其韧性建设相关的决策过程。</w:t>
      </w:r>
    </w:p>
    <w:p w14:paraId="26CDA9EA" w14:textId="77777777" w:rsidR="00207FDA" w:rsidRPr="00C67A08" w:rsidRDefault="001700BA">
      <w:pPr>
        <w:pStyle w:val="ListParagraph"/>
        <w:numPr>
          <w:ilvl w:val="0"/>
          <w:numId w:val="2"/>
        </w:numPr>
        <w:tabs>
          <w:tab w:val="left" w:pos="827"/>
        </w:tabs>
        <w:spacing w:before="103" w:line="259" w:lineRule="auto"/>
        <w:ind w:right="439"/>
        <w:rPr>
          <w:sz w:val="24"/>
        </w:rPr>
      </w:pPr>
      <w:r>
        <w:rPr>
          <w:rFonts w:hint="eastAsia"/>
          <w:color w:val="2E7D53"/>
          <w:sz w:val="24"/>
        </w:rPr>
        <w:t>在界定问题、议题和解决方案的过程中，应主动寻求、认可并重视处于社会脆弱境况人群的亲身经验。</w:t>
      </w:r>
    </w:p>
    <w:p w14:paraId="3AFC44C2" w14:textId="77777777" w:rsidR="00207FDA" w:rsidRPr="00C67A08" w:rsidRDefault="001700BA">
      <w:pPr>
        <w:pStyle w:val="Heading2"/>
        <w:numPr>
          <w:ilvl w:val="0"/>
          <w:numId w:val="2"/>
        </w:numPr>
        <w:tabs>
          <w:tab w:val="left" w:pos="827"/>
        </w:tabs>
        <w:spacing w:before="108" w:line="264" w:lineRule="auto"/>
        <w:ind w:right="206"/>
        <w:rPr>
          <w:rFonts w:ascii="Tahoma"/>
        </w:rPr>
      </w:pPr>
      <w:r>
        <w:rPr>
          <w:rFonts w:ascii="Tahoma" w:hint="eastAsia"/>
          <w:color w:val="2C8657"/>
        </w:rPr>
        <w:t>应以最易于环境正义（</w:t>
      </w:r>
      <w:r>
        <w:rPr>
          <w:rFonts w:ascii="Tahoma" w:hint="eastAsia"/>
          <w:color w:val="2C8657"/>
        </w:rPr>
        <w:t>EJ</w:t>
      </w:r>
      <w:r>
        <w:rPr>
          <w:rFonts w:ascii="Tahoma" w:hint="eastAsia"/>
          <w:color w:val="2C8657"/>
        </w:rPr>
        <w:t>）及其他优先人群理解和吸收的方式，向其提供作为决策协作参与者所需的信息，并给予充足的时间和支持以帮助其理解。</w:t>
      </w:r>
    </w:p>
    <w:p w14:paraId="7AE69CA4" w14:textId="77777777" w:rsidR="00207FDA" w:rsidRPr="00C67A08" w:rsidRDefault="001700BA">
      <w:pPr>
        <w:pStyle w:val="ListParagraph"/>
        <w:numPr>
          <w:ilvl w:val="0"/>
          <w:numId w:val="2"/>
        </w:numPr>
        <w:tabs>
          <w:tab w:val="left" w:pos="827"/>
        </w:tabs>
        <w:spacing w:before="217" w:line="261" w:lineRule="auto"/>
        <w:ind w:right="489"/>
        <w:rPr>
          <w:sz w:val="24"/>
        </w:rPr>
      </w:pPr>
      <w:r>
        <w:rPr>
          <w:rFonts w:hint="eastAsia"/>
          <w:color w:val="2E7D53"/>
          <w:sz w:val="24"/>
        </w:rPr>
        <w:t>社区成员，尤其是环境正义（</w:t>
      </w:r>
      <w:r>
        <w:rPr>
          <w:rFonts w:hint="eastAsia"/>
          <w:color w:val="2E7D53"/>
          <w:sz w:val="24"/>
        </w:rPr>
        <w:t>EJ</w:t>
      </w:r>
      <w:r>
        <w:rPr>
          <w:rFonts w:hint="eastAsia"/>
          <w:color w:val="2E7D53"/>
          <w:sz w:val="24"/>
        </w:rPr>
        <w:t>）及其他优先人群的需求、关切、目标和优先事项应对决策产生影响。相关做法应以透明方式予以公开和传达。</w:t>
      </w:r>
    </w:p>
    <w:p w14:paraId="7C143B6E" w14:textId="77777777" w:rsidR="00207FDA" w:rsidRPr="00C67A08" w:rsidRDefault="001700BA">
      <w:pPr>
        <w:pStyle w:val="ListParagraph"/>
        <w:numPr>
          <w:ilvl w:val="0"/>
          <w:numId w:val="2"/>
        </w:numPr>
        <w:tabs>
          <w:tab w:val="left" w:pos="827"/>
        </w:tabs>
        <w:spacing w:before="104" w:line="249" w:lineRule="auto"/>
        <w:ind w:right="527"/>
        <w:rPr>
          <w:sz w:val="24"/>
        </w:rPr>
      </w:pPr>
      <w:r>
        <w:rPr>
          <w:rFonts w:hint="eastAsia"/>
          <w:color w:val="2E7D53"/>
          <w:sz w:val="24"/>
        </w:rPr>
        <w:t>参与应以关系为导向，而非事务性行为。该过程旨在建立并维持基于相互尊重与互惠的关系。</w:t>
      </w:r>
    </w:p>
    <w:p w14:paraId="2F38F4E8" w14:textId="77777777" w:rsidR="00207FDA" w:rsidRPr="00C67A08" w:rsidRDefault="00207FDA">
      <w:pPr>
        <w:pStyle w:val="BodyText"/>
        <w:rPr>
          <w:rFonts w:ascii="Tahoma"/>
          <w:sz w:val="20"/>
        </w:rPr>
      </w:pPr>
    </w:p>
    <w:p w14:paraId="37182B31" w14:textId="77777777" w:rsidR="00207FDA" w:rsidRPr="00C67A08" w:rsidRDefault="00207FDA">
      <w:pPr>
        <w:pStyle w:val="BodyText"/>
        <w:rPr>
          <w:rFonts w:ascii="Tahoma"/>
          <w:sz w:val="20"/>
        </w:rPr>
      </w:pPr>
    </w:p>
    <w:p w14:paraId="353DD882" w14:textId="77777777" w:rsidR="00207FDA" w:rsidRPr="00C67A08" w:rsidRDefault="00207FDA">
      <w:pPr>
        <w:pStyle w:val="BodyText"/>
        <w:rPr>
          <w:rFonts w:ascii="Tahoma"/>
          <w:sz w:val="20"/>
        </w:rPr>
      </w:pPr>
    </w:p>
    <w:p w14:paraId="20A7C7AC" w14:textId="77777777" w:rsidR="00207FDA" w:rsidRPr="00C67A08" w:rsidRDefault="00207FDA">
      <w:pPr>
        <w:pStyle w:val="BodyText"/>
        <w:spacing w:before="8"/>
        <w:rPr>
          <w:rFonts w:ascii="Tahoma"/>
          <w:sz w:val="21"/>
        </w:rPr>
      </w:pPr>
    </w:p>
    <w:p w14:paraId="5FA3E028" w14:textId="77777777" w:rsidR="00207FDA" w:rsidRPr="00C67A08" w:rsidRDefault="001700BA">
      <w:pPr>
        <w:spacing w:before="144"/>
        <w:ind w:left="91" w:right="1"/>
        <w:jc w:val="center"/>
        <w:rPr>
          <w:rFonts w:ascii="Trebuchet MS"/>
          <w:b/>
          <w:sz w:val="32"/>
        </w:rPr>
      </w:pPr>
      <w:r>
        <w:rPr>
          <w:rFonts w:ascii="Trebuchet MS" w:hint="eastAsia"/>
          <w:b/>
          <w:color w:val="0070C0"/>
          <w:sz w:val="32"/>
        </w:rPr>
        <w:t>核心原则</w:t>
      </w:r>
    </w:p>
    <w:p w14:paraId="2CDB5418" w14:textId="77777777" w:rsidR="00207FDA" w:rsidRPr="00C67A08" w:rsidRDefault="00207FDA">
      <w:pPr>
        <w:pStyle w:val="BodyText"/>
        <w:spacing w:before="2"/>
        <w:rPr>
          <w:rFonts w:ascii="Trebuchet MS"/>
          <w:b/>
          <w:sz w:val="35"/>
        </w:rPr>
      </w:pPr>
    </w:p>
    <w:p w14:paraId="7535F654" w14:textId="77777777" w:rsidR="00207FDA" w:rsidRPr="00C67A08" w:rsidRDefault="001700BA">
      <w:pPr>
        <w:tabs>
          <w:tab w:val="left" w:pos="9417"/>
        </w:tabs>
        <w:ind w:left="91"/>
        <w:jc w:val="center"/>
        <w:rPr>
          <w:rFonts w:ascii="Tahoma"/>
          <w:b/>
          <w:sz w:val="36"/>
        </w:rPr>
      </w:pPr>
      <w:r>
        <w:rPr>
          <w:rFonts w:ascii="Tahoma" w:hint="eastAsia"/>
          <w:b/>
          <w:color w:val="FFFFFF"/>
          <w:sz w:val="36"/>
          <w:shd w:val="clear" w:color="auto" w:fill="0070C0"/>
        </w:rPr>
        <w:t xml:space="preserve">  1.</w:t>
      </w:r>
      <w:r>
        <w:rPr>
          <w:rFonts w:ascii="Tahoma" w:hint="eastAsia"/>
          <w:b/>
          <w:color w:val="FFFFFF"/>
          <w:sz w:val="36"/>
          <w:shd w:val="clear" w:color="auto" w:fill="0070C0"/>
        </w:rPr>
        <w:t>尊重本地知识与领导力</w:t>
      </w:r>
      <w:r>
        <w:rPr>
          <w:rFonts w:ascii="Tahoma" w:hint="eastAsia"/>
          <w:b/>
          <w:color w:val="FFFFFF"/>
          <w:sz w:val="36"/>
          <w:shd w:val="clear" w:color="auto" w:fill="0070C0"/>
        </w:rPr>
        <w:tab/>
      </w:r>
    </w:p>
    <w:p w14:paraId="3237FE03" w14:textId="77777777" w:rsidR="00207FDA" w:rsidRPr="00C67A08" w:rsidRDefault="001700BA" w:rsidP="003E3F89">
      <w:pPr>
        <w:pStyle w:val="Heading2"/>
        <w:spacing w:before="262" w:line="266" w:lineRule="auto"/>
        <w:ind w:left="230" w:right="172" w:firstLine="0"/>
        <w:jc w:val="both"/>
      </w:pPr>
      <w:r>
        <w:rPr>
          <w:rFonts w:hint="eastAsia"/>
          <w:color w:val="0070C0"/>
        </w:rPr>
        <w:t>社区成员掌握关于其社区中各种优势、问题和机遇的第一手知识。这些知识为地方政府作出决策提供重要的信息和背景依据。</w:t>
      </w:r>
    </w:p>
    <w:p w14:paraId="2AD5B3A8" w14:textId="77777777" w:rsidR="00207FDA" w:rsidRPr="00C67A08" w:rsidRDefault="00207FDA" w:rsidP="003E3F89">
      <w:pPr>
        <w:pStyle w:val="BodyText"/>
        <w:spacing w:before="2"/>
        <w:jc w:val="both"/>
        <w:rPr>
          <w:rFonts w:ascii="Arial Black"/>
          <w:sz w:val="15"/>
        </w:rPr>
      </w:pPr>
    </w:p>
    <w:p w14:paraId="635A063A" w14:textId="77777777" w:rsidR="00207FDA" w:rsidRPr="000D4FD8" w:rsidRDefault="001700BA" w:rsidP="003E3F89">
      <w:pPr>
        <w:pStyle w:val="BodyText"/>
        <w:spacing w:before="118" w:line="319" w:lineRule="auto"/>
        <w:ind w:left="140" w:right="212"/>
        <w:jc w:val="both"/>
        <w:rPr>
          <w:sz w:val="24"/>
          <w:szCs w:val="24"/>
        </w:rPr>
      </w:pPr>
      <w:r>
        <w:rPr>
          <w:rFonts w:ascii="Tahoma" w:hAnsi="Tahoma" w:hint="eastAsia"/>
          <w:b/>
          <w:color w:val="0070C0"/>
          <w:sz w:val="28"/>
          <w:shd w:val="clear" w:color="auto" w:fill="EFEFEF"/>
        </w:rPr>
        <w:t xml:space="preserve"> 1A</w:t>
      </w:r>
      <w:r>
        <w:rPr>
          <w:rFonts w:ascii="Tahoma" w:hAnsi="Tahoma" w:hint="eastAsia"/>
          <w:b/>
          <w:color w:val="0070C0"/>
          <w:sz w:val="26"/>
        </w:rPr>
        <w:t>在整个过程中实现多元包容。</w:t>
      </w:r>
      <w:r w:rsidRPr="000D4FD8">
        <w:rPr>
          <w:rFonts w:hint="eastAsia"/>
          <w:color w:val="0070C0"/>
          <w:sz w:val="24"/>
          <w:szCs w:val="24"/>
        </w:rPr>
        <w:t>在规划与参与过程中实现多元参与，并在决策机构中体现代表性，是落实上述基础原则的关键。重点触达历史上未曾参与规划过程的人群，并在外展与参与中与多元人群和群体建立合作关系——尤其是环境正义（</w:t>
      </w:r>
      <w:r w:rsidRPr="000D4FD8">
        <w:rPr>
          <w:rFonts w:hint="eastAsia"/>
          <w:color w:val="0070C0"/>
          <w:sz w:val="24"/>
          <w:szCs w:val="24"/>
        </w:rPr>
        <w:t>EJ</w:t>
      </w:r>
      <w:r w:rsidRPr="000D4FD8">
        <w:rPr>
          <w:rFonts w:hint="eastAsia"/>
          <w:color w:val="0070C0"/>
          <w:sz w:val="24"/>
          <w:szCs w:val="24"/>
        </w:rPr>
        <w:t>）及其他优先人群。</w:t>
      </w:r>
    </w:p>
    <w:p w14:paraId="0FADC2E1" w14:textId="77777777" w:rsidR="00207FDA" w:rsidRPr="00C67A08" w:rsidRDefault="00207FDA" w:rsidP="003E3F89">
      <w:pPr>
        <w:pStyle w:val="BodyText"/>
        <w:spacing w:before="1"/>
        <w:jc w:val="both"/>
        <w:rPr>
          <w:sz w:val="21"/>
        </w:rPr>
      </w:pPr>
    </w:p>
    <w:p w14:paraId="1819E31E" w14:textId="77777777" w:rsidR="00207FDA" w:rsidRPr="000D4FD8" w:rsidRDefault="001700BA" w:rsidP="003E3F89">
      <w:pPr>
        <w:pStyle w:val="BodyText"/>
        <w:spacing w:before="118" w:line="319" w:lineRule="auto"/>
        <w:ind w:left="140" w:right="212"/>
        <w:jc w:val="both"/>
        <w:rPr>
          <w:sz w:val="24"/>
          <w:szCs w:val="24"/>
        </w:rPr>
      </w:pPr>
      <w:r>
        <w:rPr>
          <w:rFonts w:ascii="Tahoma" w:hint="eastAsia"/>
          <w:b/>
          <w:color w:val="0070C0"/>
          <w:sz w:val="28"/>
          <w:shd w:val="clear" w:color="auto" w:fill="EFEFEF"/>
        </w:rPr>
        <w:t xml:space="preserve"> 1B</w:t>
      </w:r>
      <w:r>
        <w:rPr>
          <w:rFonts w:ascii="Tahoma" w:hint="eastAsia"/>
          <w:b/>
          <w:color w:val="0070C0"/>
          <w:sz w:val="28"/>
        </w:rPr>
        <w:t xml:space="preserve"> </w:t>
      </w:r>
      <w:r>
        <w:rPr>
          <w:rFonts w:ascii="Tahoma" w:hint="eastAsia"/>
          <w:b/>
          <w:color w:val="0070C0"/>
          <w:sz w:val="26"/>
        </w:rPr>
        <w:t>在关键决策作出前纳入相关人群。</w:t>
      </w:r>
      <w:r>
        <w:rPr>
          <w:rFonts w:ascii="Tahoma" w:hint="eastAsia"/>
          <w:b/>
          <w:color w:val="0070C0"/>
          <w:sz w:val="26"/>
        </w:rPr>
        <w:t xml:space="preserve"> </w:t>
      </w:r>
      <w:r w:rsidRPr="000D4FD8">
        <w:rPr>
          <w:rFonts w:hint="eastAsia"/>
          <w:color w:val="0070C0"/>
          <w:sz w:val="24"/>
          <w:szCs w:val="24"/>
        </w:rPr>
        <w:t>受某项决策影响最大的人群应在前期即参与界定问题或议题，并共同明确解决方案的形式及其对社区的作用。与以正式或非正式身份支持并倡导社区居民需求的本地领导者建立合作关系（包括理解其需求、优先事项及面临的多重压力），有助于建立与目标社区成员的联系，从而开展有效参与与学习。在项</w:t>
      </w:r>
      <w:r w:rsidRPr="000D4FD8">
        <w:rPr>
          <w:rFonts w:hint="eastAsia"/>
          <w:color w:val="0070C0"/>
          <w:sz w:val="24"/>
          <w:szCs w:val="24"/>
        </w:rPr>
        <w:lastRenderedPageBreak/>
        <w:t>目预算中安排经费，用于补偿本地领导者的时间投入和贡献。</w:t>
      </w:r>
    </w:p>
    <w:p w14:paraId="342AC446" w14:textId="77777777" w:rsidR="00207FDA" w:rsidRPr="00C67A08" w:rsidRDefault="00207FDA">
      <w:pPr>
        <w:pStyle w:val="BodyText"/>
        <w:spacing w:before="11"/>
        <w:rPr>
          <w:sz w:val="20"/>
        </w:rPr>
      </w:pPr>
    </w:p>
    <w:p w14:paraId="67B88B1E" w14:textId="77777777" w:rsidR="00207FDA" w:rsidRPr="000D4FD8" w:rsidRDefault="001700BA" w:rsidP="003E3F89">
      <w:pPr>
        <w:pStyle w:val="BodyText"/>
        <w:spacing w:before="118" w:line="319" w:lineRule="auto"/>
        <w:ind w:left="140" w:right="212"/>
        <w:jc w:val="both"/>
        <w:rPr>
          <w:sz w:val="24"/>
          <w:szCs w:val="24"/>
        </w:rPr>
      </w:pPr>
      <w:r>
        <w:rPr>
          <w:rFonts w:ascii="Tahoma" w:hAnsi="Tahoma" w:hint="eastAsia"/>
          <w:b/>
          <w:color w:val="0070C0"/>
          <w:sz w:val="28"/>
          <w:shd w:val="clear" w:color="auto" w:fill="EFEFEF"/>
        </w:rPr>
        <w:t xml:space="preserve"> 1C</w:t>
      </w:r>
      <w:r>
        <w:rPr>
          <w:rFonts w:ascii="Tahoma" w:hAnsi="Tahoma" w:hint="eastAsia"/>
          <w:b/>
          <w:color w:val="0070C0"/>
          <w:sz w:val="28"/>
        </w:rPr>
        <w:t xml:space="preserve"> </w:t>
      </w:r>
      <w:r>
        <w:rPr>
          <w:rFonts w:ascii="Tahoma" w:hAnsi="Tahoma" w:hint="eastAsia"/>
          <w:b/>
          <w:color w:val="0070C0"/>
          <w:sz w:val="26"/>
        </w:rPr>
        <w:t>以社区优先事项为起点。</w:t>
      </w:r>
      <w:r>
        <w:rPr>
          <w:rFonts w:ascii="Tahoma" w:hAnsi="Tahoma" w:hint="eastAsia"/>
          <w:b/>
          <w:color w:val="0070C0"/>
          <w:sz w:val="26"/>
        </w:rPr>
        <w:t xml:space="preserve"> </w:t>
      </w:r>
      <w:r w:rsidRPr="000D4FD8">
        <w:rPr>
          <w:rFonts w:hint="eastAsia"/>
          <w:color w:val="0070C0"/>
          <w:sz w:val="24"/>
          <w:szCs w:val="24"/>
        </w:rPr>
        <w:t>对环境正义（</w:t>
      </w:r>
      <w:r w:rsidRPr="000D4FD8">
        <w:rPr>
          <w:rFonts w:hint="eastAsia"/>
          <w:color w:val="0070C0"/>
          <w:sz w:val="24"/>
          <w:szCs w:val="24"/>
        </w:rPr>
        <w:t>EJ</w:t>
      </w:r>
      <w:r w:rsidRPr="000D4FD8">
        <w:rPr>
          <w:rFonts w:hint="eastAsia"/>
          <w:color w:val="0070C0"/>
          <w:sz w:val="24"/>
          <w:szCs w:val="24"/>
        </w:rPr>
        <w:t>）及其他优先人群而言的重要事项，可能不同于市政官员或不居住在这些社区的人群所关注的事项。尊重人们的自决权，意味着需要将决策控制权与那些必须承受决策结果或应从中受益的人群共享——甚至交由其掌握。以这种方式共享决策权还有助于建立信任。</w:t>
      </w:r>
    </w:p>
    <w:p w14:paraId="2DBDE800" w14:textId="77777777" w:rsidR="00207FDA" w:rsidRPr="00C67A08" w:rsidRDefault="00207FDA">
      <w:pPr>
        <w:pStyle w:val="BodyText"/>
        <w:spacing w:before="1"/>
        <w:rPr>
          <w:sz w:val="21"/>
        </w:rPr>
      </w:pPr>
    </w:p>
    <w:p w14:paraId="697A0344" w14:textId="77777777" w:rsidR="00207FDA" w:rsidRPr="000D4FD8" w:rsidRDefault="001700BA" w:rsidP="000D4FD8">
      <w:pPr>
        <w:pStyle w:val="BodyText"/>
        <w:spacing w:before="118" w:line="319" w:lineRule="auto"/>
        <w:ind w:left="140" w:right="212"/>
        <w:jc w:val="both"/>
        <w:rPr>
          <w:sz w:val="24"/>
          <w:szCs w:val="24"/>
        </w:rPr>
      </w:pPr>
      <w:r>
        <w:rPr>
          <w:rFonts w:ascii="Tahoma" w:hAnsi="Tahoma" w:hint="eastAsia"/>
          <w:b/>
          <w:color w:val="0070C0"/>
          <w:sz w:val="28"/>
          <w:shd w:val="clear" w:color="auto" w:fill="EFEFEF"/>
        </w:rPr>
        <w:t xml:space="preserve"> 1D</w:t>
      </w:r>
      <w:r>
        <w:rPr>
          <w:rFonts w:ascii="Tahoma" w:hAnsi="Tahoma" w:hint="eastAsia"/>
          <w:b/>
          <w:color w:val="0070C0"/>
          <w:sz w:val="28"/>
        </w:rPr>
        <w:t xml:space="preserve"> </w:t>
      </w:r>
      <w:r>
        <w:rPr>
          <w:rFonts w:ascii="Tahoma" w:hAnsi="Tahoma" w:hint="eastAsia"/>
          <w:b/>
          <w:color w:val="0070C0"/>
          <w:sz w:val="26"/>
        </w:rPr>
        <w:t>尊重社区既有的能力与专业经验。</w:t>
      </w:r>
      <w:r>
        <w:rPr>
          <w:rFonts w:ascii="Tahoma" w:hAnsi="Tahoma" w:hint="eastAsia"/>
          <w:b/>
          <w:color w:val="0070C0"/>
          <w:sz w:val="26"/>
        </w:rPr>
        <w:t xml:space="preserve"> </w:t>
      </w:r>
      <w:r w:rsidRPr="000D4FD8">
        <w:rPr>
          <w:rFonts w:hint="eastAsia"/>
          <w:color w:val="0070C0"/>
          <w:sz w:val="24"/>
          <w:szCs w:val="24"/>
        </w:rPr>
        <w:t>聚焦某一人群或地区所具备的优势、才能、技能、资源和能力，并在参与过程中以这些资产为核心。例如，许多社区已经经历了气候变化及其他前所未有危机的影响，包括</w:t>
      </w:r>
      <w:r w:rsidRPr="000D4FD8">
        <w:rPr>
          <w:rFonts w:hint="eastAsia"/>
          <w:color w:val="0070C0"/>
          <w:sz w:val="24"/>
          <w:szCs w:val="24"/>
        </w:rPr>
        <w:t>COVID-19</w:t>
      </w:r>
      <w:r w:rsidRPr="000D4FD8">
        <w:rPr>
          <w:rFonts w:hint="eastAsia"/>
          <w:color w:val="0070C0"/>
          <w:sz w:val="24"/>
          <w:szCs w:val="24"/>
        </w:rPr>
        <w:t>疫情。应认可社区为应对这些挑战而形成的社区主导型资源，例如社区空间的建立、互助网络或信息共享机制。考虑如何利用这些资源促进参与，并思考如何与社区团体和组织合作，以支持并拓展其既有工作。应将亲身经验形成的实践性专长视为指导规划和决策的重要洞见。</w:t>
      </w:r>
    </w:p>
    <w:p w14:paraId="06950A13" w14:textId="6B1706FD" w:rsidR="00207FDA" w:rsidRPr="000D4FD8" w:rsidRDefault="001700BA" w:rsidP="003E3F89">
      <w:pPr>
        <w:pStyle w:val="BodyText"/>
        <w:spacing w:before="118" w:line="319" w:lineRule="auto"/>
        <w:ind w:left="140" w:right="212"/>
        <w:jc w:val="both"/>
        <w:rPr>
          <w:sz w:val="24"/>
          <w:szCs w:val="24"/>
        </w:rPr>
      </w:pPr>
      <w:r>
        <w:rPr>
          <w:rFonts w:ascii="Tahoma" w:hint="eastAsia"/>
          <w:b/>
          <w:color w:val="0070C0"/>
          <w:sz w:val="28"/>
          <w:shd w:val="clear" w:color="auto" w:fill="EFEFEF"/>
        </w:rPr>
        <w:t xml:space="preserve"> 1E</w:t>
      </w:r>
      <w:r>
        <w:rPr>
          <w:rFonts w:ascii="Tahoma" w:hint="eastAsia"/>
          <w:b/>
          <w:color w:val="0070C0"/>
          <w:sz w:val="28"/>
        </w:rPr>
        <w:t xml:space="preserve"> </w:t>
      </w:r>
      <w:r>
        <w:rPr>
          <w:rFonts w:ascii="Tahoma" w:hint="eastAsia"/>
          <w:b/>
          <w:color w:val="0070C0"/>
          <w:sz w:val="26"/>
        </w:rPr>
        <w:t>运用数据并与人交流。</w:t>
      </w:r>
      <w:r>
        <w:rPr>
          <w:rFonts w:ascii="Tahoma" w:hint="eastAsia"/>
          <w:b/>
          <w:color w:val="0070C0"/>
          <w:sz w:val="26"/>
        </w:rPr>
        <w:t xml:space="preserve"> </w:t>
      </w:r>
      <w:r w:rsidRPr="000D4FD8">
        <w:rPr>
          <w:rFonts w:hint="eastAsia"/>
          <w:color w:val="0070C0"/>
          <w:sz w:val="24"/>
          <w:szCs w:val="24"/>
        </w:rPr>
        <w:t>诸如美国人口普查等来源中的数据，对于初步了解您所在市政辖区的脆弱性特征具有重要意义。</w:t>
      </w:r>
      <w:r w:rsidRPr="000D4FD8">
        <w:rPr>
          <w:rFonts w:hint="eastAsia"/>
          <w:color w:val="0070C0"/>
          <w:sz w:val="24"/>
          <w:szCs w:val="24"/>
        </w:rPr>
        <w:t>GEAR</w:t>
      </w:r>
      <w:r w:rsidRPr="000D4FD8">
        <w:rPr>
          <w:rFonts w:hint="eastAsia"/>
          <w:color w:val="0070C0"/>
          <w:sz w:val="24"/>
          <w:szCs w:val="24"/>
        </w:rPr>
        <w:t>在线工具将为您提供获取此类数据的渠道。然而，优先深入社区并与居民交流同样至关重要；现有关于在社区生活和工作人群的数据，可能不够细致或具体，无法全面反映其所面临的脆弱性，也无法提供其优先事项方面的信息。</w:t>
      </w:r>
    </w:p>
    <w:p w14:paraId="1EB031AD" w14:textId="77777777" w:rsidR="00207FDA" w:rsidRPr="00C67A08" w:rsidRDefault="00207FDA">
      <w:pPr>
        <w:pStyle w:val="BodyText"/>
        <w:rPr>
          <w:sz w:val="20"/>
        </w:rPr>
      </w:pPr>
    </w:p>
    <w:p w14:paraId="686E8B38" w14:textId="77777777" w:rsidR="00207FDA" w:rsidRPr="00C67A08" w:rsidRDefault="00207FDA">
      <w:pPr>
        <w:pStyle w:val="BodyText"/>
        <w:rPr>
          <w:sz w:val="20"/>
        </w:rPr>
      </w:pPr>
    </w:p>
    <w:p w14:paraId="73DFC738" w14:textId="77777777" w:rsidR="00207FDA" w:rsidRPr="00C67A08" w:rsidRDefault="00207FDA">
      <w:pPr>
        <w:pStyle w:val="BodyText"/>
        <w:spacing w:before="4"/>
      </w:pPr>
    </w:p>
    <w:p w14:paraId="6AEAB46A" w14:textId="77777777" w:rsidR="00207FDA" w:rsidRPr="00C67A08" w:rsidRDefault="001700BA">
      <w:pPr>
        <w:pStyle w:val="Heading1"/>
        <w:tabs>
          <w:tab w:val="left" w:pos="9528"/>
        </w:tabs>
        <w:spacing w:before="125"/>
        <w:ind w:left="111"/>
      </w:pPr>
      <w:r>
        <w:rPr>
          <w:rFonts w:hint="eastAsia"/>
          <w:color w:val="FFFFFF"/>
          <w:shd w:val="clear" w:color="auto" w:fill="0070C0"/>
        </w:rPr>
        <w:t xml:space="preserve">  2.</w:t>
      </w:r>
      <w:r>
        <w:rPr>
          <w:rFonts w:hint="eastAsia"/>
          <w:color w:val="FFFFFF"/>
          <w:shd w:val="clear" w:color="auto" w:fill="0070C0"/>
        </w:rPr>
        <w:t>将包容性与可及性置于优先位置</w:t>
      </w:r>
      <w:r>
        <w:rPr>
          <w:rFonts w:hint="eastAsia"/>
          <w:color w:val="FFFFFF"/>
          <w:shd w:val="clear" w:color="auto" w:fill="0070C0"/>
        </w:rPr>
        <w:tab/>
      </w:r>
    </w:p>
    <w:p w14:paraId="49183720" w14:textId="77777777" w:rsidR="00207FDA" w:rsidRPr="000D4FD8" w:rsidRDefault="001700BA" w:rsidP="003E3F89">
      <w:pPr>
        <w:pStyle w:val="BodyText"/>
        <w:spacing w:before="240" w:line="319" w:lineRule="auto"/>
        <w:ind w:left="140" w:right="212"/>
        <w:jc w:val="both"/>
        <w:rPr>
          <w:sz w:val="24"/>
          <w:szCs w:val="24"/>
        </w:rPr>
      </w:pPr>
      <w:r w:rsidRPr="000D4FD8">
        <w:rPr>
          <w:rFonts w:hint="eastAsia"/>
          <w:color w:val="0070C0"/>
          <w:sz w:val="24"/>
          <w:szCs w:val="24"/>
        </w:rPr>
        <w:t>促进包容性与可及性，意味着确保所有人——无论其种族、性别认同、能力状况、族裔、经济状况、国籍或性取向如何——在参与塑造与其社区项目和规划相关的决策时，都能感到被欢迎、被尊重并拥有赋权。</w:t>
      </w:r>
    </w:p>
    <w:p w14:paraId="4107A0C4" w14:textId="77777777" w:rsidR="00207FDA" w:rsidRPr="00C67A08" w:rsidRDefault="00207FDA">
      <w:pPr>
        <w:pStyle w:val="BodyText"/>
        <w:spacing w:before="2"/>
        <w:rPr>
          <w:rFonts w:ascii="Arial Black"/>
          <w:sz w:val="20"/>
        </w:rPr>
      </w:pPr>
    </w:p>
    <w:p w14:paraId="5CAF4662" w14:textId="77777777" w:rsidR="00207FDA" w:rsidRPr="000D4FD8" w:rsidRDefault="001700BA" w:rsidP="003E3F89">
      <w:pPr>
        <w:pStyle w:val="BodyText"/>
        <w:spacing w:before="118" w:line="319" w:lineRule="auto"/>
        <w:ind w:left="140" w:right="212"/>
        <w:jc w:val="both"/>
        <w:rPr>
          <w:sz w:val="24"/>
          <w:szCs w:val="24"/>
        </w:rPr>
      </w:pPr>
      <w:r>
        <w:rPr>
          <w:rFonts w:ascii="Tahoma" w:hAnsi="Tahoma" w:hint="eastAsia"/>
          <w:b/>
          <w:color w:val="0070C0"/>
          <w:sz w:val="28"/>
          <w:shd w:val="clear" w:color="auto" w:fill="EFEFEF"/>
        </w:rPr>
        <w:t xml:space="preserve"> 2A</w:t>
      </w:r>
      <w:r>
        <w:rPr>
          <w:rFonts w:ascii="Tahoma" w:hAnsi="Tahoma" w:hint="eastAsia"/>
          <w:b/>
          <w:color w:val="0070C0"/>
          <w:sz w:val="28"/>
        </w:rPr>
        <w:t xml:space="preserve"> </w:t>
      </w:r>
      <w:r>
        <w:rPr>
          <w:rFonts w:ascii="Tahoma" w:hAnsi="Tahoma" w:hint="eastAsia"/>
          <w:b/>
          <w:color w:val="0070C0"/>
          <w:sz w:val="26"/>
        </w:rPr>
        <w:t>前往人们所在且感到安全的地方</w:t>
      </w:r>
      <w:r w:rsidRPr="000D4FD8">
        <w:rPr>
          <w:rFonts w:ascii="Tahoma" w:hAnsi="Tahoma" w:hint="eastAsia"/>
          <w:b/>
          <w:color w:val="0070C0"/>
          <w:sz w:val="24"/>
          <w:szCs w:val="24"/>
        </w:rPr>
        <w:t>。</w:t>
      </w:r>
      <w:r w:rsidRPr="000D4FD8">
        <w:rPr>
          <w:rFonts w:ascii="Tahoma" w:hAnsi="Tahoma" w:hint="eastAsia"/>
          <w:b/>
          <w:color w:val="0070C0"/>
          <w:sz w:val="24"/>
          <w:szCs w:val="24"/>
        </w:rPr>
        <w:t xml:space="preserve"> </w:t>
      </w:r>
      <w:r w:rsidRPr="000D4FD8">
        <w:rPr>
          <w:rFonts w:hint="eastAsia"/>
          <w:color w:val="0070C0"/>
          <w:sz w:val="24"/>
          <w:szCs w:val="24"/>
        </w:rPr>
        <w:t>在接触那些传统上被排除在规划过程之外的人群时，应优先前往该社区聚集或居住且感到安全的场所。这可能包括与本地组织或社区团体合作，参加或参与既有活动，或在人们聚集的场所开展快闪活动或交流——无论是在公园或游乐场、本地小餐馆，还是农贸市场。可考虑与社会工作者合作，在学校、卫生诊所或社区组织办公室寻找无障碍的会议地点。然而，也必须认识并尊重这样一种情况：由于缺乏信任，社区可能并不欢迎外来进入其空间。在此类情况下，与社区信任的</w:t>
      </w:r>
      <w:r w:rsidRPr="000D4FD8">
        <w:rPr>
          <w:rFonts w:hint="eastAsia"/>
          <w:color w:val="0070C0"/>
          <w:sz w:val="24"/>
          <w:szCs w:val="24"/>
        </w:rPr>
        <w:lastRenderedPageBreak/>
        <w:t>合作伙伴协作，将有助于以尊重和关怀的方式开展参与。</w:t>
      </w:r>
    </w:p>
    <w:p w14:paraId="4B2C0CDF" w14:textId="77777777" w:rsidR="00207FDA" w:rsidRPr="000D4FD8" w:rsidRDefault="001700BA" w:rsidP="003E3F89">
      <w:pPr>
        <w:pStyle w:val="BodyText"/>
        <w:spacing w:before="118" w:line="319" w:lineRule="auto"/>
        <w:ind w:left="140" w:right="212"/>
        <w:jc w:val="both"/>
        <w:rPr>
          <w:sz w:val="24"/>
          <w:szCs w:val="24"/>
        </w:rPr>
      </w:pPr>
      <w:r>
        <w:rPr>
          <w:rFonts w:ascii="Tahoma" w:hAnsi="Tahoma" w:hint="eastAsia"/>
          <w:b/>
          <w:color w:val="0070C0"/>
          <w:sz w:val="28"/>
          <w:shd w:val="clear" w:color="auto" w:fill="EFEFEF"/>
        </w:rPr>
        <w:t xml:space="preserve"> 2B</w:t>
      </w:r>
      <w:r>
        <w:rPr>
          <w:rFonts w:ascii="Tahoma" w:hAnsi="Tahoma" w:hint="eastAsia"/>
          <w:b/>
          <w:color w:val="0070C0"/>
          <w:sz w:val="28"/>
        </w:rPr>
        <w:t xml:space="preserve"> </w:t>
      </w:r>
      <w:r>
        <w:rPr>
          <w:rFonts w:ascii="Tahoma" w:hAnsi="Tahoma" w:hint="eastAsia"/>
          <w:b/>
          <w:color w:val="0070C0"/>
          <w:sz w:val="26"/>
        </w:rPr>
        <w:t>使用无障碍且以人为本的语言。</w:t>
      </w:r>
      <w:r>
        <w:rPr>
          <w:rFonts w:ascii="Tahoma" w:hAnsi="Tahoma" w:hint="eastAsia"/>
          <w:b/>
          <w:color w:val="0070C0"/>
          <w:sz w:val="26"/>
        </w:rPr>
        <w:t xml:space="preserve"> </w:t>
      </w:r>
      <w:r w:rsidRPr="000D4FD8">
        <w:rPr>
          <w:rFonts w:hint="eastAsia"/>
          <w:color w:val="0070C0"/>
          <w:sz w:val="24"/>
          <w:szCs w:val="24"/>
        </w:rPr>
        <w:t>使用清晰、直接、贴近人们实际经验的语言，并对可能不熟悉的关键词和概念进行定义说明。避免使用需要专业知识的技术性语言、缩略词和习语（如“</w:t>
      </w:r>
      <w:r w:rsidRPr="000D4FD8">
        <w:rPr>
          <w:rFonts w:hint="eastAsia"/>
          <w:color w:val="0070C0"/>
          <w:sz w:val="24"/>
          <w:szCs w:val="24"/>
        </w:rPr>
        <w:t>it</w:t>
      </w:r>
      <w:r w:rsidRPr="000D4FD8">
        <w:rPr>
          <w:rFonts w:hint="eastAsia"/>
          <w:color w:val="0070C0"/>
          <w:sz w:val="24"/>
          <w:szCs w:val="24"/>
        </w:rPr>
        <w:t>’</w:t>
      </w:r>
      <w:r w:rsidRPr="000D4FD8">
        <w:rPr>
          <w:rFonts w:hint="eastAsia"/>
          <w:color w:val="0070C0"/>
          <w:sz w:val="24"/>
          <w:szCs w:val="24"/>
        </w:rPr>
        <w:t>s raining cats and dogs</w:t>
      </w:r>
      <w:r w:rsidRPr="000D4FD8">
        <w:rPr>
          <w:rFonts w:hint="eastAsia"/>
          <w:color w:val="0070C0"/>
          <w:sz w:val="24"/>
          <w:szCs w:val="24"/>
        </w:rPr>
        <w:t>”等表达），因为这些内容较难在不同文化和语言之间准确传达。采用以人为先的表达方式，而非突出个人所面临的障碍或不利处境。（例如，使用“残障人士”而非“残疾人”，或使用“正在经历无家可归的人群”而非“无家可归者”。）</w:t>
      </w:r>
    </w:p>
    <w:p w14:paraId="56018E53" w14:textId="77777777" w:rsidR="00207FDA" w:rsidRPr="00C67A08" w:rsidRDefault="001700BA" w:rsidP="003E3F89">
      <w:pPr>
        <w:pStyle w:val="BodyText"/>
        <w:spacing w:before="118" w:line="319" w:lineRule="auto"/>
        <w:ind w:left="140" w:right="212"/>
        <w:jc w:val="both"/>
      </w:pPr>
      <w:r>
        <w:rPr>
          <w:rFonts w:ascii="Tahoma" w:hint="eastAsia"/>
          <w:b/>
          <w:color w:val="0070C0"/>
          <w:sz w:val="28"/>
          <w:shd w:val="clear" w:color="auto" w:fill="EFEFEF"/>
        </w:rPr>
        <w:t xml:space="preserve"> 2C</w:t>
      </w:r>
      <w:r>
        <w:rPr>
          <w:rFonts w:ascii="Tahoma" w:hint="eastAsia"/>
          <w:b/>
          <w:color w:val="0070C0"/>
          <w:sz w:val="28"/>
        </w:rPr>
        <w:t xml:space="preserve"> </w:t>
      </w:r>
      <w:r>
        <w:rPr>
          <w:rFonts w:ascii="Tahoma" w:hint="eastAsia"/>
          <w:b/>
          <w:color w:val="0070C0"/>
          <w:sz w:val="26"/>
        </w:rPr>
        <w:t>提供笔译和口译服务。</w:t>
      </w:r>
      <w:r>
        <w:rPr>
          <w:rFonts w:ascii="Tahoma" w:hint="eastAsia"/>
          <w:b/>
          <w:color w:val="0070C0"/>
          <w:sz w:val="26"/>
        </w:rPr>
        <w:t xml:space="preserve"> </w:t>
      </w:r>
      <w:r w:rsidRPr="000D4FD8">
        <w:rPr>
          <w:rFonts w:hint="eastAsia"/>
          <w:color w:val="0070C0"/>
          <w:sz w:val="24"/>
          <w:szCs w:val="24"/>
        </w:rPr>
        <w:t>应将材料翻译成社区中除英语外最常使用的语言，并在活动中提供口译服务，作为常规做法。当主要目标是触达使用非英语语言的社区时，应以该语言举办活动，并为英语使用者提供口译。许多在线平台（如</w:t>
      </w:r>
      <w:r w:rsidRPr="000D4FD8">
        <w:rPr>
          <w:rFonts w:hint="eastAsia"/>
          <w:color w:val="0070C0"/>
          <w:sz w:val="24"/>
          <w:szCs w:val="24"/>
        </w:rPr>
        <w:t>Zoom</w:t>
      </w:r>
      <w:r w:rsidRPr="000D4FD8">
        <w:rPr>
          <w:rFonts w:hint="eastAsia"/>
          <w:color w:val="0070C0"/>
          <w:sz w:val="24"/>
          <w:szCs w:val="24"/>
        </w:rPr>
        <w:t>）通过为口译员设置独立音频频道，使实时语言口译成为可能。目前已有</w:t>
      </w:r>
      <w:r w:rsidRPr="000D4FD8">
        <w:rPr>
          <w:rFonts w:hint="eastAsia"/>
          <w:color w:val="0070C0"/>
          <w:sz w:val="24"/>
          <w:szCs w:val="24"/>
        </w:rPr>
        <w:t xml:space="preserve"> </w:t>
      </w:r>
      <w:r w:rsidRPr="000D4FD8">
        <w:rPr>
          <w:rFonts w:hint="eastAsia"/>
          <w:color w:val="0070C0"/>
          <w:sz w:val="24"/>
          <w:szCs w:val="24"/>
          <w:u w:val="single" w:color="0070C0"/>
        </w:rPr>
        <w:t>全州合同</w:t>
      </w:r>
      <w:r w:rsidRPr="000D4FD8">
        <w:rPr>
          <w:rFonts w:hint="eastAsia"/>
          <w:color w:val="0070C0"/>
          <w:sz w:val="24"/>
          <w:szCs w:val="24"/>
        </w:rPr>
        <w:t xml:space="preserve"> </w:t>
      </w:r>
      <w:r w:rsidRPr="000D4FD8">
        <w:rPr>
          <w:rFonts w:hint="eastAsia"/>
          <w:color w:val="0070C0"/>
          <w:sz w:val="24"/>
          <w:szCs w:val="24"/>
        </w:rPr>
        <w:t>，供各市政机构采购笔译和口译服务供应商。</w:t>
      </w:r>
    </w:p>
    <w:p w14:paraId="14BDF2E0" w14:textId="77777777" w:rsidR="00207FDA" w:rsidRPr="000D4FD8" w:rsidRDefault="001700BA" w:rsidP="003E3F89">
      <w:pPr>
        <w:pStyle w:val="BodyText"/>
        <w:spacing w:before="118" w:line="319" w:lineRule="auto"/>
        <w:ind w:left="140" w:right="212"/>
        <w:jc w:val="both"/>
        <w:rPr>
          <w:sz w:val="24"/>
          <w:szCs w:val="24"/>
        </w:rPr>
      </w:pPr>
      <w:r>
        <w:rPr>
          <w:rFonts w:ascii="Tahoma" w:hint="eastAsia"/>
          <w:b/>
          <w:color w:val="0070C0"/>
          <w:sz w:val="28"/>
          <w:shd w:val="clear" w:color="auto" w:fill="EFEFEF"/>
        </w:rPr>
        <w:t xml:space="preserve"> 2D</w:t>
      </w:r>
      <w:r>
        <w:rPr>
          <w:rFonts w:ascii="Tahoma" w:hint="eastAsia"/>
          <w:b/>
          <w:color w:val="0070C0"/>
          <w:sz w:val="28"/>
        </w:rPr>
        <w:t xml:space="preserve"> </w:t>
      </w:r>
      <w:r>
        <w:rPr>
          <w:rFonts w:ascii="Tahoma" w:hint="eastAsia"/>
          <w:b/>
          <w:color w:val="0070C0"/>
          <w:sz w:val="26"/>
        </w:rPr>
        <w:t>为不同能力人群提升可及性。</w:t>
      </w:r>
      <w:r>
        <w:rPr>
          <w:rFonts w:ascii="Trebuchet MS" w:hint="eastAsia"/>
          <w:color w:val="0070C0"/>
          <w:sz w:val="26"/>
        </w:rPr>
        <w:t>.</w:t>
      </w:r>
      <w:r w:rsidRPr="000D4FD8">
        <w:rPr>
          <w:rFonts w:hint="eastAsia"/>
          <w:color w:val="0070C0"/>
          <w:sz w:val="24"/>
          <w:szCs w:val="24"/>
        </w:rPr>
        <w:t>设计可被文本转语音软件读取的文件，以满足需要听读文本人群的需求。在视频和在线会议平台中提供隐藏字幕选项，并在需要时于线下活动中提供美国手语（</w:t>
      </w:r>
      <w:r w:rsidRPr="000D4FD8">
        <w:rPr>
          <w:rFonts w:hint="eastAsia"/>
          <w:color w:val="0070C0"/>
          <w:sz w:val="24"/>
          <w:szCs w:val="24"/>
        </w:rPr>
        <w:t>ASL</w:t>
      </w:r>
      <w:r w:rsidRPr="000D4FD8">
        <w:rPr>
          <w:rFonts w:hint="eastAsia"/>
          <w:color w:val="0070C0"/>
          <w:sz w:val="24"/>
          <w:szCs w:val="24"/>
        </w:rPr>
        <w:t>）口译。许多在线平台</w:t>
      </w:r>
      <w:r w:rsidRPr="000D4FD8">
        <w:rPr>
          <w:rFonts w:hint="eastAsia"/>
          <w:color w:val="0070C0"/>
          <w:sz w:val="24"/>
          <w:szCs w:val="24"/>
        </w:rPr>
        <w:t xml:space="preserve">, </w:t>
      </w:r>
      <w:r w:rsidRPr="000D4FD8">
        <w:rPr>
          <w:rFonts w:hint="eastAsia"/>
          <w:color w:val="0070C0"/>
          <w:sz w:val="24"/>
          <w:szCs w:val="24"/>
        </w:rPr>
        <w:t>如</w:t>
      </w:r>
      <w:r w:rsidRPr="000D4FD8">
        <w:rPr>
          <w:rFonts w:hint="eastAsia"/>
          <w:color w:val="0070C0"/>
          <w:sz w:val="24"/>
          <w:szCs w:val="24"/>
        </w:rPr>
        <w:t>Zoom,</w:t>
      </w:r>
      <w:r w:rsidRPr="000D4FD8">
        <w:rPr>
          <w:rFonts w:hint="eastAsia"/>
          <w:color w:val="0070C0"/>
          <w:sz w:val="24"/>
          <w:szCs w:val="24"/>
        </w:rPr>
        <w:t>提供隐藏字幕功能。</w:t>
      </w:r>
    </w:p>
    <w:p w14:paraId="6F1A2DC0" w14:textId="180D7676" w:rsidR="00207FDA" w:rsidRPr="000D4FD8" w:rsidRDefault="001700BA" w:rsidP="003E3F89">
      <w:pPr>
        <w:pStyle w:val="BodyText"/>
        <w:spacing w:before="118" w:line="319" w:lineRule="auto"/>
        <w:ind w:left="140" w:right="212"/>
        <w:jc w:val="both"/>
        <w:rPr>
          <w:sz w:val="24"/>
          <w:szCs w:val="24"/>
        </w:rPr>
      </w:pPr>
      <w:r>
        <w:rPr>
          <w:rFonts w:ascii="Tahoma" w:hint="eastAsia"/>
          <w:b/>
          <w:color w:val="0070C0"/>
          <w:sz w:val="28"/>
          <w:shd w:val="clear" w:color="auto" w:fill="EFEFEF"/>
        </w:rPr>
        <w:t xml:space="preserve"> 2E</w:t>
      </w:r>
      <w:r>
        <w:rPr>
          <w:rFonts w:ascii="Tahoma" w:hint="eastAsia"/>
          <w:b/>
          <w:color w:val="0070C0"/>
          <w:sz w:val="28"/>
        </w:rPr>
        <w:t xml:space="preserve"> </w:t>
      </w:r>
      <w:r>
        <w:rPr>
          <w:rFonts w:ascii="Tahoma" w:hint="eastAsia"/>
          <w:b/>
          <w:color w:val="0070C0"/>
          <w:sz w:val="26"/>
        </w:rPr>
        <w:t>为公众获取信息或参与提供多种方式</w:t>
      </w:r>
      <w:r w:rsidRPr="000D4FD8">
        <w:rPr>
          <w:rFonts w:ascii="Tahoma" w:hint="eastAsia"/>
          <w:b/>
          <w:color w:val="0070C0"/>
          <w:sz w:val="24"/>
          <w:szCs w:val="24"/>
        </w:rPr>
        <w:t>。</w:t>
      </w:r>
      <w:r w:rsidRPr="000D4FD8">
        <w:rPr>
          <w:rFonts w:ascii="Tahoma" w:hint="eastAsia"/>
          <w:b/>
          <w:color w:val="0070C0"/>
          <w:sz w:val="24"/>
          <w:szCs w:val="24"/>
        </w:rPr>
        <w:t xml:space="preserve"> </w:t>
      </w:r>
      <w:r w:rsidRPr="000D4FD8">
        <w:rPr>
          <w:rFonts w:hint="eastAsia"/>
          <w:color w:val="0070C0"/>
          <w:sz w:val="24"/>
          <w:szCs w:val="24"/>
        </w:rPr>
        <w:t>在一天中不同时间（包括周末和晚间）举办会议和活动，有助于适应不同的工作时间安排。在选择活动时间时，应考虑农业周期和学校日程等季节性安排。采用多种不同策略也有助于提高参与度并满足不同群体的文化需求</w:t>
      </w:r>
      <w:r w:rsidRPr="000D4FD8">
        <w:rPr>
          <w:rFonts w:ascii="Trebuchet MS" w:hint="eastAsia"/>
          <w:b/>
          <w:color w:val="0070C0"/>
          <w:sz w:val="24"/>
          <w:szCs w:val="24"/>
        </w:rPr>
        <w:t>。</w:t>
      </w:r>
      <w:r w:rsidRPr="000D4FD8">
        <w:rPr>
          <w:rFonts w:hint="eastAsia"/>
          <w:color w:val="0070C0"/>
          <w:sz w:val="24"/>
          <w:szCs w:val="24"/>
        </w:rPr>
        <w:t>提供线上线下混合或纯线上参与方式，或通过本地公共频道电视及</w:t>
      </w:r>
      <w:r w:rsidRPr="000D4FD8">
        <w:rPr>
          <w:rFonts w:hint="eastAsia"/>
          <w:color w:val="0070C0"/>
          <w:sz w:val="24"/>
          <w:szCs w:val="24"/>
        </w:rPr>
        <w:t>Facebook Live</w:t>
      </w:r>
      <w:r w:rsidRPr="000D4FD8">
        <w:rPr>
          <w:rFonts w:hint="eastAsia"/>
          <w:color w:val="0070C0"/>
          <w:sz w:val="24"/>
          <w:szCs w:val="24"/>
        </w:rPr>
        <w:t>等平台对活动进行直播。其他参与方式（如可随时填写的问卷）也有助于听取那些不太可能参加会议或活动人群的意见。</w:t>
      </w:r>
    </w:p>
    <w:p w14:paraId="5A59FEA8" w14:textId="77777777" w:rsidR="00207FDA" w:rsidRPr="000D4FD8" w:rsidRDefault="001700BA" w:rsidP="003E3F89">
      <w:pPr>
        <w:pStyle w:val="BodyText"/>
        <w:spacing w:before="118" w:line="319" w:lineRule="auto"/>
        <w:ind w:left="140" w:right="212"/>
        <w:jc w:val="both"/>
        <w:rPr>
          <w:sz w:val="24"/>
          <w:szCs w:val="24"/>
        </w:rPr>
      </w:pPr>
      <w:r>
        <w:rPr>
          <w:rFonts w:ascii="Tahoma" w:hint="eastAsia"/>
          <w:b/>
          <w:color w:val="0070C0"/>
          <w:sz w:val="28"/>
          <w:shd w:val="clear" w:color="auto" w:fill="EFEFEF"/>
        </w:rPr>
        <w:t xml:space="preserve"> 2F</w:t>
      </w:r>
      <w:r>
        <w:rPr>
          <w:rFonts w:ascii="Tahoma" w:hint="eastAsia"/>
          <w:b/>
          <w:color w:val="0070C0"/>
          <w:sz w:val="28"/>
        </w:rPr>
        <w:t xml:space="preserve"> </w:t>
      </w:r>
      <w:r>
        <w:rPr>
          <w:rFonts w:ascii="Tahoma" w:hint="eastAsia"/>
          <w:b/>
          <w:color w:val="0070C0"/>
          <w:sz w:val="26"/>
        </w:rPr>
        <w:t>纳入整个家庭。</w:t>
      </w:r>
      <w:r>
        <w:rPr>
          <w:rFonts w:ascii="Tahoma" w:hint="eastAsia"/>
          <w:b/>
          <w:color w:val="0070C0"/>
          <w:sz w:val="26"/>
        </w:rPr>
        <w:t xml:space="preserve"> </w:t>
      </w:r>
      <w:r w:rsidRPr="000D4FD8">
        <w:rPr>
          <w:rFonts w:hint="eastAsia"/>
          <w:color w:val="0070C0"/>
          <w:sz w:val="24"/>
          <w:szCs w:val="24"/>
        </w:rPr>
        <w:t>在会议期间提供儿童看护和餐食，以便家长、年长兄弟姐妹及其他照护者更方便参与。可考虑与社区组织或市政文体中心合作，以协助提供场地或儿童看护服务。调整交流方式以纳入青少年参与，并在适当情况下设计适合各年龄段参与的家庭友好型活动。</w:t>
      </w:r>
    </w:p>
    <w:p w14:paraId="498B600D" w14:textId="77777777" w:rsidR="00207FDA" w:rsidRPr="000D4FD8" w:rsidRDefault="001700BA" w:rsidP="003E3F89">
      <w:pPr>
        <w:pStyle w:val="BodyText"/>
        <w:spacing w:before="118" w:line="319" w:lineRule="auto"/>
        <w:ind w:left="140" w:right="212"/>
        <w:jc w:val="both"/>
        <w:rPr>
          <w:sz w:val="24"/>
          <w:szCs w:val="24"/>
        </w:rPr>
      </w:pPr>
      <w:r>
        <w:rPr>
          <w:rFonts w:ascii="Tahoma" w:hint="eastAsia"/>
          <w:b/>
          <w:color w:val="0070C0"/>
          <w:sz w:val="28"/>
          <w:shd w:val="clear" w:color="auto" w:fill="EFEFEF"/>
        </w:rPr>
        <w:t xml:space="preserve"> 2G</w:t>
      </w:r>
      <w:r>
        <w:rPr>
          <w:rFonts w:ascii="Tahoma" w:hint="eastAsia"/>
          <w:b/>
          <w:color w:val="0070C0"/>
          <w:sz w:val="28"/>
        </w:rPr>
        <w:t xml:space="preserve"> </w:t>
      </w:r>
      <w:r>
        <w:rPr>
          <w:rFonts w:ascii="Tahoma" w:hint="eastAsia"/>
          <w:b/>
          <w:color w:val="0070C0"/>
          <w:sz w:val="26"/>
        </w:rPr>
        <w:t>为线下活动提供便捷交通。</w:t>
      </w:r>
      <w:r>
        <w:rPr>
          <w:rFonts w:ascii="Tahoma" w:hint="eastAsia"/>
          <w:b/>
          <w:color w:val="0070C0"/>
          <w:sz w:val="26"/>
        </w:rPr>
        <w:t xml:space="preserve"> </w:t>
      </w:r>
      <w:r w:rsidRPr="000D4FD8">
        <w:rPr>
          <w:rFonts w:hint="eastAsia"/>
          <w:color w:val="0070C0"/>
          <w:sz w:val="24"/>
          <w:szCs w:val="24"/>
        </w:rPr>
        <w:t>选择靠近公共交通站点和／或便于骑行或步行到达的地点，可使残障人士以及交通条件受限的人群（包括青少年）更容易参与。可考虑提供交通补贴以减轻费用负担，或组织拼车或接驳服务以提供交通支持。</w:t>
      </w:r>
    </w:p>
    <w:p w14:paraId="67BF6EF9" w14:textId="77777777" w:rsidR="00207FDA" w:rsidRPr="000D4FD8" w:rsidRDefault="001700BA" w:rsidP="003E3F89">
      <w:pPr>
        <w:pStyle w:val="BodyText"/>
        <w:spacing w:before="118" w:line="319" w:lineRule="auto"/>
        <w:ind w:left="140" w:right="212"/>
        <w:jc w:val="both"/>
        <w:rPr>
          <w:sz w:val="24"/>
          <w:szCs w:val="24"/>
        </w:rPr>
      </w:pPr>
      <w:r>
        <w:rPr>
          <w:rFonts w:ascii="Tahoma" w:hint="eastAsia"/>
          <w:b/>
          <w:color w:val="0070C0"/>
          <w:sz w:val="28"/>
          <w:shd w:val="clear" w:color="auto" w:fill="EFEFEF"/>
        </w:rPr>
        <w:t xml:space="preserve"> 2H</w:t>
      </w:r>
      <w:r>
        <w:rPr>
          <w:rFonts w:ascii="Tahoma" w:hint="eastAsia"/>
          <w:b/>
          <w:color w:val="0070C0"/>
          <w:sz w:val="28"/>
        </w:rPr>
        <w:t xml:space="preserve"> </w:t>
      </w:r>
      <w:r>
        <w:rPr>
          <w:rFonts w:ascii="Tahoma" w:hint="eastAsia"/>
          <w:b/>
          <w:color w:val="0070C0"/>
          <w:sz w:val="26"/>
        </w:rPr>
        <w:t>尊重邻里的文化习惯。</w:t>
      </w:r>
      <w:r>
        <w:rPr>
          <w:rFonts w:ascii="Tahoma" w:hint="eastAsia"/>
          <w:b/>
          <w:color w:val="0070C0"/>
          <w:sz w:val="26"/>
        </w:rPr>
        <w:t xml:space="preserve"> </w:t>
      </w:r>
      <w:r w:rsidRPr="000D4FD8">
        <w:rPr>
          <w:rFonts w:hint="eastAsia"/>
          <w:color w:val="0070C0"/>
          <w:sz w:val="24"/>
          <w:szCs w:val="24"/>
        </w:rPr>
        <w:t>以公平为中心的实践要求尊重并融入有色人种、移民及其他在地方政府委员会和决策中历来被排除或代表性不足群体的文化习惯。例如，这可能</w:t>
      </w:r>
      <w:r w:rsidRPr="000D4FD8">
        <w:rPr>
          <w:rFonts w:hint="eastAsia"/>
          <w:color w:val="0070C0"/>
          <w:sz w:val="24"/>
          <w:szCs w:val="24"/>
        </w:rPr>
        <w:lastRenderedPageBreak/>
        <w:t>意味着会议以用餐开始，议程在用餐结束后才正式启动，或在进入议程事项前预留更多交流时间。额外的共同相处时间有助于在具体项目之外建立关系。</w:t>
      </w:r>
    </w:p>
    <w:p w14:paraId="361127DE" w14:textId="77777777" w:rsidR="00207FDA" w:rsidRPr="00C67A08" w:rsidRDefault="00207FDA">
      <w:pPr>
        <w:pStyle w:val="BodyText"/>
        <w:spacing w:before="2"/>
        <w:rPr>
          <w:sz w:val="30"/>
        </w:rPr>
      </w:pPr>
    </w:p>
    <w:p w14:paraId="4B333F39" w14:textId="77777777" w:rsidR="00207FDA" w:rsidRPr="00C67A08" w:rsidRDefault="001700BA">
      <w:pPr>
        <w:pStyle w:val="Heading1"/>
        <w:tabs>
          <w:tab w:val="left" w:pos="9528"/>
        </w:tabs>
        <w:spacing w:before="1"/>
        <w:ind w:left="202"/>
      </w:pPr>
      <w:r>
        <w:rPr>
          <w:rFonts w:hint="eastAsia"/>
          <w:color w:val="FFFFFF"/>
          <w:shd w:val="clear" w:color="auto" w:fill="0070C0"/>
        </w:rPr>
        <w:t xml:space="preserve">  3.</w:t>
      </w:r>
      <w:r>
        <w:rPr>
          <w:rFonts w:hint="eastAsia"/>
          <w:color w:val="FFFFFF"/>
          <w:shd w:val="clear" w:color="auto" w:fill="0070C0"/>
        </w:rPr>
        <w:t>促进长期承诺</w:t>
      </w:r>
      <w:r>
        <w:rPr>
          <w:rFonts w:hint="eastAsia"/>
          <w:color w:val="FFFFFF"/>
          <w:shd w:val="clear" w:color="auto" w:fill="0070C0"/>
        </w:rPr>
        <w:tab/>
      </w:r>
    </w:p>
    <w:p w14:paraId="080D43CE" w14:textId="77777777" w:rsidR="00207FDA" w:rsidRPr="000D4FD8" w:rsidRDefault="001700BA" w:rsidP="003E3F89">
      <w:pPr>
        <w:pStyle w:val="BodyText"/>
        <w:spacing w:before="118" w:line="319" w:lineRule="auto"/>
        <w:ind w:left="140" w:right="212"/>
        <w:jc w:val="both"/>
        <w:rPr>
          <w:sz w:val="24"/>
          <w:szCs w:val="24"/>
        </w:rPr>
      </w:pPr>
      <w:r w:rsidRPr="000D4FD8">
        <w:rPr>
          <w:rFonts w:hint="eastAsia"/>
          <w:color w:val="0070C0"/>
          <w:sz w:val="24"/>
          <w:szCs w:val="24"/>
        </w:rPr>
        <w:t>公平参与是一个持续过程，涉及在相互尊重与信任基础上建立关系、形成共同理解并发展协作方式。在规划参与工作时，应考虑互动与协作如何在既有经验基础上深化，如何在当前项目之外巩固关系，以及如何支持环境正义（</w:t>
      </w:r>
      <w:r w:rsidRPr="000D4FD8">
        <w:rPr>
          <w:rFonts w:hint="eastAsia"/>
          <w:color w:val="0070C0"/>
          <w:sz w:val="24"/>
          <w:szCs w:val="24"/>
        </w:rPr>
        <w:t>EJ</w:t>
      </w:r>
      <w:r w:rsidRPr="000D4FD8">
        <w:rPr>
          <w:rFonts w:hint="eastAsia"/>
          <w:color w:val="0070C0"/>
          <w:sz w:val="24"/>
          <w:szCs w:val="24"/>
        </w:rPr>
        <w:t>）及其他优先人群参与未来的规划项目或咨询委员会。</w:t>
      </w:r>
    </w:p>
    <w:p w14:paraId="7FEEDDFE" w14:textId="77777777" w:rsidR="00207FDA" w:rsidRPr="00C67A08" w:rsidRDefault="00207FDA">
      <w:pPr>
        <w:pStyle w:val="BodyText"/>
        <w:spacing w:before="4"/>
        <w:rPr>
          <w:rFonts w:ascii="Arial Black"/>
          <w:sz w:val="20"/>
        </w:rPr>
      </w:pPr>
    </w:p>
    <w:p w14:paraId="09C76744" w14:textId="77777777" w:rsidR="00207FDA" w:rsidRPr="000D4FD8" w:rsidRDefault="001700BA" w:rsidP="003E3F89">
      <w:pPr>
        <w:pStyle w:val="BodyText"/>
        <w:spacing w:before="118" w:line="319" w:lineRule="auto"/>
        <w:ind w:left="140" w:right="212"/>
        <w:jc w:val="both"/>
        <w:rPr>
          <w:sz w:val="24"/>
          <w:szCs w:val="24"/>
        </w:rPr>
      </w:pPr>
      <w:r>
        <w:rPr>
          <w:rFonts w:ascii="Tahoma" w:hint="eastAsia"/>
          <w:b/>
          <w:color w:val="0070C0"/>
          <w:sz w:val="28"/>
          <w:shd w:val="clear" w:color="auto" w:fill="EFEFEF"/>
        </w:rPr>
        <w:t xml:space="preserve"> 3A</w:t>
      </w:r>
      <w:r>
        <w:rPr>
          <w:rFonts w:ascii="Tahoma" w:hint="eastAsia"/>
          <w:b/>
          <w:color w:val="0070C0"/>
          <w:sz w:val="28"/>
        </w:rPr>
        <w:t xml:space="preserve"> </w:t>
      </w:r>
      <w:r>
        <w:rPr>
          <w:rFonts w:ascii="Tahoma" w:hint="eastAsia"/>
          <w:b/>
          <w:color w:val="0070C0"/>
          <w:sz w:val="26"/>
        </w:rPr>
        <w:t>投入时间建立关系。</w:t>
      </w:r>
      <w:r>
        <w:rPr>
          <w:rFonts w:ascii="Tahoma" w:hint="eastAsia"/>
          <w:b/>
          <w:color w:val="0070C0"/>
          <w:sz w:val="26"/>
        </w:rPr>
        <w:t xml:space="preserve"> </w:t>
      </w:r>
      <w:r w:rsidRPr="000D4FD8">
        <w:rPr>
          <w:rFonts w:hint="eastAsia"/>
          <w:color w:val="0070C0"/>
          <w:sz w:val="24"/>
          <w:szCs w:val="24"/>
        </w:rPr>
        <w:t>许多在政府规划过程中长期经历排斥、边缘化和伤害的社区——包括黑人、原住民及有色人种社区、低收入人群以及残障人士——对参与政府相关项目持有充分理由的怀疑态度。修复关系并建立信任可能需要时间。如果初期外展工作未取得成效，应考虑与社区合作伙伴共同分析原因，并确定可采取哪些额外调整或措施，以建立信任，并使互动对目标社区更具价值、更具吸引力或更具相关性。</w:t>
      </w:r>
    </w:p>
    <w:p w14:paraId="41D15745" w14:textId="77777777" w:rsidR="00207FDA" w:rsidRPr="00C67A08" w:rsidRDefault="00207FDA">
      <w:pPr>
        <w:pStyle w:val="BodyText"/>
        <w:rPr>
          <w:sz w:val="21"/>
        </w:rPr>
      </w:pPr>
    </w:p>
    <w:p w14:paraId="2BAC511B" w14:textId="1FDDF606" w:rsidR="00207FDA" w:rsidRPr="000D4FD8" w:rsidRDefault="001700BA" w:rsidP="003E3F89">
      <w:pPr>
        <w:pStyle w:val="BodyText"/>
        <w:spacing w:before="118" w:line="319" w:lineRule="auto"/>
        <w:ind w:left="140" w:right="212"/>
        <w:jc w:val="both"/>
        <w:rPr>
          <w:sz w:val="24"/>
          <w:szCs w:val="24"/>
        </w:rPr>
      </w:pPr>
      <w:r>
        <w:rPr>
          <w:rFonts w:ascii="Tahoma" w:hint="eastAsia"/>
          <w:b/>
          <w:color w:val="0070C0"/>
          <w:sz w:val="28"/>
          <w:shd w:val="clear" w:color="auto" w:fill="EFEFEF"/>
        </w:rPr>
        <w:t xml:space="preserve"> 3B</w:t>
      </w:r>
      <w:r>
        <w:rPr>
          <w:rFonts w:ascii="Tahoma" w:hint="eastAsia"/>
          <w:b/>
          <w:color w:val="0070C0"/>
          <w:sz w:val="28"/>
        </w:rPr>
        <w:t xml:space="preserve"> </w:t>
      </w:r>
      <w:r>
        <w:rPr>
          <w:rFonts w:ascii="Tahoma" w:hint="eastAsia"/>
          <w:b/>
          <w:color w:val="0070C0"/>
          <w:sz w:val="26"/>
        </w:rPr>
        <w:t>认识历史性伤害。</w:t>
      </w:r>
      <w:r>
        <w:rPr>
          <w:rFonts w:ascii="Tahoma" w:hint="eastAsia"/>
          <w:b/>
          <w:color w:val="0070C0"/>
          <w:sz w:val="26"/>
        </w:rPr>
        <w:t xml:space="preserve"> </w:t>
      </w:r>
      <w:r w:rsidRPr="000D4FD8">
        <w:rPr>
          <w:rFonts w:hint="eastAsia"/>
          <w:color w:val="0070C0"/>
          <w:sz w:val="24"/>
          <w:szCs w:val="24"/>
        </w:rPr>
        <w:t>应认识到长期延续的系统性偏见和边缘化历史，这些因素已导致在您社区生活或工作的人群面临更高的气候脆弱性。由于任务艰巨，寻找启动修复伤害进程的方法有时可能令人感到不知所措。从小处着手会有所帮助。各市政机构都有不同的历史叙述方式。这些历史往往被用作社区规划、网站以及书籍或文章等文件中的基础叙事。然而，这些历史大多是单一视角的，往往强化某一种叙事立场。可考虑采取的一项行动是成立工作组，负责制定更具包容性的叙事。这可包括与原住民专家合作，了解其地方历史，并将这一视角纳入城镇历史之中。随后可将这些信息用于网站及今后的其他文件中。</w:t>
      </w:r>
    </w:p>
    <w:p w14:paraId="0CB04491" w14:textId="77777777" w:rsidR="00207FDA" w:rsidRPr="00C67A08" w:rsidRDefault="00207FDA">
      <w:pPr>
        <w:pStyle w:val="BodyText"/>
        <w:spacing w:before="11"/>
        <w:rPr>
          <w:sz w:val="20"/>
        </w:rPr>
      </w:pPr>
    </w:p>
    <w:p w14:paraId="6143144A" w14:textId="77777777" w:rsidR="00207FDA" w:rsidRPr="00C67A08" w:rsidRDefault="001700BA" w:rsidP="003E3F89">
      <w:pPr>
        <w:pStyle w:val="BodyText"/>
        <w:spacing w:before="118" w:line="319" w:lineRule="auto"/>
        <w:ind w:left="140" w:right="212"/>
        <w:jc w:val="both"/>
      </w:pPr>
      <w:r>
        <w:rPr>
          <w:rFonts w:ascii="Tahoma" w:hint="eastAsia"/>
          <w:b/>
          <w:color w:val="0070C0"/>
          <w:sz w:val="28"/>
          <w:shd w:val="clear" w:color="auto" w:fill="EFEFEF"/>
        </w:rPr>
        <w:t xml:space="preserve"> 3C</w:t>
      </w:r>
      <w:r>
        <w:rPr>
          <w:rFonts w:ascii="Tahoma" w:hint="eastAsia"/>
          <w:b/>
          <w:color w:val="0070C0"/>
          <w:sz w:val="28"/>
        </w:rPr>
        <w:t xml:space="preserve"> </w:t>
      </w:r>
      <w:r>
        <w:rPr>
          <w:rFonts w:ascii="Tahoma" w:hint="eastAsia"/>
          <w:b/>
          <w:color w:val="0070C0"/>
          <w:sz w:val="26"/>
        </w:rPr>
        <w:t>促进透明度。</w:t>
      </w:r>
      <w:r>
        <w:rPr>
          <w:rFonts w:ascii="Tahoma" w:hint="eastAsia"/>
          <w:b/>
          <w:color w:val="0070C0"/>
          <w:sz w:val="26"/>
        </w:rPr>
        <w:t xml:space="preserve"> </w:t>
      </w:r>
      <w:r w:rsidRPr="000D4FD8">
        <w:rPr>
          <w:rFonts w:hint="eastAsia"/>
          <w:color w:val="0070C0"/>
          <w:sz w:val="24"/>
          <w:szCs w:val="24"/>
        </w:rPr>
        <w:t>透明度对于建立和维持关系至关重要。参与度不足往往源于社区成员感觉其意见和声音未被听见，或认为其提供的意见未产生任何实质结果。为解决这一问题，应明确说明您的参与目标、计划如何使用社区提供的意见，并在后续反馈结果。在内部层面，也应清楚掌握已投入参与工作的人员与资金资源，以避免对公众作出过度承诺。</w:t>
      </w:r>
    </w:p>
    <w:p w14:paraId="656E3BC3" w14:textId="77777777" w:rsidR="00207FDA" w:rsidRPr="00C67A08" w:rsidRDefault="00207FDA">
      <w:pPr>
        <w:pStyle w:val="BodyText"/>
        <w:spacing w:before="4"/>
        <w:rPr>
          <w:sz w:val="21"/>
        </w:rPr>
      </w:pPr>
    </w:p>
    <w:p w14:paraId="50F7A2B9" w14:textId="77777777" w:rsidR="00207FDA" w:rsidRPr="000D4FD8" w:rsidRDefault="001700BA" w:rsidP="003E3F89">
      <w:pPr>
        <w:pStyle w:val="BodyText"/>
        <w:spacing w:before="118" w:line="319" w:lineRule="auto"/>
        <w:ind w:left="140" w:right="212"/>
        <w:jc w:val="both"/>
        <w:rPr>
          <w:sz w:val="24"/>
          <w:szCs w:val="24"/>
        </w:rPr>
      </w:pPr>
      <w:r>
        <w:rPr>
          <w:rFonts w:ascii="Tahoma" w:hAnsi="Tahoma" w:hint="eastAsia"/>
          <w:b/>
          <w:color w:val="0070C0"/>
          <w:sz w:val="28"/>
          <w:shd w:val="clear" w:color="auto" w:fill="EFEFEF"/>
        </w:rPr>
        <w:t xml:space="preserve"> 3D</w:t>
      </w:r>
      <w:r>
        <w:rPr>
          <w:rFonts w:ascii="Tahoma" w:hAnsi="Tahoma" w:hint="eastAsia"/>
          <w:b/>
          <w:color w:val="0070C0"/>
          <w:sz w:val="28"/>
        </w:rPr>
        <w:t xml:space="preserve"> </w:t>
      </w:r>
      <w:r>
        <w:rPr>
          <w:rFonts w:ascii="Tahoma" w:hAnsi="Tahoma" w:hint="eastAsia"/>
          <w:b/>
          <w:color w:val="0070C0"/>
          <w:sz w:val="26"/>
        </w:rPr>
        <w:t>建立互利共赢的关系。</w:t>
      </w:r>
      <w:r>
        <w:rPr>
          <w:rFonts w:ascii="Tahoma" w:hAnsi="Tahoma" w:hint="eastAsia"/>
          <w:b/>
          <w:color w:val="0070C0"/>
          <w:sz w:val="26"/>
        </w:rPr>
        <w:t xml:space="preserve"> </w:t>
      </w:r>
      <w:r w:rsidRPr="000D4FD8">
        <w:rPr>
          <w:rFonts w:hint="eastAsia"/>
          <w:color w:val="0070C0"/>
          <w:sz w:val="24"/>
          <w:szCs w:val="24"/>
        </w:rPr>
        <w:t>努力了解市政机构如何支持社区需求与目标，并积极参与社区相关工作。应考虑如何使各类参与活动支持长期关系的建立，而非仅作为服务项目</w:t>
      </w:r>
      <w:r w:rsidRPr="000D4FD8">
        <w:rPr>
          <w:rFonts w:hint="eastAsia"/>
          <w:color w:val="0070C0"/>
          <w:sz w:val="24"/>
          <w:szCs w:val="24"/>
        </w:rPr>
        <w:lastRenderedPageBreak/>
        <w:t>目标的信息收集手段。这可包括：</w:t>
      </w:r>
    </w:p>
    <w:p w14:paraId="472A68DA" w14:textId="77777777" w:rsidR="00207FDA" w:rsidRPr="000D4FD8" w:rsidRDefault="001700BA" w:rsidP="003E3F89">
      <w:pPr>
        <w:pStyle w:val="ListParagraph"/>
        <w:numPr>
          <w:ilvl w:val="0"/>
          <w:numId w:val="1"/>
        </w:numPr>
        <w:tabs>
          <w:tab w:val="left" w:pos="679"/>
          <w:tab w:val="left" w:pos="680"/>
        </w:tabs>
        <w:spacing w:line="319" w:lineRule="auto"/>
        <w:ind w:right="210"/>
        <w:jc w:val="both"/>
        <w:rPr>
          <w:rFonts w:ascii="Lucida Sans" w:hAnsi="Lucida Sans"/>
          <w:sz w:val="24"/>
          <w:szCs w:val="24"/>
        </w:rPr>
      </w:pPr>
      <w:r w:rsidRPr="000D4FD8">
        <w:rPr>
          <w:rFonts w:ascii="Lucida Sans" w:hAnsi="Lucida Sans" w:hint="eastAsia"/>
          <w:color w:val="0070C0"/>
          <w:sz w:val="24"/>
          <w:szCs w:val="24"/>
        </w:rPr>
        <w:t>与社区领导者合作，识别支持社区能力建设的方式，包括制定获取或发展新技能、知识、社会网络、资源或资金来源的策略，使社区在项目结束后仍能持续推进或倡导韧性工作。</w:t>
      </w:r>
    </w:p>
    <w:p w14:paraId="41053E46" w14:textId="77777777" w:rsidR="00207FDA" w:rsidRPr="000D4FD8" w:rsidRDefault="001700BA" w:rsidP="003E3F89">
      <w:pPr>
        <w:pStyle w:val="ListParagraph"/>
        <w:numPr>
          <w:ilvl w:val="0"/>
          <w:numId w:val="1"/>
        </w:numPr>
        <w:tabs>
          <w:tab w:val="left" w:pos="679"/>
          <w:tab w:val="left" w:pos="680"/>
        </w:tabs>
        <w:spacing w:line="319" w:lineRule="auto"/>
        <w:ind w:right="210"/>
        <w:jc w:val="both"/>
        <w:rPr>
          <w:rFonts w:ascii="Lucida Sans" w:hAnsi="Lucida Sans"/>
          <w:sz w:val="24"/>
          <w:szCs w:val="24"/>
        </w:rPr>
      </w:pPr>
      <w:r w:rsidRPr="000D4FD8">
        <w:rPr>
          <w:rFonts w:ascii="Lucida Sans" w:hAnsi="Lucida Sans" w:hint="eastAsia"/>
          <w:color w:val="0070C0"/>
          <w:sz w:val="24"/>
          <w:szCs w:val="24"/>
        </w:rPr>
        <w:t>帮助居民更清晰地了解地方政府职能，包括某一部门设立的原因、其如何服务社区，以及居民如何就政策或项目制定进行倡导或施加影响。</w:t>
      </w:r>
    </w:p>
    <w:p w14:paraId="0132DD6C" w14:textId="77777777" w:rsidR="00207FDA" w:rsidRPr="000D4FD8" w:rsidRDefault="00207FDA">
      <w:pPr>
        <w:pStyle w:val="BodyText"/>
        <w:spacing w:before="9"/>
        <w:rPr>
          <w:sz w:val="24"/>
          <w:szCs w:val="24"/>
        </w:rPr>
      </w:pPr>
    </w:p>
    <w:p w14:paraId="20280CD6" w14:textId="6154BDD7" w:rsidR="00207FDA" w:rsidRPr="000D4FD8" w:rsidRDefault="001700BA" w:rsidP="003E3F89">
      <w:pPr>
        <w:pStyle w:val="BodyText"/>
        <w:spacing w:before="118" w:line="319" w:lineRule="auto"/>
        <w:ind w:left="140" w:right="212"/>
        <w:jc w:val="both"/>
        <w:rPr>
          <w:sz w:val="24"/>
          <w:szCs w:val="24"/>
        </w:rPr>
      </w:pPr>
      <w:r>
        <w:rPr>
          <w:rFonts w:ascii="Tahoma" w:hint="eastAsia"/>
          <w:b/>
          <w:color w:val="0070C0"/>
          <w:sz w:val="28"/>
          <w:shd w:val="clear" w:color="auto" w:fill="EFEFEF"/>
        </w:rPr>
        <w:t xml:space="preserve"> 3E</w:t>
      </w:r>
      <w:r>
        <w:rPr>
          <w:rFonts w:ascii="Tahoma" w:hint="eastAsia"/>
          <w:b/>
          <w:color w:val="0070C0"/>
          <w:sz w:val="28"/>
        </w:rPr>
        <w:t xml:space="preserve"> </w:t>
      </w:r>
      <w:r>
        <w:rPr>
          <w:rFonts w:ascii="Tahoma" w:hint="eastAsia"/>
          <w:b/>
          <w:color w:val="0070C0"/>
          <w:sz w:val="26"/>
        </w:rPr>
        <w:t>融入愉悦感。</w:t>
      </w:r>
      <w:r>
        <w:rPr>
          <w:rFonts w:ascii="Tahoma" w:hint="eastAsia"/>
          <w:b/>
          <w:color w:val="0070C0"/>
          <w:sz w:val="26"/>
        </w:rPr>
        <w:t xml:space="preserve"> </w:t>
      </w:r>
      <w:r w:rsidRPr="000D4FD8">
        <w:rPr>
          <w:rFonts w:hint="eastAsia"/>
          <w:color w:val="0070C0"/>
          <w:sz w:val="24"/>
          <w:szCs w:val="24"/>
        </w:rPr>
        <w:t>外展与参与应设计得富有愉悦感和趣味性，并能够激发希望。气候韧性工作本身就充满挑战。关系建立同样不易。增加趣味性有助于克服这些困难阶段。</w:t>
      </w:r>
    </w:p>
    <w:sectPr w:rsidR="00207FDA" w:rsidRPr="000D4FD8" w:rsidSect="00C67A08">
      <w:footerReference w:type="default" r:id="rId10"/>
      <w:pgSz w:w="12240" w:h="15840"/>
      <w:pgMar w:top="1360" w:right="1300" w:bottom="960" w:left="1300" w:header="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57839" w14:textId="77777777" w:rsidR="00720257" w:rsidRDefault="00720257">
      <w:r>
        <w:separator/>
      </w:r>
    </w:p>
  </w:endnote>
  <w:endnote w:type="continuationSeparator" w:id="0">
    <w:p w14:paraId="0451D628" w14:textId="77777777" w:rsidR="00720257" w:rsidRDefault="00720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altName w:val="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344B4" w14:textId="77777777" w:rsidR="00C67A08" w:rsidRDefault="00C67A08" w:rsidP="00C67A08">
    <w:pPr>
      <w:spacing w:before="21"/>
      <w:ind w:left="20"/>
      <w:jc w:val="right"/>
      <w:rPr>
        <w:rFonts w:ascii="Calibri"/>
        <w:sz w:val="20"/>
      </w:rPr>
    </w:pPr>
    <w:r>
      <w:rPr>
        <w:rFonts w:ascii="Calibri" w:hint="eastAsia"/>
        <w:b/>
        <w:color w:val="0070C0"/>
        <w:sz w:val="20"/>
      </w:rPr>
      <w:t xml:space="preserve">MVP 2.0 </w:t>
    </w:r>
    <w:r>
      <w:rPr>
        <w:rFonts w:ascii="Calibri" w:hint="eastAsia"/>
        <w:color w:val="0070C0"/>
        <w:sz w:val="20"/>
      </w:rPr>
      <w:t>包容性参与的基础与原则</w:t>
    </w:r>
    <w:r>
      <w:rPr>
        <w:rFonts w:ascii="Calibri" w:hint="eastAsia"/>
        <w:color w:val="0070C0"/>
        <w:sz w:val="20"/>
      </w:rPr>
      <w:t xml:space="preserve"> | </w:t>
    </w:r>
    <w:r>
      <w:rPr>
        <w:rFonts w:ascii="Calibri" w:hint="eastAsia"/>
        <w:color w:val="0070C0"/>
        <w:sz w:val="20"/>
      </w:rPr>
      <w:t>页码</w:t>
    </w:r>
    <w:r>
      <w:rPr>
        <w:rFonts w:ascii="Calibri" w:hint="eastAsia"/>
        <w:color w:val="0070C0"/>
        <w:sz w:val="20"/>
      </w:rPr>
      <w:t xml:space="preserve"> </w:t>
    </w:r>
    <w:r>
      <w:fldChar w:fldCharType="begin"/>
    </w:r>
    <w:r>
      <w:rPr>
        <w:rFonts w:ascii="Calibri" w:hint="eastAsia"/>
        <w:color w:val="0070C0"/>
        <w:sz w:val="20"/>
      </w:rPr>
      <w:instrText xml:space="preserve"> PAGE </w:instrText>
    </w:r>
    <w:r>
      <w:fldChar w:fldCharType="separate"/>
    </w:r>
    <w:r>
      <w:t>6</w:t>
    </w:r>
    <w:r>
      <w:fldChar w:fldCharType="end"/>
    </w:r>
  </w:p>
  <w:p w14:paraId="6CD9BA69" w14:textId="296D9469" w:rsidR="00207FDA" w:rsidRDefault="00207FDA" w:rsidP="00C67A08">
    <w:pPr>
      <w:pStyle w:val="BodyText"/>
      <w:spacing w:line="14" w:lineRule="auto"/>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00E6F" w14:textId="77777777" w:rsidR="00720257" w:rsidRDefault="00720257">
      <w:r>
        <w:separator/>
      </w:r>
    </w:p>
  </w:footnote>
  <w:footnote w:type="continuationSeparator" w:id="0">
    <w:p w14:paraId="6B96981A" w14:textId="77777777" w:rsidR="00720257" w:rsidRDefault="007202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F032EA"/>
    <w:multiLevelType w:val="hybridMultilevel"/>
    <w:tmpl w:val="D518A3FA"/>
    <w:lvl w:ilvl="0" w:tplc="46128156">
      <w:numFmt w:val="bullet"/>
      <w:lvlText w:val="○"/>
      <w:lvlJc w:val="left"/>
      <w:pPr>
        <w:ind w:left="680" w:hanging="360"/>
      </w:pPr>
      <w:rPr>
        <w:rFonts w:ascii="Arial" w:eastAsia="Arial" w:hAnsi="Arial" w:cs="Arial" w:hint="default"/>
        <w:color w:val="0070C0"/>
        <w:w w:val="100"/>
        <w:sz w:val="22"/>
        <w:szCs w:val="22"/>
      </w:rPr>
    </w:lvl>
    <w:lvl w:ilvl="1" w:tplc="376A4076">
      <w:numFmt w:val="bullet"/>
      <w:lvlText w:val="•"/>
      <w:lvlJc w:val="left"/>
      <w:pPr>
        <w:ind w:left="1576" w:hanging="360"/>
      </w:pPr>
      <w:rPr>
        <w:rFonts w:hint="default"/>
      </w:rPr>
    </w:lvl>
    <w:lvl w:ilvl="2" w:tplc="44B8B35E">
      <w:numFmt w:val="bullet"/>
      <w:lvlText w:val="•"/>
      <w:lvlJc w:val="left"/>
      <w:pPr>
        <w:ind w:left="2472" w:hanging="360"/>
      </w:pPr>
      <w:rPr>
        <w:rFonts w:hint="default"/>
      </w:rPr>
    </w:lvl>
    <w:lvl w:ilvl="3" w:tplc="B866CE5E">
      <w:numFmt w:val="bullet"/>
      <w:lvlText w:val="•"/>
      <w:lvlJc w:val="left"/>
      <w:pPr>
        <w:ind w:left="3368" w:hanging="360"/>
      </w:pPr>
      <w:rPr>
        <w:rFonts w:hint="default"/>
      </w:rPr>
    </w:lvl>
    <w:lvl w:ilvl="4" w:tplc="9C96B4AE">
      <w:numFmt w:val="bullet"/>
      <w:lvlText w:val="•"/>
      <w:lvlJc w:val="left"/>
      <w:pPr>
        <w:ind w:left="4264" w:hanging="360"/>
      </w:pPr>
      <w:rPr>
        <w:rFonts w:hint="default"/>
      </w:rPr>
    </w:lvl>
    <w:lvl w:ilvl="5" w:tplc="0534D4F0">
      <w:numFmt w:val="bullet"/>
      <w:lvlText w:val="•"/>
      <w:lvlJc w:val="left"/>
      <w:pPr>
        <w:ind w:left="5160" w:hanging="360"/>
      </w:pPr>
      <w:rPr>
        <w:rFonts w:hint="default"/>
      </w:rPr>
    </w:lvl>
    <w:lvl w:ilvl="6" w:tplc="B58EC01E">
      <w:numFmt w:val="bullet"/>
      <w:lvlText w:val="•"/>
      <w:lvlJc w:val="left"/>
      <w:pPr>
        <w:ind w:left="6056" w:hanging="360"/>
      </w:pPr>
      <w:rPr>
        <w:rFonts w:hint="default"/>
      </w:rPr>
    </w:lvl>
    <w:lvl w:ilvl="7" w:tplc="C6BA6A14">
      <w:numFmt w:val="bullet"/>
      <w:lvlText w:val="•"/>
      <w:lvlJc w:val="left"/>
      <w:pPr>
        <w:ind w:left="6952" w:hanging="360"/>
      </w:pPr>
      <w:rPr>
        <w:rFonts w:hint="default"/>
      </w:rPr>
    </w:lvl>
    <w:lvl w:ilvl="8" w:tplc="FE1AD872">
      <w:numFmt w:val="bullet"/>
      <w:lvlText w:val="•"/>
      <w:lvlJc w:val="left"/>
      <w:pPr>
        <w:ind w:left="7848" w:hanging="360"/>
      </w:pPr>
      <w:rPr>
        <w:rFonts w:hint="default"/>
      </w:rPr>
    </w:lvl>
  </w:abstractNum>
  <w:abstractNum w:abstractNumId="1" w15:restartNumberingAfterBreak="0">
    <w:nsid w:val="5DE15737"/>
    <w:multiLevelType w:val="hybridMultilevel"/>
    <w:tmpl w:val="D69E1F3A"/>
    <w:lvl w:ilvl="0" w:tplc="69685A3C">
      <w:start w:val="1"/>
      <w:numFmt w:val="decimal"/>
      <w:lvlText w:val="%1."/>
      <w:lvlJc w:val="left"/>
      <w:pPr>
        <w:ind w:left="826" w:hanging="360"/>
      </w:pPr>
      <w:rPr>
        <w:rFonts w:asciiTheme="majorEastAsia" w:eastAsiaTheme="majorEastAsia" w:hAnsiTheme="majorEastAsia" w:cs="Arial Black" w:hint="default"/>
        <w:b/>
        <w:bCs/>
        <w:color w:val="2E7D53"/>
        <w:w w:val="84"/>
        <w:sz w:val="24"/>
        <w:szCs w:val="24"/>
      </w:rPr>
    </w:lvl>
    <w:lvl w:ilvl="1" w:tplc="B37C19B4">
      <w:numFmt w:val="bullet"/>
      <w:lvlText w:val="•"/>
      <w:lvlJc w:val="left"/>
      <w:pPr>
        <w:ind w:left="1702" w:hanging="360"/>
      </w:pPr>
      <w:rPr>
        <w:rFonts w:hint="default"/>
      </w:rPr>
    </w:lvl>
    <w:lvl w:ilvl="2" w:tplc="6D724848">
      <w:numFmt w:val="bullet"/>
      <w:lvlText w:val="•"/>
      <w:lvlJc w:val="left"/>
      <w:pPr>
        <w:ind w:left="2584" w:hanging="360"/>
      </w:pPr>
      <w:rPr>
        <w:rFonts w:hint="default"/>
      </w:rPr>
    </w:lvl>
    <w:lvl w:ilvl="3" w:tplc="414690F6">
      <w:numFmt w:val="bullet"/>
      <w:lvlText w:val="•"/>
      <w:lvlJc w:val="left"/>
      <w:pPr>
        <w:ind w:left="3466" w:hanging="360"/>
      </w:pPr>
      <w:rPr>
        <w:rFonts w:hint="default"/>
      </w:rPr>
    </w:lvl>
    <w:lvl w:ilvl="4" w:tplc="A89E4D3A">
      <w:numFmt w:val="bullet"/>
      <w:lvlText w:val="•"/>
      <w:lvlJc w:val="left"/>
      <w:pPr>
        <w:ind w:left="4348" w:hanging="360"/>
      </w:pPr>
      <w:rPr>
        <w:rFonts w:hint="default"/>
      </w:rPr>
    </w:lvl>
    <w:lvl w:ilvl="5" w:tplc="1A14FA94">
      <w:numFmt w:val="bullet"/>
      <w:lvlText w:val="•"/>
      <w:lvlJc w:val="left"/>
      <w:pPr>
        <w:ind w:left="5230" w:hanging="360"/>
      </w:pPr>
      <w:rPr>
        <w:rFonts w:hint="default"/>
      </w:rPr>
    </w:lvl>
    <w:lvl w:ilvl="6" w:tplc="ABE636A4">
      <w:numFmt w:val="bullet"/>
      <w:lvlText w:val="•"/>
      <w:lvlJc w:val="left"/>
      <w:pPr>
        <w:ind w:left="6112" w:hanging="360"/>
      </w:pPr>
      <w:rPr>
        <w:rFonts w:hint="default"/>
      </w:rPr>
    </w:lvl>
    <w:lvl w:ilvl="7" w:tplc="8F56754E">
      <w:numFmt w:val="bullet"/>
      <w:lvlText w:val="•"/>
      <w:lvlJc w:val="left"/>
      <w:pPr>
        <w:ind w:left="6994" w:hanging="360"/>
      </w:pPr>
      <w:rPr>
        <w:rFonts w:hint="default"/>
      </w:rPr>
    </w:lvl>
    <w:lvl w:ilvl="8" w:tplc="C55E2A2C">
      <w:numFmt w:val="bullet"/>
      <w:lvlText w:val="•"/>
      <w:lvlJc w:val="left"/>
      <w:pPr>
        <w:ind w:left="7876" w:hanging="360"/>
      </w:pPr>
      <w:rPr>
        <w:rFonts w:hint="default"/>
      </w:rPr>
    </w:lvl>
  </w:abstractNum>
  <w:num w:numId="1" w16cid:durableId="2142451884">
    <w:abstractNumId w:val="0"/>
  </w:num>
  <w:num w:numId="2" w16cid:durableId="829174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FDA"/>
    <w:rsid w:val="000B7BEA"/>
    <w:rsid w:val="000D4FD8"/>
    <w:rsid w:val="00142396"/>
    <w:rsid w:val="001700BA"/>
    <w:rsid w:val="00172E9E"/>
    <w:rsid w:val="00207FDA"/>
    <w:rsid w:val="002475AC"/>
    <w:rsid w:val="00383794"/>
    <w:rsid w:val="003E3F89"/>
    <w:rsid w:val="00720257"/>
    <w:rsid w:val="00953131"/>
    <w:rsid w:val="00C67A08"/>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1744D"/>
  <w15:docId w15:val="{88F81141-921D-4B26-A898-439ECDC3A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w:eastAsia="SimSun" w:hAnsi="Lucida Sans" w:cs="Lucida Sans"/>
    </w:rPr>
  </w:style>
  <w:style w:type="paragraph" w:styleId="Heading1">
    <w:name w:val="heading 1"/>
    <w:basedOn w:val="Normal"/>
    <w:uiPriority w:val="9"/>
    <w:qFormat/>
    <w:pPr>
      <w:ind w:left="91"/>
      <w:outlineLvl w:val="0"/>
    </w:pPr>
    <w:rPr>
      <w:rFonts w:ascii="Tahoma" w:hAnsi="Tahoma" w:cs="Tahoma"/>
      <w:b/>
      <w:bCs/>
      <w:sz w:val="36"/>
      <w:szCs w:val="36"/>
    </w:rPr>
  </w:style>
  <w:style w:type="paragraph" w:styleId="Heading2">
    <w:name w:val="heading 2"/>
    <w:basedOn w:val="Normal"/>
    <w:uiPriority w:val="9"/>
    <w:unhideWhenUsed/>
    <w:qFormat/>
    <w:pPr>
      <w:spacing w:before="103"/>
      <w:ind w:left="826" w:right="136" w:hanging="360"/>
      <w:outlineLvl w:val="1"/>
    </w:pPr>
    <w:rPr>
      <w:rFonts w:ascii="Arial Black" w:hAnsi="Arial Black" w:cs="Arial Black"/>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0"/>
      <w:ind w:left="1149"/>
    </w:pPr>
    <w:rPr>
      <w:rFonts w:ascii="Trebuchet MS" w:hAnsi="Trebuchet MS" w:cs="Trebuchet MS"/>
      <w:b/>
      <w:bCs/>
      <w:sz w:val="44"/>
      <w:szCs w:val="44"/>
    </w:rPr>
  </w:style>
  <w:style w:type="paragraph" w:styleId="ListParagraph">
    <w:name w:val="List Paragraph"/>
    <w:basedOn w:val="Normal"/>
    <w:uiPriority w:val="1"/>
    <w:qFormat/>
    <w:pPr>
      <w:ind w:left="826" w:right="184" w:hanging="360"/>
    </w:pPr>
    <w:rPr>
      <w:rFonts w:ascii="Tahoma" w:hAnsi="Tahoma" w:cs="Tahoma"/>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67A08"/>
    <w:pPr>
      <w:tabs>
        <w:tab w:val="center" w:pos="4513"/>
        <w:tab w:val="right" w:pos="9026"/>
      </w:tabs>
    </w:pPr>
  </w:style>
  <w:style w:type="character" w:customStyle="1" w:styleId="HeaderChar">
    <w:name w:val="Header Char"/>
    <w:basedOn w:val="DefaultParagraphFont"/>
    <w:link w:val="Header"/>
    <w:uiPriority w:val="99"/>
    <w:rsid w:val="00C67A08"/>
    <w:rPr>
      <w:rFonts w:ascii="Lucida Sans" w:eastAsia="SimSun" w:hAnsi="Lucida Sans" w:cs="Lucida Sans"/>
    </w:rPr>
  </w:style>
  <w:style w:type="paragraph" w:styleId="Footer">
    <w:name w:val="footer"/>
    <w:basedOn w:val="Normal"/>
    <w:link w:val="FooterChar"/>
    <w:uiPriority w:val="99"/>
    <w:unhideWhenUsed/>
    <w:rsid w:val="00C67A08"/>
    <w:pPr>
      <w:tabs>
        <w:tab w:val="center" w:pos="4513"/>
        <w:tab w:val="right" w:pos="9026"/>
      </w:tabs>
    </w:pPr>
  </w:style>
  <w:style w:type="character" w:customStyle="1" w:styleId="FooterChar">
    <w:name w:val="Footer Char"/>
    <w:basedOn w:val="DefaultParagraphFont"/>
    <w:link w:val="Footer"/>
    <w:uiPriority w:val="99"/>
    <w:rsid w:val="00C67A08"/>
    <w:rPr>
      <w:rFonts w:ascii="Lucida Sans" w:eastAsia="SimSun" w:hAnsi="Lucida Sans"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n_x002d_Track_x003f_ xmlns="f4888985-777b-4b68-9fc3-6a4384cc4f29">true</On_x002d_Track_x003f_>
    <_ip_UnifiedCompliancePolicyUIAction xmlns="http://schemas.microsoft.com/sharepoint/v3" xsi:nil="true"/>
    <FY xmlns="f4888985-777b-4b68-9fc3-6a4384cc4f29" xsi:nil="true"/>
    <MVPRegion xmlns="f4888985-777b-4b68-9fc3-6a4384cc4f29" xsi:nil="true"/>
    <TaxCatchAll xmlns="1da56e6b-ac0e-4ffc-8b40-9e4a1d231754" xsi:nil="true"/>
    <Goodexample_x003f_ xmlns="f4888985-777b-4b68-9fc3-6a4384cc4f29">true</Goodexample_x003f_>
    <_ip_UnifiedCompliancePolicyProperties xmlns="http://schemas.microsoft.com/sharepoint/v3" xsi:nil="true"/>
    <GrantType xmlns="f4888985-777b-4b68-9fc3-6a4384cc4f29" xsi:nil="true"/>
    <lcf76f155ced4ddcb4097134ff3c332f xmlns="f4888985-777b-4b68-9fc3-6a4384cc4f29">
      <Terms xmlns="http://schemas.microsoft.com/office/infopath/2007/PartnerControls"/>
    </lcf76f155ced4ddcb4097134ff3c332f>
    <SharedWithUsers xmlns="89b213bb-812a-4895-99d0-a44ca20ff357">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D4B72A2883A54B8CE9B4608E4F3D4C" ma:contentTypeVersion="29" ma:contentTypeDescription="Create a new document." ma:contentTypeScope="" ma:versionID="59d12580b2ef3e0e81f2baaa66ada088">
  <xsd:schema xmlns:xsd="http://www.w3.org/2001/XMLSchema" xmlns:xs="http://www.w3.org/2001/XMLSchema" xmlns:p="http://schemas.microsoft.com/office/2006/metadata/properties" xmlns:ns1="http://schemas.microsoft.com/sharepoint/v3" xmlns:ns2="f4888985-777b-4b68-9fc3-6a4384cc4f29" xmlns:ns3="89b213bb-812a-4895-99d0-a44ca20ff357" xmlns:ns4="1da56e6b-ac0e-4ffc-8b40-9e4a1d231754" targetNamespace="http://schemas.microsoft.com/office/2006/metadata/properties" ma:root="true" ma:fieldsID="40aea62c4ea9aa5cc28622d8c2ed8b39" ns1:_="" ns2:_="" ns3:_="" ns4:_="">
    <xsd:import namespace="http://schemas.microsoft.com/sharepoint/v3"/>
    <xsd:import namespace="f4888985-777b-4b68-9fc3-6a4384cc4f29"/>
    <xsd:import namespace="89b213bb-812a-4895-99d0-a44ca20ff357"/>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VPRegion" minOccurs="0"/>
                <xsd:element ref="ns2:On_x002d_Track_x003f_"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FY" minOccurs="0"/>
                <xsd:element ref="ns2:MediaServiceSearchProperties" minOccurs="0"/>
                <xsd:element ref="ns2:MediaServiceBillingMetadata" minOccurs="0"/>
                <xsd:element ref="ns2:Goodexample_x003f_" minOccurs="0"/>
                <xsd:element ref="ns2:Gra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888985-777b-4b68-9fc3-6a4384cc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VPRegion" ma:index="18" nillable="true" ma:displayName="MVP Region" ma:format="Dropdown" ma:internalName="MVPRegion">
      <xsd:simpleType>
        <xsd:union memberTypes="dms:Text">
          <xsd:simpleType>
            <xsd:restriction base="dms:Choice">
              <xsd:enumeration value="Berkshires &amp; Hilltowns"/>
              <xsd:enumeration value="Central"/>
              <xsd:enumeration value="Greater Boston"/>
              <xsd:enumeration value="Greater CT River Valley"/>
              <xsd:enumeration value="Northeast"/>
              <xsd:enumeration value="Southeast"/>
            </xsd:restriction>
          </xsd:simpleType>
        </xsd:union>
      </xsd:simpleType>
    </xsd:element>
    <xsd:element name="On_x002d_Track_x003f_" ma:index="19" nillable="true" ma:displayName="On-Track?" ma:default="1" ma:description="Eyeball assessment of whether or not they are on-track." ma:format="Dropdown" ma:internalName="On_x002d_Track_x003f_">
      <xsd:simpleType>
        <xsd:restriction base="dms:Boolea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FY" ma:index="29" nillable="true" ma:displayName="FY" ma:format="Dropdown" ma:internalName="FY">
      <xsd:simpleType>
        <xsd:restriction base="dms:Choice">
          <xsd:enumeration value="FY24"/>
          <xsd:enumeration value="FY24/25"/>
          <xsd:enumeration value="FY26"/>
          <xsd:enumeration value="FY25"/>
          <xsd:enumeration value="FY23"/>
          <xsd:enumeration value="FY22"/>
          <xsd:enumeration value="FY21"/>
          <xsd:enumeration value="FY20"/>
          <xsd:enumeration value="FY19"/>
          <xsd:enumeration value="FY18"/>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Goodexample_x003f_" ma:index="32" nillable="true" ma:displayName="Good example?" ma:default="1" ma:format="Dropdown" ma:indexed="true" ma:internalName="Goodexample_x003f_">
      <xsd:simpleType>
        <xsd:restriction base="dms:Boolean"/>
      </xsd:simpleType>
    </xsd:element>
    <xsd:element name="GrantType" ma:index="33" nillable="true" ma:displayName="Grant Type" ma:format="Dropdown" ma:internalName="GrantType">
      <xsd:simpleType>
        <xsd:restriction base="dms:Choice">
          <xsd:enumeration value="Action"/>
          <xsd:enumeration value="Planning"/>
          <xsd:enumeration value="2.0"/>
        </xsd:restriction>
      </xsd:simpleType>
    </xsd:element>
  </xsd:schema>
  <xsd:schema xmlns:xsd="http://www.w3.org/2001/XMLSchema" xmlns:xs="http://www.w3.org/2001/XMLSchema" xmlns:dms="http://schemas.microsoft.com/office/2006/documentManagement/types" xmlns:pc="http://schemas.microsoft.com/office/infopath/2007/PartnerControls" targetNamespace="89b213bb-812a-4895-99d0-a44ca20ff35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38F829-3139-422A-B839-340875332FC6}">
  <ds:schemaRefs>
    <ds:schemaRef ds:uri="http://schemas.microsoft.com/office/2006/metadata/properties"/>
    <ds:schemaRef ds:uri="http://schemas.microsoft.com/office/infopath/2007/PartnerControls"/>
    <ds:schemaRef ds:uri="f4888985-777b-4b68-9fc3-6a4384cc4f29"/>
    <ds:schemaRef ds:uri="http://schemas.microsoft.com/sharepoint/v3"/>
    <ds:schemaRef ds:uri="1da56e6b-ac0e-4ffc-8b40-9e4a1d231754"/>
    <ds:schemaRef ds:uri="89b213bb-812a-4895-99d0-a44ca20ff357"/>
  </ds:schemaRefs>
</ds:datastoreItem>
</file>

<file path=customXml/itemProps2.xml><?xml version="1.0" encoding="utf-8"?>
<ds:datastoreItem xmlns:ds="http://schemas.openxmlformats.org/officeDocument/2006/customXml" ds:itemID="{40280E7A-76D8-421D-9C60-5D478123930A}">
  <ds:schemaRefs>
    <ds:schemaRef ds:uri="http://schemas.microsoft.com/sharepoint/v3/contenttype/forms"/>
  </ds:schemaRefs>
</ds:datastoreItem>
</file>

<file path=customXml/itemProps3.xml><?xml version="1.0" encoding="utf-8"?>
<ds:datastoreItem xmlns:ds="http://schemas.openxmlformats.org/officeDocument/2006/customXml" ds:itemID="{DA99DDF4-9A0B-489B-8E53-8D3A9639D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888985-777b-4b68-9fc3-6a4384cc4f29"/>
    <ds:schemaRef ds:uri="89b213bb-812a-4895-99d0-a44ca20ff357"/>
    <ds:schemaRef ds:uri="1da56e6b-ac0e-4ffc-8b40-9e4a1d2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560</Words>
  <Characters>3194</Characters>
  <Application>Microsoft Office Word</Application>
  <DocSecurity>0</DocSecurity>
  <Lines>26</Lines>
  <Paragraphs>7</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将受到气候变化不成比例影响的人群有权参与与其韧性建设相关的决策过程。</vt:lpstr>
      <vt:lpstr>    应以最易于环境正义（EJ）及其他优先人群理解和吸收的方式，向其提供作为决策协作参与者所需的信息，并给予充足的时间和支持以帮助其理解。</vt:lpstr>
      <vt:lpstr>    社区成员掌握关于其社区中各种优势、问题和机遇的第一手知识。这些知识为地方政府作出决策提供重要的信息和背景依据。</vt:lpstr>
      <vt:lpstr>2.将包容性与可及性置于优先位置	</vt:lpstr>
      <vt:lpstr>3.促进长期承诺	</vt:lpstr>
    </vt:vector>
  </TitlesOfParts>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Robertson, Marissa (EEA)</cp:lastModifiedBy>
  <cp:revision>5</cp:revision>
  <dcterms:created xsi:type="dcterms:W3CDTF">2026-02-24T01:39:00Z</dcterms:created>
  <dcterms:modified xsi:type="dcterms:W3CDTF">2026-03-05T16:35:00Z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2025-02-10T00:00:00Z</vt:filetime>
  </property>
  <property fmtid="{D5CDD505-2E9C-101B-9397-08002B2CF9AE}" pid="3" name="LastSaved">
    <vt:filetime>2026-02-24T00:00:00Z</vt:filetime>
  </property>
  <property fmtid="{D5CDD505-2E9C-101B-9397-08002B2CF9AE}" pid="4" name="ContentTypeId">
    <vt:lpwstr>0x01010082D4B72A2883A54B8CE9B4608E4F3D4C</vt:lpwstr>
  </property>
  <property fmtid="{D5CDD505-2E9C-101B-9397-08002B2CF9AE}" pid="5" name="Order">
    <vt:r8>362600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