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880" w:rsidRDefault="00A30880" w:rsidP="00A30880">
      <w:pPr>
        <w:jc w:val="center"/>
        <w:outlineLvl w:val="0"/>
        <w:rPr>
          <w:rFonts w:ascii="Courier New" w:hAnsi="Courier New" w:cs="Courier New"/>
          <w:b/>
        </w:rPr>
      </w:pPr>
      <w:r>
        <w:rPr>
          <w:rFonts w:ascii="Courier New" w:hAnsi="Courier New" w:cs="Courier New"/>
          <w:b/>
        </w:rPr>
        <w:t>COMMONWEALTH OF MASSACHUSETTS</w:t>
      </w:r>
    </w:p>
    <w:p w:rsidR="00A30880" w:rsidRDefault="00A30880" w:rsidP="00A30880">
      <w:pPr>
        <w:jc w:val="center"/>
        <w:rPr>
          <w:rFonts w:ascii="Courier New" w:hAnsi="Courier New" w:cs="Courier New"/>
          <w:b/>
        </w:rPr>
      </w:pPr>
    </w:p>
    <w:p w:rsidR="00A30880" w:rsidRDefault="00A30880" w:rsidP="00A30880">
      <w:pPr>
        <w:jc w:val="center"/>
        <w:outlineLvl w:val="0"/>
        <w:rPr>
          <w:rFonts w:ascii="Courier New" w:hAnsi="Courier New" w:cs="Courier New"/>
          <w:b/>
        </w:rPr>
      </w:pPr>
      <w:r>
        <w:rPr>
          <w:rFonts w:ascii="Courier New" w:hAnsi="Courier New" w:cs="Courier New"/>
          <w:b/>
        </w:rPr>
        <w:t>APPELLATE TAX BOARD</w:t>
      </w:r>
    </w:p>
    <w:p w:rsidR="00A30880" w:rsidRDefault="00A30880" w:rsidP="00A30880">
      <w:pPr>
        <w:rPr>
          <w:rFonts w:ascii="Courier New" w:hAnsi="Courier New" w:cs="Courier New"/>
          <w:b/>
        </w:rPr>
      </w:pPr>
    </w:p>
    <w:p w:rsidR="00A30880" w:rsidRDefault="00A30880" w:rsidP="00A30880">
      <w:pPr>
        <w:rPr>
          <w:rFonts w:ascii="Courier New" w:hAnsi="Courier New" w:cs="Courier New"/>
          <w:b/>
        </w:rPr>
      </w:pPr>
    </w:p>
    <w:p w:rsidR="00A30880" w:rsidRDefault="00444DAB" w:rsidP="00A30880">
      <w:pPr>
        <w:rPr>
          <w:rFonts w:ascii="Courier New" w:hAnsi="Courier New" w:cs="Courier New"/>
          <w:b/>
        </w:rPr>
      </w:pPr>
      <w:r>
        <w:rPr>
          <w:rFonts w:ascii="Courier New" w:hAnsi="Courier New" w:cs="Courier New"/>
          <w:b/>
        </w:rPr>
        <w:t>FREDERICK C. LANE</w:t>
      </w:r>
      <w:r w:rsidR="00A30880">
        <w:rPr>
          <w:rFonts w:ascii="Courier New" w:hAnsi="Courier New" w:cs="Courier New"/>
          <w:b/>
        </w:rPr>
        <w:tab/>
      </w:r>
      <w:r w:rsidR="00A30880">
        <w:rPr>
          <w:rFonts w:ascii="Courier New" w:hAnsi="Courier New" w:cs="Courier New"/>
          <w:b/>
        </w:rPr>
        <w:tab/>
      </w:r>
      <w:r w:rsidR="00A30880">
        <w:rPr>
          <w:rFonts w:ascii="Courier New" w:hAnsi="Courier New" w:cs="Courier New"/>
          <w:b/>
        </w:rPr>
        <w:tab/>
        <w:t>v.</w:t>
      </w:r>
      <w:r w:rsidR="00A30880">
        <w:rPr>
          <w:rFonts w:ascii="Courier New" w:hAnsi="Courier New" w:cs="Courier New"/>
          <w:b/>
        </w:rPr>
        <w:tab/>
        <w:t>   </w:t>
      </w:r>
      <w:r w:rsidR="00E7552B">
        <w:rPr>
          <w:rFonts w:ascii="Courier New" w:hAnsi="Courier New" w:cs="Courier New"/>
          <w:b/>
        </w:rPr>
        <w:t>BOARD OF ASSESSORS OF</w:t>
      </w:r>
      <w:r w:rsidR="00A30880">
        <w:rPr>
          <w:rFonts w:ascii="Courier New" w:hAnsi="Courier New" w:cs="Courier New"/>
          <w:b/>
        </w:rPr>
        <w:t xml:space="preserve"> </w:t>
      </w:r>
    </w:p>
    <w:p w:rsidR="00A30880" w:rsidRDefault="00444DAB" w:rsidP="00A30880">
      <w:pPr>
        <w:rPr>
          <w:rFonts w:ascii="Courier New" w:hAnsi="Courier New" w:cs="Courier New"/>
        </w:rPr>
      </w:pPr>
      <w:r>
        <w:rPr>
          <w:rFonts w:ascii="Courier New" w:hAnsi="Courier New" w:cs="Courier New"/>
          <w:b/>
        </w:rPr>
        <w:tab/>
      </w:r>
      <w:r>
        <w:rPr>
          <w:rFonts w:ascii="Courier New" w:hAnsi="Courier New" w:cs="Courier New"/>
          <w:b/>
        </w:rPr>
        <w:tab/>
      </w:r>
      <w:r>
        <w:rPr>
          <w:rFonts w:ascii="Courier New" w:hAnsi="Courier New" w:cs="Courier New"/>
          <w:b/>
        </w:rPr>
        <w:tab/>
      </w:r>
      <w:r w:rsidR="00A30880">
        <w:rPr>
          <w:rFonts w:ascii="Courier New" w:hAnsi="Courier New" w:cs="Courier New"/>
          <w:b/>
        </w:rPr>
        <w:tab/>
      </w:r>
      <w:r w:rsidR="00A30880">
        <w:rPr>
          <w:rFonts w:ascii="Courier New" w:hAnsi="Courier New" w:cs="Courier New"/>
          <w:b/>
        </w:rPr>
        <w:tab/>
      </w:r>
      <w:r w:rsidR="00A30880">
        <w:rPr>
          <w:rFonts w:ascii="Courier New" w:hAnsi="Courier New" w:cs="Courier New"/>
          <w:b/>
        </w:rPr>
        <w:tab/>
      </w:r>
      <w:r w:rsidR="00A30880">
        <w:rPr>
          <w:rFonts w:ascii="Courier New" w:hAnsi="Courier New" w:cs="Courier New"/>
          <w:b/>
        </w:rPr>
        <w:tab/>
        <w:t>   </w:t>
      </w:r>
      <w:r w:rsidR="00E7552B">
        <w:rPr>
          <w:rFonts w:ascii="Courier New" w:hAnsi="Courier New" w:cs="Courier New"/>
          <w:b/>
        </w:rPr>
        <w:t xml:space="preserve">THE </w:t>
      </w:r>
      <w:r>
        <w:rPr>
          <w:rFonts w:ascii="Courier New" w:hAnsi="Courier New" w:cs="Courier New"/>
          <w:b/>
        </w:rPr>
        <w:t>TOWN OF DOVER</w:t>
      </w:r>
    </w:p>
    <w:p w:rsidR="00A30880" w:rsidRDefault="00A30880" w:rsidP="00A3088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5D3369" w:rsidRDefault="00444DAB" w:rsidP="00A30880">
      <w:pPr>
        <w:rPr>
          <w:rFonts w:ascii="Courier New" w:hAnsi="Courier New" w:cs="Courier New"/>
        </w:rPr>
      </w:pPr>
      <w:r>
        <w:rPr>
          <w:rFonts w:ascii="Courier New" w:hAnsi="Courier New" w:cs="Courier New"/>
        </w:rPr>
        <w:t>Docket No. F315302</w:t>
      </w:r>
      <w:r w:rsidR="00A30880">
        <w:rPr>
          <w:rFonts w:ascii="Courier New" w:hAnsi="Courier New" w:cs="Courier New"/>
        </w:rPr>
        <w:tab/>
      </w:r>
      <w:r w:rsidR="00A30880">
        <w:rPr>
          <w:rFonts w:ascii="Courier New" w:hAnsi="Courier New" w:cs="Courier New"/>
        </w:rPr>
        <w:tab/>
      </w:r>
      <w:r w:rsidR="00A30880">
        <w:rPr>
          <w:rFonts w:ascii="Courier New" w:hAnsi="Courier New" w:cs="Courier New"/>
        </w:rPr>
        <w:tab/>
      </w:r>
      <w:r w:rsidR="00A30880" w:rsidRPr="00714C26">
        <w:rPr>
          <w:rFonts w:ascii="Courier New" w:hAnsi="Courier New" w:cs="Courier New"/>
        </w:rPr>
        <w:t xml:space="preserve"> </w:t>
      </w:r>
      <w:r w:rsidR="00A30880" w:rsidRPr="00714C26">
        <w:rPr>
          <w:rFonts w:ascii="Courier New" w:hAnsi="Courier New" w:cs="Courier New"/>
        </w:rPr>
        <w:tab/>
      </w:r>
      <w:r w:rsidR="005D3369">
        <w:rPr>
          <w:rFonts w:ascii="Courier New" w:hAnsi="Courier New" w:cs="Courier New"/>
        </w:rPr>
        <w:t xml:space="preserve">   Promulgated: </w:t>
      </w:r>
    </w:p>
    <w:p w:rsidR="00A30880" w:rsidRDefault="005D3369" w:rsidP="005D3369">
      <w:pPr>
        <w:ind w:left="5040"/>
        <w:rPr>
          <w:rFonts w:ascii="Courier New" w:hAnsi="Courier New" w:cs="Courier New"/>
        </w:rPr>
      </w:pPr>
      <w:r>
        <w:rPr>
          <w:rFonts w:ascii="Courier New" w:hAnsi="Courier New" w:cs="Courier New"/>
        </w:rPr>
        <w:t xml:space="preserve">   </w:t>
      </w:r>
      <w:bookmarkStart w:id="0" w:name="_GoBack"/>
      <w:bookmarkEnd w:id="0"/>
      <w:r>
        <w:rPr>
          <w:rFonts w:ascii="Courier New" w:hAnsi="Courier New" w:cs="Courier New"/>
        </w:rPr>
        <w:t>December 12, 2014</w:t>
      </w:r>
    </w:p>
    <w:p w:rsidR="00A30880" w:rsidRDefault="00A30880" w:rsidP="00A3088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
    <w:p w:rsidR="00FC2F2E" w:rsidRDefault="00FC2F2E" w:rsidP="00FC2F2E">
      <w:pPr>
        <w:spacing w:line="480" w:lineRule="auto"/>
        <w:ind w:firstLine="720"/>
        <w:jc w:val="both"/>
        <w:rPr>
          <w:rFonts w:ascii="Courier New" w:hAnsi="Courier New" w:cs="Courier New"/>
        </w:rPr>
      </w:pPr>
      <w:r>
        <w:rPr>
          <w:rFonts w:ascii="Courier New" w:hAnsi="Courier New" w:cs="Courier New"/>
        </w:rPr>
        <w:t>This is an appeal filed under the formal procedure</w:t>
      </w:r>
      <w:r w:rsidR="00444DAB">
        <w:rPr>
          <w:rFonts w:ascii="Courier New" w:hAnsi="Courier New" w:cs="Courier New"/>
        </w:rPr>
        <w:t>,</w:t>
      </w:r>
      <w:r>
        <w:rPr>
          <w:rFonts w:ascii="Courier New" w:hAnsi="Courier New" w:cs="Courier New"/>
        </w:rPr>
        <w:t> pursuant to</w:t>
      </w:r>
      <w:r w:rsidR="00CD49FC">
        <w:rPr>
          <w:rFonts w:ascii="Courier New" w:hAnsi="Courier New" w:cs="Courier New"/>
        </w:rPr>
        <w:t xml:space="preserve"> G.L. c. 58A, § 7 and</w:t>
      </w:r>
      <w:r w:rsidR="00444DAB">
        <w:rPr>
          <w:rFonts w:ascii="Courier New" w:hAnsi="Courier New" w:cs="Courier New"/>
        </w:rPr>
        <w:t xml:space="preserve"> G.L. c. 59</w:t>
      </w:r>
      <w:r>
        <w:rPr>
          <w:rFonts w:ascii="Courier New" w:hAnsi="Courier New" w:cs="Courier New"/>
        </w:rPr>
        <w:t>, §</w:t>
      </w:r>
      <w:r w:rsidR="00444DAB">
        <w:rPr>
          <w:rFonts w:ascii="Courier New" w:hAnsi="Courier New" w:cs="Courier New"/>
        </w:rPr>
        <w:t>§ 64 and 65,</w:t>
      </w:r>
      <w:r>
        <w:rPr>
          <w:rFonts w:ascii="Courier New" w:hAnsi="Courier New" w:cs="Courier New"/>
        </w:rPr>
        <w:t xml:space="preserve"> from the refusal of</w:t>
      </w:r>
      <w:r w:rsidR="00444DAB">
        <w:rPr>
          <w:rFonts w:ascii="Courier New" w:hAnsi="Courier New" w:cs="Courier New"/>
        </w:rPr>
        <w:t xml:space="preserve"> the Board of Assessors of the Town of Dover (“appellee” or “assessors”) to </w:t>
      </w:r>
      <w:r w:rsidR="00312394">
        <w:rPr>
          <w:rFonts w:ascii="Courier New" w:hAnsi="Courier New" w:cs="Courier New"/>
        </w:rPr>
        <w:t xml:space="preserve">abate </w:t>
      </w:r>
      <w:r w:rsidR="00D23FDB">
        <w:rPr>
          <w:rFonts w:ascii="Courier New" w:hAnsi="Courier New" w:cs="Courier New"/>
        </w:rPr>
        <w:t>real estate taxes assessed</w:t>
      </w:r>
      <w:r w:rsidR="00444DAB">
        <w:rPr>
          <w:rFonts w:ascii="Courier New" w:hAnsi="Courier New" w:cs="Courier New"/>
        </w:rPr>
        <w:t xml:space="preserve"> on certain real property located in Dover and assessed to Frederick C. Lane (“appellant”), under G.L. c. 59, §§</w:t>
      </w:r>
      <w:r>
        <w:rPr>
          <w:rFonts w:ascii="Courier New" w:hAnsi="Courier New" w:cs="Courier New"/>
        </w:rPr>
        <w:t xml:space="preserve"> </w:t>
      </w:r>
      <w:r w:rsidR="00444DAB">
        <w:rPr>
          <w:rFonts w:ascii="Courier New" w:hAnsi="Courier New" w:cs="Courier New"/>
        </w:rPr>
        <w:t>11 and 38, for fiscal year 2012 (“fiscal year at issue”).</w:t>
      </w:r>
    </w:p>
    <w:p w:rsidR="00FC2F2E" w:rsidRDefault="00FC2F2E" w:rsidP="00FC2F2E">
      <w:pPr>
        <w:spacing w:line="480" w:lineRule="auto"/>
        <w:ind w:firstLine="720"/>
        <w:jc w:val="both"/>
        <w:rPr>
          <w:rFonts w:ascii="Courier New" w:hAnsi="Courier New" w:cs="Courier New"/>
        </w:rPr>
      </w:pPr>
      <w:r>
        <w:rPr>
          <w:rFonts w:ascii="Courier New" w:hAnsi="Courier New" w:cs="Courier New"/>
        </w:rPr>
        <w:t>Commissioner Scharaffa heard this appeal</w:t>
      </w:r>
      <w:r w:rsidR="00C3784F">
        <w:rPr>
          <w:rFonts w:ascii="Courier New" w:hAnsi="Courier New" w:cs="Courier New"/>
        </w:rPr>
        <w:t xml:space="preserve"> and was joined </w:t>
      </w:r>
      <w:r w:rsidR="003D102D">
        <w:rPr>
          <w:rFonts w:ascii="Courier New" w:hAnsi="Courier New" w:cs="Courier New"/>
        </w:rPr>
        <w:t>by Chairman</w:t>
      </w:r>
      <w:r>
        <w:rPr>
          <w:rFonts w:ascii="Courier New" w:hAnsi="Courier New" w:cs="Courier New"/>
        </w:rPr>
        <w:t xml:space="preserve"> Hammond and Commissioners </w:t>
      </w:r>
      <w:r w:rsidR="002A4398">
        <w:rPr>
          <w:rFonts w:ascii="Courier New" w:hAnsi="Courier New" w:cs="Courier New"/>
        </w:rPr>
        <w:t>Chmielinski</w:t>
      </w:r>
      <w:r w:rsidR="00983267">
        <w:rPr>
          <w:rFonts w:ascii="Courier New" w:hAnsi="Courier New" w:cs="Courier New"/>
        </w:rPr>
        <w:t xml:space="preserve"> and Rose in the decision for the </w:t>
      </w:r>
      <w:r w:rsidR="00444DAB">
        <w:rPr>
          <w:rFonts w:ascii="Courier New" w:hAnsi="Courier New" w:cs="Courier New"/>
        </w:rPr>
        <w:t>appellee</w:t>
      </w:r>
      <w:r>
        <w:rPr>
          <w:rFonts w:ascii="Courier New" w:hAnsi="Courier New" w:cs="Courier New"/>
        </w:rPr>
        <w:t xml:space="preserve">.  </w:t>
      </w:r>
    </w:p>
    <w:p w:rsidR="00FC2F2E" w:rsidRDefault="00FC2F2E" w:rsidP="00FC2F2E">
      <w:pPr>
        <w:spacing w:line="480" w:lineRule="auto"/>
        <w:jc w:val="both"/>
        <w:rPr>
          <w:rFonts w:ascii="Courier New" w:hAnsi="Courier New" w:cs="Courier New"/>
        </w:rPr>
      </w:pPr>
      <w:r>
        <w:rPr>
          <w:rFonts w:ascii="Courier New" w:hAnsi="Courier New" w:cs="Courier New"/>
        </w:rPr>
        <w:tab/>
        <w:t>These findings of fact and report are made purs</w:t>
      </w:r>
      <w:r w:rsidR="00444DAB">
        <w:rPr>
          <w:rFonts w:ascii="Courier New" w:hAnsi="Courier New" w:cs="Courier New"/>
        </w:rPr>
        <w:t xml:space="preserve">uant to </w:t>
      </w:r>
      <w:r w:rsidR="00746A0A">
        <w:rPr>
          <w:rFonts w:ascii="Courier New" w:hAnsi="Courier New" w:cs="Courier New"/>
        </w:rPr>
        <w:t>a request</w:t>
      </w:r>
      <w:r w:rsidR="00444DAB">
        <w:rPr>
          <w:rFonts w:ascii="Courier New" w:hAnsi="Courier New" w:cs="Courier New"/>
        </w:rPr>
        <w:t xml:space="preserve"> by the </w:t>
      </w:r>
      <w:r w:rsidR="006E5363">
        <w:rPr>
          <w:rFonts w:ascii="Courier New" w:hAnsi="Courier New" w:cs="Courier New"/>
        </w:rPr>
        <w:t>appellant</w:t>
      </w:r>
      <w:r>
        <w:rPr>
          <w:rFonts w:ascii="Courier New" w:hAnsi="Courier New" w:cs="Courier New"/>
        </w:rPr>
        <w:t xml:space="preserve"> under G.L. c. 58A, § 13 and 831 CMR 1.32.</w:t>
      </w:r>
    </w:p>
    <w:p w:rsidR="00FC2F2E" w:rsidRDefault="00FC2F2E" w:rsidP="00FC2F2E">
      <w:pPr>
        <w:jc w:val="both"/>
        <w:rPr>
          <w:rFonts w:ascii="Courier New" w:hAnsi="Courier New" w:cs="Courier New"/>
        </w:rPr>
      </w:pPr>
    </w:p>
    <w:p w:rsidR="00553F61" w:rsidRPr="00553F61" w:rsidRDefault="00E12BD6" w:rsidP="00553F61">
      <w:pPr>
        <w:ind w:firstLine="720"/>
        <w:jc w:val="both"/>
        <w:rPr>
          <w:rFonts w:ascii="Courier New" w:hAnsi="Courier New" w:cs="Courier New"/>
          <w:i/>
        </w:rPr>
      </w:pPr>
      <w:r>
        <w:rPr>
          <w:rFonts w:ascii="Courier New" w:hAnsi="Courier New" w:cs="Courier New"/>
          <w:i/>
        </w:rPr>
        <w:t>John J. Costanzo, Esq.</w:t>
      </w:r>
      <w:r w:rsidR="00553F61" w:rsidRPr="00553F61">
        <w:rPr>
          <w:rFonts w:ascii="Courier New" w:hAnsi="Courier New" w:cs="Courier New"/>
          <w:i/>
        </w:rPr>
        <w:t xml:space="preserve"> </w:t>
      </w:r>
      <w:r w:rsidR="00553F61" w:rsidRPr="00F80EAC">
        <w:rPr>
          <w:rFonts w:ascii="Courier New" w:hAnsi="Courier New" w:cs="Courier New"/>
        </w:rPr>
        <w:t>for the appellant</w:t>
      </w:r>
      <w:r w:rsidR="00553F61" w:rsidRPr="00553F61">
        <w:rPr>
          <w:rFonts w:ascii="Courier New" w:hAnsi="Courier New" w:cs="Courier New"/>
          <w:i/>
        </w:rPr>
        <w:t>.</w:t>
      </w:r>
    </w:p>
    <w:p w:rsidR="00553F61" w:rsidRPr="00553F61" w:rsidRDefault="00553F61" w:rsidP="00FC2F2E">
      <w:pPr>
        <w:jc w:val="both"/>
        <w:rPr>
          <w:rFonts w:ascii="Courier New" w:hAnsi="Courier New" w:cs="Courier New"/>
          <w:i/>
        </w:rPr>
      </w:pPr>
    </w:p>
    <w:p w:rsidR="00FC2F2E" w:rsidRDefault="00FC2F2E" w:rsidP="00FC2F2E">
      <w:pPr>
        <w:jc w:val="both"/>
        <w:rPr>
          <w:rFonts w:ascii="Courier New" w:hAnsi="Courier New" w:cs="Courier New"/>
          <w:i/>
        </w:rPr>
      </w:pPr>
      <w:r w:rsidRPr="00553F61">
        <w:rPr>
          <w:rFonts w:ascii="Courier New" w:hAnsi="Courier New" w:cs="Courier New"/>
          <w:i/>
        </w:rPr>
        <w:tab/>
      </w:r>
      <w:r w:rsidR="00E12BD6">
        <w:rPr>
          <w:rFonts w:ascii="Courier New" w:hAnsi="Courier New" w:cs="Courier New"/>
          <w:i/>
        </w:rPr>
        <w:t>Kevin D. Batt</w:t>
      </w:r>
      <w:r w:rsidR="00983267" w:rsidRPr="00553F61">
        <w:rPr>
          <w:rFonts w:ascii="Courier New" w:hAnsi="Courier New" w:cs="Courier New"/>
          <w:i/>
        </w:rPr>
        <w:t>, Esq.</w:t>
      </w:r>
      <w:r w:rsidR="00553F61" w:rsidRPr="00553F61">
        <w:rPr>
          <w:rFonts w:ascii="Courier New" w:hAnsi="Courier New" w:cs="Courier New"/>
          <w:i/>
        </w:rPr>
        <w:t xml:space="preserve"> </w:t>
      </w:r>
      <w:r w:rsidR="00F80EAC" w:rsidRPr="00F80EAC">
        <w:rPr>
          <w:rFonts w:ascii="Courier New" w:hAnsi="Courier New" w:cs="Courier New"/>
        </w:rPr>
        <w:t xml:space="preserve">and </w:t>
      </w:r>
      <w:r w:rsidR="00F80EAC">
        <w:rPr>
          <w:rFonts w:ascii="Courier New" w:hAnsi="Courier New" w:cs="Courier New"/>
          <w:i/>
        </w:rPr>
        <w:t xml:space="preserve">Nina Pickering-Cook, Esq. </w:t>
      </w:r>
      <w:r w:rsidR="00983267" w:rsidRPr="00F80EAC">
        <w:rPr>
          <w:rFonts w:ascii="Courier New" w:hAnsi="Courier New" w:cs="Courier New"/>
        </w:rPr>
        <w:t>for the appell</w:t>
      </w:r>
      <w:r w:rsidR="00553F61" w:rsidRPr="00F80EAC">
        <w:rPr>
          <w:rFonts w:ascii="Courier New" w:hAnsi="Courier New" w:cs="Courier New"/>
        </w:rPr>
        <w:t>ee</w:t>
      </w:r>
      <w:r w:rsidR="00553F61" w:rsidRPr="00553F61">
        <w:rPr>
          <w:rFonts w:ascii="Courier New" w:hAnsi="Courier New" w:cs="Courier New"/>
          <w:i/>
        </w:rPr>
        <w:t xml:space="preserve">. </w:t>
      </w:r>
    </w:p>
    <w:p w:rsidR="009D73DB" w:rsidRDefault="009D73DB" w:rsidP="00FC2F2E">
      <w:pPr>
        <w:jc w:val="both"/>
        <w:rPr>
          <w:rFonts w:ascii="Courier New" w:hAnsi="Courier New" w:cs="Courier New"/>
          <w:i/>
        </w:rPr>
      </w:pPr>
      <w:r>
        <w:rPr>
          <w:rFonts w:ascii="Courier New" w:hAnsi="Courier New" w:cs="Courier New"/>
          <w:i/>
        </w:rPr>
        <w:tab/>
      </w:r>
    </w:p>
    <w:p w:rsidR="00FC2F2E" w:rsidRDefault="00FC2F2E" w:rsidP="002355D8">
      <w:pPr>
        <w:pStyle w:val="NoSpacing"/>
        <w:tabs>
          <w:tab w:val="left" w:pos="0"/>
        </w:tabs>
        <w:spacing w:line="480" w:lineRule="auto"/>
        <w:rPr>
          <w:rFonts w:ascii="Courier New" w:hAnsi="Courier New" w:cs="Courier New"/>
          <w:sz w:val="24"/>
          <w:szCs w:val="24"/>
        </w:rPr>
      </w:pPr>
    </w:p>
    <w:p w:rsidR="00060891" w:rsidRPr="00415A39" w:rsidRDefault="00FC2F2E" w:rsidP="00C3784F">
      <w:pPr>
        <w:spacing w:after="160" w:line="259" w:lineRule="auto"/>
        <w:jc w:val="center"/>
        <w:rPr>
          <w:rFonts w:ascii="Courier New" w:hAnsi="Courier New" w:cs="Courier New"/>
          <w:b/>
        </w:rPr>
      </w:pPr>
      <w:r>
        <w:rPr>
          <w:rFonts w:ascii="Courier New" w:hAnsi="Courier New" w:cs="Courier New"/>
          <w:b/>
        </w:rPr>
        <w:br w:type="page"/>
      </w:r>
      <w:r w:rsidR="00060891" w:rsidRPr="00415A39">
        <w:rPr>
          <w:rFonts w:ascii="Courier New" w:hAnsi="Courier New" w:cs="Courier New"/>
          <w:b/>
        </w:rPr>
        <w:lastRenderedPageBreak/>
        <w:t>FINDINGS OF FACT AND REPORT</w:t>
      </w:r>
    </w:p>
    <w:p w:rsidR="00146517" w:rsidRDefault="00060891" w:rsidP="002355D8">
      <w:pPr>
        <w:pStyle w:val="NoSpacing"/>
        <w:tabs>
          <w:tab w:val="left" w:pos="0"/>
        </w:tabs>
        <w:spacing w:line="480" w:lineRule="auto"/>
        <w:jc w:val="both"/>
        <w:rPr>
          <w:rFonts w:ascii="Courier New" w:hAnsi="Courier New" w:cs="Courier New"/>
          <w:sz w:val="24"/>
          <w:szCs w:val="24"/>
        </w:rPr>
      </w:pPr>
      <w:r w:rsidRPr="00415A39">
        <w:rPr>
          <w:rFonts w:ascii="Courier New" w:hAnsi="Courier New" w:cs="Courier New"/>
          <w:sz w:val="24"/>
          <w:szCs w:val="24"/>
        </w:rPr>
        <w:tab/>
      </w:r>
      <w:r w:rsidR="00983267">
        <w:rPr>
          <w:rFonts w:ascii="Courier New" w:hAnsi="Courier New" w:cs="Courier New"/>
          <w:sz w:val="24"/>
          <w:szCs w:val="24"/>
        </w:rPr>
        <w:t>On the basis of the exhibits and testimony offered into evidence at the hearing of this appeal</w:t>
      </w:r>
      <w:r w:rsidR="004C02AE" w:rsidRPr="00415A39">
        <w:rPr>
          <w:rFonts w:ascii="Courier New" w:hAnsi="Courier New" w:cs="Courier New"/>
          <w:sz w:val="24"/>
          <w:szCs w:val="24"/>
        </w:rPr>
        <w:t>, the</w:t>
      </w:r>
      <w:r w:rsidR="006B236A">
        <w:rPr>
          <w:rFonts w:ascii="Courier New" w:hAnsi="Courier New" w:cs="Courier New"/>
          <w:sz w:val="24"/>
          <w:szCs w:val="24"/>
        </w:rPr>
        <w:t xml:space="preserve"> Appellate Tax Board (“</w:t>
      </w:r>
      <w:r w:rsidR="004C02AE" w:rsidRPr="00415A39">
        <w:rPr>
          <w:rFonts w:ascii="Courier New" w:hAnsi="Courier New" w:cs="Courier New"/>
          <w:sz w:val="24"/>
          <w:szCs w:val="24"/>
        </w:rPr>
        <w:t>Board</w:t>
      </w:r>
      <w:r w:rsidR="006B236A">
        <w:rPr>
          <w:rFonts w:ascii="Courier New" w:hAnsi="Courier New" w:cs="Courier New"/>
          <w:sz w:val="24"/>
          <w:szCs w:val="24"/>
        </w:rPr>
        <w:t>”)</w:t>
      </w:r>
      <w:r w:rsidR="004C02AE" w:rsidRPr="00415A39">
        <w:rPr>
          <w:rFonts w:ascii="Courier New" w:hAnsi="Courier New" w:cs="Courier New"/>
          <w:sz w:val="24"/>
          <w:szCs w:val="24"/>
        </w:rPr>
        <w:t xml:space="preserve"> made the following findings of fact.</w:t>
      </w:r>
    </w:p>
    <w:p w:rsidR="00E12BD6" w:rsidRDefault="00E12BD6" w:rsidP="00E12BD6">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 xml:space="preserve">On </w:t>
      </w:r>
      <w:r w:rsidR="00FF0642">
        <w:rPr>
          <w:rFonts w:ascii="Courier New" w:hAnsi="Courier New" w:cs="Courier New"/>
          <w:sz w:val="24"/>
          <w:szCs w:val="24"/>
        </w:rPr>
        <w:t>January 1, 2011, the relevant date of assessment for the fiscal year at issue, the appellant was the assessed owner of an 11.9</w:t>
      </w:r>
      <w:r w:rsidR="00C445F2">
        <w:rPr>
          <w:rFonts w:ascii="Courier New" w:hAnsi="Courier New" w:cs="Courier New"/>
          <w:sz w:val="24"/>
          <w:szCs w:val="24"/>
        </w:rPr>
        <w:t>4</w:t>
      </w:r>
      <w:r w:rsidR="00250935">
        <w:rPr>
          <w:rFonts w:ascii="Courier New" w:hAnsi="Courier New" w:cs="Courier New"/>
          <w:sz w:val="24"/>
          <w:szCs w:val="24"/>
        </w:rPr>
        <w:t>-</w:t>
      </w:r>
      <w:r w:rsidR="00FF0642">
        <w:rPr>
          <w:rFonts w:ascii="Courier New" w:hAnsi="Courier New" w:cs="Courier New"/>
          <w:sz w:val="24"/>
          <w:szCs w:val="24"/>
        </w:rPr>
        <w:t>acre parcel of land</w:t>
      </w:r>
      <w:r w:rsidR="00E7552B">
        <w:rPr>
          <w:rFonts w:ascii="Courier New" w:hAnsi="Courier New" w:cs="Courier New"/>
          <w:sz w:val="24"/>
          <w:szCs w:val="24"/>
        </w:rPr>
        <w:t>,</w:t>
      </w:r>
      <w:r w:rsidR="00FF0642">
        <w:rPr>
          <w:rFonts w:ascii="Courier New" w:hAnsi="Courier New" w:cs="Courier New"/>
          <w:sz w:val="24"/>
          <w:szCs w:val="24"/>
        </w:rPr>
        <w:t xml:space="preserve"> improved with a single-family</w:t>
      </w:r>
      <w:r w:rsidR="00A06D78">
        <w:rPr>
          <w:rFonts w:ascii="Courier New" w:hAnsi="Courier New" w:cs="Courier New"/>
          <w:sz w:val="24"/>
          <w:szCs w:val="24"/>
        </w:rPr>
        <w:t xml:space="preserve"> home, </w:t>
      </w:r>
      <w:r w:rsidR="00FF0642">
        <w:rPr>
          <w:rFonts w:ascii="Courier New" w:hAnsi="Courier New" w:cs="Courier New"/>
          <w:sz w:val="24"/>
          <w:szCs w:val="24"/>
        </w:rPr>
        <w:t>located at 72 Farm Street in Dover</w:t>
      </w:r>
      <w:r w:rsidR="00E7552B">
        <w:rPr>
          <w:rFonts w:ascii="Courier New" w:hAnsi="Courier New" w:cs="Courier New"/>
          <w:sz w:val="24"/>
          <w:szCs w:val="24"/>
        </w:rPr>
        <w:t xml:space="preserve"> (“subject property”).  F</w:t>
      </w:r>
      <w:r w:rsidR="00340CA8">
        <w:rPr>
          <w:rFonts w:ascii="Courier New" w:hAnsi="Courier New" w:cs="Courier New"/>
          <w:sz w:val="24"/>
          <w:szCs w:val="24"/>
        </w:rPr>
        <w:t>or assessment purposes</w:t>
      </w:r>
      <w:r w:rsidR="00E7552B">
        <w:rPr>
          <w:rFonts w:ascii="Courier New" w:hAnsi="Courier New" w:cs="Courier New"/>
          <w:sz w:val="24"/>
          <w:szCs w:val="24"/>
        </w:rPr>
        <w:t xml:space="preserve">, the subject property is </w:t>
      </w:r>
      <w:r w:rsidR="00746A0A">
        <w:rPr>
          <w:rFonts w:ascii="Courier New" w:hAnsi="Courier New" w:cs="Courier New"/>
          <w:sz w:val="24"/>
          <w:szCs w:val="24"/>
        </w:rPr>
        <w:t>designated</w:t>
      </w:r>
      <w:r w:rsidR="00340CA8">
        <w:rPr>
          <w:rFonts w:ascii="Courier New" w:hAnsi="Courier New" w:cs="Courier New"/>
          <w:sz w:val="24"/>
          <w:szCs w:val="24"/>
        </w:rPr>
        <w:t xml:space="preserve"> on the property record card as map 9, block</w:t>
      </w:r>
      <w:r w:rsidR="00E7552B">
        <w:rPr>
          <w:rFonts w:ascii="Courier New" w:hAnsi="Courier New" w:cs="Courier New"/>
          <w:sz w:val="24"/>
          <w:szCs w:val="24"/>
        </w:rPr>
        <w:t xml:space="preserve"> 134, lot 0</w:t>
      </w:r>
      <w:r w:rsidR="00FF0642">
        <w:rPr>
          <w:rFonts w:ascii="Courier New" w:hAnsi="Courier New" w:cs="Courier New"/>
          <w:sz w:val="24"/>
          <w:szCs w:val="24"/>
        </w:rPr>
        <w:t xml:space="preserve">. </w:t>
      </w:r>
    </w:p>
    <w:p w:rsidR="00F85E0D" w:rsidRDefault="00AD5B79" w:rsidP="00E12BD6">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For the fiscal year at issue, the assessors valued the subject property at</w:t>
      </w:r>
      <w:r w:rsidR="00340CA8">
        <w:rPr>
          <w:rFonts w:ascii="Courier New" w:hAnsi="Courier New" w:cs="Courier New"/>
          <w:sz w:val="24"/>
          <w:szCs w:val="24"/>
        </w:rPr>
        <w:t xml:space="preserve"> $4,599,100</w:t>
      </w:r>
      <w:r w:rsidR="00E7552B">
        <w:rPr>
          <w:rFonts w:ascii="Courier New" w:hAnsi="Courier New" w:cs="Courier New"/>
          <w:sz w:val="24"/>
          <w:szCs w:val="24"/>
        </w:rPr>
        <w:t xml:space="preserve"> and assessed a tax thereon at the rate of $11.92 per thousand in the total amount of $54,821.27.  On December 28</w:t>
      </w:r>
      <w:r w:rsidR="00B04BA1">
        <w:rPr>
          <w:rFonts w:ascii="Courier New" w:hAnsi="Courier New" w:cs="Courier New"/>
          <w:sz w:val="24"/>
          <w:szCs w:val="24"/>
        </w:rPr>
        <w:t xml:space="preserve">, 2011, Dover’s </w:t>
      </w:r>
      <w:r w:rsidR="00E7552B">
        <w:rPr>
          <w:rFonts w:ascii="Courier New" w:hAnsi="Courier New" w:cs="Courier New"/>
          <w:sz w:val="24"/>
          <w:szCs w:val="24"/>
        </w:rPr>
        <w:t>Collector of Tax</w:t>
      </w:r>
      <w:r w:rsidR="00B04BA1">
        <w:rPr>
          <w:rFonts w:ascii="Courier New" w:hAnsi="Courier New" w:cs="Courier New"/>
          <w:sz w:val="24"/>
          <w:szCs w:val="24"/>
        </w:rPr>
        <w:t>es sent out the town’s actual real estate tax bills for the fiscal year at issue.  In accordance with G.L. c. 59, § 57C, the appellant timely paid the tax due without incurring interest.  On January 31, 2012, in accordance with G.L. c. 59, §</w:t>
      </w:r>
      <w:r w:rsidR="00973F5B">
        <w:rPr>
          <w:rFonts w:ascii="Courier New" w:hAnsi="Courier New" w:cs="Courier New"/>
          <w:sz w:val="24"/>
          <w:szCs w:val="24"/>
        </w:rPr>
        <w:t xml:space="preserve"> 59, the appellant</w:t>
      </w:r>
      <w:r w:rsidR="00B04BA1">
        <w:rPr>
          <w:rFonts w:ascii="Courier New" w:hAnsi="Courier New" w:cs="Courier New"/>
          <w:sz w:val="24"/>
          <w:szCs w:val="24"/>
        </w:rPr>
        <w:t xml:space="preserve"> timely filed an Application for Abatement with the</w:t>
      </w:r>
      <w:r w:rsidR="00973F5B">
        <w:rPr>
          <w:rFonts w:ascii="Courier New" w:hAnsi="Courier New" w:cs="Courier New"/>
          <w:sz w:val="24"/>
          <w:szCs w:val="24"/>
        </w:rPr>
        <w:t xml:space="preserve"> assessors.  On March 28, 2012, the assessors granted the appellant a partial abatement, reducing the value of t</w:t>
      </w:r>
      <w:r w:rsidR="00602A36">
        <w:rPr>
          <w:rFonts w:ascii="Courier New" w:hAnsi="Courier New" w:cs="Courier New"/>
          <w:sz w:val="24"/>
          <w:szCs w:val="24"/>
        </w:rPr>
        <w:t>he subject property by $208,200</w:t>
      </w:r>
      <w:r w:rsidR="00973F5B">
        <w:rPr>
          <w:rFonts w:ascii="Courier New" w:hAnsi="Courier New" w:cs="Courier New"/>
          <w:sz w:val="24"/>
          <w:szCs w:val="24"/>
        </w:rPr>
        <w:t xml:space="preserve"> to an adjusted value of $</w:t>
      </w:r>
      <w:r w:rsidR="00602A36">
        <w:rPr>
          <w:rFonts w:ascii="Courier New" w:hAnsi="Courier New" w:cs="Courier New"/>
          <w:sz w:val="24"/>
          <w:szCs w:val="24"/>
        </w:rPr>
        <w:t>4,390,900</w:t>
      </w:r>
      <w:r w:rsidR="00F80EAC">
        <w:rPr>
          <w:rFonts w:ascii="Courier New" w:hAnsi="Courier New" w:cs="Courier New"/>
          <w:sz w:val="24"/>
          <w:szCs w:val="24"/>
        </w:rPr>
        <w:t>,</w:t>
      </w:r>
      <w:r w:rsidR="00973F5B">
        <w:rPr>
          <w:rFonts w:ascii="Courier New" w:hAnsi="Courier New" w:cs="Courier New"/>
          <w:sz w:val="24"/>
          <w:szCs w:val="24"/>
        </w:rPr>
        <w:t xml:space="preserve"> with an adjusted tax of $52,339.53. </w:t>
      </w:r>
      <w:r w:rsidR="00617635">
        <w:rPr>
          <w:rFonts w:ascii="Courier New" w:hAnsi="Courier New" w:cs="Courier New"/>
          <w:sz w:val="24"/>
          <w:szCs w:val="24"/>
        </w:rPr>
        <w:t xml:space="preserve">The amount of the abatement was </w:t>
      </w:r>
      <w:r w:rsidR="00C3784F">
        <w:rPr>
          <w:rFonts w:ascii="Courier New" w:hAnsi="Courier New" w:cs="Courier New"/>
          <w:sz w:val="24"/>
          <w:szCs w:val="24"/>
        </w:rPr>
        <w:t>based on</w:t>
      </w:r>
      <w:r w:rsidR="00617635">
        <w:rPr>
          <w:rFonts w:ascii="Courier New" w:hAnsi="Courier New" w:cs="Courier New"/>
          <w:sz w:val="24"/>
          <w:szCs w:val="24"/>
        </w:rPr>
        <w:t xml:space="preserve"> the </w:t>
      </w:r>
      <w:r w:rsidR="00D55B91">
        <w:rPr>
          <w:rFonts w:ascii="Courier New" w:hAnsi="Courier New" w:cs="Courier New"/>
          <w:sz w:val="24"/>
          <w:szCs w:val="24"/>
        </w:rPr>
        <w:t>asse</w:t>
      </w:r>
      <w:r w:rsidR="00C3784F">
        <w:rPr>
          <w:rFonts w:ascii="Courier New" w:hAnsi="Courier New" w:cs="Courier New"/>
          <w:sz w:val="24"/>
          <w:szCs w:val="24"/>
        </w:rPr>
        <w:t>s</w:t>
      </w:r>
      <w:r w:rsidR="00D55B91">
        <w:rPr>
          <w:rFonts w:ascii="Courier New" w:hAnsi="Courier New" w:cs="Courier New"/>
          <w:sz w:val="24"/>
          <w:szCs w:val="24"/>
        </w:rPr>
        <w:t xml:space="preserve">sor’s </w:t>
      </w:r>
      <w:r w:rsidR="00C3784F">
        <w:rPr>
          <w:rFonts w:ascii="Courier New" w:hAnsi="Courier New" w:cs="Courier New"/>
          <w:sz w:val="24"/>
          <w:szCs w:val="24"/>
        </w:rPr>
        <w:t>re-</w:t>
      </w:r>
      <w:r w:rsidR="00617635">
        <w:rPr>
          <w:rFonts w:ascii="Courier New" w:hAnsi="Courier New" w:cs="Courier New"/>
          <w:sz w:val="24"/>
          <w:szCs w:val="24"/>
        </w:rPr>
        <w:t>characteriz</w:t>
      </w:r>
      <w:r w:rsidR="00C3784F">
        <w:rPr>
          <w:rFonts w:ascii="Courier New" w:hAnsi="Courier New" w:cs="Courier New"/>
          <w:sz w:val="24"/>
          <w:szCs w:val="24"/>
        </w:rPr>
        <w:t>ation</w:t>
      </w:r>
      <w:r w:rsidR="00617635">
        <w:rPr>
          <w:rFonts w:ascii="Courier New" w:hAnsi="Courier New" w:cs="Courier New"/>
          <w:sz w:val="24"/>
          <w:szCs w:val="24"/>
        </w:rPr>
        <w:t xml:space="preserve"> </w:t>
      </w:r>
      <w:r w:rsidR="00D55B91">
        <w:rPr>
          <w:rFonts w:ascii="Courier New" w:hAnsi="Courier New" w:cs="Courier New"/>
          <w:sz w:val="24"/>
          <w:szCs w:val="24"/>
        </w:rPr>
        <w:t xml:space="preserve">of </w:t>
      </w:r>
      <w:r w:rsidR="00617635">
        <w:rPr>
          <w:rFonts w:ascii="Courier New" w:hAnsi="Courier New" w:cs="Courier New"/>
          <w:sz w:val="24"/>
          <w:szCs w:val="24"/>
        </w:rPr>
        <w:t xml:space="preserve">the condition ratings of the </w:t>
      </w:r>
      <w:r w:rsidR="00617635">
        <w:rPr>
          <w:rFonts w:ascii="Courier New" w:hAnsi="Courier New" w:cs="Courier New"/>
          <w:sz w:val="24"/>
          <w:szCs w:val="24"/>
        </w:rPr>
        <w:lastRenderedPageBreak/>
        <w:t xml:space="preserve">subject property’s bathrooms, kitchen, and garages. </w:t>
      </w:r>
      <w:r w:rsidR="00973F5B">
        <w:rPr>
          <w:rFonts w:ascii="Courier New" w:hAnsi="Courier New" w:cs="Courier New"/>
          <w:sz w:val="24"/>
          <w:szCs w:val="24"/>
        </w:rPr>
        <w:t xml:space="preserve">Not satisfied with the amount of </w:t>
      </w:r>
      <w:r w:rsidR="003E2ADA">
        <w:rPr>
          <w:rFonts w:ascii="Courier New" w:hAnsi="Courier New" w:cs="Courier New"/>
          <w:sz w:val="24"/>
          <w:szCs w:val="24"/>
        </w:rPr>
        <w:t>this</w:t>
      </w:r>
      <w:r w:rsidR="00973F5B">
        <w:rPr>
          <w:rFonts w:ascii="Courier New" w:hAnsi="Courier New" w:cs="Courier New"/>
          <w:sz w:val="24"/>
          <w:szCs w:val="24"/>
        </w:rPr>
        <w:t xml:space="preserve"> abatement, </w:t>
      </w:r>
      <w:r w:rsidR="0078459C">
        <w:rPr>
          <w:rFonts w:ascii="Courier New" w:hAnsi="Courier New" w:cs="Courier New"/>
          <w:sz w:val="24"/>
          <w:szCs w:val="24"/>
        </w:rPr>
        <w:t xml:space="preserve">on April 30, 2012, </w:t>
      </w:r>
      <w:r w:rsidR="00973F5B">
        <w:rPr>
          <w:rFonts w:ascii="Courier New" w:hAnsi="Courier New" w:cs="Courier New"/>
          <w:sz w:val="24"/>
          <w:szCs w:val="24"/>
        </w:rPr>
        <w:t>the appellant timely filed a Petition Under Formal Procedure with the Board</w:t>
      </w:r>
      <w:r w:rsidR="0078459C">
        <w:rPr>
          <w:rFonts w:ascii="Courier New" w:hAnsi="Courier New" w:cs="Courier New"/>
          <w:sz w:val="24"/>
          <w:szCs w:val="24"/>
        </w:rPr>
        <w:t>, in accordance with G.L. c. 59, §§ 64 and 65</w:t>
      </w:r>
      <w:r w:rsidR="00973F5B">
        <w:rPr>
          <w:rFonts w:ascii="Courier New" w:hAnsi="Courier New" w:cs="Courier New"/>
          <w:sz w:val="24"/>
          <w:szCs w:val="24"/>
        </w:rPr>
        <w:t>.</w:t>
      </w:r>
      <w:r w:rsidR="0078459C">
        <w:rPr>
          <w:rFonts w:ascii="Courier New" w:hAnsi="Courier New" w:cs="Courier New"/>
          <w:sz w:val="24"/>
          <w:szCs w:val="24"/>
        </w:rPr>
        <w:t xml:space="preserve">  On the basis of these facts, the Board found and ruled that it had jurisdiction to hear and decide this appeal.</w:t>
      </w:r>
    </w:p>
    <w:p w:rsidR="001073AF" w:rsidRDefault="001073AF" w:rsidP="001073AF">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 xml:space="preserve">The appellant presented his case-in-chief through the testimony of Eric J. O’Neil, a licensed real estate appraiser. Based on Mr. O’Neil’s experience in residential real estate valuation and familiarity with properties in the area, the Board qualified him as an expert </w:t>
      </w:r>
      <w:r w:rsidRPr="00D76326">
        <w:rPr>
          <w:rFonts w:ascii="Courier New" w:hAnsi="Courier New" w:cs="Courier New"/>
          <w:sz w:val="24"/>
          <w:szCs w:val="24"/>
        </w:rPr>
        <w:t xml:space="preserve">in </w:t>
      </w:r>
      <w:r w:rsidR="00D55B91">
        <w:rPr>
          <w:rFonts w:ascii="Courier New" w:hAnsi="Courier New" w:cs="Courier New"/>
          <w:sz w:val="24"/>
          <w:szCs w:val="24"/>
        </w:rPr>
        <w:t xml:space="preserve">residential </w:t>
      </w:r>
      <w:r w:rsidRPr="00D76326">
        <w:rPr>
          <w:rFonts w:ascii="Courier New" w:hAnsi="Courier New" w:cs="Courier New"/>
          <w:sz w:val="24"/>
          <w:szCs w:val="24"/>
        </w:rPr>
        <w:t>real estate appraising</w:t>
      </w:r>
      <w:r>
        <w:rPr>
          <w:rFonts w:ascii="Courier New" w:hAnsi="Courier New" w:cs="Courier New"/>
          <w:sz w:val="24"/>
          <w:szCs w:val="24"/>
        </w:rPr>
        <w:t>,</w:t>
      </w:r>
      <w:r w:rsidRPr="00D76326">
        <w:rPr>
          <w:rFonts w:ascii="Courier New" w:hAnsi="Courier New" w:cs="Courier New"/>
          <w:sz w:val="24"/>
          <w:szCs w:val="24"/>
        </w:rPr>
        <w:t xml:space="preserve"> </w:t>
      </w:r>
      <w:r>
        <w:rPr>
          <w:rFonts w:ascii="Courier New" w:hAnsi="Courier New" w:cs="Courier New"/>
          <w:sz w:val="24"/>
          <w:szCs w:val="24"/>
        </w:rPr>
        <w:t xml:space="preserve">without objection from the assessors. </w:t>
      </w:r>
      <w:r w:rsidRPr="001073AF">
        <w:rPr>
          <w:rFonts w:ascii="Courier New" w:hAnsi="Courier New" w:cs="Courier New"/>
          <w:sz w:val="24"/>
          <w:szCs w:val="24"/>
        </w:rPr>
        <w:t xml:space="preserve">In addition to </w:t>
      </w:r>
      <w:r w:rsidR="006E5363">
        <w:rPr>
          <w:rFonts w:ascii="Courier New" w:hAnsi="Courier New" w:cs="Courier New"/>
          <w:sz w:val="24"/>
          <w:szCs w:val="24"/>
        </w:rPr>
        <w:t>the</w:t>
      </w:r>
      <w:r>
        <w:rPr>
          <w:rFonts w:ascii="Courier New" w:hAnsi="Courier New" w:cs="Courier New"/>
          <w:sz w:val="24"/>
          <w:szCs w:val="24"/>
        </w:rPr>
        <w:t xml:space="preserve"> expert witness’ testimony</w:t>
      </w:r>
      <w:r w:rsidRPr="001073AF">
        <w:rPr>
          <w:rFonts w:ascii="Courier New" w:hAnsi="Courier New" w:cs="Courier New"/>
          <w:sz w:val="24"/>
          <w:szCs w:val="24"/>
        </w:rPr>
        <w:t xml:space="preserve"> and </w:t>
      </w:r>
      <w:r>
        <w:rPr>
          <w:rFonts w:ascii="Courier New" w:hAnsi="Courier New" w:cs="Courier New"/>
          <w:sz w:val="24"/>
          <w:szCs w:val="24"/>
        </w:rPr>
        <w:t>appraisal report</w:t>
      </w:r>
      <w:r w:rsidRPr="001073AF">
        <w:rPr>
          <w:rFonts w:ascii="Courier New" w:hAnsi="Courier New" w:cs="Courier New"/>
          <w:sz w:val="24"/>
          <w:szCs w:val="24"/>
        </w:rPr>
        <w:t xml:space="preserve">, the appellants introduced </w:t>
      </w:r>
      <w:r>
        <w:rPr>
          <w:rFonts w:ascii="Courier New" w:hAnsi="Courier New" w:cs="Courier New"/>
          <w:sz w:val="24"/>
          <w:szCs w:val="24"/>
        </w:rPr>
        <w:t xml:space="preserve">deeds of five recently sold properties in </w:t>
      </w:r>
      <w:r w:rsidR="00D55B91">
        <w:rPr>
          <w:rFonts w:ascii="Courier New" w:hAnsi="Courier New" w:cs="Courier New"/>
          <w:sz w:val="24"/>
          <w:szCs w:val="24"/>
        </w:rPr>
        <w:t>Dover</w:t>
      </w:r>
      <w:r>
        <w:rPr>
          <w:rFonts w:ascii="Courier New" w:hAnsi="Courier New" w:cs="Courier New"/>
          <w:sz w:val="24"/>
          <w:szCs w:val="24"/>
        </w:rPr>
        <w:t xml:space="preserve"> that the appellant argued were comparable to the subject property. </w:t>
      </w:r>
    </w:p>
    <w:p w:rsidR="001073AF" w:rsidRPr="001073AF" w:rsidRDefault="001073AF" w:rsidP="00981F68">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Pr="001073AF">
        <w:rPr>
          <w:rFonts w:ascii="Courier New" w:hAnsi="Courier New" w:cs="Courier New"/>
          <w:sz w:val="24"/>
          <w:szCs w:val="24"/>
        </w:rPr>
        <w:t xml:space="preserve">In defense of their assessments, the assessors cross-examined </w:t>
      </w:r>
      <w:r>
        <w:rPr>
          <w:rFonts w:ascii="Courier New" w:hAnsi="Courier New" w:cs="Courier New"/>
          <w:sz w:val="24"/>
          <w:szCs w:val="24"/>
        </w:rPr>
        <w:t>Mr. O’Neil and presented the testimony of Karen MacTavish, the assessor for the town of Dover. The a</w:t>
      </w:r>
      <w:r w:rsidR="00F80EAC">
        <w:rPr>
          <w:rFonts w:ascii="Courier New" w:hAnsi="Courier New" w:cs="Courier New"/>
          <w:sz w:val="24"/>
          <w:szCs w:val="24"/>
        </w:rPr>
        <w:t>ssessors</w:t>
      </w:r>
      <w:r>
        <w:rPr>
          <w:rFonts w:ascii="Courier New" w:hAnsi="Courier New" w:cs="Courier New"/>
          <w:sz w:val="24"/>
          <w:szCs w:val="24"/>
        </w:rPr>
        <w:t xml:space="preserve"> also </w:t>
      </w:r>
      <w:r w:rsidRPr="001073AF">
        <w:rPr>
          <w:rFonts w:ascii="Courier New" w:hAnsi="Courier New" w:cs="Courier New"/>
          <w:sz w:val="24"/>
          <w:szCs w:val="24"/>
        </w:rPr>
        <w:t>introduced into evidence copies of the req</w:t>
      </w:r>
      <w:r>
        <w:rPr>
          <w:rFonts w:ascii="Courier New" w:hAnsi="Courier New" w:cs="Courier New"/>
          <w:sz w:val="24"/>
          <w:szCs w:val="24"/>
        </w:rPr>
        <w:t xml:space="preserve">uisite jurisdictional documents, </w:t>
      </w:r>
      <w:r w:rsidRPr="001073AF">
        <w:rPr>
          <w:rFonts w:ascii="Courier New" w:hAnsi="Courier New" w:cs="Courier New"/>
          <w:sz w:val="24"/>
          <w:szCs w:val="24"/>
        </w:rPr>
        <w:t xml:space="preserve">the subject property’s property record </w:t>
      </w:r>
      <w:r w:rsidR="00D55B91">
        <w:rPr>
          <w:rFonts w:ascii="Courier New" w:hAnsi="Courier New" w:cs="Courier New"/>
          <w:sz w:val="24"/>
          <w:szCs w:val="24"/>
        </w:rPr>
        <w:t xml:space="preserve">card </w:t>
      </w:r>
      <w:r w:rsidRPr="001073AF">
        <w:rPr>
          <w:rFonts w:ascii="Courier New" w:hAnsi="Courier New" w:cs="Courier New"/>
          <w:sz w:val="24"/>
          <w:szCs w:val="24"/>
        </w:rPr>
        <w:t xml:space="preserve">for the fiscal year at issue, </w:t>
      </w:r>
      <w:r>
        <w:rPr>
          <w:rFonts w:ascii="Courier New" w:hAnsi="Courier New" w:cs="Courier New"/>
          <w:sz w:val="24"/>
          <w:szCs w:val="24"/>
        </w:rPr>
        <w:t xml:space="preserve">a listing of all sales in Dover for the period of January 1, 2009 through June 30, 2010, a Sale Verification Form completed and executed by the grantor who </w:t>
      </w:r>
      <w:r>
        <w:rPr>
          <w:rFonts w:ascii="Courier New" w:hAnsi="Courier New" w:cs="Courier New"/>
          <w:sz w:val="24"/>
          <w:szCs w:val="24"/>
        </w:rPr>
        <w:lastRenderedPageBreak/>
        <w:t xml:space="preserve">sold the subject property to the appellant in 2009, </w:t>
      </w:r>
      <w:r w:rsidR="00685740">
        <w:rPr>
          <w:rFonts w:ascii="Courier New" w:hAnsi="Courier New" w:cs="Courier New"/>
          <w:sz w:val="24"/>
          <w:szCs w:val="24"/>
        </w:rPr>
        <w:t xml:space="preserve">and </w:t>
      </w:r>
      <w:r>
        <w:rPr>
          <w:rFonts w:ascii="Courier New" w:hAnsi="Courier New" w:cs="Courier New"/>
          <w:sz w:val="24"/>
          <w:szCs w:val="24"/>
        </w:rPr>
        <w:t>aerial photographs of the subject property</w:t>
      </w:r>
      <w:r w:rsidR="00685740">
        <w:rPr>
          <w:rFonts w:ascii="Courier New" w:hAnsi="Courier New" w:cs="Courier New"/>
          <w:sz w:val="24"/>
          <w:szCs w:val="24"/>
        </w:rPr>
        <w:t xml:space="preserve">. </w:t>
      </w:r>
      <w:r w:rsidRPr="001073AF">
        <w:rPr>
          <w:rFonts w:ascii="Courier New" w:hAnsi="Courier New" w:cs="Courier New"/>
          <w:sz w:val="24"/>
          <w:szCs w:val="24"/>
        </w:rPr>
        <w:t>Based on this evidence, as well as reasonable inferences drawn therefrom, the Board made the following findings of fact.</w:t>
      </w:r>
    </w:p>
    <w:p w:rsidR="006E5363" w:rsidRDefault="00F85E0D" w:rsidP="00E12BD6">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6E5363">
        <w:rPr>
          <w:rFonts w:ascii="Courier New" w:hAnsi="Courier New" w:cs="Courier New"/>
          <w:sz w:val="24"/>
          <w:szCs w:val="24"/>
        </w:rPr>
        <w:t xml:space="preserve">Dover is a residential community on the banks of the Charles River, approximately fifteen miles southwest </w:t>
      </w:r>
      <w:r w:rsidR="00F80EAC">
        <w:rPr>
          <w:rFonts w:ascii="Courier New" w:hAnsi="Courier New" w:cs="Courier New"/>
          <w:sz w:val="24"/>
          <w:szCs w:val="24"/>
        </w:rPr>
        <w:t xml:space="preserve">of </w:t>
      </w:r>
      <w:r w:rsidR="006E5363">
        <w:rPr>
          <w:rFonts w:ascii="Courier New" w:hAnsi="Courier New" w:cs="Courier New"/>
          <w:sz w:val="24"/>
          <w:szCs w:val="24"/>
        </w:rPr>
        <w:t xml:space="preserve">downtown Boston. </w:t>
      </w:r>
      <w:r w:rsidR="008C5730">
        <w:rPr>
          <w:rFonts w:ascii="Courier New" w:hAnsi="Courier New" w:cs="Courier New"/>
          <w:sz w:val="24"/>
          <w:szCs w:val="24"/>
        </w:rPr>
        <w:t>T</w:t>
      </w:r>
      <w:r w:rsidR="00473174">
        <w:rPr>
          <w:rFonts w:ascii="Courier New" w:hAnsi="Courier New" w:cs="Courier New"/>
          <w:sz w:val="24"/>
          <w:szCs w:val="24"/>
        </w:rPr>
        <w:t xml:space="preserve">he </w:t>
      </w:r>
      <w:r w:rsidR="006E5363">
        <w:rPr>
          <w:rFonts w:ascii="Courier New" w:hAnsi="Courier New" w:cs="Courier New"/>
          <w:sz w:val="24"/>
          <w:szCs w:val="24"/>
        </w:rPr>
        <w:t xml:space="preserve">subject </w:t>
      </w:r>
      <w:r w:rsidR="004161D9">
        <w:rPr>
          <w:rFonts w:ascii="Courier New" w:hAnsi="Courier New" w:cs="Courier New"/>
          <w:sz w:val="24"/>
          <w:szCs w:val="24"/>
        </w:rPr>
        <w:t>property is</w:t>
      </w:r>
      <w:r w:rsidR="00622FDB">
        <w:rPr>
          <w:rFonts w:ascii="Courier New" w:hAnsi="Courier New" w:cs="Courier New"/>
          <w:sz w:val="24"/>
          <w:szCs w:val="24"/>
        </w:rPr>
        <w:t xml:space="preserve"> </w:t>
      </w:r>
      <w:r w:rsidR="00A06D78">
        <w:rPr>
          <w:rFonts w:ascii="Courier New" w:hAnsi="Courier New" w:cs="Courier New"/>
          <w:sz w:val="24"/>
          <w:szCs w:val="24"/>
        </w:rPr>
        <w:t xml:space="preserve">located in </w:t>
      </w:r>
      <w:r w:rsidR="00CE42E9">
        <w:rPr>
          <w:rFonts w:ascii="Courier New" w:hAnsi="Courier New" w:cs="Courier New"/>
          <w:sz w:val="24"/>
          <w:szCs w:val="24"/>
        </w:rPr>
        <w:t>one of the most desirable neighborhoods in Dover</w:t>
      </w:r>
      <w:r w:rsidR="003D102D">
        <w:rPr>
          <w:rFonts w:ascii="Courier New" w:hAnsi="Courier New" w:cs="Courier New"/>
          <w:sz w:val="24"/>
          <w:szCs w:val="24"/>
        </w:rPr>
        <w:t>,</w:t>
      </w:r>
      <w:r w:rsidR="00D55B91">
        <w:rPr>
          <w:rFonts w:ascii="Courier New" w:hAnsi="Courier New" w:cs="Courier New"/>
          <w:sz w:val="24"/>
          <w:szCs w:val="24"/>
        </w:rPr>
        <w:t xml:space="preserve"> comprised of</w:t>
      </w:r>
      <w:r w:rsidR="00C719EF">
        <w:rPr>
          <w:rFonts w:ascii="Courier New" w:hAnsi="Courier New" w:cs="Courier New"/>
          <w:sz w:val="24"/>
          <w:szCs w:val="24"/>
        </w:rPr>
        <w:t xml:space="preserve"> single-family dwellings</w:t>
      </w:r>
      <w:r w:rsidR="00001FC3">
        <w:rPr>
          <w:rFonts w:ascii="Courier New" w:hAnsi="Courier New" w:cs="Courier New"/>
          <w:sz w:val="24"/>
          <w:szCs w:val="24"/>
        </w:rPr>
        <w:t xml:space="preserve">. </w:t>
      </w:r>
      <w:r w:rsidR="00BC0C4D">
        <w:rPr>
          <w:rFonts w:ascii="Courier New" w:hAnsi="Courier New" w:cs="Courier New"/>
          <w:sz w:val="24"/>
          <w:szCs w:val="24"/>
        </w:rPr>
        <w:t>The subject property is improved by a two-story, Colonial-style home, with a wood-frame construction, clapboard siding, and an asphalt-shingle roof.  The subject home</w:t>
      </w:r>
      <w:r w:rsidR="00905729">
        <w:rPr>
          <w:rFonts w:ascii="Courier New" w:hAnsi="Courier New" w:cs="Courier New"/>
          <w:sz w:val="24"/>
          <w:szCs w:val="24"/>
        </w:rPr>
        <w:t>, which was advertised as one of Dover’s “signature properties”</w:t>
      </w:r>
      <w:r w:rsidR="00BC0C4D">
        <w:rPr>
          <w:rFonts w:ascii="Courier New" w:hAnsi="Courier New" w:cs="Courier New"/>
          <w:sz w:val="24"/>
          <w:szCs w:val="24"/>
        </w:rPr>
        <w:t xml:space="preserve"> </w:t>
      </w:r>
      <w:r w:rsidR="00905729">
        <w:rPr>
          <w:rFonts w:ascii="Courier New" w:hAnsi="Courier New" w:cs="Courier New"/>
          <w:sz w:val="24"/>
          <w:szCs w:val="24"/>
        </w:rPr>
        <w:t>when purchased by the appellant</w:t>
      </w:r>
      <w:r w:rsidR="00F37E6B">
        <w:rPr>
          <w:rFonts w:ascii="Courier New" w:hAnsi="Courier New" w:cs="Courier New"/>
          <w:sz w:val="24"/>
          <w:szCs w:val="24"/>
        </w:rPr>
        <w:t xml:space="preserve"> in 2009</w:t>
      </w:r>
      <w:r w:rsidR="00905729">
        <w:rPr>
          <w:rFonts w:ascii="Courier New" w:hAnsi="Courier New" w:cs="Courier New"/>
          <w:sz w:val="24"/>
          <w:szCs w:val="24"/>
        </w:rPr>
        <w:t xml:space="preserve">, </w:t>
      </w:r>
      <w:r w:rsidR="00BC0C4D">
        <w:rPr>
          <w:rFonts w:ascii="Courier New" w:hAnsi="Courier New" w:cs="Courier New"/>
          <w:sz w:val="24"/>
          <w:szCs w:val="24"/>
        </w:rPr>
        <w:t>contains 8,333</w:t>
      </w:r>
      <w:r w:rsidR="00BC0C4D">
        <w:rPr>
          <w:rStyle w:val="FootnoteReference"/>
          <w:rFonts w:ascii="Courier New" w:hAnsi="Courier New" w:cs="Courier New"/>
          <w:sz w:val="24"/>
          <w:szCs w:val="24"/>
        </w:rPr>
        <w:footnoteReference w:id="1"/>
      </w:r>
      <w:r w:rsidR="00BC0C4D">
        <w:rPr>
          <w:rFonts w:ascii="Courier New" w:hAnsi="Courier New" w:cs="Courier New"/>
          <w:sz w:val="24"/>
          <w:szCs w:val="24"/>
        </w:rPr>
        <w:t xml:space="preserve"> square feet of living area, with a total of sixteen above-grade rooms, including nine bedrooms, six full bathrooms, and two half bathrooms.  </w:t>
      </w:r>
      <w:r w:rsidR="0002053E">
        <w:rPr>
          <w:rFonts w:ascii="Courier New" w:hAnsi="Courier New" w:cs="Courier New"/>
          <w:sz w:val="24"/>
          <w:szCs w:val="24"/>
        </w:rPr>
        <w:t>T</w:t>
      </w:r>
      <w:r w:rsidR="00BC0C4D">
        <w:rPr>
          <w:rFonts w:ascii="Courier New" w:hAnsi="Courier New" w:cs="Courier New"/>
          <w:sz w:val="24"/>
          <w:szCs w:val="24"/>
        </w:rPr>
        <w:t xml:space="preserve">he </w:t>
      </w:r>
      <w:r w:rsidR="0002053E">
        <w:rPr>
          <w:rFonts w:ascii="Courier New" w:hAnsi="Courier New" w:cs="Courier New"/>
          <w:sz w:val="24"/>
          <w:szCs w:val="24"/>
        </w:rPr>
        <w:t xml:space="preserve">home was built in 1914, with a number of original period finishes such as gumwood and mahogany wood detailing </w:t>
      </w:r>
      <w:r w:rsidR="003F655C">
        <w:rPr>
          <w:rFonts w:ascii="Courier New" w:hAnsi="Courier New" w:cs="Courier New"/>
          <w:sz w:val="24"/>
          <w:szCs w:val="24"/>
        </w:rPr>
        <w:t>in the two-</w:t>
      </w:r>
      <w:r w:rsidR="0002053E">
        <w:rPr>
          <w:rFonts w:ascii="Courier New" w:hAnsi="Courier New" w:cs="Courier New"/>
          <w:sz w:val="24"/>
          <w:szCs w:val="24"/>
        </w:rPr>
        <w:t>story living room and baluster engravings</w:t>
      </w:r>
      <w:r w:rsidR="00BC0C4D">
        <w:rPr>
          <w:rFonts w:ascii="Courier New" w:hAnsi="Courier New" w:cs="Courier New"/>
          <w:sz w:val="24"/>
          <w:szCs w:val="24"/>
        </w:rPr>
        <w:t xml:space="preserve"> </w:t>
      </w:r>
      <w:r w:rsidR="003F655C">
        <w:rPr>
          <w:rFonts w:ascii="Courier New" w:hAnsi="Courier New" w:cs="Courier New"/>
          <w:sz w:val="24"/>
          <w:szCs w:val="24"/>
        </w:rPr>
        <w:t>on the main staircase.</w:t>
      </w:r>
      <w:r w:rsidR="00BC0C4D">
        <w:rPr>
          <w:rFonts w:ascii="Courier New" w:hAnsi="Courier New" w:cs="Courier New"/>
          <w:sz w:val="24"/>
          <w:szCs w:val="24"/>
        </w:rPr>
        <w:t xml:space="preserve"> The property record card for the subject property lists the dwelling </w:t>
      </w:r>
      <w:r w:rsidR="00DF1879">
        <w:rPr>
          <w:rFonts w:ascii="Courier New" w:hAnsi="Courier New" w:cs="Courier New"/>
          <w:sz w:val="24"/>
          <w:szCs w:val="24"/>
        </w:rPr>
        <w:t>as having</w:t>
      </w:r>
      <w:r w:rsidR="00BC0C4D">
        <w:rPr>
          <w:rFonts w:ascii="Courier New" w:hAnsi="Courier New" w:cs="Courier New"/>
          <w:sz w:val="24"/>
          <w:szCs w:val="24"/>
        </w:rPr>
        <w:t xml:space="preserve"> a grade of “AA superb.”  The kitchen has modern appliances, granite countertops, an </w:t>
      </w:r>
      <w:r w:rsidR="00BC0C4D">
        <w:rPr>
          <w:rFonts w:ascii="Courier New" w:hAnsi="Courier New" w:cs="Courier New"/>
          <w:sz w:val="24"/>
          <w:szCs w:val="24"/>
        </w:rPr>
        <w:lastRenderedPageBreak/>
        <w:t xml:space="preserve">adjoining butler’s pantry, and a center island equipped with a built-in gas cooktop.  The bathrooms generally contain older fixtures.  The home has hardwood flooring throughout and is equipped with a forced hot-water oil heating system.                </w:t>
      </w:r>
    </w:p>
    <w:p w:rsidR="00516F48" w:rsidRDefault="006E5363" w:rsidP="00A71143">
      <w:pPr>
        <w:pStyle w:val="NoSpacing"/>
        <w:tabs>
          <w:tab w:val="left" w:pos="0"/>
        </w:tabs>
        <w:spacing w:line="480" w:lineRule="auto"/>
        <w:jc w:val="both"/>
        <w:rPr>
          <w:rFonts w:ascii="Courier New" w:hAnsi="Courier New" w:cs="Courier New"/>
          <w:b/>
        </w:rPr>
      </w:pPr>
      <w:r>
        <w:rPr>
          <w:rFonts w:ascii="Courier New" w:hAnsi="Courier New" w:cs="Courier New"/>
          <w:sz w:val="24"/>
          <w:szCs w:val="24"/>
        </w:rPr>
        <w:tab/>
      </w:r>
      <w:r w:rsidR="00BC0C4D">
        <w:rPr>
          <w:rFonts w:ascii="Courier New" w:hAnsi="Courier New" w:cs="Courier New"/>
          <w:sz w:val="24"/>
          <w:szCs w:val="24"/>
        </w:rPr>
        <w:t xml:space="preserve"> Although the basement is unfinished, the attic contains approximately 1,000 square feet of finished living area, including two bedrooms and a bathroom.  Additional amenities include </w:t>
      </w:r>
      <w:r w:rsidR="002F2E23">
        <w:rPr>
          <w:rFonts w:ascii="Courier New" w:hAnsi="Courier New" w:cs="Courier New"/>
          <w:sz w:val="24"/>
          <w:szCs w:val="24"/>
        </w:rPr>
        <w:t xml:space="preserve">eight fireplaces, </w:t>
      </w:r>
      <w:r w:rsidR="00BC0C4D">
        <w:rPr>
          <w:rFonts w:ascii="Courier New" w:hAnsi="Courier New" w:cs="Courier New"/>
          <w:sz w:val="24"/>
          <w:szCs w:val="24"/>
        </w:rPr>
        <w:t xml:space="preserve">an in-ground pool, a hot tub, and a tennis court.  Surrounding the exterior of the dwelling are two porches, two patios, and a deck. </w:t>
      </w:r>
      <w:r w:rsidR="008C5730">
        <w:rPr>
          <w:rFonts w:ascii="Courier New" w:hAnsi="Courier New" w:cs="Courier New"/>
          <w:sz w:val="24"/>
          <w:szCs w:val="24"/>
        </w:rPr>
        <w:t xml:space="preserve">The </w:t>
      </w:r>
      <w:r w:rsidR="00473174">
        <w:rPr>
          <w:rFonts w:ascii="Courier New" w:hAnsi="Courier New" w:cs="Courier New"/>
          <w:sz w:val="24"/>
          <w:szCs w:val="24"/>
        </w:rPr>
        <w:t>house is set back from the street and is surrounded by a barrier of trees</w:t>
      </w:r>
      <w:r w:rsidR="00417A09">
        <w:rPr>
          <w:rFonts w:ascii="Courier New" w:hAnsi="Courier New" w:cs="Courier New"/>
          <w:sz w:val="24"/>
          <w:szCs w:val="24"/>
        </w:rPr>
        <w:t>, which</w:t>
      </w:r>
      <w:r w:rsidR="00417A09" w:rsidRPr="00417A09">
        <w:rPr>
          <w:rFonts w:ascii="Courier New" w:hAnsi="Courier New" w:cs="Courier New"/>
          <w:sz w:val="24"/>
          <w:szCs w:val="24"/>
        </w:rPr>
        <w:t xml:space="preserve"> </w:t>
      </w:r>
      <w:r w:rsidR="00417A09">
        <w:rPr>
          <w:rFonts w:ascii="Courier New" w:hAnsi="Courier New" w:cs="Courier New"/>
          <w:sz w:val="24"/>
          <w:szCs w:val="24"/>
        </w:rPr>
        <w:t>provide</w:t>
      </w:r>
      <w:r>
        <w:rPr>
          <w:rFonts w:ascii="Courier New" w:hAnsi="Courier New" w:cs="Courier New"/>
          <w:sz w:val="24"/>
          <w:szCs w:val="24"/>
        </w:rPr>
        <w:t>s</w:t>
      </w:r>
      <w:r w:rsidR="00417A09">
        <w:rPr>
          <w:rFonts w:ascii="Courier New" w:hAnsi="Courier New" w:cs="Courier New"/>
          <w:sz w:val="24"/>
          <w:szCs w:val="24"/>
        </w:rPr>
        <w:t xml:space="preserve"> a considerable amount of privacy.</w:t>
      </w:r>
      <w:r w:rsidR="00622FDB">
        <w:rPr>
          <w:rFonts w:ascii="Courier New" w:hAnsi="Courier New" w:cs="Courier New"/>
          <w:sz w:val="24"/>
          <w:szCs w:val="24"/>
        </w:rPr>
        <w:t xml:space="preserve">  </w:t>
      </w:r>
      <w:r w:rsidR="00473174">
        <w:rPr>
          <w:rFonts w:ascii="Courier New" w:hAnsi="Courier New" w:cs="Courier New"/>
          <w:sz w:val="24"/>
          <w:szCs w:val="24"/>
        </w:rPr>
        <w:t xml:space="preserve">There is a gated entrance to </w:t>
      </w:r>
      <w:r>
        <w:rPr>
          <w:rFonts w:ascii="Courier New" w:hAnsi="Courier New" w:cs="Courier New"/>
          <w:sz w:val="24"/>
          <w:szCs w:val="24"/>
        </w:rPr>
        <w:t>a</w:t>
      </w:r>
      <w:r w:rsidR="006F7FA0">
        <w:rPr>
          <w:rFonts w:ascii="Courier New" w:hAnsi="Courier New" w:cs="Courier New"/>
          <w:sz w:val="24"/>
          <w:szCs w:val="24"/>
        </w:rPr>
        <w:t xml:space="preserve"> long</w:t>
      </w:r>
      <w:r w:rsidR="00473174">
        <w:rPr>
          <w:rFonts w:ascii="Courier New" w:hAnsi="Courier New" w:cs="Courier New"/>
          <w:sz w:val="24"/>
          <w:szCs w:val="24"/>
        </w:rPr>
        <w:t xml:space="preserve"> driveway, which leads </w:t>
      </w:r>
      <w:r w:rsidR="00BB5407">
        <w:rPr>
          <w:rFonts w:ascii="Courier New" w:hAnsi="Courier New" w:cs="Courier New"/>
          <w:sz w:val="24"/>
          <w:szCs w:val="24"/>
        </w:rPr>
        <w:t xml:space="preserve">to </w:t>
      </w:r>
      <w:r w:rsidR="00473174">
        <w:rPr>
          <w:rFonts w:ascii="Courier New" w:hAnsi="Courier New" w:cs="Courier New"/>
          <w:sz w:val="24"/>
          <w:szCs w:val="24"/>
        </w:rPr>
        <w:t>both a two-car detached garage and a three-car detached garage</w:t>
      </w:r>
      <w:r w:rsidR="006F7FA0">
        <w:rPr>
          <w:rFonts w:ascii="Courier New" w:hAnsi="Courier New" w:cs="Courier New"/>
          <w:sz w:val="24"/>
          <w:szCs w:val="24"/>
        </w:rPr>
        <w:t>, the latter of which has been converted into a gym</w:t>
      </w:r>
      <w:r w:rsidR="00473174">
        <w:rPr>
          <w:rFonts w:ascii="Courier New" w:hAnsi="Courier New" w:cs="Courier New"/>
          <w:sz w:val="24"/>
          <w:szCs w:val="24"/>
        </w:rPr>
        <w:t xml:space="preserve">.  </w:t>
      </w:r>
      <w:r w:rsidR="00101079">
        <w:rPr>
          <w:rFonts w:ascii="Courier New" w:hAnsi="Courier New" w:cs="Courier New"/>
          <w:sz w:val="24"/>
          <w:szCs w:val="24"/>
        </w:rPr>
        <w:t>The grounds are professionally maintained and overlook a pond at the rear of the property</w:t>
      </w:r>
      <w:r>
        <w:rPr>
          <w:rFonts w:ascii="Courier New" w:hAnsi="Courier New" w:cs="Courier New"/>
          <w:sz w:val="24"/>
          <w:szCs w:val="24"/>
        </w:rPr>
        <w:t>.</w:t>
      </w:r>
    </w:p>
    <w:p w:rsidR="00A71143" w:rsidRDefault="00516F48" w:rsidP="00A71143">
      <w:pPr>
        <w:pStyle w:val="NoSpacing"/>
        <w:tabs>
          <w:tab w:val="left" w:pos="0"/>
        </w:tabs>
        <w:spacing w:line="480" w:lineRule="auto"/>
        <w:jc w:val="both"/>
        <w:rPr>
          <w:rFonts w:ascii="Courier New" w:hAnsi="Courier New" w:cs="Courier New"/>
          <w:sz w:val="24"/>
          <w:szCs w:val="24"/>
        </w:rPr>
      </w:pPr>
      <w:r>
        <w:rPr>
          <w:rFonts w:ascii="Courier New" w:hAnsi="Courier New" w:cs="Courier New"/>
          <w:b/>
        </w:rPr>
        <w:tab/>
      </w:r>
      <w:r w:rsidR="00A71143">
        <w:rPr>
          <w:rFonts w:ascii="Courier New" w:hAnsi="Courier New" w:cs="Courier New"/>
          <w:sz w:val="24"/>
          <w:szCs w:val="24"/>
        </w:rPr>
        <w:t xml:space="preserve">The appellant purchased the subject property on June 30, 2009 for $4,420,000, or $29,100 more </w:t>
      </w:r>
      <w:r w:rsidR="00D55B91">
        <w:rPr>
          <w:rFonts w:ascii="Courier New" w:hAnsi="Courier New" w:cs="Courier New"/>
          <w:sz w:val="24"/>
          <w:szCs w:val="24"/>
        </w:rPr>
        <w:t xml:space="preserve">than </w:t>
      </w:r>
      <w:r w:rsidR="00A71143">
        <w:rPr>
          <w:rFonts w:ascii="Courier New" w:hAnsi="Courier New" w:cs="Courier New"/>
          <w:sz w:val="24"/>
          <w:szCs w:val="24"/>
        </w:rPr>
        <w:t xml:space="preserve">its assessed value after abatement. The subject property had been listed by the seller at an asking price of $5,400,000. </w:t>
      </w:r>
      <w:r w:rsidR="00905729">
        <w:rPr>
          <w:rFonts w:ascii="Courier New" w:hAnsi="Courier New" w:cs="Courier New"/>
          <w:sz w:val="24"/>
          <w:szCs w:val="24"/>
        </w:rPr>
        <w:t>According to</w:t>
      </w:r>
      <w:r w:rsidR="00A71143">
        <w:rPr>
          <w:rFonts w:ascii="Courier New" w:hAnsi="Courier New" w:cs="Courier New"/>
          <w:sz w:val="24"/>
          <w:szCs w:val="24"/>
        </w:rPr>
        <w:t xml:space="preserve"> the Sale Verification Form completed and executed by the seller, the appellant purchased the property </w:t>
      </w:r>
      <w:r w:rsidR="00F37E6B">
        <w:rPr>
          <w:rFonts w:ascii="Courier New" w:hAnsi="Courier New" w:cs="Courier New"/>
          <w:sz w:val="24"/>
          <w:szCs w:val="24"/>
        </w:rPr>
        <w:t>in an arm’s length transaction in which</w:t>
      </w:r>
      <w:r w:rsidR="00A71143">
        <w:rPr>
          <w:rFonts w:ascii="Courier New" w:hAnsi="Courier New" w:cs="Courier New"/>
          <w:sz w:val="24"/>
          <w:szCs w:val="24"/>
        </w:rPr>
        <w:t xml:space="preserve"> there were no special circumstances present </w:t>
      </w:r>
      <w:r w:rsidR="00905729">
        <w:rPr>
          <w:rFonts w:ascii="Courier New" w:hAnsi="Courier New" w:cs="Courier New"/>
          <w:sz w:val="24"/>
          <w:szCs w:val="24"/>
        </w:rPr>
        <w:t xml:space="preserve">to </w:t>
      </w:r>
      <w:r w:rsidR="00A71143">
        <w:rPr>
          <w:rFonts w:ascii="Courier New" w:hAnsi="Courier New" w:cs="Courier New"/>
          <w:sz w:val="24"/>
          <w:szCs w:val="24"/>
        </w:rPr>
        <w:t xml:space="preserve">influence the </w:t>
      </w:r>
      <w:r w:rsidR="00905729">
        <w:rPr>
          <w:rFonts w:ascii="Courier New" w:hAnsi="Courier New" w:cs="Courier New"/>
          <w:sz w:val="24"/>
          <w:szCs w:val="24"/>
        </w:rPr>
        <w:t>sale price</w:t>
      </w:r>
      <w:r w:rsidR="00A71143">
        <w:rPr>
          <w:rFonts w:ascii="Courier New" w:hAnsi="Courier New" w:cs="Courier New"/>
          <w:sz w:val="24"/>
          <w:szCs w:val="24"/>
        </w:rPr>
        <w:t xml:space="preserve">.  </w:t>
      </w:r>
    </w:p>
    <w:p w:rsidR="0049227B" w:rsidRDefault="00126677" w:rsidP="00992E03">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lastRenderedPageBreak/>
        <w:t xml:space="preserve"> </w:t>
      </w:r>
      <w:r w:rsidR="00A71143">
        <w:rPr>
          <w:rFonts w:ascii="Courier New" w:hAnsi="Courier New" w:cs="Courier New"/>
          <w:sz w:val="24"/>
          <w:szCs w:val="24"/>
        </w:rPr>
        <w:tab/>
      </w:r>
      <w:r w:rsidR="00C61985">
        <w:rPr>
          <w:rFonts w:ascii="Courier New" w:hAnsi="Courier New" w:cs="Courier New"/>
          <w:sz w:val="24"/>
          <w:szCs w:val="24"/>
        </w:rPr>
        <w:t xml:space="preserve">In estimating the fair market value of the subject property, </w:t>
      </w:r>
      <w:r w:rsidR="006E5363">
        <w:rPr>
          <w:rFonts w:ascii="Courier New" w:hAnsi="Courier New" w:cs="Courier New"/>
          <w:sz w:val="24"/>
          <w:szCs w:val="24"/>
        </w:rPr>
        <w:t xml:space="preserve">the appellant’s expert witness, </w:t>
      </w:r>
      <w:r w:rsidR="00EB6B08">
        <w:rPr>
          <w:rFonts w:ascii="Courier New" w:hAnsi="Courier New" w:cs="Courier New"/>
          <w:sz w:val="24"/>
          <w:szCs w:val="24"/>
        </w:rPr>
        <w:t>Mr. O’Neil</w:t>
      </w:r>
      <w:r w:rsidR="006E5363">
        <w:rPr>
          <w:rFonts w:ascii="Courier New" w:hAnsi="Courier New" w:cs="Courier New"/>
          <w:sz w:val="24"/>
          <w:szCs w:val="24"/>
        </w:rPr>
        <w:t>,</w:t>
      </w:r>
      <w:r w:rsidR="00EB6B08">
        <w:rPr>
          <w:rFonts w:ascii="Courier New" w:hAnsi="Courier New" w:cs="Courier New"/>
          <w:sz w:val="24"/>
          <w:szCs w:val="24"/>
        </w:rPr>
        <w:t xml:space="preserve"> assumed</w:t>
      </w:r>
      <w:r w:rsidR="00877663">
        <w:rPr>
          <w:rFonts w:ascii="Courier New" w:hAnsi="Courier New" w:cs="Courier New"/>
          <w:sz w:val="24"/>
          <w:szCs w:val="24"/>
        </w:rPr>
        <w:t xml:space="preserve"> that</w:t>
      </w:r>
      <w:r w:rsidR="00C61985">
        <w:rPr>
          <w:rFonts w:ascii="Courier New" w:hAnsi="Courier New" w:cs="Courier New"/>
          <w:sz w:val="24"/>
          <w:szCs w:val="24"/>
        </w:rPr>
        <w:t xml:space="preserve"> its</w:t>
      </w:r>
      <w:r w:rsidR="00877663">
        <w:rPr>
          <w:rFonts w:ascii="Courier New" w:hAnsi="Courier New" w:cs="Courier New"/>
          <w:sz w:val="24"/>
          <w:szCs w:val="24"/>
        </w:rPr>
        <w:t xml:space="preserve"> </w:t>
      </w:r>
      <w:r w:rsidR="00EB6B08">
        <w:rPr>
          <w:rFonts w:ascii="Courier New" w:hAnsi="Courier New" w:cs="Courier New"/>
          <w:sz w:val="24"/>
          <w:szCs w:val="24"/>
        </w:rPr>
        <w:t>hig</w:t>
      </w:r>
      <w:r w:rsidR="00877663">
        <w:rPr>
          <w:rFonts w:ascii="Courier New" w:hAnsi="Courier New" w:cs="Courier New"/>
          <w:sz w:val="24"/>
          <w:szCs w:val="24"/>
        </w:rPr>
        <w:t>hest and best use</w:t>
      </w:r>
      <w:r w:rsidR="00C61985">
        <w:rPr>
          <w:rFonts w:ascii="Courier New" w:hAnsi="Courier New" w:cs="Courier New"/>
          <w:sz w:val="24"/>
          <w:szCs w:val="24"/>
        </w:rPr>
        <w:t xml:space="preserve"> </w:t>
      </w:r>
      <w:r w:rsidR="00EB6B08">
        <w:rPr>
          <w:rFonts w:ascii="Courier New" w:hAnsi="Courier New" w:cs="Courier New"/>
          <w:sz w:val="24"/>
          <w:szCs w:val="24"/>
        </w:rPr>
        <w:t xml:space="preserve">was </w:t>
      </w:r>
      <w:r w:rsidR="00905FF9">
        <w:rPr>
          <w:rFonts w:ascii="Courier New" w:hAnsi="Courier New" w:cs="Courier New"/>
          <w:sz w:val="24"/>
          <w:szCs w:val="24"/>
        </w:rPr>
        <w:t xml:space="preserve">its current use </w:t>
      </w:r>
      <w:r w:rsidR="007C25F3">
        <w:rPr>
          <w:rFonts w:ascii="Courier New" w:hAnsi="Courier New" w:cs="Courier New"/>
          <w:sz w:val="24"/>
          <w:szCs w:val="24"/>
        </w:rPr>
        <w:t xml:space="preserve">as </w:t>
      </w:r>
      <w:r w:rsidR="00B14A74">
        <w:rPr>
          <w:rFonts w:ascii="Courier New" w:hAnsi="Courier New" w:cs="Courier New"/>
          <w:sz w:val="24"/>
          <w:szCs w:val="24"/>
        </w:rPr>
        <w:t>a</w:t>
      </w:r>
      <w:r w:rsidR="00EB6B08">
        <w:rPr>
          <w:rFonts w:ascii="Courier New" w:hAnsi="Courier New" w:cs="Courier New"/>
          <w:sz w:val="24"/>
          <w:szCs w:val="24"/>
        </w:rPr>
        <w:t xml:space="preserve"> single </w:t>
      </w:r>
      <w:r w:rsidR="00905FF9">
        <w:rPr>
          <w:rFonts w:ascii="Courier New" w:hAnsi="Courier New" w:cs="Courier New"/>
          <w:sz w:val="24"/>
          <w:szCs w:val="24"/>
        </w:rPr>
        <w:t>family residence</w:t>
      </w:r>
      <w:r w:rsidR="006E5363">
        <w:rPr>
          <w:rFonts w:ascii="Courier New" w:hAnsi="Courier New" w:cs="Courier New"/>
          <w:sz w:val="24"/>
          <w:szCs w:val="24"/>
        </w:rPr>
        <w:t xml:space="preserve">. He </w:t>
      </w:r>
      <w:r w:rsidR="00992E03">
        <w:rPr>
          <w:rFonts w:ascii="Courier New" w:hAnsi="Courier New" w:cs="Courier New"/>
          <w:sz w:val="24"/>
          <w:szCs w:val="24"/>
        </w:rPr>
        <w:t>relied primarily on the sales-compari</w:t>
      </w:r>
      <w:r w:rsidR="00226281">
        <w:rPr>
          <w:rFonts w:ascii="Courier New" w:hAnsi="Courier New" w:cs="Courier New"/>
          <w:sz w:val="24"/>
          <w:szCs w:val="24"/>
        </w:rPr>
        <w:t>son approach</w:t>
      </w:r>
      <w:r w:rsidR="00A972C9">
        <w:rPr>
          <w:rFonts w:ascii="Courier New" w:hAnsi="Courier New" w:cs="Courier New"/>
          <w:sz w:val="24"/>
          <w:szCs w:val="24"/>
        </w:rPr>
        <w:t>, while using the cost approach as a check</w:t>
      </w:r>
      <w:r w:rsidR="008201EB">
        <w:rPr>
          <w:rFonts w:ascii="Courier New" w:hAnsi="Courier New" w:cs="Courier New"/>
          <w:sz w:val="24"/>
          <w:szCs w:val="24"/>
        </w:rPr>
        <w:t xml:space="preserve"> to ensure the reasonableness of the value derived under the sales-comparison approach</w:t>
      </w:r>
      <w:r w:rsidR="00226281">
        <w:rPr>
          <w:rFonts w:ascii="Courier New" w:hAnsi="Courier New" w:cs="Courier New"/>
          <w:sz w:val="24"/>
          <w:szCs w:val="24"/>
        </w:rPr>
        <w:t>.</w:t>
      </w:r>
      <w:r w:rsidR="002229CA">
        <w:rPr>
          <w:rFonts w:ascii="Courier New" w:hAnsi="Courier New" w:cs="Courier New"/>
          <w:sz w:val="24"/>
          <w:szCs w:val="24"/>
        </w:rPr>
        <w:t xml:space="preserve">  </w:t>
      </w:r>
      <w:r w:rsidR="0049227B">
        <w:rPr>
          <w:rFonts w:ascii="Courier New" w:hAnsi="Courier New" w:cs="Courier New"/>
          <w:sz w:val="24"/>
          <w:szCs w:val="24"/>
        </w:rPr>
        <w:t>Because the original period finishes</w:t>
      </w:r>
      <w:r w:rsidR="00A972C9">
        <w:rPr>
          <w:rFonts w:ascii="Courier New" w:hAnsi="Courier New" w:cs="Courier New"/>
          <w:sz w:val="24"/>
          <w:szCs w:val="24"/>
        </w:rPr>
        <w:t>,</w:t>
      </w:r>
      <w:r w:rsidR="0049227B">
        <w:rPr>
          <w:rFonts w:ascii="Courier New" w:hAnsi="Courier New" w:cs="Courier New"/>
          <w:sz w:val="24"/>
          <w:szCs w:val="24"/>
        </w:rPr>
        <w:t xml:space="preserve"> such as the wood detailing and the baluster engravings</w:t>
      </w:r>
      <w:r w:rsidR="00A972C9">
        <w:rPr>
          <w:rFonts w:ascii="Courier New" w:hAnsi="Courier New" w:cs="Courier New"/>
          <w:sz w:val="24"/>
          <w:szCs w:val="24"/>
        </w:rPr>
        <w:t>,</w:t>
      </w:r>
      <w:r w:rsidR="0049227B">
        <w:rPr>
          <w:rFonts w:ascii="Courier New" w:hAnsi="Courier New" w:cs="Courier New"/>
          <w:sz w:val="24"/>
          <w:szCs w:val="24"/>
        </w:rPr>
        <w:t xml:space="preserve"> would render the cost of reproducing the house in its exact state to be </w:t>
      </w:r>
      <w:r w:rsidR="00905FF9">
        <w:rPr>
          <w:rFonts w:ascii="Courier New" w:hAnsi="Courier New" w:cs="Courier New"/>
          <w:sz w:val="24"/>
          <w:szCs w:val="24"/>
        </w:rPr>
        <w:t>prohibitive</w:t>
      </w:r>
      <w:r w:rsidR="00A972C9">
        <w:rPr>
          <w:rFonts w:ascii="Courier New" w:hAnsi="Courier New" w:cs="Courier New"/>
          <w:sz w:val="24"/>
          <w:szCs w:val="24"/>
        </w:rPr>
        <w:t>, Mr. O’Neil looked at the cost of replacing the home with one of similar quality</w:t>
      </w:r>
      <w:r w:rsidR="008201EB">
        <w:rPr>
          <w:rFonts w:ascii="Courier New" w:hAnsi="Courier New" w:cs="Courier New"/>
          <w:sz w:val="24"/>
          <w:szCs w:val="24"/>
        </w:rPr>
        <w:t xml:space="preserve"> as opposed to actual reproduction.</w:t>
      </w:r>
      <w:r w:rsidR="00A972C9">
        <w:rPr>
          <w:rFonts w:ascii="Courier New" w:hAnsi="Courier New" w:cs="Courier New"/>
          <w:sz w:val="24"/>
          <w:szCs w:val="24"/>
        </w:rPr>
        <w:t xml:space="preserve"> </w:t>
      </w:r>
      <w:r w:rsidR="0049227B">
        <w:rPr>
          <w:rFonts w:ascii="Courier New" w:hAnsi="Courier New" w:cs="Courier New"/>
          <w:sz w:val="24"/>
          <w:szCs w:val="24"/>
        </w:rPr>
        <w:t xml:space="preserve"> </w:t>
      </w:r>
    </w:p>
    <w:p w:rsidR="00F37E6B" w:rsidRDefault="009E7CFB" w:rsidP="00992E03">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102974">
        <w:rPr>
          <w:rFonts w:ascii="Courier New" w:hAnsi="Courier New" w:cs="Courier New"/>
          <w:sz w:val="24"/>
          <w:szCs w:val="24"/>
        </w:rPr>
        <w:t xml:space="preserve">Mr. O’Neil </w:t>
      </w:r>
      <w:r w:rsidR="002229CA">
        <w:rPr>
          <w:rFonts w:ascii="Courier New" w:hAnsi="Courier New" w:cs="Courier New"/>
          <w:sz w:val="24"/>
          <w:szCs w:val="24"/>
        </w:rPr>
        <w:t xml:space="preserve">reviewed sales of </w:t>
      </w:r>
      <w:r w:rsidR="00877663">
        <w:rPr>
          <w:rFonts w:ascii="Courier New" w:hAnsi="Courier New" w:cs="Courier New"/>
          <w:sz w:val="24"/>
          <w:szCs w:val="24"/>
        </w:rPr>
        <w:t xml:space="preserve">single-family </w:t>
      </w:r>
      <w:r w:rsidR="002229CA">
        <w:rPr>
          <w:rFonts w:ascii="Courier New" w:hAnsi="Courier New" w:cs="Courier New"/>
          <w:sz w:val="24"/>
          <w:szCs w:val="24"/>
        </w:rPr>
        <w:t xml:space="preserve">residential properties in Dover </w:t>
      </w:r>
      <w:r w:rsidR="00102974">
        <w:rPr>
          <w:rFonts w:ascii="Courier New" w:hAnsi="Courier New" w:cs="Courier New"/>
          <w:sz w:val="24"/>
          <w:szCs w:val="24"/>
        </w:rPr>
        <w:t>based</w:t>
      </w:r>
      <w:r w:rsidR="006531A6">
        <w:rPr>
          <w:rFonts w:ascii="Courier New" w:hAnsi="Courier New" w:cs="Courier New"/>
          <w:sz w:val="24"/>
          <w:szCs w:val="24"/>
        </w:rPr>
        <w:t xml:space="preserve"> largely</w:t>
      </w:r>
      <w:r w:rsidR="00102974">
        <w:rPr>
          <w:rFonts w:ascii="Courier New" w:hAnsi="Courier New" w:cs="Courier New"/>
          <w:sz w:val="24"/>
          <w:szCs w:val="24"/>
        </w:rPr>
        <w:t xml:space="preserve"> on </w:t>
      </w:r>
      <w:r w:rsidR="006531A6">
        <w:rPr>
          <w:rFonts w:ascii="Courier New" w:hAnsi="Courier New" w:cs="Courier New"/>
          <w:sz w:val="24"/>
          <w:szCs w:val="24"/>
        </w:rPr>
        <w:t xml:space="preserve">their </w:t>
      </w:r>
      <w:r w:rsidR="00102974">
        <w:rPr>
          <w:rFonts w:ascii="Courier New" w:hAnsi="Courier New" w:cs="Courier New"/>
          <w:sz w:val="24"/>
          <w:szCs w:val="24"/>
        </w:rPr>
        <w:t>date of sale, lot size, gross living area, and</w:t>
      </w:r>
      <w:r w:rsidR="00D40539">
        <w:rPr>
          <w:rFonts w:ascii="Courier New" w:hAnsi="Courier New" w:cs="Courier New"/>
          <w:sz w:val="24"/>
          <w:szCs w:val="24"/>
        </w:rPr>
        <w:t xml:space="preserve"> </w:t>
      </w:r>
      <w:r w:rsidR="00525CB6">
        <w:rPr>
          <w:rFonts w:ascii="Courier New" w:hAnsi="Courier New" w:cs="Courier New"/>
          <w:sz w:val="24"/>
          <w:szCs w:val="24"/>
        </w:rPr>
        <w:t>proximity to water</w:t>
      </w:r>
      <w:r w:rsidR="003319D5">
        <w:rPr>
          <w:rFonts w:ascii="Courier New" w:hAnsi="Courier New" w:cs="Courier New"/>
          <w:sz w:val="24"/>
          <w:szCs w:val="24"/>
        </w:rPr>
        <w:t>.  From th</w:t>
      </w:r>
      <w:r w:rsidR="006F7FA0">
        <w:rPr>
          <w:rFonts w:ascii="Courier New" w:hAnsi="Courier New" w:cs="Courier New"/>
          <w:sz w:val="24"/>
          <w:szCs w:val="24"/>
        </w:rPr>
        <w:t xml:space="preserve">ese properties, Mr. O’Neil </w:t>
      </w:r>
      <w:r w:rsidR="003319D5">
        <w:rPr>
          <w:rFonts w:ascii="Courier New" w:hAnsi="Courier New" w:cs="Courier New"/>
          <w:sz w:val="24"/>
          <w:szCs w:val="24"/>
        </w:rPr>
        <w:t xml:space="preserve">chose </w:t>
      </w:r>
      <w:r w:rsidR="0049227B">
        <w:rPr>
          <w:rFonts w:ascii="Courier New" w:hAnsi="Courier New" w:cs="Courier New"/>
          <w:sz w:val="24"/>
          <w:szCs w:val="24"/>
        </w:rPr>
        <w:t>five sales of purportedly comparable properties in Dover, which sold between November 19, 2008 and November 9, 2010</w:t>
      </w:r>
      <w:r w:rsidR="00905729">
        <w:rPr>
          <w:rFonts w:ascii="Courier New" w:hAnsi="Courier New" w:cs="Courier New"/>
          <w:sz w:val="24"/>
          <w:szCs w:val="24"/>
        </w:rPr>
        <w:t xml:space="preserve"> and</w:t>
      </w:r>
      <w:r w:rsidR="0049227B">
        <w:rPr>
          <w:rFonts w:ascii="Courier New" w:hAnsi="Courier New" w:cs="Courier New"/>
          <w:sz w:val="24"/>
          <w:szCs w:val="24"/>
        </w:rPr>
        <w:t xml:space="preserve"> which</w:t>
      </w:r>
      <w:r w:rsidR="003319D5">
        <w:rPr>
          <w:rFonts w:ascii="Courier New" w:hAnsi="Courier New" w:cs="Courier New"/>
          <w:sz w:val="24"/>
          <w:szCs w:val="24"/>
        </w:rPr>
        <w:t xml:space="preserve"> he determined to be the most comparable sales for the fiscal year at issue</w:t>
      </w:r>
      <w:r>
        <w:rPr>
          <w:rFonts w:ascii="Courier New" w:hAnsi="Courier New" w:cs="Courier New"/>
          <w:sz w:val="24"/>
          <w:szCs w:val="24"/>
        </w:rPr>
        <w:t>, making adjustments for differing characteristics</w:t>
      </w:r>
      <w:r w:rsidR="000B047A">
        <w:rPr>
          <w:rFonts w:ascii="Courier New" w:hAnsi="Courier New" w:cs="Courier New"/>
          <w:sz w:val="24"/>
          <w:szCs w:val="24"/>
        </w:rPr>
        <w:t>,</w:t>
      </w:r>
      <w:r>
        <w:rPr>
          <w:rFonts w:ascii="Courier New" w:hAnsi="Courier New" w:cs="Courier New"/>
          <w:sz w:val="24"/>
          <w:szCs w:val="24"/>
        </w:rPr>
        <w:t xml:space="preserve"> as summarized in the following table:</w:t>
      </w:r>
      <w:r w:rsidR="00310118">
        <w:rPr>
          <w:rFonts w:ascii="Courier New" w:hAnsi="Courier New" w:cs="Courier New"/>
          <w:sz w:val="24"/>
          <w:szCs w:val="24"/>
        </w:rPr>
        <w:t xml:space="preserve"> </w:t>
      </w:r>
      <w:r w:rsidR="00382AF2">
        <w:rPr>
          <w:rFonts w:ascii="Courier New" w:hAnsi="Courier New" w:cs="Courier New"/>
          <w:sz w:val="24"/>
          <w:szCs w:val="24"/>
        </w:rPr>
        <w:t xml:space="preserve"> </w:t>
      </w:r>
    </w:p>
    <w:p w:rsidR="00F37E6B" w:rsidRDefault="00F37E6B">
      <w:pPr>
        <w:spacing w:after="160" w:line="259" w:lineRule="auto"/>
        <w:rPr>
          <w:rFonts w:ascii="Courier New" w:eastAsiaTheme="minorHAnsi" w:hAnsi="Courier New" w:cs="Courier New"/>
        </w:rPr>
      </w:pPr>
      <w:r>
        <w:rPr>
          <w:rFonts w:ascii="Courier New" w:hAnsi="Courier New" w:cs="Courier New"/>
        </w:rPr>
        <w:br w:type="page"/>
      </w:r>
    </w:p>
    <w:p w:rsidR="00233CAE" w:rsidRDefault="00233CAE" w:rsidP="00992E03">
      <w:pPr>
        <w:pStyle w:val="NoSpacing"/>
        <w:tabs>
          <w:tab w:val="left" w:pos="0"/>
        </w:tabs>
        <w:spacing w:line="480" w:lineRule="auto"/>
        <w:jc w:val="both"/>
        <w:rPr>
          <w:rFonts w:ascii="Courier New" w:hAnsi="Courier New" w:cs="Courier New"/>
          <w:sz w:val="24"/>
          <w:szCs w:val="24"/>
        </w:rPr>
      </w:pPr>
    </w:p>
    <w:tbl>
      <w:tblPr>
        <w:tblW w:w="5108" w:type="pct"/>
        <w:tblLook w:val="04A0" w:firstRow="1" w:lastRow="0" w:firstColumn="1" w:lastColumn="0" w:noHBand="0" w:noVBand="1"/>
      </w:tblPr>
      <w:tblGrid>
        <w:gridCol w:w="1537"/>
        <w:gridCol w:w="1234"/>
        <w:gridCol w:w="1373"/>
        <w:gridCol w:w="963"/>
        <w:gridCol w:w="1374"/>
        <w:gridCol w:w="963"/>
        <w:gridCol w:w="1374"/>
        <w:gridCol w:w="965"/>
      </w:tblGrid>
      <w:tr w:rsidR="00516F48" w:rsidRPr="00516F48" w:rsidTr="00516F48">
        <w:trPr>
          <w:trHeight w:val="501"/>
        </w:trPr>
        <w:tc>
          <w:tcPr>
            <w:tcW w:w="7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 </w:t>
            </w:r>
          </w:p>
        </w:tc>
        <w:tc>
          <w:tcPr>
            <w:tcW w:w="631" w:type="pct"/>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Subject Property</w:t>
            </w:r>
          </w:p>
        </w:tc>
        <w:tc>
          <w:tcPr>
            <w:tcW w:w="1194" w:type="pct"/>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Sale 1</w:t>
            </w:r>
          </w:p>
        </w:tc>
        <w:tc>
          <w:tcPr>
            <w:tcW w:w="1194" w:type="pct"/>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Sale 2</w:t>
            </w:r>
          </w:p>
        </w:tc>
        <w:tc>
          <w:tcPr>
            <w:tcW w:w="1194" w:type="pct"/>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Sale 3</w:t>
            </w:r>
          </w:p>
        </w:tc>
      </w:tr>
      <w:tr w:rsidR="00516F48" w:rsidRPr="00516F48" w:rsidTr="00516F48">
        <w:trPr>
          <w:trHeight w:val="243"/>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 </w:t>
            </w:r>
          </w:p>
        </w:tc>
        <w:tc>
          <w:tcPr>
            <w:tcW w:w="631"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72 Farm St</w:t>
            </w:r>
          </w:p>
        </w:tc>
        <w:tc>
          <w:tcPr>
            <w:tcW w:w="1194" w:type="pct"/>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164-A Centre St</w:t>
            </w:r>
          </w:p>
        </w:tc>
        <w:tc>
          <w:tcPr>
            <w:tcW w:w="1194" w:type="pct"/>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16 Donnelly Rd</w:t>
            </w:r>
          </w:p>
        </w:tc>
        <w:tc>
          <w:tcPr>
            <w:tcW w:w="1194" w:type="pct"/>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3 Claybrook Rd</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Sale Date</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1194" w:type="pct"/>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7/23/2009</w:t>
            </w:r>
          </w:p>
        </w:tc>
        <w:tc>
          <w:tcPr>
            <w:tcW w:w="1194" w:type="pct"/>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5/6/2010</w:t>
            </w:r>
          </w:p>
        </w:tc>
        <w:tc>
          <w:tcPr>
            <w:tcW w:w="1194" w:type="pct"/>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Pr>
                <w:rFonts w:ascii="Calibri" w:hAnsi="Calibri"/>
                <w:color w:val="000000"/>
                <w:sz w:val="18"/>
                <w:szCs w:val="18"/>
              </w:rPr>
              <w:t>11/19/2008</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Sale Price</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1194" w:type="pct"/>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xml:space="preserve">$2,200,000 </w:t>
            </w:r>
          </w:p>
        </w:tc>
        <w:tc>
          <w:tcPr>
            <w:tcW w:w="1194" w:type="pct"/>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xml:space="preserve">$2,100,000 </w:t>
            </w:r>
          </w:p>
        </w:tc>
        <w:tc>
          <w:tcPr>
            <w:tcW w:w="1194" w:type="pct"/>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Pr>
                <w:rFonts w:ascii="Calibri" w:hAnsi="Calibri"/>
                <w:color w:val="000000"/>
                <w:sz w:val="18"/>
                <w:szCs w:val="18"/>
              </w:rPr>
              <w:t>$</w:t>
            </w:r>
            <w:r w:rsidRPr="00516F48">
              <w:rPr>
                <w:rFonts w:ascii="Calibri" w:hAnsi="Calibri"/>
                <w:color w:val="000000"/>
                <w:sz w:val="18"/>
                <w:szCs w:val="18"/>
              </w:rPr>
              <w:t>2</w:t>
            </w:r>
            <w:r>
              <w:rPr>
                <w:rFonts w:ascii="Calibri" w:hAnsi="Calibri"/>
                <w:color w:val="000000"/>
                <w:sz w:val="18"/>
                <w:szCs w:val="18"/>
              </w:rPr>
              <w:t>,</w:t>
            </w:r>
            <w:r w:rsidRPr="00516F48">
              <w:rPr>
                <w:rFonts w:ascii="Calibri" w:hAnsi="Calibri"/>
                <w:color w:val="000000"/>
                <w:sz w:val="18"/>
                <w:szCs w:val="18"/>
              </w:rPr>
              <w:t>000</w:t>
            </w:r>
            <w:r>
              <w:rPr>
                <w:rFonts w:ascii="Calibri" w:hAnsi="Calibri"/>
                <w:color w:val="000000"/>
                <w:sz w:val="18"/>
                <w:szCs w:val="18"/>
              </w:rPr>
              <w:t>,</w:t>
            </w:r>
            <w:r w:rsidRPr="00516F48">
              <w:rPr>
                <w:rFonts w:ascii="Calibri" w:hAnsi="Calibri"/>
                <w:color w:val="000000"/>
                <w:sz w:val="18"/>
                <w:szCs w:val="18"/>
              </w:rPr>
              <w:t>000</w:t>
            </w:r>
          </w:p>
        </w:tc>
      </w:tr>
      <w:tr w:rsidR="00516F48" w:rsidRPr="00516F48" w:rsidTr="00516F48">
        <w:trPr>
          <w:trHeight w:val="304"/>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b/>
                <w:bCs/>
                <w:color w:val="000000"/>
                <w:sz w:val="18"/>
                <w:szCs w:val="18"/>
              </w:rPr>
            </w:pPr>
            <w:r w:rsidRPr="00516F48">
              <w:rPr>
                <w:rFonts w:ascii="Calibri" w:hAnsi="Calibri"/>
                <w:b/>
                <w:bCs/>
                <w:color w:val="000000"/>
                <w:sz w:val="18"/>
                <w:szCs w:val="18"/>
              </w:rPr>
              <w:t>VALUE ADJUSTMENTS</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Land Size (acres)</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11.94</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3.76</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160,000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2.1</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180,000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16.4</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-80,000</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Gross Living Area (sq. ft.)</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8,333</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9,775</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-72,100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6,900</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71,650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3,696</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231,850</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View</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Woods-Pond</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Woods</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4C33FA" w:rsidP="00516F48">
            <w:pPr>
              <w:jc w:val="center"/>
              <w:rPr>
                <w:rFonts w:ascii="Calibri" w:hAnsi="Calibri"/>
                <w:color w:val="000000"/>
                <w:sz w:val="18"/>
                <w:szCs w:val="18"/>
              </w:rPr>
            </w:pPr>
            <w:r>
              <w:rPr>
                <w:rFonts w:ascii="Calibri" w:hAnsi="Calibri"/>
                <w:color w:val="000000"/>
                <w:sz w:val="18"/>
                <w:szCs w:val="18"/>
              </w:rPr>
              <w:t>100,000</w:t>
            </w:r>
            <w:r w:rsidR="00516F48"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Neighborhood</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125,000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Woods-River</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Quality of Construction</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Good</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Good</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Good</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Inferior</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100,000</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Condition</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Good</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Good</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Superior</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-105,000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Inferior</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200,000</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Room Count</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16</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12</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11</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Bedrooms</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9</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20,000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4</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25,000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4</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25,000</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Full Bathrooms</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6</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6</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3</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30,000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4</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20,000</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Half Bathrooms</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w:t>
            </w:r>
          </w:p>
        </w:tc>
      </w:tr>
      <w:tr w:rsidR="00516F48" w:rsidRPr="00516F48" w:rsidTr="00516F48">
        <w:trPr>
          <w:trHeight w:val="501"/>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Basement</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FA7DA8" w:rsidP="00FA7DA8">
            <w:pPr>
              <w:jc w:val="center"/>
              <w:rPr>
                <w:rFonts w:ascii="Calibri" w:hAnsi="Calibri"/>
                <w:color w:val="000000"/>
                <w:sz w:val="18"/>
                <w:szCs w:val="18"/>
              </w:rPr>
            </w:pPr>
            <w:r>
              <w:rPr>
                <w:rFonts w:ascii="Calibri" w:hAnsi="Calibri"/>
                <w:color w:val="000000"/>
                <w:sz w:val="18"/>
                <w:szCs w:val="18"/>
              </w:rPr>
              <w:t>Full Unfin</w:t>
            </w:r>
            <w:r w:rsidR="00516F48" w:rsidRPr="00516F48">
              <w:rPr>
                <w:rFonts w:ascii="Calibri" w:hAnsi="Calibri"/>
                <w:color w:val="000000"/>
                <w:sz w:val="18"/>
                <w:szCs w:val="18"/>
              </w:rPr>
              <w:t>ished</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Full Finished</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Full Finished</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-15,000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Slab</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Heating/Cooling</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Central/None</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Central/Central</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Central/Central</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Central/Central</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Garage</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 Car Garage</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3 Car Garage</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20,000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3 Car Garage</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20,000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 Car &amp; Barn</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Porch/Patio/Deck</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2/2/1</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1/1/0</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Similar</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Similar</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Fireplaces</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8</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7,500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3</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12,500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17,500</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In-Ground Pool</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Yes</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No</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No</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Yes</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Tennis Court</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Yes</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No</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No</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5,000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No</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5,000</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 </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r>
      <w:tr w:rsidR="00516F48" w:rsidRPr="00516F48" w:rsidTr="00516F48">
        <w:trPr>
          <w:trHeight w:val="304"/>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Net Adjustments</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11.20%</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245,400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16.60%</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349,150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26.50%</w:t>
            </w:r>
          </w:p>
        </w:tc>
        <w:tc>
          <w:tcPr>
            <w:tcW w:w="492" w:type="pct"/>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529,350</w:t>
            </w:r>
          </w:p>
        </w:tc>
      </w:tr>
      <w:tr w:rsidR="00516F48" w:rsidRPr="00516F48" w:rsidTr="00516F48">
        <w:trPr>
          <w:trHeight w:val="243"/>
        </w:trPr>
        <w:tc>
          <w:tcPr>
            <w:tcW w:w="786" w:type="pct"/>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Adjusted Sale Price</w:t>
            </w:r>
          </w:p>
        </w:tc>
        <w:tc>
          <w:tcPr>
            <w:tcW w:w="631"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2,445,400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2,449,150</w:t>
            </w:r>
          </w:p>
        </w:tc>
        <w:tc>
          <w:tcPr>
            <w:tcW w:w="70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492" w:type="pct"/>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2,529,350</w:t>
            </w:r>
          </w:p>
        </w:tc>
      </w:tr>
    </w:tbl>
    <w:p w:rsidR="00F80EAC" w:rsidRDefault="00F80EAC" w:rsidP="00310118">
      <w:pPr>
        <w:pStyle w:val="NoSpacing"/>
        <w:tabs>
          <w:tab w:val="left" w:pos="0"/>
        </w:tabs>
        <w:spacing w:line="480" w:lineRule="auto"/>
        <w:jc w:val="both"/>
        <w:rPr>
          <w:rFonts w:ascii="Courier New" w:hAnsi="Courier New" w:cs="Courier New"/>
          <w:sz w:val="24"/>
          <w:szCs w:val="24"/>
        </w:rPr>
      </w:pPr>
    </w:p>
    <w:p w:rsidR="00F80EAC" w:rsidRDefault="00F80EAC">
      <w:pPr>
        <w:spacing w:after="160" w:line="259" w:lineRule="auto"/>
        <w:rPr>
          <w:rFonts w:ascii="Courier New" w:eastAsiaTheme="minorHAnsi" w:hAnsi="Courier New" w:cs="Courier New"/>
        </w:rPr>
      </w:pPr>
      <w:r>
        <w:rPr>
          <w:rFonts w:ascii="Courier New" w:hAnsi="Courier New" w:cs="Courier New"/>
        </w:rPr>
        <w:br w:type="page"/>
      </w:r>
    </w:p>
    <w:p w:rsidR="003A5378" w:rsidRDefault="003A5378" w:rsidP="00310118">
      <w:pPr>
        <w:pStyle w:val="NoSpacing"/>
        <w:tabs>
          <w:tab w:val="left" w:pos="0"/>
        </w:tabs>
        <w:spacing w:line="480" w:lineRule="auto"/>
        <w:jc w:val="both"/>
        <w:rPr>
          <w:rFonts w:ascii="Courier New" w:hAnsi="Courier New" w:cs="Courier New"/>
          <w:sz w:val="24"/>
          <w:szCs w:val="24"/>
        </w:rPr>
      </w:pPr>
    </w:p>
    <w:tbl>
      <w:tblPr>
        <w:tblW w:w="8860" w:type="dxa"/>
        <w:tblInd w:w="93" w:type="dxa"/>
        <w:tblLook w:val="04A0" w:firstRow="1" w:lastRow="0" w:firstColumn="1" w:lastColumn="0" w:noHBand="0" w:noVBand="1"/>
      </w:tblPr>
      <w:tblGrid>
        <w:gridCol w:w="2650"/>
        <w:gridCol w:w="1212"/>
        <w:gridCol w:w="1539"/>
        <w:gridCol w:w="960"/>
        <w:gridCol w:w="1539"/>
        <w:gridCol w:w="960"/>
      </w:tblGrid>
      <w:tr w:rsidR="00516F48" w:rsidRPr="00516F48" w:rsidTr="00516F48">
        <w:trPr>
          <w:trHeight w:val="495"/>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 </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Subject Property</w:t>
            </w:r>
          </w:p>
        </w:tc>
        <w:tc>
          <w:tcPr>
            <w:tcW w:w="2500" w:type="dxa"/>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Sale 4</w:t>
            </w:r>
          </w:p>
        </w:tc>
        <w:tc>
          <w:tcPr>
            <w:tcW w:w="2500" w:type="dxa"/>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Sale 5</w:t>
            </w:r>
          </w:p>
        </w:tc>
      </w:tr>
      <w:tr w:rsidR="00516F48" w:rsidRPr="00516F48" w:rsidTr="00516F48">
        <w:trPr>
          <w:trHeight w:val="24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72 Farm St</w:t>
            </w:r>
          </w:p>
        </w:tc>
        <w:tc>
          <w:tcPr>
            <w:tcW w:w="2500" w:type="dxa"/>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16 Old Colony Dr</w:t>
            </w:r>
          </w:p>
        </w:tc>
        <w:tc>
          <w:tcPr>
            <w:tcW w:w="2500" w:type="dxa"/>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93 Farm St</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Sale Date</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2500" w:type="dxa"/>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4/30/2010</w:t>
            </w:r>
          </w:p>
        </w:tc>
        <w:tc>
          <w:tcPr>
            <w:tcW w:w="2500" w:type="dxa"/>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11/9/2010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Sale Price</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2500" w:type="dxa"/>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xml:space="preserve">$1,800,000 </w:t>
            </w:r>
          </w:p>
        </w:tc>
        <w:tc>
          <w:tcPr>
            <w:tcW w:w="2500" w:type="dxa"/>
            <w:gridSpan w:val="2"/>
            <w:tcBorders>
              <w:top w:val="single" w:sz="4" w:space="0" w:color="auto"/>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xml:space="preserve">$2,995,000 </w:t>
            </w:r>
          </w:p>
        </w:tc>
      </w:tr>
      <w:tr w:rsidR="00516F48" w:rsidRPr="00516F48" w:rsidTr="00516F48">
        <w:trPr>
          <w:trHeight w:val="300"/>
        </w:trPr>
        <w:tc>
          <w:tcPr>
            <w:tcW w:w="886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b/>
                <w:bCs/>
                <w:color w:val="000000"/>
                <w:sz w:val="18"/>
                <w:szCs w:val="18"/>
              </w:rPr>
            </w:pPr>
            <w:r w:rsidRPr="00516F48">
              <w:rPr>
                <w:rFonts w:ascii="Calibri" w:hAnsi="Calibri"/>
                <w:b/>
                <w:bCs/>
                <w:color w:val="000000"/>
                <w:sz w:val="18"/>
                <w:szCs w:val="18"/>
              </w:rPr>
              <w:t>VALUE ADJUSTMENTS</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Land Size (acres)</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11.94</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2.84</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180,000</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2.01</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200,000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Gross Living Area (sq. ft.)</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8,333</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7</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64,750</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6,843</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74,500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View</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Woods-Pond</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Woods</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100,000</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Woods</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Quality of Construction</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Good</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Good</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Superior</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-299,500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Condition</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Good</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Good</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Superior</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-299,500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Room Count</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16</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15</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12</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Bedrooms</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9</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20,000</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Full Bathrooms</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6</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4</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20,000</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Half Bathrooms</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r>
      <w:tr w:rsidR="00516F48" w:rsidRPr="00516F48" w:rsidTr="00516F48">
        <w:trPr>
          <w:trHeight w:val="495"/>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Basement</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FA7DA8">
            <w:pPr>
              <w:jc w:val="center"/>
              <w:rPr>
                <w:rFonts w:ascii="Calibri" w:hAnsi="Calibri"/>
                <w:color w:val="000000"/>
                <w:sz w:val="18"/>
                <w:szCs w:val="18"/>
              </w:rPr>
            </w:pPr>
            <w:r w:rsidRPr="00516F48">
              <w:rPr>
                <w:rFonts w:ascii="Calibri" w:hAnsi="Calibri"/>
                <w:color w:val="000000"/>
                <w:sz w:val="18"/>
                <w:szCs w:val="18"/>
              </w:rPr>
              <w:t>Full Unf</w:t>
            </w:r>
            <w:r w:rsidR="00FA7DA8">
              <w:rPr>
                <w:rFonts w:ascii="Calibri" w:hAnsi="Calibri"/>
                <w:color w:val="000000"/>
                <w:sz w:val="18"/>
                <w:szCs w:val="18"/>
              </w:rPr>
              <w:t>ini</w:t>
            </w:r>
            <w:r w:rsidRPr="00516F48">
              <w:rPr>
                <w:rFonts w:ascii="Calibri" w:hAnsi="Calibri"/>
                <w:color w:val="000000"/>
                <w:sz w:val="18"/>
                <w:szCs w:val="18"/>
              </w:rPr>
              <w:t>shed</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xml:space="preserve">Full </w:t>
            </w:r>
            <w:r w:rsidR="00FA7DA8" w:rsidRPr="00516F48">
              <w:rPr>
                <w:rFonts w:ascii="Calibri" w:hAnsi="Calibri"/>
                <w:color w:val="000000"/>
                <w:sz w:val="18"/>
                <w:szCs w:val="18"/>
              </w:rPr>
              <w:t>Unf</w:t>
            </w:r>
            <w:r w:rsidR="00FA7DA8">
              <w:rPr>
                <w:rFonts w:ascii="Calibri" w:hAnsi="Calibri"/>
                <w:color w:val="000000"/>
                <w:sz w:val="18"/>
                <w:szCs w:val="18"/>
              </w:rPr>
              <w:t>ini</w:t>
            </w:r>
            <w:r w:rsidR="00FA7DA8" w:rsidRPr="00516F48">
              <w:rPr>
                <w:rFonts w:ascii="Calibri" w:hAnsi="Calibri"/>
                <w:color w:val="000000"/>
                <w:sz w:val="18"/>
                <w:szCs w:val="18"/>
              </w:rPr>
              <w:t>shed</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xml:space="preserve">Full </w:t>
            </w:r>
            <w:r w:rsidR="00FA7DA8" w:rsidRPr="00516F48">
              <w:rPr>
                <w:rFonts w:ascii="Calibri" w:hAnsi="Calibri"/>
                <w:color w:val="000000"/>
                <w:sz w:val="18"/>
                <w:szCs w:val="18"/>
              </w:rPr>
              <w:t>Unf</w:t>
            </w:r>
            <w:r w:rsidR="00FA7DA8">
              <w:rPr>
                <w:rFonts w:ascii="Calibri" w:hAnsi="Calibri"/>
                <w:color w:val="000000"/>
                <w:sz w:val="18"/>
                <w:szCs w:val="18"/>
              </w:rPr>
              <w:t>ini</w:t>
            </w:r>
            <w:r w:rsidR="00FA7DA8" w:rsidRPr="00516F48">
              <w:rPr>
                <w:rFonts w:ascii="Calibri" w:hAnsi="Calibri"/>
                <w:color w:val="000000"/>
                <w:sz w:val="18"/>
                <w:szCs w:val="18"/>
              </w:rPr>
              <w:t>shed</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Heating/Cooling</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Central/None</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Central/Central</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Central/Central</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Garage</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 Car Garage</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3 Car Garage</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20,000</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3 Car Garage</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20,000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Porch/Patio/Deck</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2/2/1</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0/1/0</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11,000</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1/mult/0</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2,500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Fireplaces</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8</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6</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5,000</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3</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12,500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In-Ground Pool</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Yes</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Yes</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No</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10,000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Tennis Court</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Yes</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No</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5,000</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No</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5,000</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 </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r>
      <w:tr w:rsidR="00516F48" w:rsidRPr="00516F48" w:rsidTr="00516F48">
        <w:trPr>
          <w:trHeight w:val="30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Net Adjustments</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23.10%</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415,750</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-5.80%</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-174,500</w:t>
            </w:r>
          </w:p>
        </w:tc>
      </w:tr>
      <w:tr w:rsidR="00516F48" w:rsidRPr="00516F48" w:rsidTr="00516F48">
        <w:trPr>
          <w:trHeight w:val="24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516F48" w:rsidRPr="00516F48" w:rsidRDefault="00516F48" w:rsidP="00516F48">
            <w:pPr>
              <w:rPr>
                <w:rFonts w:ascii="Calibri" w:hAnsi="Calibri"/>
                <w:color w:val="000000"/>
                <w:sz w:val="18"/>
                <w:szCs w:val="18"/>
              </w:rPr>
            </w:pPr>
            <w:r w:rsidRPr="00516F48">
              <w:rPr>
                <w:rFonts w:ascii="Calibri" w:hAnsi="Calibri"/>
                <w:color w:val="000000"/>
                <w:sz w:val="18"/>
                <w:szCs w:val="18"/>
              </w:rPr>
              <w:t>Adjusted Sale Price</w:t>
            </w:r>
          </w:p>
        </w:tc>
        <w:tc>
          <w:tcPr>
            <w:tcW w:w="120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2,215,750</w:t>
            </w:r>
          </w:p>
        </w:tc>
        <w:tc>
          <w:tcPr>
            <w:tcW w:w="154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516F48" w:rsidRPr="00516F48" w:rsidRDefault="00516F48" w:rsidP="00516F48">
            <w:pPr>
              <w:jc w:val="center"/>
              <w:rPr>
                <w:rFonts w:ascii="Calibri" w:hAnsi="Calibri"/>
                <w:color w:val="000000"/>
                <w:sz w:val="18"/>
                <w:szCs w:val="18"/>
              </w:rPr>
            </w:pPr>
            <w:r w:rsidRPr="00516F48">
              <w:rPr>
                <w:rFonts w:ascii="Calibri" w:hAnsi="Calibri"/>
                <w:color w:val="000000"/>
                <w:sz w:val="18"/>
                <w:szCs w:val="18"/>
              </w:rPr>
              <w:t>2,820,500</w:t>
            </w:r>
          </w:p>
        </w:tc>
      </w:tr>
    </w:tbl>
    <w:p w:rsidR="003A5378" w:rsidRDefault="003A5378" w:rsidP="00310118">
      <w:pPr>
        <w:pStyle w:val="NoSpacing"/>
        <w:tabs>
          <w:tab w:val="left" w:pos="0"/>
        </w:tabs>
        <w:spacing w:line="480" w:lineRule="auto"/>
        <w:jc w:val="both"/>
        <w:rPr>
          <w:rFonts w:ascii="Courier New" w:hAnsi="Courier New" w:cs="Courier New"/>
          <w:sz w:val="24"/>
          <w:szCs w:val="24"/>
        </w:rPr>
      </w:pPr>
    </w:p>
    <w:p w:rsidR="009E7CFB" w:rsidRDefault="00267BE1" w:rsidP="009E7CFB">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 xml:space="preserve">Mr. </w:t>
      </w:r>
      <w:r w:rsidR="009E7CFB">
        <w:rPr>
          <w:rFonts w:ascii="Courier New" w:hAnsi="Courier New" w:cs="Courier New"/>
          <w:sz w:val="24"/>
          <w:szCs w:val="24"/>
        </w:rPr>
        <w:t>O’Neil’s most significant adjustments accounted for disparities in gross living area, lot size, and view.  With respect to gross living area, all of Mr. O’Neil’s comparable properties were adjusted at a rate of $50 per square foot.  With respect to lot size, each property was adjusted at a rate of approximately $20,000 per acre</w:t>
      </w:r>
      <w:r w:rsidR="001915A1">
        <w:rPr>
          <w:rFonts w:ascii="Courier New" w:hAnsi="Courier New" w:cs="Courier New"/>
          <w:sz w:val="24"/>
          <w:szCs w:val="24"/>
        </w:rPr>
        <w:t>; however, Mr. O’Neil did not take into account any sales of unimproved land in Dover into that figure</w:t>
      </w:r>
      <w:r w:rsidR="009E7CFB">
        <w:rPr>
          <w:rFonts w:ascii="Courier New" w:hAnsi="Courier New" w:cs="Courier New"/>
          <w:sz w:val="24"/>
          <w:szCs w:val="24"/>
        </w:rPr>
        <w:t xml:space="preserve">.  </w:t>
      </w:r>
      <w:r w:rsidR="00905729">
        <w:rPr>
          <w:rFonts w:ascii="Courier New" w:hAnsi="Courier New" w:cs="Courier New"/>
          <w:sz w:val="24"/>
          <w:szCs w:val="24"/>
        </w:rPr>
        <w:t xml:space="preserve">Further, </w:t>
      </w:r>
      <w:r w:rsidR="006D77B4">
        <w:rPr>
          <w:rFonts w:ascii="Courier New" w:hAnsi="Courier New" w:cs="Courier New"/>
          <w:sz w:val="24"/>
          <w:szCs w:val="24"/>
        </w:rPr>
        <w:t xml:space="preserve">Mr. O’Neil did not take into account whether </w:t>
      </w:r>
      <w:r w:rsidR="006D77B4">
        <w:rPr>
          <w:rFonts w:ascii="Courier New" w:hAnsi="Courier New" w:cs="Courier New"/>
          <w:sz w:val="24"/>
          <w:szCs w:val="24"/>
        </w:rPr>
        <w:lastRenderedPageBreak/>
        <w:t xml:space="preserve">the subject property could have been subdivided into additional lots and the associated potential increase in the value of the land in </w:t>
      </w:r>
      <w:r w:rsidR="006E5363">
        <w:rPr>
          <w:rFonts w:ascii="Courier New" w:hAnsi="Courier New" w:cs="Courier New"/>
          <w:sz w:val="24"/>
          <w:szCs w:val="24"/>
        </w:rPr>
        <w:t>adjusting</w:t>
      </w:r>
      <w:r w:rsidR="006D77B4">
        <w:rPr>
          <w:rFonts w:ascii="Courier New" w:hAnsi="Courier New" w:cs="Courier New"/>
          <w:sz w:val="24"/>
          <w:szCs w:val="24"/>
        </w:rPr>
        <w:t xml:space="preserve"> the respective land values of the purportedly comparable properties. </w:t>
      </w:r>
      <w:r w:rsidR="009E7CFB">
        <w:rPr>
          <w:rFonts w:ascii="Courier New" w:hAnsi="Courier New" w:cs="Courier New"/>
          <w:sz w:val="24"/>
          <w:szCs w:val="24"/>
        </w:rPr>
        <w:t xml:space="preserve">To account for their lack of a water view, Mr. O’Neil made upward adjustments of $100,000 to sales one, four, and five.  Sale two was adjusted upward by $125,000 to account for both its location in a crowded subdivision and lack of a water view.  Mr. O’Neil testified that these adjustments were based on a “paired-sales analysis;” however, he did not provide any independent market data to support this assertion.   </w:t>
      </w:r>
    </w:p>
    <w:p w:rsidR="00905FF9" w:rsidRDefault="009E7CFB" w:rsidP="00B50E94">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 xml:space="preserve">Additionally, sales two and five were adjusted downward by $105,000 and $599,000, respectively, to account for their superior construction quality and condition, and sale three was adjusted upward by $300,000 to account for its inferior construction quality and condition.  Adjustments were also made with respect to whether the comparable properties included a finished basement or central air conditioning system.  Finally, adjustments were made to account for the number of fireplaces, bathrooms, bedrooms, tennis courts, garage bays, swimming pools, porches, patios, and decks.  </w:t>
      </w:r>
    </w:p>
    <w:p w:rsidR="00905FF9" w:rsidRDefault="00905FF9" w:rsidP="00B50E94">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9E7CFB">
        <w:rPr>
          <w:rFonts w:ascii="Courier New" w:hAnsi="Courier New" w:cs="Courier New"/>
          <w:sz w:val="24"/>
          <w:szCs w:val="24"/>
        </w:rPr>
        <w:t>With one exception, all of Mr. O’Neil’s chosen properties were located in different neighborhood</w:t>
      </w:r>
      <w:r w:rsidR="00905729">
        <w:rPr>
          <w:rFonts w:ascii="Courier New" w:hAnsi="Courier New" w:cs="Courier New"/>
          <w:sz w:val="24"/>
          <w:szCs w:val="24"/>
        </w:rPr>
        <w:t>s</w:t>
      </w:r>
      <w:r w:rsidR="009E7CFB">
        <w:rPr>
          <w:rFonts w:ascii="Courier New" w:hAnsi="Courier New" w:cs="Courier New"/>
          <w:sz w:val="24"/>
          <w:szCs w:val="24"/>
        </w:rPr>
        <w:t xml:space="preserve"> than the subject property.  None of the comparable-sale properties offered the </w:t>
      </w:r>
      <w:r w:rsidR="009E7CFB">
        <w:rPr>
          <w:rFonts w:ascii="Courier New" w:hAnsi="Courier New" w:cs="Courier New"/>
          <w:sz w:val="24"/>
          <w:szCs w:val="24"/>
        </w:rPr>
        <w:lastRenderedPageBreak/>
        <w:t>subject property’s level of privacy.  Mr. O’Neil’s chosen properties varied tremendously in lot size, spanning from 2.01 acres to 16.4 acres.</w:t>
      </w:r>
      <w:r w:rsidR="000B047A">
        <w:rPr>
          <w:rFonts w:ascii="Courier New" w:hAnsi="Courier New" w:cs="Courier New"/>
          <w:sz w:val="24"/>
          <w:szCs w:val="24"/>
        </w:rPr>
        <w:t xml:space="preserve"> </w:t>
      </w:r>
    </w:p>
    <w:p w:rsidR="00B50E94" w:rsidRDefault="00905FF9" w:rsidP="00B50E94">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5D240D">
        <w:rPr>
          <w:rFonts w:ascii="Courier New" w:hAnsi="Courier New" w:cs="Courier New"/>
          <w:sz w:val="24"/>
          <w:szCs w:val="24"/>
        </w:rPr>
        <w:t xml:space="preserve">Mr. O’Neil’s sales-comparison analysis yielded adjusted sales prices </w:t>
      </w:r>
      <w:r w:rsidR="00590269">
        <w:rPr>
          <w:rFonts w:ascii="Courier New" w:hAnsi="Courier New" w:cs="Courier New"/>
          <w:sz w:val="24"/>
          <w:szCs w:val="24"/>
        </w:rPr>
        <w:t xml:space="preserve">ranging </w:t>
      </w:r>
      <w:r w:rsidR="005D240D">
        <w:rPr>
          <w:rFonts w:ascii="Courier New" w:hAnsi="Courier New" w:cs="Courier New"/>
          <w:sz w:val="24"/>
          <w:szCs w:val="24"/>
        </w:rPr>
        <w:t xml:space="preserve">from $2,215,750 to $2,820,500.  </w:t>
      </w:r>
      <w:r w:rsidR="00905729">
        <w:rPr>
          <w:rFonts w:ascii="Courier New" w:hAnsi="Courier New" w:cs="Courier New"/>
          <w:sz w:val="24"/>
          <w:szCs w:val="24"/>
        </w:rPr>
        <w:t>His</w:t>
      </w:r>
      <w:r w:rsidR="0059459E">
        <w:rPr>
          <w:rFonts w:ascii="Courier New" w:hAnsi="Courier New" w:cs="Courier New"/>
          <w:sz w:val="24"/>
          <w:szCs w:val="24"/>
        </w:rPr>
        <w:t xml:space="preserve"> cost analysis</w:t>
      </w:r>
      <w:r w:rsidR="008636F3">
        <w:rPr>
          <w:rFonts w:ascii="Courier New" w:hAnsi="Courier New" w:cs="Courier New"/>
          <w:sz w:val="24"/>
          <w:szCs w:val="24"/>
        </w:rPr>
        <w:t>, w</w:t>
      </w:r>
      <w:r w:rsidR="009F3E8D">
        <w:rPr>
          <w:rFonts w:ascii="Courier New" w:hAnsi="Courier New" w:cs="Courier New"/>
          <w:sz w:val="24"/>
          <w:szCs w:val="24"/>
        </w:rPr>
        <w:t xml:space="preserve">hich was </w:t>
      </w:r>
      <w:r w:rsidR="006E5363">
        <w:rPr>
          <w:rFonts w:ascii="Courier New" w:hAnsi="Courier New" w:cs="Courier New"/>
          <w:sz w:val="24"/>
          <w:szCs w:val="24"/>
        </w:rPr>
        <w:t>used to gauge the reasonableness of</w:t>
      </w:r>
      <w:r w:rsidR="008636F3">
        <w:rPr>
          <w:rFonts w:ascii="Courier New" w:hAnsi="Courier New" w:cs="Courier New"/>
          <w:sz w:val="24"/>
          <w:szCs w:val="24"/>
        </w:rPr>
        <w:t xml:space="preserve"> his sales-comparison analysis,</w:t>
      </w:r>
      <w:r w:rsidR="0059459E">
        <w:rPr>
          <w:rFonts w:ascii="Courier New" w:hAnsi="Courier New" w:cs="Courier New"/>
          <w:sz w:val="24"/>
          <w:szCs w:val="24"/>
        </w:rPr>
        <w:t xml:space="preserve"> p</w:t>
      </w:r>
      <w:r w:rsidR="00590269">
        <w:rPr>
          <w:rFonts w:ascii="Courier New" w:hAnsi="Courier New" w:cs="Courier New"/>
          <w:sz w:val="24"/>
          <w:szCs w:val="24"/>
        </w:rPr>
        <w:t>roduced a value of $2,816,500.  Using these approximations</w:t>
      </w:r>
      <w:r w:rsidR="00C90C97">
        <w:rPr>
          <w:rFonts w:ascii="Courier New" w:hAnsi="Courier New" w:cs="Courier New"/>
          <w:sz w:val="24"/>
          <w:szCs w:val="24"/>
        </w:rPr>
        <w:t xml:space="preserve">, Mr. O’Neil estimated the subject property’s fair cash value at $2,446,000 for the fiscal year at issue.  </w:t>
      </w:r>
    </w:p>
    <w:p w:rsidR="00DF32C1" w:rsidRDefault="00A71143" w:rsidP="00DF32C1">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 xml:space="preserve">Mr. O’Neil did not take </w:t>
      </w:r>
      <w:r w:rsidR="00905FF9">
        <w:rPr>
          <w:rFonts w:ascii="Courier New" w:hAnsi="Courier New" w:cs="Courier New"/>
          <w:sz w:val="24"/>
          <w:szCs w:val="24"/>
        </w:rPr>
        <w:t>the 2009</w:t>
      </w:r>
      <w:r>
        <w:rPr>
          <w:rFonts w:ascii="Courier New" w:hAnsi="Courier New" w:cs="Courier New"/>
          <w:sz w:val="24"/>
          <w:szCs w:val="24"/>
        </w:rPr>
        <w:t xml:space="preserve"> sale </w:t>
      </w:r>
      <w:r w:rsidR="00905FF9">
        <w:rPr>
          <w:rFonts w:ascii="Courier New" w:hAnsi="Courier New" w:cs="Courier New"/>
          <w:sz w:val="24"/>
          <w:szCs w:val="24"/>
        </w:rPr>
        <w:t xml:space="preserve">of the subject property </w:t>
      </w:r>
      <w:r>
        <w:rPr>
          <w:rFonts w:ascii="Courier New" w:hAnsi="Courier New" w:cs="Courier New"/>
          <w:sz w:val="24"/>
          <w:szCs w:val="24"/>
        </w:rPr>
        <w:t xml:space="preserve">into account in deriving his valuation of the subject property as, in his opinion, the appellant “extremely overpaid for the property.”  Mr. O’Neil speculated that there may have been various personal reasons why a buyer may have paid the ultimate sale price, but </w:t>
      </w:r>
      <w:r w:rsidR="00905FF9">
        <w:rPr>
          <w:rFonts w:ascii="Courier New" w:hAnsi="Courier New" w:cs="Courier New"/>
          <w:sz w:val="24"/>
          <w:szCs w:val="24"/>
        </w:rPr>
        <w:t xml:space="preserve">he offered no </w:t>
      </w:r>
      <w:r>
        <w:rPr>
          <w:rFonts w:ascii="Courier New" w:hAnsi="Courier New" w:cs="Courier New"/>
          <w:sz w:val="24"/>
          <w:szCs w:val="24"/>
        </w:rPr>
        <w:t>credible evidence that the sale was not made at arm’s length or any factors that were applicable to the appellant</w:t>
      </w:r>
      <w:r w:rsidR="00905FF9">
        <w:rPr>
          <w:rFonts w:ascii="Courier New" w:hAnsi="Courier New" w:cs="Courier New"/>
          <w:sz w:val="24"/>
          <w:szCs w:val="24"/>
        </w:rPr>
        <w:t>’s purchase of the subject property</w:t>
      </w:r>
      <w:r>
        <w:rPr>
          <w:rFonts w:ascii="Courier New" w:hAnsi="Courier New" w:cs="Courier New"/>
          <w:sz w:val="24"/>
          <w:szCs w:val="24"/>
        </w:rPr>
        <w:t xml:space="preserve">. </w:t>
      </w:r>
      <w:r w:rsidR="004C33FA">
        <w:rPr>
          <w:rFonts w:ascii="Courier New" w:hAnsi="Courier New" w:cs="Courier New"/>
          <w:sz w:val="24"/>
          <w:szCs w:val="24"/>
        </w:rPr>
        <w:t>W</w:t>
      </w:r>
      <w:r w:rsidR="00DF32C1">
        <w:rPr>
          <w:rFonts w:ascii="Courier New" w:hAnsi="Courier New" w:cs="Courier New"/>
          <w:sz w:val="24"/>
          <w:szCs w:val="24"/>
        </w:rPr>
        <w:t xml:space="preserve">hen referencing one of the comparable sales used in his analysis that took place within a month of the 2009 sale of the subject property, Mr. O’Neil </w:t>
      </w:r>
      <w:r w:rsidR="00494BD0">
        <w:rPr>
          <w:rFonts w:ascii="Courier New" w:hAnsi="Courier New" w:cs="Courier New"/>
          <w:sz w:val="24"/>
          <w:szCs w:val="24"/>
        </w:rPr>
        <w:t xml:space="preserve">actually </w:t>
      </w:r>
      <w:r w:rsidR="00DF32C1">
        <w:rPr>
          <w:rFonts w:ascii="Courier New" w:hAnsi="Courier New" w:cs="Courier New"/>
          <w:sz w:val="24"/>
          <w:szCs w:val="24"/>
        </w:rPr>
        <w:t xml:space="preserve">characterized that period of 2009 in his testimony as the “trough” of a depressed real estate market in Massachusetts. </w:t>
      </w:r>
      <w:r w:rsidR="00494BD0">
        <w:rPr>
          <w:rFonts w:ascii="Courier New" w:hAnsi="Courier New" w:cs="Courier New"/>
          <w:sz w:val="24"/>
          <w:szCs w:val="24"/>
        </w:rPr>
        <w:t>He</w:t>
      </w:r>
      <w:r w:rsidR="00DF32C1">
        <w:rPr>
          <w:rFonts w:ascii="Courier New" w:hAnsi="Courier New" w:cs="Courier New"/>
          <w:sz w:val="24"/>
          <w:szCs w:val="24"/>
        </w:rPr>
        <w:t xml:space="preserve"> did not find that the real estate values in Dover had</w:t>
      </w:r>
      <w:r w:rsidR="00494BD0">
        <w:rPr>
          <w:rFonts w:ascii="Courier New" w:hAnsi="Courier New" w:cs="Courier New"/>
          <w:sz w:val="24"/>
          <w:szCs w:val="24"/>
        </w:rPr>
        <w:t xml:space="preserve"> changed sufficiently from 2009 </w:t>
      </w:r>
      <w:r w:rsidR="00DF32C1">
        <w:rPr>
          <w:rFonts w:ascii="Courier New" w:hAnsi="Courier New" w:cs="Courier New"/>
          <w:sz w:val="24"/>
          <w:szCs w:val="24"/>
        </w:rPr>
        <w:t xml:space="preserve">and </w:t>
      </w:r>
      <w:r w:rsidR="00DF32C1">
        <w:rPr>
          <w:rFonts w:ascii="Courier New" w:hAnsi="Courier New" w:cs="Courier New"/>
          <w:sz w:val="24"/>
          <w:szCs w:val="24"/>
        </w:rPr>
        <w:lastRenderedPageBreak/>
        <w:t>the date of assessment to warrant any time adjustment to the sale price of that comparable property. While he testified that over the period of 2006 to 2010, properties in all communities, including Dover, lost value, he also testified that by January 2011 the market had stabilized</w:t>
      </w:r>
      <w:r w:rsidR="00F80EAC">
        <w:rPr>
          <w:rFonts w:ascii="Courier New" w:hAnsi="Courier New" w:cs="Courier New"/>
          <w:sz w:val="24"/>
          <w:szCs w:val="24"/>
        </w:rPr>
        <w:t>.</w:t>
      </w:r>
      <w:r w:rsidR="00DF32C1">
        <w:rPr>
          <w:rFonts w:ascii="Courier New" w:hAnsi="Courier New" w:cs="Courier New"/>
          <w:sz w:val="24"/>
          <w:szCs w:val="24"/>
        </w:rPr>
        <w:t xml:space="preserve"> </w:t>
      </w:r>
    </w:p>
    <w:p w:rsidR="00137017" w:rsidRDefault="009A1252" w:rsidP="00F3332D">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A37F2E">
        <w:rPr>
          <w:rFonts w:ascii="Courier New" w:hAnsi="Courier New" w:cs="Courier New"/>
          <w:sz w:val="24"/>
          <w:szCs w:val="24"/>
        </w:rPr>
        <w:t xml:space="preserve">The assessors presented their case-in-chief through the testimony of Ms. Karen MacTavish, </w:t>
      </w:r>
      <w:r w:rsidR="00CF2BB5">
        <w:rPr>
          <w:rFonts w:ascii="Courier New" w:hAnsi="Courier New" w:cs="Courier New"/>
          <w:sz w:val="24"/>
          <w:szCs w:val="24"/>
        </w:rPr>
        <w:t>who has been the a</w:t>
      </w:r>
      <w:r w:rsidR="00A37F2E">
        <w:rPr>
          <w:rFonts w:ascii="Courier New" w:hAnsi="Courier New" w:cs="Courier New"/>
          <w:sz w:val="24"/>
          <w:szCs w:val="24"/>
        </w:rPr>
        <w:t>ssessor for the Town of Dover</w:t>
      </w:r>
      <w:r w:rsidR="005E07E8">
        <w:rPr>
          <w:rFonts w:ascii="Courier New" w:hAnsi="Courier New" w:cs="Courier New"/>
          <w:sz w:val="24"/>
          <w:szCs w:val="24"/>
        </w:rPr>
        <w:t xml:space="preserve"> for over thirty years</w:t>
      </w:r>
      <w:r w:rsidR="00A37F2E">
        <w:rPr>
          <w:rFonts w:ascii="Courier New" w:hAnsi="Courier New" w:cs="Courier New"/>
          <w:sz w:val="24"/>
          <w:szCs w:val="24"/>
        </w:rPr>
        <w:t>.</w:t>
      </w:r>
      <w:r w:rsidR="00137017">
        <w:rPr>
          <w:rFonts w:ascii="Courier New" w:hAnsi="Courier New" w:cs="Courier New"/>
          <w:sz w:val="24"/>
          <w:szCs w:val="24"/>
        </w:rPr>
        <w:t xml:space="preserve">  Ms. MacTavish </w:t>
      </w:r>
      <w:r w:rsidR="00096F54">
        <w:rPr>
          <w:rFonts w:ascii="Courier New" w:hAnsi="Courier New" w:cs="Courier New"/>
          <w:sz w:val="24"/>
          <w:szCs w:val="24"/>
        </w:rPr>
        <w:t xml:space="preserve">first </w:t>
      </w:r>
      <w:r w:rsidR="000104C3">
        <w:rPr>
          <w:rFonts w:ascii="Courier New" w:hAnsi="Courier New" w:cs="Courier New"/>
          <w:sz w:val="24"/>
          <w:szCs w:val="24"/>
        </w:rPr>
        <w:t>testified</w:t>
      </w:r>
      <w:r w:rsidR="00137017">
        <w:rPr>
          <w:rFonts w:ascii="Courier New" w:hAnsi="Courier New" w:cs="Courier New"/>
          <w:sz w:val="24"/>
          <w:szCs w:val="24"/>
        </w:rPr>
        <w:t xml:space="preserve"> that the subject property’s June 30, 2009 sale supported its assessed value.  Although the subject property was purchased approximately eighteen months before the relevant date of assessment, Ms. MacTavish testified that the real estate market for single-family homes </w:t>
      </w:r>
      <w:r w:rsidR="00905FF9">
        <w:rPr>
          <w:rFonts w:ascii="Courier New" w:hAnsi="Courier New" w:cs="Courier New"/>
          <w:sz w:val="24"/>
          <w:szCs w:val="24"/>
        </w:rPr>
        <w:t xml:space="preserve">in Dover </w:t>
      </w:r>
      <w:r w:rsidR="00137017">
        <w:rPr>
          <w:rFonts w:ascii="Courier New" w:hAnsi="Courier New" w:cs="Courier New"/>
          <w:sz w:val="24"/>
          <w:szCs w:val="24"/>
        </w:rPr>
        <w:t xml:space="preserve">remained relatively stable during that time period.  Specifically, Ms. MacTavish testified that the median sale price for single-family homes in Dover slightly increased from $900,000 to $935,000 from July 1, 2009 through June 30, 2011.  In support of this contention, the assessors submitted into evidence two schedules, which listed all residential property sales in Dover during fiscal years 2010 and 2011, respectively.  </w:t>
      </w:r>
      <w:r w:rsidR="00A37F2E">
        <w:rPr>
          <w:rFonts w:ascii="Courier New" w:hAnsi="Courier New" w:cs="Courier New"/>
          <w:sz w:val="24"/>
          <w:szCs w:val="24"/>
        </w:rPr>
        <w:t xml:space="preserve">  </w:t>
      </w:r>
    </w:p>
    <w:p w:rsidR="00905FF9" w:rsidRDefault="00137017" w:rsidP="00EB5CE8">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096F54">
        <w:rPr>
          <w:rFonts w:ascii="Courier New" w:hAnsi="Courier New" w:cs="Courier New"/>
          <w:sz w:val="24"/>
          <w:szCs w:val="24"/>
        </w:rPr>
        <w:t xml:space="preserve">Ms. MacTavish further testified that the properties cited by Mr. O’Neil in his sales-comparison analysis were not sufficiently comparable to the subject property to provide </w:t>
      </w:r>
      <w:r w:rsidR="00A53136">
        <w:rPr>
          <w:rFonts w:ascii="Courier New" w:hAnsi="Courier New" w:cs="Courier New"/>
          <w:sz w:val="24"/>
          <w:szCs w:val="24"/>
        </w:rPr>
        <w:t>a reliable indication</w:t>
      </w:r>
      <w:r w:rsidR="00096F54">
        <w:rPr>
          <w:rFonts w:ascii="Courier New" w:hAnsi="Courier New" w:cs="Courier New"/>
          <w:sz w:val="24"/>
          <w:szCs w:val="24"/>
        </w:rPr>
        <w:t xml:space="preserve"> of its value.  Specifically</w:t>
      </w:r>
      <w:r w:rsidR="00A37F2E">
        <w:rPr>
          <w:rFonts w:ascii="Courier New" w:hAnsi="Courier New" w:cs="Courier New"/>
          <w:sz w:val="24"/>
          <w:szCs w:val="24"/>
        </w:rPr>
        <w:t xml:space="preserve">, </w:t>
      </w:r>
      <w:r w:rsidR="00631079">
        <w:rPr>
          <w:rFonts w:ascii="Courier New" w:hAnsi="Courier New" w:cs="Courier New"/>
          <w:sz w:val="24"/>
          <w:szCs w:val="24"/>
        </w:rPr>
        <w:t xml:space="preserve">Ms. MacTavish </w:t>
      </w:r>
      <w:r w:rsidR="00310D3F">
        <w:rPr>
          <w:rFonts w:ascii="Courier New" w:hAnsi="Courier New" w:cs="Courier New"/>
          <w:sz w:val="24"/>
          <w:szCs w:val="24"/>
        </w:rPr>
        <w:lastRenderedPageBreak/>
        <w:t xml:space="preserve">testified that, in contrast to the </w:t>
      </w:r>
      <w:r w:rsidR="00897E1F">
        <w:rPr>
          <w:rFonts w:ascii="Courier New" w:hAnsi="Courier New" w:cs="Courier New"/>
          <w:sz w:val="24"/>
          <w:szCs w:val="24"/>
        </w:rPr>
        <w:t>uniquely</w:t>
      </w:r>
      <w:r w:rsidR="00435FCA">
        <w:rPr>
          <w:rFonts w:ascii="Courier New" w:hAnsi="Courier New" w:cs="Courier New"/>
          <w:sz w:val="24"/>
          <w:szCs w:val="24"/>
        </w:rPr>
        <w:t xml:space="preserve"> </w:t>
      </w:r>
      <w:r w:rsidR="00897E1F">
        <w:rPr>
          <w:rFonts w:ascii="Courier New" w:hAnsi="Courier New" w:cs="Courier New"/>
          <w:sz w:val="24"/>
          <w:szCs w:val="24"/>
        </w:rPr>
        <w:t xml:space="preserve">private </w:t>
      </w:r>
      <w:r w:rsidR="00310D3F">
        <w:rPr>
          <w:rFonts w:ascii="Courier New" w:hAnsi="Courier New" w:cs="Courier New"/>
          <w:sz w:val="24"/>
          <w:szCs w:val="24"/>
        </w:rPr>
        <w:t xml:space="preserve">subject property, </w:t>
      </w:r>
      <w:r w:rsidR="001B7D1A">
        <w:rPr>
          <w:rFonts w:ascii="Courier New" w:hAnsi="Courier New" w:cs="Courier New"/>
          <w:sz w:val="24"/>
          <w:szCs w:val="24"/>
        </w:rPr>
        <w:t>Mr. O’Neil’s</w:t>
      </w:r>
      <w:r w:rsidR="00897E1F">
        <w:rPr>
          <w:rFonts w:ascii="Courier New" w:hAnsi="Courier New" w:cs="Courier New"/>
          <w:sz w:val="24"/>
          <w:szCs w:val="24"/>
        </w:rPr>
        <w:t xml:space="preserve"> </w:t>
      </w:r>
      <w:r w:rsidR="007C2219">
        <w:rPr>
          <w:rFonts w:ascii="Courier New" w:hAnsi="Courier New" w:cs="Courier New"/>
          <w:sz w:val="24"/>
          <w:szCs w:val="24"/>
        </w:rPr>
        <w:t>chosen</w:t>
      </w:r>
      <w:r w:rsidR="00517267">
        <w:rPr>
          <w:rFonts w:ascii="Courier New" w:hAnsi="Courier New" w:cs="Courier New"/>
          <w:sz w:val="24"/>
          <w:szCs w:val="24"/>
        </w:rPr>
        <w:t xml:space="preserve"> </w:t>
      </w:r>
      <w:r w:rsidR="00897E1F">
        <w:rPr>
          <w:rFonts w:ascii="Courier New" w:hAnsi="Courier New" w:cs="Courier New"/>
          <w:sz w:val="24"/>
          <w:szCs w:val="24"/>
        </w:rPr>
        <w:t>properties</w:t>
      </w:r>
      <w:r w:rsidR="00310D3F">
        <w:rPr>
          <w:rFonts w:ascii="Courier New" w:hAnsi="Courier New" w:cs="Courier New"/>
          <w:sz w:val="24"/>
          <w:szCs w:val="24"/>
        </w:rPr>
        <w:t xml:space="preserve"> </w:t>
      </w:r>
      <w:r w:rsidR="00590269">
        <w:rPr>
          <w:rFonts w:ascii="Courier New" w:hAnsi="Courier New" w:cs="Courier New"/>
          <w:sz w:val="24"/>
          <w:szCs w:val="24"/>
        </w:rPr>
        <w:t>we</w:t>
      </w:r>
      <w:r w:rsidR="00631079">
        <w:rPr>
          <w:rFonts w:ascii="Courier New" w:hAnsi="Courier New" w:cs="Courier New"/>
          <w:sz w:val="24"/>
          <w:szCs w:val="24"/>
        </w:rPr>
        <w:t>re</w:t>
      </w:r>
      <w:r w:rsidR="00533D46">
        <w:rPr>
          <w:rFonts w:ascii="Courier New" w:hAnsi="Courier New" w:cs="Courier New"/>
          <w:sz w:val="24"/>
          <w:szCs w:val="24"/>
        </w:rPr>
        <w:t xml:space="preserve"> </w:t>
      </w:r>
      <w:r w:rsidR="002D38F8">
        <w:rPr>
          <w:rFonts w:ascii="Courier New" w:hAnsi="Courier New" w:cs="Courier New"/>
          <w:sz w:val="24"/>
          <w:szCs w:val="24"/>
        </w:rPr>
        <w:t>all</w:t>
      </w:r>
      <w:r w:rsidR="00AD6BD4">
        <w:rPr>
          <w:rFonts w:ascii="Courier New" w:hAnsi="Courier New" w:cs="Courier New"/>
          <w:sz w:val="24"/>
          <w:szCs w:val="24"/>
        </w:rPr>
        <w:t xml:space="preserve"> </w:t>
      </w:r>
      <w:r w:rsidR="00533D46">
        <w:rPr>
          <w:rFonts w:ascii="Courier New" w:hAnsi="Courier New" w:cs="Courier New"/>
          <w:sz w:val="24"/>
          <w:szCs w:val="24"/>
        </w:rPr>
        <w:t>negatively impacted by adverse neighborhood conditions</w:t>
      </w:r>
      <w:r w:rsidR="00310D3F">
        <w:rPr>
          <w:rFonts w:ascii="Courier New" w:hAnsi="Courier New" w:cs="Courier New"/>
          <w:sz w:val="24"/>
          <w:szCs w:val="24"/>
        </w:rPr>
        <w:t xml:space="preserve">.  </w:t>
      </w:r>
      <w:r w:rsidR="00631079">
        <w:rPr>
          <w:rFonts w:ascii="Courier New" w:hAnsi="Courier New" w:cs="Courier New"/>
          <w:sz w:val="24"/>
          <w:szCs w:val="24"/>
        </w:rPr>
        <w:t>For instance</w:t>
      </w:r>
      <w:r w:rsidR="00897E1F">
        <w:rPr>
          <w:rFonts w:ascii="Courier New" w:hAnsi="Courier New" w:cs="Courier New"/>
          <w:sz w:val="24"/>
          <w:szCs w:val="24"/>
        </w:rPr>
        <w:t>, Ms. MacTavish explained,</w:t>
      </w:r>
      <w:r w:rsidR="00310D3F">
        <w:rPr>
          <w:rFonts w:ascii="Courier New" w:hAnsi="Courier New" w:cs="Courier New"/>
          <w:sz w:val="24"/>
          <w:szCs w:val="24"/>
        </w:rPr>
        <w:t xml:space="preserve"> </w:t>
      </w:r>
      <w:r w:rsidR="00AD6BD4">
        <w:rPr>
          <w:rFonts w:ascii="Courier New" w:hAnsi="Courier New" w:cs="Courier New"/>
          <w:sz w:val="24"/>
          <w:szCs w:val="24"/>
        </w:rPr>
        <w:t xml:space="preserve">both </w:t>
      </w:r>
      <w:r w:rsidR="00590269">
        <w:rPr>
          <w:rFonts w:ascii="Courier New" w:hAnsi="Courier New" w:cs="Courier New"/>
          <w:sz w:val="24"/>
          <w:szCs w:val="24"/>
        </w:rPr>
        <w:t>sales one and three</w:t>
      </w:r>
      <w:r w:rsidR="00631079">
        <w:rPr>
          <w:rFonts w:ascii="Courier New" w:hAnsi="Courier New" w:cs="Courier New"/>
          <w:sz w:val="24"/>
          <w:szCs w:val="24"/>
        </w:rPr>
        <w:t xml:space="preserve"> </w:t>
      </w:r>
      <w:r w:rsidR="00590269">
        <w:rPr>
          <w:rFonts w:ascii="Courier New" w:hAnsi="Courier New" w:cs="Courier New"/>
          <w:sz w:val="24"/>
          <w:szCs w:val="24"/>
        </w:rPr>
        <w:t>we</w:t>
      </w:r>
      <w:r w:rsidR="00BD1233">
        <w:rPr>
          <w:rFonts w:ascii="Courier New" w:hAnsi="Courier New" w:cs="Courier New"/>
          <w:sz w:val="24"/>
          <w:szCs w:val="24"/>
        </w:rPr>
        <w:t>re</w:t>
      </w:r>
      <w:r w:rsidR="006125C5">
        <w:rPr>
          <w:rFonts w:ascii="Courier New" w:hAnsi="Courier New" w:cs="Courier New"/>
          <w:sz w:val="24"/>
          <w:szCs w:val="24"/>
        </w:rPr>
        <w:t xml:space="preserve"> </w:t>
      </w:r>
      <w:r w:rsidR="00920CD9">
        <w:rPr>
          <w:rFonts w:ascii="Courier New" w:hAnsi="Courier New" w:cs="Courier New"/>
          <w:sz w:val="24"/>
          <w:szCs w:val="24"/>
        </w:rPr>
        <w:t>negatively</w:t>
      </w:r>
      <w:r w:rsidR="00913420">
        <w:rPr>
          <w:rFonts w:ascii="Courier New" w:hAnsi="Courier New" w:cs="Courier New"/>
          <w:sz w:val="24"/>
          <w:szCs w:val="24"/>
        </w:rPr>
        <w:t xml:space="preserve"> impacted</w:t>
      </w:r>
      <w:r w:rsidR="006125C5">
        <w:rPr>
          <w:rFonts w:ascii="Courier New" w:hAnsi="Courier New" w:cs="Courier New"/>
          <w:sz w:val="24"/>
          <w:szCs w:val="24"/>
        </w:rPr>
        <w:t xml:space="preserve"> by heavy traffic on Centre Street</w:t>
      </w:r>
      <w:r w:rsidR="00A23B6B">
        <w:rPr>
          <w:rFonts w:ascii="Courier New" w:hAnsi="Courier New" w:cs="Courier New"/>
          <w:sz w:val="24"/>
          <w:szCs w:val="24"/>
        </w:rPr>
        <w:t xml:space="preserve">, </w:t>
      </w:r>
      <w:r w:rsidR="00AB77A8">
        <w:rPr>
          <w:rFonts w:ascii="Courier New" w:hAnsi="Courier New" w:cs="Courier New"/>
          <w:sz w:val="24"/>
          <w:szCs w:val="24"/>
        </w:rPr>
        <w:t xml:space="preserve">a main thoroughfare, </w:t>
      </w:r>
      <w:r w:rsidR="00A23B6B">
        <w:rPr>
          <w:rFonts w:ascii="Courier New" w:hAnsi="Courier New" w:cs="Courier New"/>
          <w:sz w:val="24"/>
          <w:szCs w:val="24"/>
        </w:rPr>
        <w:t>especially during rush hour</w:t>
      </w:r>
      <w:r w:rsidR="00310D3F">
        <w:rPr>
          <w:rFonts w:ascii="Courier New" w:hAnsi="Courier New" w:cs="Courier New"/>
          <w:sz w:val="24"/>
          <w:szCs w:val="24"/>
        </w:rPr>
        <w:t>.</w:t>
      </w:r>
      <w:r w:rsidR="00494BD0">
        <w:rPr>
          <w:rFonts w:ascii="Courier New" w:hAnsi="Courier New" w:cs="Courier New"/>
          <w:sz w:val="24"/>
          <w:szCs w:val="24"/>
        </w:rPr>
        <w:t xml:space="preserve"> </w:t>
      </w:r>
      <w:r w:rsidR="00CC5BE4">
        <w:rPr>
          <w:rFonts w:ascii="Courier New" w:hAnsi="Courier New" w:cs="Courier New"/>
          <w:sz w:val="24"/>
          <w:szCs w:val="24"/>
        </w:rPr>
        <w:t>She further explained that, a</w:t>
      </w:r>
      <w:r w:rsidR="002A7719">
        <w:rPr>
          <w:rFonts w:ascii="Courier New" w:hAnsi="Courier New" w:cs="Courier New"/>
          <w:sz w:val="24"/>
          <w:szCs w:val="24"/>
        </w:rPr>
        <w:t xml:space="preserve">lthough </w:t>
      </w:r>
      <w:r w:rsidR="00631079">
        <w:rPr>
          <w:rFonts w:ascii="Courier New" w:hAnsi="Courier New" w:cs="Courier New"/>
          <w:sz w:val="24"/>
          <w:szCs w:val="24"/>
        </w:rPr>
        <w:t xml:space="preserve">sale five </w:t>
      </w:r>
      <w:r w:rsidR="00590269">
        <w:rPr>
          <w:rFonts w:ascii="Courier New" w:hAnsi="Courier New" w:cs="Courier New"/>
          <w:sz w:val="24"/>
          <w:szCs w:val="24"/>
        </w:rPr>
        <w:t>wa</w:t>
      </w:r>
      <w:r w:rsidR="007533EA">
        <w:rPr>
          <w:rFonts w:ascii="Courier New" w:hAnsi="Courier New" w:cs="Courier New"/>
          <w:sz w:val="24"/>
          <w:szCs w:val="24"/>
        </w:rPr>
        <w:t xml:space="preserve">s </w:t>
      </w:r>
      <w:r w:rsidR="0072439E">
        <w:rPr>
          <w:rFonts w:ascii="Courier New" w:hAnsi="Courier New" w:cs="Courier New"/>
          <w:sz w:val="24"/>
          <w:szCs w:val="24"/>
        </w:rPr>
        <w:t xml:space="preserve">located on </w:t>
      </w:r>
      <w:r w:rsidR="00310D3F">
        <w:rPr>
          <w:rFonts w:ascii="Courier New" w:hAnsi="Courier New" w:cs="Courier New"/>
          <w:sz w:val="24"/>
          <w:szCs w:val="24"/>
        </w:rPr>
        <w:t>the same street as the subject property</w:t>
      </w:r>
      <w:r w:rsidR="00CC5BE4">
        <w:rPr>
          <w:rFonts w:ascii="Courier New" w:hAnsi="Courier New" w:cs="Courier New"/>
          <w:sz w:val="24"/>
          <w:szCs w:val="24"/>
        </w:rPr>
        <w:t>, that</w:t>
      </w:r>
      <w:r w:rsidR="00631079">
        <w:rPr>
          <w:rFonts w:ascii="Courier New" w:hAnsi="Courier New" w:cs="Courier New"/>
          <w:sz w:val="24"/>
          <w:szCs w:val="24"/>
        </w:rPr>
        <w:t xml:space="preserve"> dwelling</w:t>
      </w:r>
      <w:r w:rsidR="00590269">
        <w:rPr>
          <w:rFonts w:ascii="Courier New" w:hAnsi="Courier New" w:cs="Courier New"/>
          <w:sz w:val="24"/>
          <w:szCs w:val="24"/>
        </w:rPr>
        <w:t xml:space="preserve"> faced</w:t>
      </w:r>
      <w:r w:rsidR="009E1CEB">
        <w:rPr>
          <w:rFonts w:ascii="Courier New" w:hAnsi="Courier New" w:cs="Courier New"/>
          <w:sz w:val="24"/>
          <w:szCs w:val="24"/>
        </w:rPr>
        <w:t xml:space="preserve"> a barn and</w:t>
      </w:r>
      <w:r w:rsidR="00590269">
        <w:rPr>
          <w:rFonts w:ascii="Courier New" w:hAnsi="Courier New" w:cs="Courier New"/>
          <w:sz w:val="24"/>
          <w:szCs w:val="24"/>
        </w:rPr>
        <w:t xml:space="preserve"> wa</w:t>
      </w:r>
      <w:r w:rsidR="00897E1F">
        <w:rPr>
          <w:rFonts w:ascii="Courier New" w:hAnsi="Courier New" w:cs="Courier New"/>
          <w:sz w:val="24"/>
          <w:szCs w:val="24"/>
        </w:rPr>
        <w:t xml:space="preserve">s separated from the street by </w:t>
      </w:r>
      <w:r w:rsidR="003D102D">
        <w:rPr>
          <w:rFonts w:ascii="Courier New" w:hAnsi="Courier New" w:cs="Courier New"/>
          <w:sz w:val="24"/>
          <w:szCs w:val="24"/>
        </w:rPr>
        <w:t xml:space="preserve">only </w:t>
      </w:r>
      <w:r w:rsidR="00897E1F">
        <w:rPr>
          <w:rFonts w:ascii="Courier New" w:hAnsi="Courier New" w:cs="Courier New"/>
          <w:sz w:val="24"/>
          <w:szCs w:val="24"/>
        </w:rPr>
        <w:t>fifty feet</w:t>
      </w:r>
      <w:r w:rsidR="00494BD0">
        <w:rPr>
          <w:rFonts w:ascii="Courier New" w:hAnsi="Courier New" w:cs="Courier New"/>
          <w:sz w:val="24"/>
          <w:szCs w:val="24"/>
        </w:rPr>
        <w:t xml:space="preserve">. </w:t>
      </w:r>
      <w:r w:rsidR="00CC5BE4">
        <w:rPr>
          <w:rFonts w:ascii="Courier New" w:hAnsi="Courier New" w:cs="Courier New"/>
          <w:sz w:val="24"/>
          <w:szCs w:val="24"/>
        </w:rPr>
        <w:t>Similar</w:t>
      </w:r>
      <w:r w:rsidR="00590269">
        <w:rPr>
          <w:rFonts w:ascii="Courier New" w:hAnsi="Courier New" w:cs="Courier New"/>
          <w:sz w:val="24"/>
          <w:szCs w:val="24"/>
        </w:rPr>
        <w:t>ly, because sales two and four we</w:t>
      </w:r>
      <w:r w:rsidR="00CC5BE4">
        <w:rPr>
          <w:rFonts w:ascii="Courier New" w:hAnsi="Courier New" w:cs="Courier New"/>
          <w:sz w:val="24"/>
          <w:szCs w:val="24"/>
        </w:rPr>
        <w:t>r</w:t>
      </w:r>
      <w:r w:rsidR="00A53136">
        <w:rPr>
          <w:rFonts w:ascii="Courier New" w:hAnsi="Courier New" w:cs="Courier New"/>
          <w:sz w:val="24"/>
          <w:szCs w:val="24"/>
        </w:rPr>
        <w:t xml:space="preserve">e each located in </w:t>
      </w:r>
      <w:r w:rsidR="00CC5BE4">
        <w:rPr>
          <w:rFonts w:ascii="Courier New" w:hAnsi="Courier New" w:cs="Courier New"/>
          <w:sz w:val="24"/>
          <w:szCs w:val="24"/>
        </w:rPr>
        <w:t>cro</w:t>
      </w:r>
      <w:r w:rsidR="00590269">
        <w:rPr>
          <w:rFonts w:ascii="Courier New" w:hAnsi="Courier New" w:cs="Courier New"/>
          <w:sz w:val="24"/>
          <w:szCs w:val="24"/>
        </w:rPr>
        <w:t>wded subdivision</w:t>
      </w:r>
      <w:r w:rsidR="00A53136">
        <w:rPr>
          <w:rFonts w:ascii="Courier New" w:hAnsi="Courier New" w:cs="Courier New"/>
          <w:sz w:val="24"/>
          <w:szCs w:val="24"/>
        </w:rPr>
        <w:t>s</w:t>
      </w:r>
      <w:r w:rsidR="00590269">
        <w:rPr>
          <w:rFonts w:ascii="Courier New" w:hAnsi="Courier New" w:cs="Courier New"/>
          <w:sz w:val="24"/>
          <w:szCs w:val="24"/>
        </w:rPr>
        <w:t>, Ms. MacTavish</w:t>
      </w:r>
      <w:r w:rsidR="00CC5BE4">
        <w:rPr>
          <w:rFonts w:ascii="Courier New" w:hAnsi="Courier New" w:cs="Courier New"/>
          <w:sz w:val="24"/>
          <w:szCs w:val="24"/>
        </w:rPr>
        <w:t xml:space="preserve"> opined, they </w:t>
      </w:r>
      <w:r w:rsidR="00590269">
        <w:rPr>
          <w:rFonts w:ascii="Courier New" w:hAnsi="Courier New" w:cs="Courier New"/>
          <w:sz w:val="24"/>
          <w:szCs w:val="24"/>
        </w:rPr>
        <w:t>afforded</w:t>
      </w:r>
      <w:r w:rsidR="00CC5BE4">
        <w:rPr>
          <w:rFonts w:ascii="Courier New" w:hAnsi="Courier New" w:cs="Courier New"/>
          <w:sz w:val="24"/>
          <w:szCs w:val="24"/>
        </w:rPr>
        <w:t xml:space="preserve"> considerably less privacy than the subject property.</w:t>
      </w:r>
      <w:r w:rsidR="000B047A">
        <w:rPr>
          <w:rFonts w:ascii="Courier New" w:hAnsi="Courier New" w:cs="Courier New"/>
          <w:sz w:val="24"/>
          <w:szCs w:val="24"/>
        </w:rPr>
        <w:t xml:space="preserve"> </w:t>
      </w:r>
    </w:p>
    <w:p w:rsidR="00B21BE1" w:rsidRDefault="00905FF9" w:rsidP="00EB5CE8">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6F1486">
        <w:rPr>
          <w:rFonts w:ascii="Courier New" w:hAnsi="Courier New" w:cs="Courier New"/>
          <w:sz w:val="24"/>
          <w:szCs w:val="24"/>
        </w:rPr>
        <w:t xml:space="preserve">Rather than the $20,000 per acre used by Mr. O’Neil to adjust for differences in lot size, Ms. McTavish testified that Dover has historically used $50,000 per acre, which was supported by recent sales of unbuildable land in the town that ranged from $40,000 to $125,000 per acre. </w:t>
      </w:r>
      <w:r w:rsidR="00EB6B08">
        <w:rPr>
          <w:rFonts w:ascii="Courier New" w:hAnsi="Courier New" w:cs="Courier New"/>
          <w:sz w:val="24"/>
          <w:szCs w:val="24"/>
        </w:rPr>
        <w:t xml:space="preserve">Ms. MacTavish opined that the subject property was </w:t>
      </w:r>
      <w:r w:rsidR="00DC2DEF">
        <w:rPr>
          <w:rFonts w:ascii="Courier New" w:hAnsi="Courier New" w:cs="Courier New"/>
          <w:sz w:val="24"/>
          <w:szCs w:val="24"/>
        </w:rPr>
        <w:t>suitable</w:t>
      </w:r>
      <w:r w:rsidR="00EB6B08">
        <w:rPr>
          <w:rFonts w:ascii="Courier New" w:hAnsi="Courier New" w:cs="Courier New"/>
          <w:sz w:val="24"/>
          <w:szCs w:val="24"/>
        </w:rPr>
        <w:t xml:space="preserve"> for subdivision into three </w:t>
      </w:r>
      <w:r w:rsidR="007C25F3">
        <w:rPr>
          <w:rFonts w:ascii="Courier New" w:hAnsi="Courier New" w:cs="Courier New"/>
          <w:sz w:val="24"/>
          <w:szCs w:val="24"/>
        </w:rPr>
        <w:t xml:space="preserve">residential lots, in accordance with </w:t>
      </w:r>
      <w:r w:rsidR="00382345">
        <w:rPr>
          <w:rFonts w:ascii="Courier New" w:hAnsi="Courier New" w:cs="Courier New"/>
          <w:sz w:val="24"/>
          <w:szCs w:val="24"/>
        </w:rPr>
        <w:t>Dover’s</w:t>
      </w:r>
      <w:r w:rsidR="00F37E6B">
        <w:rPr>
          <w:rFonts w:ascii="Courier New" w:hAnsi="Courier New" w:cs="Courier New"/>
          <w:sz w:val="24"/>
          <w:szCs w:val="24"/>
        </w:rPr>
        <w:t xml:space="preserve"> zoning regulations, which </w:t>
      </w:r>
      <w:r w:rsidR="00B14A74">
        <w:rPr>
          <w:rFonts w:ascii="Courier New" w:hAnsi="Courier New" w:cs="Courier New"/>
          <w:sz w:val="24"/>
          <w:szCs w:val="24"/>
        </w:rPr>
        <w:t xml:space="preserve">set forth minimum </w:t>
      </w:r>
      <w:r w:rsidR="004B1BB0">
        <w:rPr>
          <w:rFonts w:ascii="Courier New" w:hAnsi="Courier New" w:cs="Courier New"/>
          <w:sz w:val="24"/>
          <w:szCs w:val="24"/>
        </w:rPr>
        <w:t>lot size</w:t>
      </w:r>
      <w:r w:rsidR="00B14A74">
        <w:rPr>
          <w:rFonts w:ascii="Courier New" w:hAnsi="Courier New" w:cs="Courier New"/>
          <w:sz w:val="24"/>
          <w:szCs w:val="24"/>
        </w:rPr>
        <w:t xml:space="preserve"> and frontage requirements of two acres and </w:t>
      </w:r>
      <w:r w:rsidR="00FA2E73">
        <w:rPr>
          <w:rFonts w:ascii="Courier New" w:hAnsi="Courier New" w:cs="Courier New"/>
          <w:sz w:val="24"/>
          <w:szCs w:val="24"/>
        </w:rPr>
        <w:t>200</w:t>
      </w:r>
      <w:r w:rsidR="004B1BB0">
        <w:rPr>
          <w:rFonts w:ascii="Courier New" w:hAnsi="Courier New" w:cs="Courier New"/>
          <w:sz w:val="24"/>
          <w:szCs w:val="24"/>
        </w:rPr>
        <w:t xml:space="preserve"> feet, respectively.  A</w:t>
      </w:r>
      <w:r w:rsidR="00382345">
        <w:rPr>
          <w:rFonts w:ascii="Courier New" w:hAnsi="Courier New" w:cs="Courier New"/>
          <w:sz w:val="24"/>
          <w:szCs w:val="24"/>
        </w:rPr>
        <w:t>s an 11.94</w:t>
      </w:r>
      <w:r w:rsidR="00494BD0">
        <w:rPr>
          <w:rFonts w:ascii="Courier New" w:hAnsi="Courier New" w:cs="Courier New"/>
          <w:sz w:val="24"/>
          <w:szCs w:val="24"/>
        </w:rPr>
        <w:t xml:space="preserve"> </w:t>
      </w:r>
      <w:r w:rsidR="00382345">
        <w:rPr>
          <w:rFonts w:ascii="Courier New" w:hAnsi="Courier New" w:cs="Courier New"/>
          <w:sz w:val="24"/>
          <w:szCs w:val="24"/>
        </w:rPr>
        <w:t xml:space="preserve">acre lot with approximately 730 feet of frontage, </w:t>
      </w:r>
      <w:r w:rsidR="00FA2E73">
        <w:rPr>
          <w:rFonts w:ascii="Courier New" w:hAnsi="Courier New" w:cs="Courier New"/>
          <w:sz w:val="24"/>
          <w:szCs w:val="24"/>
        </w:rPr>
        <w:t xml:space="preserve">Ms. MacTavish explained, </w:t>
      </w:r>
      <w:r w:rsidR="00382345">
        <w:rPr>
          <w:rFonts w:ascii="Courier New" w:hAnsi="Courier New" w:cs="Courier New"/>
          <w:sz w:val="24"/>
          <w:szCs w:val="24"/>
        </w:rPr>
        <w:t>the subject property</w:t>
      </w:r>
      <w:r w:rsidR="00FA2E73">
        <w:rPr>
          <w:rFonts w:ascii="Courier New" w:hAnsi="Courier New" w:cs="Courier New"/>
          <w:sz w:val="24"/>
          <w:szCs w:val="24"/>
        </w:rPr>
        <w:t xml:space="preserve"> was large enough and </w:t>
      </w:r>
      <w:r w:rsidR="00FA2E73">
        <w:rPr>
          <w:rFonts w:ascii="Courier New" w:hAnsi="Courier New" w:cs="Courier New"/>
          <w:sz w:val="24"/>
          <w:szCs w:val="24"/>
        </w:rPr>
        <w:lastRenderedPageBreak/>
        <w:t xml:space="preserve">had the requisite street frontage </w:t>
      </w:r>
      <w:r w:rsidR="00941D65">
        <w:rPr>
          <w:rFonts w:ascii="Courier New" w:hAnsi="Courier New" w:cs="Courier New"/>
          <w:sz w:val="24"/>
          <w:szCs w:val="24"/>
        </w:rPr>
        <w:t>to be subdivided</w:t>
      </w:r>
      <w:r w:rsidR="003C529E">
        <w:rPr>
          <w:rFonts w:ascii="Courier New" w:hAnsi="Courier New" w:cs="Courier New"/>
          <w:sz w:val="24"/>
          <w:szCs w:val="24"/>
        </w:rPr>
        <w:t xml:space="preserve"> into three</w:t>
      </w:r>
      <w:r w:rsidR="004B1BB0">
        <w:rPr>
          <w:rFonts w:ascii="Courier New" w:hAnsi="Courier New" w:cs="Courier New"/>
          <w:sz w:val="24"/>
          <w:szCs w:val="24"/>
        </w:rPr>
        <w:t xml:space="preserve"> residential lots.</w:t>
      </w:r>
    </w:p>
    <w:p w:rsidR="00152617" w:rsidRDefault="001C3EDA" w:rsidP="009E6F1D">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5930F3">
        <w:rPr>
          <w:rFonts w:ascii="Courier New" w:hAnsi="Courier New" w:cs="Courier New"/>
          <w:sz w:val="24"/>
          <w:szCs w:val="24"/>
        </w:rPr>
        <w:t>Based on all the evidence</w:t>
      </w:r>
      <w:r w:rsidR="000D33A6">
        <w:rPr>
          <w:rFonts w:ascii="Courier New" w:hAnsi="Courier New" w:cs="Courier New"/>
          <w:sz w:val="24"/>
          <w:szCs w:val="24"/>
        </w:rPr>
        <w:t>,</w:t>
      </w:r>
      <w:r w:rsidR="005930F3">
        <w:rPr>
          <w:rFonts w:ascii="Courier New" w:hAnsi="Courier New" w:cs="Courier New"/>
          <w:sz w:val="24"/>
          <w:szCs w:val="24"/>
        </w:rPr>
        <w:t xml:space="preserve"> the Board found</w:t>
      </w:r>
      <w:r w:rsidR="00455ECE">
        <w:rPr>
          <w:rFonts w:ascii="Courier New" w:hAnsi="Courier New" w:cs="Courier New"/>
          <w:sz w:val="24"/>
          <w:szCs w:val="24"/>
        </w:rPr>
        <w:t xml:space="preserve"> and ruled</w:t>
      </w:r>
      <w:r w:rsidR="005930F3">
        <w:rPr>
          <w:rFonts w:ascii="Courier New" w:hAnsi="Courier New" w:cs="Courier New"/>
          <w:sz w:val="24"/>
          <w:szCs w:val="24"/>
        </w:rPr>
        <w:t xml:space="preserve"> that the appellant failed to meet his burden of proving that the subject property was overvalued for the fiscal year at issue.</w:t>
      </w:r>
      <w:r w:rsidR="00A71143">
        <w:rPr>
          <w:rFonts w:ascii="Courier New" w:hAnsi="Courier New" w:cs="Courier New"/>
          <w:sz w:val="24"/>
          <w:szCs w:val="24"/>
        </w:rPr>
        <w:t xml:space="preserve"> </w:t>
      </w:r>
      <w:r w:rsidR="00FA7DA8">
        <w:rPr>
          <w:rFonts w:ascii="Courier New" w:hAnsi="Courier New" w:cs="Courier New"/>
          <w:sz w:val="24"/>
          <w:szCs w:val="24"/>
        </w:rPr>
        <w:t>Given the unique characteristics of the subject property, t</w:t>
      </w:r>
      <w:r w:rsidR="00045451">
        <w:rPr>
          <w:rFonts w:ascii="Courier New" w:hAnsi="Courier New" w:cs="Courier New"/>
          <w:sz w:val="24"/>
          <w:szCs w:val="24"/>
        </w:rPr>
        <w:t xml:space="preserve">he Board found that the subject property’s arm’s-length sale on June 30, 2009 for $4,420,000 was </w:t>
      </w:r>
      <w:r w:rsidR="00FA7DA8">
        <w:rPr>
          <w:rFonts w:ascii="Courier New" w:hAnsi="Courier New" w:cs="Courier New"/>
          <w:sz w:val="24"/>
          <w:szCs w:val="24"/>
        </w:rPr>
        <w:t>entitled to significant weight in the Board’s analysis</w:t>
      </w:r>
      <w:r w:rsidR="00045451">
        <w:rPr>
          <w:rFonts w:ascii="Courier New" w:hAnsi="Courier New" w:cs="Courier New"/>
          <w:sz w:val="24"/>
          <w:szCs w:val="24"/>
        </w:rPr>
        <w:t>. The appellant submitted no evidence indicating that the sale was made under compulsion or was in any other way not an arm’s-length transaction.  Moreover, the Board found that Mr. O’Neil’s testimony that the appellant “extremely overpaid for the property” was unsubstantiat</w:t>
      </w:r>
      <w:r w:rsidR="00494BD0">
        <w:rPr>
          <w:rFonts w:ascii="Courier New" w:hAnsi="Courier New" w:cs="Courier New"/>
          <w:sz w:val="24"/>
          <w:szCs w:val="24"/>
        </w:rPr>
        <w:t xml:space="preserve">ed and therefore not credible. </w:t>
      </w:r>
      <w:r w:rsidR="00045451">
        <w:rPr>
          <w:rFonts w:ascii="Courier New" w:hAnsi="Courier New" w:cs="Courier New"/>
          <w:sz w:val="24"/>
          <w:szCs w:val="24"/>
        </w:rPr>
        <w:t>Although the subject property sold approximately eighteen months before the relevant date of assessment, the Board found that the real estate market for single-family homes in Dover remained stable during that time period.  Accordingly, as a freely-entered, arm’s-length sale, the Board found that the subject property’s sales price was the best evidence of the subject’s assessed value.</w:t>
      </w:r>
    </w:p>
    <w:p w:rsidR="00045451" w:rsidRDefault="00045451" w:rsidP="00045451">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The Board also found several unsubstantiated assumptions and flaws in Mr. O’Nei</w:t>
      </w:r>
      <w:r w:rsidR="00494BD0">
        <w:rPr>
          <w:rFonts w:ascii="Courier New" w:hAnsi="Courier New" w:cs="Courier New"/>
          <w:sz w:val="24"/>
          <w:szCs w:val="24"/>
        </w:rPr>
        <w:t xml:space="preserve">l’s sales-comparison analysis. </w:t>
      </w:r>
      <w:r w:rsidR="005F71C6">
        <w:rPr>
          <w:rFonts w:ascii="Courier New" w:hAnsi="Courier New" w:cs="Courier New"/>
          <w:sz w:val="24"/>
          <w:szCs w:val="24"/>
        </w:rPr>
        <w:t>Most notably</w:t>
      </w:r>
      <w:r>
        <w:rPr>
          <w:rFonts w:ascii="Courier New" w:hAnsi="Courier New" w:cs="Courier New"/>
          <w:sz w:val="24"/>
          <w:szCs w:val="24"/>
        </w:rPr>
        <w:t xml:space="preserve">, Mr. O’Neil did not sufficiently articulate how he arrived at his dollar amount adjustments for lot size, gross </w:t>
      </w:r>
      <w:r>
        <w:rPr>
          <w:rFonts w:ascii="Courier New" w:hAnsi="Courier New" w:cs="Courier New"/>
          <w:sz w:val="24"/>
          <w:szCs w:val="24"/>
        </w:rPr>
        <w:lastRenderedPageBreak/>
        <w:t>living area, and view.  Although Mr. O’Neil testified that these adjustments were based on a “paired-sales analysis,” he did not provide any independent market data to support this assertion.  Further, while Mr. O’Neil testified at great length regarding the diminishing return on excess land, each comparable property was adjusted for lot size at an almost flat-rate of approximately $20,000 per acre, regardless of each property’s actual size</w:t>
      </w:r>
      <w:r w:rsidR="006F1486">
        <w:rPr>
          <w:rFonts w:ascii="Courier New" w:hAnsi="Courier New" w:cs="Courier New"/>
          <w:sz w:val="24"/>
          <w:szCs w:val="24"/>
        </w:rPr>
        <w:t xml:space="preserve"> and regardless of the fact that sales of unbuildable land in Dover would indicate a higher value</w:t>
      </w:r>
      <w:r>
        <w:rPr>
          <w:rFonts w:ascii="Courier New" w:hAnsi="Courier New" w:cs="Courier New"/>
          <w:sz w:val="24"/>
          <w:szCs w:val="24"/>
        </w:rPr>
        <w:t xml:space="preserve">.  Accordingly, the Board found Mr. O’Neil’s adjustments for lot size, gross living area, and view to be unsubstantiated and therefore not persuasive.  </w:t>
      </w:r>
    </w:p>
    <w:p w:rsidR="004B1BB0" w:rsidRDefault="00045451" w:rsidP="00FE6B1A">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5F71C6">
        <w:rPr>
          <w:rFonts w:ascii="Courier New" w:hAnsi="Courier New" w:cs="Courier New"/>
          <w:sz w:val="24"/>
          <w:szCs w:val="24"/>
        </w:rPr>
        <w:t>Moreover</w:t>
      </w:r>
      <w:r>
        <w:rPr>
          <w:rFonts w:ascii="Courier New" w:hAnsi="Courier New" w:cs="Courier New"/>
          <w:sz w:val="24"/>
          <w:szCs w:val="24"/>
        </w:rPr>
        <w:t>, the Board found that the purportedly comparable properties relied upon by Mr. O’Neil were not sufficiently comparable to the subject property to</w:t>
      </w:r>
      <w:r w:rsidR="00494BD0">
        <w:rPr>
          <w:rFonts w:ascii="Courier New" w:hAnsi="Courier New" w:cs="Courier New"/>
          <w:sz w:val="24"/>
          <w:szCs w:val="24"/>
        </w:rPr>
        <w:t xml:space="preserve"> accurately reflect its value. </w:t>
      </w:r>
      <w:r>
        <w:rPr>
          <w:rFonts w:ascii="Courier New" w:hAnsi="Courier New" w:cs="Courier New"/>
          <w:sz w:val="24"/>
          <w:szCs w:val="24"/>
        </w:rPr>
        <w:t>Specifically, the Board found that the selected properties did not share the same neighborhood influences as the subject property, including both the subject’s private location and</w:t>
      </w:r>
      <w:r w:rsidR="00B5464B">
        <w:rPr>
          <w:rFonts w:ascii="Courier New" w:hAnsi="Courier New" w:cs="Courier New"/>
          <w:sz w:val="24"/>
          <w:szCs w:val="24"/>
        </w:rPr>
        <w:t>, with one exception,</w:t>
      </w:r>
      <w:r>
        <w:rPr>
          <w:rFonts w:ascii="Courier New" w:hAnsi="Courier New" w:cs="Courier New"/>
          <w:sz w:val="24"/>
          <w:szCs w:val="24"/>
        </w:rPr>
        <w:t xml:space="preserve"> its water view.  Rather, </w:t>
      </w:r>
      <w:r w:rsidR="00B25077">
        <w:rPr>
          <w:rFonts w:ascii="Courier New" w:hAnsi="Courier New" w:cs="Courier New"/>
          <w:sz w:val="24"/>
          <w:szCs w:val="24"/>
        </w:rPr>
        <w:t>all</w:t>
      </w:r>
      <w:r>
        <w:rPr>
          <w:rFonts w:ascii="Courier New" w:hAnsi="Courier New" w:cs="Courier New"/>
          <w:sz w:val="24"/>
          <w:szCs w:val="24"/>
        </w:rPr>
        <w:t xml:space="preserve"> of the comparable properties advanced by Mr. O’Neil w</w:t>
      </w:r>
      <w:r w:rsidR="00361633">
        <w:rPr>
          <w:rFonts w:ascii="Courier New" w:hAnsi="Courier New" w:cs="Courier New"/>
          <w:sz w:val="24"/>
          <w:szCs w:val="24"/>
        </w:rPr>
        <w:t>ere</w:t>
      </w:r>
      <w:r>
        <w:rPr>
          <w:rFonts w:ascii="Courier New" w:hAnsi="Courier New" w:cs="Courier New"/>
          <w:sz w:val="24"/>
          <w:szCs w:val="24"/>
        </w:rPr>
        <w:t xml:space="preserve"> negatively impacted by their location in a crowded subdivision, close proximity to a high-traffic area, or general lack of privacy.  </w:t>
      </w:r>
      <w:r w:rsidR="00A53136">
        <w:rPr>
          <w:rFonts w:ascii="Courier New" w:hAnsi="Courier New" w:cs="Courier New"/>
          <w:sz w:val="24"/>
          <w:szCs w:val="24"/>
        </w:rPr>
        <w:t>In light of these discrepancies, t</w:t>
      </w:r>
      <w:r>
        <w:rPr>
          <w:rFonts w:ascii="Courier New" w:hAnsi="Courier New" w:cs="Courier New"/>
          <w:sz w:val="24"/>
          <w:szCs w:val="24"/>
        </w:rPr>
        <w:t xml:space="preserve">he Board found that the Mr. </w:t>
      </w:r>
      <w:r>
        <w:rPr>
          <w:rFonts w:ascii="Courier New" w:hAnsi="Courier New" w:cs="Courier New"/>
          <w:sz w:val="24"/>
          <w:szCs w:val="24"/>
        </w:rPr>
        <w:lastRenderedPageBreak/>
        <w:t>O’Neil’s comparable sales were not persuasive indicators as to the fair market value of the subject property.</w:t>
      </w:r>
      <w:r w:rsidR="001C3EDA">
        <w:rPr>
          <w:rFonts w:ascii="Courier New" w:hAnsi="Courier New" w:cs="Courier New"/>
          <w:sz w:val="24"/>
          <w:szCs w:val="24"/>
        </w:rPr>
        <w:t xml:space="preserve"> </w:t>
      </w:r>
      <w:r w:rsidR="004213DB">
        <w:rPr>
          <w:rFonts w:ascii="Courier New" w:hAnsi="Courier New" w:cs="Courier New"/>
          <w:sz w:val="24"/>
          <w:szCs w:val="24"/>
        </w:rPr>
        <w:t xml:space="preserve"> </w:t>
      </w:r>
    </w:p>
    <w:p w:rsidR="00027FD4" w:rsidRDefault="00E61F0E" w:rsidP="00106743">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 xml:space="preserve">Accordingly, based on all of the evidence, the Board found </w:t>
      </w:r>
      <w:r w:rsidR="001F4C24">
        <w:rPr>
          <w:rFonts w:ascii="Courier New" w:hAnsi="Courier New" w:cs="Courier New"/>
          <w:sz w:val="24"/>
          <w:szCs w:val="24"/>
        </w:rPr>
        <w:t xml:space="preserve">and ruled </w:t>
      </w:r>
      <w:r>
        <w:rPr>
          <w:rFonts w:ascii="Courier New" w:hAnsi="Courier New" w:cs="Courier New"/>
          <w:sz w:val="24"/>
          <w:szCs w:val="24"/>
        </w:rPr>
        <w:t>that the appellant fa</w:t>
      </w:r>
      <w:r w:rsidR="008D56C5">
        <w:rPr>
          <w:rFonts w:ascii="Courier New" w:hAnsi="Courier New" w:cs="Courier New"/>
          <w:sz w:val="24"/>
          <w:szCs w:val="24"/>
        </w:rPr>
        <w:t xml:space="preserve">iled to meet his burden of proving </w:t>
      </w:r>
      <w:r w:rsidR="006B4EEA">
        <w:rPr>
          <w:rFonts w:ascii="Courier New" w:hAnsi="Courier New" w:cs="Courier New"/>
          <w:sz w:val="24"/>
          <w:szCs w:val="24"/>
        </w:rPr>
        <w:t>that the subject property was overvalued during the fiscal year at issue</w:t>
      </w:r>
      <w:r>
        <w:rPr>
          <w:rFonts w:ascii="Courier New" w:hAnsi="Courier New" w:cs="Courier New"/>
          <w:sz w:val="24"/>
          <w:szCs w:val="24"/>
        </w:rPr>
        <w:t xml:space="preserve">.  </w:t>
      </w:r>
      <w:r w:rsidR="00A53136">
        <w:rPr>
          <w:rFonts w:ascii="Courier New" w:hAnsi="Courier New" w:cs="Courier New"/>
          <w:sz w:val="24"/>
          <w:szCs w:val="24"/>
        </w:rPr>
        <w:t>As a result</w:t>
      </w:r>
      <w:r w:rsidR="00FF5CDC">
        <w:rPr>
          <w:rFonts w:ascii="Courier New" w:hAnsi="Courier New" w:cs="Courier New"/>
          <w:sz w:val="24"/>
          <w:szCs w:val="24"/>
        </w:rPr>
        <w:t xml:space="preserve">, </w:t>
      </w:r>
      <w:r>
        <w:rPr>
          <w:rFonts w:ascii="Courier New" w:hAnsi="Courier New" w:cs="Courier New"/>
          <w:sz w:val="24"/>
          <w:szCs w:val="24"/>
        </w:rPr>
        <w:t>the Board issued a decision for the appellee in this appeal.</w:t>
      </w:r>
    </w:p>
    <w:p w:rsidR="00F80EAC" w:rsidRDefault="00F80EAC" w:rsidP="00CB33F5">
      <w:pPr>
        <w:pStyle w:val="NoSpacing"/>
        <w:tabs>
          <w:tab w:val="left" w:pos="0"/>
        </w:tabs>
        <w:spacing w:line="480" w:lineRule="auto"/>
        <w:jc w:val="center"/>
        <w:rPr>
          <w:rFonts w:ascii="Courier New" w:hAnsi="Courier New" w:cs="Courier New"/>
          <w:b/>
          <w:sz w:val="24"/>
          <w:szCs w:val="24"/>
        </w:rPr>
      </w:pPr>
    </w:p>
    <w:p w:rsidR="00E61F0E" w:rsidRDefault="00CB33F5" w:rsidP="00CB33F5">
      <w:pPr>
        <w:pStyle w:val="NoSpacing"/>
        <w:tabs>
          <w:tab w:val="left" w:pos="0"/>
        </w:tabs>
        <w:spacing w:line="480" w:lineRule="auto"/>
        <w:jc w:val="center"/>
        <w:rPr>
          <w:rFonts w:ascii="Courier New" w:hAnsi="Courier New" w:cs="Courier New"/>
          <w:b/>
          <w:sz w:val="24"/>
          <w:szCs w:val="24"/>
        </w:rPr>
      </w:pPr>
      <w:r>
        <w:rPr>
          <w:rFonts w:ascii="Courier New" w:hAnsi="Courier New" w:cs="Courier New"/>
          <w:b/>
          <w:sz w:val="24"/>
          <w:szCs w:val="24"/>
        </w:rPr>
        <w:t>OPINION</w:t>
      </w:r>
    </w:p>
    <w:p w:rsidR="00284E1C" w:rsidRDefault="008F4079" w:rsidP="009B0BE0">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284E1C">
        <w:rPr>
          <w:rFonts w:ascii="Courier New" w:hAnsi="Courier New" w:cs="Courier New"/>
          <w:sz w:val="24"/>
          <w:szCs w:val="24"/>
        </w:rPr>
        <w:t>A</w:t>
      </w:r>
      <w:r w:rsidRPr="008F4079">
        <w:rPr>
          <w:rFonts w:ascii="Courier New" w:hAnsi="Courier New" w:cs="Courier New"/>
          <w:sz w:val="24"/>
          <w:szCs w:val="24"/>
        </w:rPr>
        <w:t xml:space="preserve">ssessors are required to assess real estate at its fair </w:t>
      </w:r>
      <w:r>
        <w:rPr>
          <w:rFonts w:ascii="Courier New" w:hAnsi="Courier New" w:cs="Courier New"/>
          <w:sz w:val="24"/>
          <w:szCs w:val="24"/>
        </w:rPr>
        <w:t xml:space="preserve">cash value. </w:t>
      </w:r>
      <w:r w:rsidR="00025984">
        <w:rPr>
          <w:rFonts w:ascii="Courier New" w:hAnsi="Courier New" w:cs="Courier New"/>
          <w:sz w:val="24"/>
          <w:szCs w:val="24"/>
        </w:rPr>
        <w:t xml:space="preserve"> </w:t>
      </w:r>
      <w:r>
        <w:rPr>
          <w:rFonts w:ascii="Courier New" w:hAnsi="Courier New" w:cs="Courier New"/>
          <w:sz w:val="24"/>
          <w:szCs w:val="24"/>
        </w:rPr>
        <w:t xml:space="preserve">G.L. c. 59, § 38. </w:t>
      </w:r>
      <w:r w:rsidR="009B0BE0">
        <w:rPr>
          <w:rFonts w:ascii="Courier New" w:hAnsi="Courier New" w:cs="Courier New"/>
          <w:sz w:val="24"/>
          <w:szCs w:val="24"/>
        </w:rPr>
        <w:t xml:space="preserve"> </w:t>
      </w:r>
      <w:r w:rsidR="00967E3B">
        <w:rPr>
          <w:rFonts w:ascii="Courier New" w:hAnsi="Courier New" w:cs="Courier New"/>
          <w:sz w:val="24"/>
          <w:szCs w:val="24"/>
        </w:rPr>
        <w:t xml:space="preserve">Fair cash value means fair market value, which is </w:t>
      </w:r>
      <w:r w:rsidR="00284E1C">
        <w:rPr>
          <w:rFonts w:ascii="Courier New" w:hAnsi="Courier New" w:cs="Courier New"/>
          <w:sz w:val="24"/>
          <w:szCs w:val="24"/>
        </w:rPr>
        <w:t xml:space="preserve">defined as </w:t>
      </w:r>
      <w:r w:rsidR="00942B17">
        <w:rPr>
          <w:rFonts w:ascii="Courier New" w:hAnsi="Courier New" w:cs="Courier New"/>
          <w:sz w:val="24"/>
          <w:szCs w:val="24"/>
        </w:rPr>
        <w:t xml:space="preserve">the price upon which a willing buyer and a willing seller </w:t>
      </w:r>
      <w:r w:rsidR="007F54B0">
        <w:rPr>
          <w:rFonts w:ascii="Courier New" w:hAnsi="Courier New" w:cs="Courier New"/>
          <w:sz w:val="24"/>
          <w:szCs w:val="24"/>
        </w:rPr>
        <w:t>would agree if both we</w:t>
      </w:r>
      <w:r w:rsidR="00942B17">
        <w:rPr>
          <w:rFonts w:ascii="Courier New" w:hAnsi="Courier New" w:cs="Courier New"/>
          <w:sz w:val="24"/>
          <w:szCs w:val="24"/>
        </w:rPr>
        <w:t>re fully inf</w:t>
      </w:r>
      <w:r w:rsidR="00494BD0">
        <w:rPr>
          <w:rFonts w:ascii="Courier New" w:hAnsi="Courier New" w:cs="Courier New"/>
          <w:sz w:val="24"/>
          <w:szCs w:val="24"/>
        </w:rPr>
        <w:t xml:space="preserve">ormed and under no compulsion. </w:t>
      </w:r>
      <w:r w:rsidRPr="008F4079">
        <w:rPr>
          <w:rFonts w:ascii="Courier New" w:hAnsi="Courier New" w:cs="Courier New"/>
          <w:b/>
          <w:i/>
          <w:sz w:val="24"/>
          <w:szCs w:val="24"/>
        </w:rPr>
        <w:t>Boston Gas Co. v. Assessors of Boston</w:t>
      </w:r>
      <w:r w:rsidRPr="008F4079">
        <w:rPr>
          <w:rFonts w:ascii="Courier New" w:hAnsi="Courier New" w:cs="Courier New"/>
          <w:sz w:val="24"/>
          <w:szCs w:val="24"/>
        </w:rPr>
        <w:t>, 334 Mass. 549, 566 (1956).</w:t>
      </w:r>
    </w:p>
    <w:p w:rsidR="001F6926" w:rsidRDefault="00284E1C" w:rsidP="009B0BE0">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 xml:space="preserve">The burden of proof is </w:t>
      </w:r>
      <w:r w:rsidR="00FE1B78">
        <w:rPr>
          <w:rFonts w:ascii="Courier New" w:hAnsi="Courier New" w:cs="Courier New"/>
          <w:sz w:val="24"/>
          <w:szCs w:val="24"/>
        </w:rPr>
        <w:t xml:space="preserve">on the taxpayer to make out a right to an abatement.  </w:t>
      </w:r>
      <w:r w:rsidR="00FE1B78">
        <w:rPr>
          <w:rFonts w:ascii="Courier New" w:hAnsi="Courier New" w:cs="Courier New"/>
          <w:b/>
          <w:i/>
          <w:sz w:val="24"/>
          <w:szCs w:val="24"/>
        </w:rPr>
        <w:t>Schlaiker v. Assessors of Great Barrington</w:t>
      </w:r>
      <w:r w:rsidR="00FE1B78">
        <w:rPr>
          <w:rFonts w:ascii="Courier New" w:hAnsi="Courier New" w:cs="Courier New"/>
          <w:sz w:val="24"/>
          <w:szCs w:val="24"/>
        </w:rPr>
        <w:t>, 365 Mass. 243, 245 (1974).</w:t>
      </w:r>
      <w:r w:rsidR="00942B17">
        <w:rPr>
          <w:rFonts w:ascii="Courier New" w:hAnsi="Courier New" w:cs="Courier New"/>
          <w:sz w:val="24"/>
          <w:szCs w:val="24"/>
        </w:rPr>
        <w:t xml:space="preserve">  The assessment is presumed valid unless the taxpayer meets its </w:t>
      </w:r>
      <w:r w:rsidR="00411A8B">
        <w:rPr>
          <w:rFonts w:ascii="Courier New" w:hAnsi="Courier New" w:cs="Courier New"/>
          <w:sz w:val="24"/>
          <w:szCs w:val="24"/>
        </w:rPr>
        <w:t>burden of proving otherwise</w:t>
      </w:r>
      <w:r w:rsidR="00942B17">
        <w:rPr>
          <w:rFonts w:ascii="Courier New" w:hAnsi="Courier New" w:cs="Courier New"/>
          <w:sz w:val="24"/>
          <w:szCs w:val="24"/>
        </w:rPr>
        <w:t xml:space="preserve">.  </w:t>
      </w:r>
      <w:r w:rsidR="00942B17">
        <w:rPr>
          <w:rFonts w:ascii="Courier New" w:hAnsi="Courier New" w:cs="Courier New"/>
          <w:b/>
          <w:i/>
          <w:sz w:val="24"/>
          <w:szCs w:val="24"/>
        </w:rPr>
        <w:t>Id.</w:t>
      </w:r>
      <w:r w:rsidR="005A6DF7">
        <w:rPr>
          <w:rFonts w:ascii="Courier New" w:hAnsi="Courier New" w:cs="Courier New"/>
          <w:sz w:val="24"/>
          <w:szCs w:val="24"/>
        </w:rPr>
        <w:t xml:space="preserve">  </w:t>
      </w:r>
      <w:r w:rsidR="005A6DF7" w:rsidRPr="005A6DF7">
        <w:rPr>
          <w:rFonts w:ascii="Courier New" w:hAnsi="Courier New" w:cs="Courier New"/>
          <w:sz w:val="24"/>
          <w:szCs w:val="24"/>
        </w:rPr>
        <w:t>In appeals before this Board, a taxpay</w:t>
      </w:r>
      <w:r w:rsidR="005A6DF7">
        <w:rPr>
          <w:rFonts w:ascii="Courier New" w:hAnsi="Courier New" w:cs="Courier New"/>
          <w:sz w:val="24"/>
          <w:szCs w:val="24"/>
        </w:rPr>
        <w:t>er “</w:t>
      </w:r>
      <w:r w:rsidR="005A6DF7" w:rsidRPr="005A6DF7">
        <w:rPr>
          <w:rFonts w:ascii="Courier New" w:hAnsi="Courier New" w:cs="Courier New"/>
          <w:sz w:val="24"/>
          <w:szCs w:val="24"/>
        </w:rPr>
        <w:t>may present persuasive evidence of overvaluation either by exposing f</w:t>
      </w:r>
      <w:r w:rsidR="005A6DF7">
        <w:rPr>
          <w:rFonts w:ascii="Courier New" w:hAnsi="Courier New" w:cs="Courier New"/>
          <w:sz w:val="24"/>
          <w:szCs w:val="24"/>
        </w:rPr>
        <w:t>laws or errors in the assessors’</w:t>
      </w:r>
      <w:r w:rsidR="005A6DF7" w:rsidRPr="005A6DF7">
        <w:rPr>
          <w:rFonts w:ascii="Courier New" w:hAnsi="Courier New" w:cs="Courier New"/>
          <w:sz w:val="24"/>
          <w:szCs w:val="24"/>
        </w:rPr>
        <w:t xml:space="preserve"> method of valuation, or by introducing affirmative evidence of value</w:t>
      </w:r>
      <w:r w:rsidR="005A6DF7">
        <w:rPr>
          <w:rFonts w:ascii="Courier New" w:hAnsi="Courier New" w:cs="Courier New"/>
          <w:sz w:val="24"/>
          <w:szCs w:val="24"/>
        </w:rPr>
        <w:t xml:space="preserve"> which undermines the assessors’</w:t>
      </w:r>
      <w:r w:rsidR="005A6DF7" w:rsidRPr="005A6DF7">
        <w:rPr>
          <w:rFonts w:ascii="Courier New" w:hAnsi="Courier New" w:cs="Courier New"/>
          <w:sz w:val="24"/>
          <w:szCs w:val="24"/>
        </w:rPr>
        <w:t xml:space="preserve"> valuation.</w:t>
      </w:r>
      <w:r w:rsidR="005A6DF7">
        <w:rPr>
          <w:rFonts w:ascii="Courier New" w:hAnsi="Courier New" w:cs="Courier New"/>
          <w:sz w:val="24"/>
          <w:szCs w:val="24"/>
        </w:rPr>
        <w:t>”</w:t>
      </w:r>
      <w:r w:rsidR="005A6DF7" w:rsidRPr="005A6DF7">
        <w:rPr>
          <w:rFonts w:ascii="Courier New" w:hAnsi="Courier New" w:cs="Courier New"/>
          <w:sz w:val="24"/>
          <w:szCs w:val="24"/>
        </w:rPr>
        <w:t xml:space="preserve"> </w:t>
      </w:r>
      <w:r w:rsidR="005A6DF7">
        <w:rPr>
          <w:rFonts w:ascii="Courier New" w:hAnsi="Courier New" w:cs="Courier New"/>
          <w:sz w:val="24"/>
          <w:szCs w:val="24"/>
        </w:rPr>
        <w:t xml:space="preserve"> </w:t>
      </w:r>
      <w:r w:rsidR="005A6DF7" w:rsidRPr="005A6DF7">
        <w:rPr>
          <w:rFonts w:ascii="Courier New" w:hAnsi="Courier New" w:cs="Courier New"/>
          <w:b/>
          <w:i/>
          <w:sz w:val="24"/>
          <w:szCs w:val="24"/>
        </w:rPr>
        <w:t>General Electric</w:t>
      </w:r>
      <w:r w:rsidR="001F4C24">
        <w:rPr>
          <w:rFonts w:ascii="Courier New" w:hAnsi="Courier New" w:cs="Courier New"/>
          <w:b/>
          <w:i/>
          <w:sz w:val="24"/>
          <w:szCs w:val="24"/>
        </w:rPr>
        <w:t xml:space="preserve"> Co. v. Assessors of Lynn</w:t>
      </w:r>
      <w:r w:rsidR="001F4C24">
        <w:rPr>
          <w:rFonts w:ascii="Courier New" w:hAnsi="Courier New" w:cs="Courier New"/>
          <w:sz w:val="24"/>
          <w:szCs w:val="24"/>
        </w:rPr>
        <w:t xml:space="preserve">, 393 </w:t>
      </w:r>
      <w:r w:rsidR="001F4C24">
        <w:rPr>
          <w:rFonts w:ascii="Courier New" w:hAnsi="Courier New" w:cs="Courier New"/>
          <w:sz w:val="24"/>
          <w:szCs w:val="24"/>
        </w:rPr>
        <w:lastRenderedPageBreak/>
        <w:t>Mass. 591,</w:t>
      </w:r>
      <w:r w:rsidR="005A6DF7" w:rsidRPr="005A6DF7">
        <w:rPr>
          <w:rFonts w:ascii="Courier New" w:hAnsi="Courier New" w:cs="Courier New"/>
          <w:sz w:val="24"/>
          <w:szCs w:val="24"/>
        </w:rPr>
        <w:t xml:space="preserve"> 600</w:t>
      </w:r>
      <w:r w:rsidR="001F4C24">
        <w:rPr>
          <w:rFonts w:ascii="Courier New" w:hAnsi="Courier New" w:cs="Courier New"/>
          <w:sz w:val="24"/>
          <w:szCs w:val="24"/>
        </w:rPr>
        <w:t xml:space="preserve"> (1984)</w:t>
      </w:r>
      <w:r w:rsidR="005A6DF7" w:rsidRPr="005A6DF7">
        <w:rPr>
          <w:rFonts w:ascii="Courier New" w:hAnsi="Courier New" w:cs="Courier New"/>
          <w:sz w:val="24"/>
          <w:szCs w:val="24"/>
        </w:rPr>
        <w:t xml:space="preserve"> (quoting </w:t>
      </w:r>
      <w:r w:rsidR="005A6DF7" w:rsidRPr="005A6DF7">
        <w:rPr>
          <w:rFonts w:ascii="Courier New" w:hAnsi="Courier New" w:cs="Courier New"/>
          <w:b/>
          <w:i/>
          <w:sz w:val="24"/>
          <w:szCs w:val="24"/>
        </w:rPr>
        <w:t>Donlon v. Assessors of Holliston</w:t>
      </w:r>
      <w:r w:rsidR="005A6DF7" w:rsidRPr="005A6DF7">
        <w:rPr>
          <w:rFonts w:ascii="Courier New" w:hAnsi="Courier New" w:cs="Courier New"/>
          <w:sz w:val="24"/>
          <w:szCs w:val="24"/>
        </w:rPr>
        <w:t>, 389 Mass. 848, 855 (1983)).</w:t>
      </w:r>
      <w:r w:rsidR="001F6926">
        <w:rPr>
          <w:rFonts w:ascii="Courier New" w:hAnsi="Courier New" w:cs="Courier New"/>
          <w:sz w:val="24"/>
          <w:szCs w:val="24"/>
        </w:rPr>
        <w:tab/>
        <w:t xml:space="preserve">It is well settled that actual sales of the subject property “are very strong evidence of fair market value, for they represent what a buyer has been willing to pay to a seller for [the property under appeal].”  </w:t>
      </w:r>
      <w:r w:rsidR="001F6926">
        <w:rPr>
          <w:rFonts w:ascii="Courier New" w:hAnsi="Courier New" w:cs="Courier New"/>
          <w:b/>
          <w:i/>
          <w:sz w:val="24"/>
          <w:szCs w:val="24"/>
        </w:rPr>
        <w:t>New Boston Garden Corp. v. Assessors of Boston</w:t>
      </w:r>
      <w:r w:rsidR="001F6926">
        <w:rPr>
          <w:rFonts w:ascii="Courier New" w:hAnsi="Courier New" w:cs="Courier New"/>
          <w:sz w:val="24"/>
          <w:szCs w:val="24"/>
        </w:rPr>
        <w:t>, 383 Mass. 456, 469</w:t>
      </w:r>
      <w:r w:rsidR="000370DE">
        <w:rPr>
          <w:rFonts w:ascii="Courier New" w:hAnsi="Courier New" w:cs="Courier New"/>
          <w:sz w:val="24"/>
          <w:szCs w:val="24"/>
        </w:rPr>
        <w:t xml:space="preserve"> (1981)</w:t>
      </w:r>
      <w:r w:rsidR="001F6926">
        <w:rPr>
          <w:rFonts w:ascii="Courier New" w:hAnsi="Courier New" w:cs="Courier New"/>
          <w:sz w:val="24"/>
          <w:szCs w:val="24"/>
        </w:rPr>
        <w:t xml:space="preserve"> (quoting </w:t>
      </w:r>
      <w:r w:rsidR="001F6926">
        <w:rPr>
          <w:rFonts w:ascii="Courier New" w:hAnsi="Courier New" w:cs="Courier New"/>
          <w:b/>
          <w:i/>
          <w:sz w:val="24"/>
          <w:szCs w:val="24"/>
        </w:rPr>
        <w:t>First Nat’l Stores, Inc. v. Assessors of Somerville</w:t>
      </w:r>
      <w:r w:rsidR="001F6926">
        <w:rPr>
          <w:rFonts w:ascii="Courier New" w:hAnsi="Courier New" w:cs="Courier New"/>
          <w:sz w:val="24"/>
          <w:szCs w:val="24"/>
        </w:rPr>
        <w:t>, 358 Mass. 554, 560 (1971)).</w:t>
      </w:r>
    </w:p>
    <w:p w:rsidR="001F6926" w:rsidRPr="001F6926" w:rsidRDefault="00045451" w:rsidP="009B0BE0">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 xml:space="preserve">In the present appeal, </w:t>
      </w:r>
      <w:r w:rsidR="003C1603">
        <w:rPr>
          <w:rFonts w:ascii="Courier New" w:hAnsi="Courier New" w:cs="Courier New"/>
          <w:sz w:val="24"/>
          <w:szCs w:val="24"/>
        </w:rPr>
        <w:t xml:space="preserve">based on the evidence presented, </w:t>
      </w:r>
      <w:r>
        <w:rPr>
          <w:rFonts w:ascii="Courier New" w:hAnsi="Courier New" w:cs="Courier New"/>
          <w:sz w:val="24"/>
          <w:szCs w:val="24"/>
        </w:rPr>
        <w:t xml:space="preserve">the Board found that the subject property’s arm’s-length sale on June 30, 2009 for $4,420,000 </w:t>
      </w:r>
      <w:r w:rsidR="00FA7DA8">
        <w:rPr>
          <w:rFonts w:ascii="Courier New" w:hAnsi="Courier New" w:cs="Courier New"/>
          <w:sz w:val="24"/>
          <w:szCs w:val="24"/>
        </w:rPr>
        <w:t>was entitled to significant weight, given the subject property’s unique attributes</w:t>
      </w:r>
      <w:r>
        <w:rPr>
          <w:rFonts w:ascii="Courier New" w:hAnsi="Courier New" w:cs="Courier New"/>
          <w:sz w:val="24"/>
          <w:szCs w:val="24"/>
        </w:rPr>
        <w:t xml:space="preserve">.  Nothing in the record indicated that the appellant’s purchase of the subject property was anything but an arm’s-length transaction.  Moreover, </w:t>
      </w:r>
      <w:r w:rsidR="00676C7C">
        <w:rPr>
          <w:rFonts w:ascii="Courier New" w:hAnsi="Courier New" w:cs="Courier New"/>
          <w:sz w:val="24"/>
          <w:szCs w:val="24"/>
        </w:rPr>
        <w:t>the Board found</w:t>
      </w:r>
      <w:r w:rsidR="00905FF9">
        <w:rPr>
          <w:rFonts w:ascii="Courier New" w:hAnsi="Courier New" w:cs="Courier New"/>
          <w:sz w:val="24"/>
          <w:szCs w:val="24"/>
        </w:rPr>
        <w:t>, on the basis of the evidence of record,</w:t>
      </w:r>
      <w:r>
        <w:rPr>
          <w:rFonts w:ascii="Courier New" w:hAnsi="Courier New" w:cs="Courier New"/>
          <w:sz w:val="24"/>
          <w:szCs w:val="24"/>
        </w:rPr>
        <w:t xml:space="preserve"> that the residential housing market in Dover remained stable </w:t>
      </w:r>
      <w:r w:rsidR="00235FC4">
        <w:rPr>
          <w:rFonts w:ascii="Courier New" w:hAnsi="Courier New" w:cs="Courier New"/>
          <w:sz w:val="24"/>
          <w:szCs w:val="24"/>
        </w:rPr>
        <w:t>between the subject property’s dates of purchase and assessment</w:t>
      </w:r>
      <w:r>
        <w:rPr>
          <w:rFonts w:ascii="Courier New" w:hAnsi="Courier New" w:cs="Courier New"/>
          <w:sz w:val="24"/>
          <w:szCs w:val="24"/>
        </w:rPr>
        <w:t>.  Therefore, the Board found that the subject property’s arm’s-length sale supported its assessed value.</w:t>
      </w:r>
      <w:r w:rsidR="006A5AB1">
        <w:rPr>
          <w:rFonts w:ascii="Courier New" w:hAnsi="Courier New" w:cs="Courier New"/>
          <w:sz w:val="24"/>
          <w:szCs w:val="24"/>
        </w:rPr>
        <w:t xml:space="preserve">     </w:t>
      </w:r>
      <w:r w:rsidR="001F6926">
        <w:rPr>
          <w:rFonts w:ascii="Courier New" w:hAnsi="Courier New" w:cs="Courier New"/>
          <w:sz w:val="24"/>
          <w:szCs w:val="24"/>
        </w:rPr>
        <w:t xml:space="preserve"> </w:t>
      </w:r>
    </w:p>
    <w:p w:rsidR="00CF1129" w:rsidRDefault="00222A5F" w:rsidP="00270FDD">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r>
      <w:r w:rsidR="00D42EC8">
        <w:rPr>
          <w:rFonts w:ascii="Courier New" w:hAnsi="Courier New" w:cs="Courier New"/>
          <w:sz w:val="24"/>
          <w:szCs w:val="24"/>
        </w:rPr>
        <w:t>T</w:t>
      </w:r>
      <w:r w:rsidR="00601815">
        <w:rPr>
          <w:rFonts w:ascii="Courier New" w:hAnsi="Courier New" w:cs="Courier New"/>
          <w:sz w:val="24"/>
          <w:szCs w:val="24"/>
        </w:rPr>
        <w:t>he</w:t>
      </w:r>
      <w:r w:rsidR="006A5AB1">
        <w:rPr>
          <w:rFonts w:ascii="Courier New" w:hAnsi="Courier New" w:cs="Courier New"/>
          <w:sz w:val="24"/>
          <w:szCs w:val="24"/>
        </w:rPr>
        <w:t xml:space="preserve"> appellant</w:t>
      </w:r>
      <w:r w:rsidR="001F6926">
        <w:rPr>
          <w:rFonts w:ascii="Courier New" w:hAnsi="Courier New" w:cs="Courier New"/>
          <w:sz w:val="24"/>
          <w:szCs w:val="24"/>
        </w:rPr>
        <w:t xml:space="preserve"> advanced a sales-comparison analysis in an attempt to prove that the subject property was overvalued.</w:t>
      </w:r>
      <w:r w:rsidR="006A5AB1">
        <w:rPr>
          <w:rFonts w:ascii="Courier New" w:hAnsi="Courier New" w:cs="Courier New"/>
          <w:sz w:val="24"/>
          <w:szCs w:val="24"/>
        </w:rPr>
        <w:t xml:space="preserve">  “Evidence of the sale prices of reasonably comparable property</w:t>
      </w:r>
      <w:r w:rsidR="006A5AB1" w:rsidRPr="006A5AB1">
        <w:rPr>
          <w:rFonts w:ascii="Courier New" w:hAnsi="Courier New" w:cs="Courier New"/>
          <w:sz w:val="24"/>
          <w:szCs w:val="24"/>
        </w:rPr>
        <w:t xml:space="preserve"> is the next best evidence to the sale of the property in question.</w:t>
      </w:r>
      <w:r w:rsidR="006A5AB1">
        <w:rPr>
          <w:rFonts w:ascii="Courier New" w:hAnsi="Courier New" w:cs="Courier New"/>
          <w:sz w:val="24"/>
          <w:szCs w:val="24"/>
        </w:rPr>
        <w:t xml:space="preserve">”  </w:t>
      </w:r>
      <w:r w:rsidR="006A5AB1">
        <w:rPr>
          <w:rFonts w:ascii="Courier New" w:hAnsi="Courier New" w:cs="Courier New"/>
          <w:b/>
          <w:i/>
          <w:sz w:val="24"/>
          <w:szCs w:val="24"/>
        </w:rPr>
        <w:t>Lattuca v. Robsham</w:t>
      </w:r>
      <w:r w:rsidR="006A5AB1">
        <w:rPr>
          <w:rFonts w:ascii="Courier New" w:hAnsi="Courier New" w:cs="Courier New"/>
          <w:sz w:val="24"/>
          <w:szCs w:val="24"/>
        </w:rPr>
        <w:t xml:space="preserve">, 442 Mass. 205, 216 (2004) </w:t>
      </w:r>
      <w:r w:rsidR="006A5AB1">
        <w:rPr>
          <w:rFonts w:ascii="Courier New" w:hAnsi="Courier New" w:cs="Courier New"/>
          <w:sz w:val="24"/>
          <w:szCs w:val="24"/>
        </w:rPr>
        <w:lastRenderedPageBreak/>
        <w:t xml:space="preserve">(internal quotation marks omitted).  </w:t>
      </w:r>
      <w:r w:rsidR="00270FDD">
        <w:rPr>
          <w:rFonts w:ascii="Courier New" w:hAnsi="Courier New" w:cs="Courier New"/>
          <w:sz w:val="24"/>
          <w:szCs w:val="24"/>
        </w:rPr>
        <w:t>Properties are considered “comparable” when they share “fundamental similarities”</w:t>
      </w:r>
      <w:r w:rsidR="006671D2">
        <w:rPr>
          <w:rFonts w:ascii="Courier New" w:hAnsi="Courier New" w:cs="Courier New"/>
          <w:sz w:val="24"/>
          <w:szCs w:val="24"/>
        </w:rPr>
        <w:t xml:space="preserve"> with the subject property</w:t>
      </w:r>
      <w:r w:rsidR="00770C39">
        <w:rPr>
          <w:rFonts w:ascii="Courier New" w:hAnsi="Courier New" w:cs="Courier New"/>
          <w:sz w:val="24"/>
          <w:szCs w:val="24"/>
        </w:rPr>
        <w:t>, including age, location, and size</w:t>
      </w:r>
      <w:r w:rsidR="006671D2">
        <w:rPr>
          <w:rFonts w:ascii="Courier New" w:hAnsi="Courier New" w:cs="Courier New"/>
          <w:sz w:val="24"/>
          <w:szCs w:val="24"/>
        </w:rPr>
        <w:t>.</w:t>
      </w:r>
      <w:r w:rsidR="00270FDD">
        <w:rPr>
          <w:rFonts w:ascii="Courier New" w:hAnsi="Courier New" w:cs="Courier New"/>
          <w:sz w:val="24"/>
          <w:szCs w:val="24"/>
        </w:rPr>
        <w:t xml:space="preserve">  </w:t>
      </w:r>
      <w:r w:rsidR="006A5AB1">
        <w:rPr>
          <w:rFonts w:ascii="Courier New" w:hAnsi="Courier New" w:cs="Courier New"/>
          <w:b/>
          <w:i/>
          <w:sz w:val="24"/>
          <w:szCs w:val="24"/>
        </w:rPr>
        <w:t>I</w:t>
      </w:r>
      <w:r w:rsidR="00E039BA">
        <w:rPr>
          <w:rFonts w:ascii="Courier New" w:hAnsi="Courier New" w:cs="Courier New"/>
          <w:b/>
          <w:i/>
          <w:sz w:val="24"/>
          <w:szCs w:val="24"/>
        </w:rPr>
        <w:t>d.</w:t>
      </w:r>
      <w:r w:rsidR="00E039BA" w:rsidRPr="00E039BA">
        <w:rPr>
          <w:rFonts w:ascii="Courier New" w:hAnsi="Courier New" w:cs="Courier New"/>
          <w:sz w:val="24"/>
          <w:szCs w:val="24"/>
        </w:rPr>
        <w:t xml:space="preserve">  </w:t>
      </w:r>
      <w:r w:rsidR="00270FDD">
        <w:rPr>
          <w:rFonts w:ascii="Courier New" w:hAnsi="Courier New" w:cs="Courier New"/>
          <w:sz w:val="24"/>
          <w:szCs w:val="24"/>
        </w:rPr>
        <w:t>“</w:t>
      </w:r>
      <w:r w:rsidR="00270FDD" w:rsidRPr="00270FDD">
        <w:rPr>
          <w:rFonts w:ascii="Courier New" w:hAnsi="Courier New" w:cs="Courier New"/>
          <w:sz w:val="24"/>
          <w:szCs w:val="24"/>
        </w:rPr>
        <w:t>Once basic comparability is established, it is then necessary to make adjustments for the differences, looking primarily to the relative quality of the properties, to develop a market indicator of value.</w:t>
      </w:r>
      <w:r w:rsidR="00270FDD">
        <w:rPr>
          <w:rFonts w:ascii="Courier New" w:hAnsi="Courier New" w:cs="Courier New"/>
          <w:sz w:val="24"/>
          <w:szCs w:val="24"/>
        </w:rPr>
        <w:t xml:space="preserve">”  </w:t>
      </w:r>
      <w:r w:rsidR="00270FDD">
        <w:rPr>
          <w:rFonts w:ascii="Courier New" w:hAnsi="Courier New" w:cs="Courier New"/>
          <w:b/>
          <w:i/>
          <w:sz w:val="24"/>
          <w:szCs w:val="24"/>
        </w:rPr>
        <w:t>New Boston Gar</w:t>
      </w:r>
      <w:r w:rsidR="00E039BA">
        <w:rPr>
          <w:rFonts w:ascii="Courier New" w:hAnsi="Courier New" w:cs="Courier New"/>
          <w:b/>
          <w:i/>
          <w:sz w:val="24"/>
          <w:szCs w:val="24"/>
        </w:rPr>
        <w:t>den Corp.</w:t>
      </w:r>
      <w:r w:rsidR="00E039BA">
        <w:rPr>
          <w:rFonts w:ascii="Courier New" w:hAnsi="Courier New" w:cs="Courier New"/>
          <w:sz w:val="24"/>
          <w:szCs w:val="24"/>
        </w:rPr>
        <w:t>, 383 Mass. at 470</w:t>
      </w:r>
      <w:r w:rsidR="00270FDD">
        <w:rPr>
          <w:rFonts w:ascii="Courier New" w:hAnsi="Courier New" w:cs="Courier New"/>
          <w:sz w:val="24"/>
          <w:szCs w:val="24"/>
        </w:rPr>
        <w:t>.</w:t>
      </w:r>
      <w:r w:rsidR="00AA2F9A">
        <w:rPr>
          <w:rFonts w:ascii="Courier New" w:hAnsi="Courier New" w:cs="Courier New"/>
          <w:sz w:val="24"/>
          <w:szCs w:val="24"/>
        </w:rPr>
        <w:t xml:space="preserve">  </w:t>
      </w:r>
    </w:p>
    <w:p w:rsidR="00905FF9" w:rsidRDefault="00045451" w:rsidP="00FE6B1A">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tab/>
        <w:t xml:space="preserve">In the present appeal, the Board found that Mr. O’Neil’s sales-comparison analysis contained several unsubstantiated assumptions and flaws.  </w:t>
      </w:r>
      <w:r w:rsidR="005F71C6">
        <w:rPr>
          <w:rFonts w:ascii="Courier New" w:hAnsi="Courier New" w:cs="Courier New"/>
          <w:sz w:val="24"/>
          <w:szCs w:val="24"/>
        </w:rPr>
        <w:t>Most importantly</w:t>
      </w:r>
      <w:r>
        <w:rPr>
          <w:rFonts w:ascii="Courier New" w:hAnsi="Courier New" w:cs="Courier New"/>
          <w:sz w:val="24"/>
          <w:szCs w:val="24"/>
        </w:rPr>
        <w:t xml:space="preserve">, Mr. O’Neil did not sufficiently articulate how he arrived at his dollar amount adjustments for lot size, gross living area, and view.  Given their magnitude, Mr. O’Neil’s failure to provide independent market data in support of these adjustments undermined </w:t>
      </w:r>
      <w:r w:rsidR="000A79A9">
        <w:rPr>
          <w:rFonts w:ascii="Courier New" w:hAnsi="Courier New" w:cs="Courier New"/>
          <w:sz w:val="24"/>
          <w:szCs w:val="24"/>
        </w:rPr>
        <w:t xml:space="preserve">the credibility of </w:t>
      </w:r>
      <w:r>
        <w:rPr>
          <w:rFonts w:ascii="Courier New" w:hAnsi="Courier New" w:cs="Courier New"/>
          <w:sz w:val="24"/>
          <w:szCs w:val="24"/>
        </w:rPr>
        <w:t xml:space="preserve">his entire analysis.  </w:t>
      </w:r>
      <w:r w:rsidR="005F71C6">
        <w:rPr>
          <w:rFonts w:ascii="Courier New" w:hAnsi="Courier New" w:cs="Courier New"/>
          <w:sz w:val="24"/>
          <w:szCs w:val="24"/>
        </w:rPr>
        <w:t>Moreover</w:t>
      </w:r>
      <w:r w:rsidR="000A79A9">
        <w:rPr>
          <w:rFonts w:ascii="Courier New" w:hAnsi="Courier New" w:cs="Courier New"/>
          <w:sz w:val="24"/>
          <w:szCs w:val="24"/>
        </w:rPr>
        <w:t xml:space="preserve">, the Board </w:t>
      </w:r>
      <w:r>
        <w:rPr>
          <w:rFonts w:ascii="Courier New" w:hAnsi="Courier New" w:cs="Courier New"/>
          <w:sz w:val="24"/>
          <w:szCs w:val="24"/>
        </w:rPr>
        <w:t xml:space="preserve">found that the purportedly comparable properties relied upon by Mr. O’Neil were not sufficiently comparable to the subject property to provide an accurate estimation of its value. </w:t>
      </w:r>
      <w:r w:rsidR="00905729">
        <w:rPr>
          <w:rFonts w:ascii="Courier New" w:hAnsi="Courier New" w:cs="Courier New"/>
          <w:sz w:val="24"/>
          <w:szCs w:val="24"/>
        </w:rPr>
        <w:t xml:space="preserve">Finally, the Board found that Mr. O’Neil did not take into account the potential for subdivision of the subject property and the </w:t>
      </w:r>
      <w:r w:rsidR="00F37E6B">
        <w:rPr>
          <w:rFonts w:ascii="Courier New" w:hAnsi="Courier New" w:cs="Courier New"/>
          <w:sz w:val="24"/>
          <w:szCs w:val="24"/>
        </w:rPr>
        <w:t>resulting</w:t>
      </w:r>
      <w:r w:rsidR="00905729">
        <w:rPr>
          <w:rFonts w:ascii="Courier New" w:hAnsi="Courier New" w:cs="Courier New"/>
          <w:sz w:val="24"/>
          <w:szCs w:val="24"/>
        </w:rPr>
        <w:t xml:space="preserve"> effect on its value. </w:t>
      </w:r>
      <w:r>
        <w:rPr>
          <w:rFonts w:ascii="Courier New" w:hAnsi="Courier New" w:cs="Courier New"/>
          <w:sz w:val="24"/>
          <w:szCs w:val="24"/>
        </w:rPr>
        <w:t>Thus, the Board found that Mr. O’Neil’s comparable sales were not persuasive indicators as to the fair market value of the subject property.</w:t>
      </w:r>
      <w:r w:rsidR="00440204">
        <w:rPr>
          <w:rFonts w:ascii="Courier New" w:hAnsi="Courier New" w:cs="Courier New"/>
          <w:sz w:val="24"/>
          <w:szCs w:val="24"/>
        </w:rPr>
        <w:t xml:space="preserve"> </w:t>
      </w:r>
    </w:p>
    <w:p w:rsidR="00A71143" w:rsidRDefault="00905FF9" w:rsidP="00FE6B1A">
      <w:pPr>
        <w:pStyle w:val="NoSpacing"/>
        <w:tabs>
          <w:tab w:val="left" w:pos="0"/>
        </w:tabs>
        <w:spacing w:line="480" w:lineRule="auto"/>
        <w:jc w:val="both"/>
        <w:rPr>
          <w:rFonts w:ascii="Courier New" w:hAnsi="Courier New" w:cs="Courier New"/>
          <w:sz w:val="24"/>
          <w:szCs w:val="24"/>
        </w:rPr>
      </w:pPr>
      <w:r>
        <w:rPr>
          <w:rFonts w:ascii="Courier New" w:hAnsi="Courier New" w:cs="Courier New"/>
          <w:sz w:val="24"/>
          <w:szCs w:val="24"/>
        </w:rPr>
        <w:lastRenderedPageBreak/>
        <w:tab/>
      </w:r>
      <w:r w:rsidR="00A340C7">
        <w:rPr>
          <w:rFonts w:ascii="Courier New" w:hAnsi="Courier New" w:cs="Courier New"/>
          <w:sz w:val="24"/>
          <w:szCs w:val="24"/>
        </w:rPr>
        <w:t xml:space="preserve">The Board is not required to believe the testimony of any particular witness.  </w:t>
      </w:r>
      <w:r w:rsidR="00A340C7">
        <w:rPr>
          <w:rFonts w:ascii="Courier New" w:hAnsi="Courier New" w:cs="Courier New"/>
          <w:b/>
          <w:i/>
          <w:sz w:val="24"/>
          <w:szCs w:val="24"/>
        </w:rPr>
        <w:t>Assessors of Quincy v. Boston Consol. Gas. Co.</w:t>
      </w:r>
      <w:r w:rsidR="00A340C7">
        <w:rPr>
          <w:rFonts w:ascii="Courier New" w:hAnsi="Courier New" w:cs="Courier New"/>
          <w:sz w:val="24"/>
          <w:szCs w:val="24"/>
        </w:rPr>
        <w:t xml:space="preserve">, 309 Mass. 60, 72 (1941).  “The credibility of witnesses, the weight of evidence, and inferences to be drawn from the evidence are matters for the board.”  </w:t>
      </w:r>
      <w:r w:rsidR="00A340C7">
        <w:rPr>
          <w:rFonts w:ascii="Courier New" w:hAnsi="Courier New" w:cs="Courier New"/>
          <w:b/>
          <w:i/>
          <w:sz w:val="24"/>
          <w:szCs w:val="24"/>
        </w:rPr>
        <w:t>Cummington School of the Arts, Inc. v. Assessors of Cummington</w:t>
      </w:r>
      <w:r w:rsidR="00A340C7">
        <w:rPr>
          <w:rFonts w:ascii="Courier New" w:hAnsi="Courier New" w:cs="Courier New"/>
          <w:sz w:val="24"/>
          <w:szCs w:val="24"/>
        </w:rPr>
        <w:t>, 373 Mass. 597, 605 (1977).</w:t>
      </w:r>
      <w:r w:rsidR="00A340C7">
        <w:rPr>
          <w:rFonts w:ascii="Courier New" w:hAnsi="Courier New" w:cs="Courier New"/>
          <w:sz w:val="24"/>
          <w:szCs w:val="24"/>
        </w:rPr>
        <w:tab/>
      </w:r>
      <w:r w:rsidR="000D33A6">
        <w:rPr>
          <w:rFonts w:ascii="Courier New" w:hAnsi="Courier New" w:cs="Courier New"/>
          <w:sz w:val="24"/>
          <w:szCs w:val="24"/>
        </w:rPr>
        <w:t xml:space="preserve"> </w:t>
      </w:r>
    </w:p>
    <w:p w:rsidR="00A71143" w:rsidRPr="00B3515C" w:rsidRDefault="00A71143" w:rsidP="00A71143">
      <w:pPr>
        <w:spacing w:line="480" w:lineRule="auto"/>
        <w:jc w:val="center"/>
        <w:rPr>
          <w:rFonts w:ascii="Courier New" w:hAnsi="Courier New" w:cs="Courier New"/>
          <w:b/>
        </w:rPr>
      </w:pPr>
      <w:r>
        <w:rPr>
          <w:rFonts w:ascii="Courier New" w:hAnsi="Courier New" w:cs="Courier New"/>
          <w:b/>
        </w:rPr>
        <w:t>CONCLUSION</w:t>
      </w:r>
    </w:p>
    <w:p w:rsidR="00A71143" w:rsidRDefault="00A71143" w:rsidP="00A71143">
      <w:pPr>
        <w:spacing w:line="480" w:lineRule="auto"/>
        <w:ind w:firstLine="720"/>
        <w:jc w:val="both"/>
        <w:rPr>
          <w:rFonts w:ascii="Courier New" w:hAnsi="Courier New" w:cs="Courier New"/>
        </w:rPr>
      </w:pPr>
      <w:r>
        <w:rPr>
          <w:rFonts w:ascii="Courier New" w:hAnsi="Courier New" w:cs="Courier New"/>
        </w:rPr>
        <w:t>Based on the evidence presented, the Board found and ruled that the appellant did not meet his burden of proving that the assess</w:t>
      </w:r>
      <w:r w:rsidR="00304AB9">
        <w:rPr>
          <w:rFonts w:ascii="Courier New" w:hAnsi="Courier New" w:cs="Courier New"/>
        </w:rPr>
        <w:t>ed value</w:t>
      </w:r>
      <w:r>
        <w:rPr>
          <w:rFonts w:ascii="Courier New" w:hAnsi="Courier New" w:cs="Courier New"/>
        </w:rPr>
        <w:t xml:space="preserve"> of subject property was </w:t>
      </w:r>
      <w:r w:rsidR="00304AB9">
        <w:rPr>
          <w:rFonts w:ascii="Courier New" w:hAnsi="Courier New" w:cs="Courier New"/>
        </w:rPr>
        <w:t>overly high</w:t>
      </w:r>
      <w:r>
        <w:rPr>
          <w:rFonts w:ascii="Courier New" w:hAnsi="Courier New" w:cs="Courier New"/>
        </w:rPr>
        <w:t>. Accordingly, the Board decided this appeal in favor of the appellee.</w:t>
      </w:r>
    </w:p>
    <w:p w:rsidR="00A71143" w:rsidRPr="00AE3637" w:rsidRDefault="00A71143" w:rsidP="00494BD0">
      <w:pPr>
        <w:spacing w:line="480" w:lineRule="atLeast"/>
        <w:jc w:val="both"/>
        <w:rPr>
          <w:rFonts w:ascii="Courier New" w:hAnsi="Courier New" w:cs="Courier New"/>
          <w:b/>
          <w:bCs/>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494BD0">
        <w:rPr>
          <w:rFonts w:ascii="Courier New" w:hAnsi="Courier New" w:cs="Courier New"/>
        </w:rPr>
        <w:tab/>
      </w:r>
      <w:r w:rsidR="00F80EAC">
        <w:rPr>
          <w:rFonts w:ascii="Courier New" w:hAnsi="Courier New" w:cs="Courier New"/>
        </w:rPr>
        <w:tab/>
      </w:r>
      <w:r w:rsidRPr="00AE3637">
        <w:rPr>
          <w:rFonts w:ascii="Courier New" w:hAnsi="Courier New" w:cs="Courier New"/>
          <w:b/>
          <w:bCs/>
        </w:rPr>
        <w:t>THE APPELLATE TAX BOARD</w:t>
      </w:r>
    </w:p>
    <w:p w:rsidR="00A71143" w:rsidRDefault="00A71143" w:rsidP="00A71143">
      <w:pPr>
        <w:spacing w:line="480" w:lineRule="atLeast"/>
        <w:jc w:val="both"/>
        <w:rPr>
          <w:rFonts w:ascii="Courier New" w:hAnsi="Courier New" w:cs="Courier New"/>
          <w:b/>
          <w:bCs/>
        </w:rPr>
      </w:pPr>
    </w:p>
    <w:p w:rsidR="00F80EAC" w:rsidRDefault="00F80EAC" w:rsidP="00A71143">
      <w:pPr>
        <w:spacing w:line="480" w:lineRule="atLeast"/>
        <w:jc w:val="both"/>
        <w:rPr>
          <w:rFonts w:ascii="Courier New" w:hAnsi="Courier New" w:cs="Courier New"/>
          <w:b/>
          <w:bCs/>
        </w:rPr>
      </w:pPr>
    </w:p>
    <w:p w:rsidR="00A71143" w:rsidRPr="00F80EAC" w:rsidRDefault="00F80EAC" w:rsidP="00F80EAC">
      <w:pPr>
        <w:ind w:left="2880" w:firstLine="720"/>
        <w:rPr>
          <w:rFonts w:ascii="Courier New" w:hAnsi="Courier New" w:cs="Courier New"/>
          <w:b/>
          <w:bCs/>
          <w:u w:val="single"/>
        </w:rPr>
      </w:pPr>
      <w:r>
        <w:rPr>
          <w:rFonts w:ascii="Courier New" w:hAnsi="Courier New" w:cs="Courier New"/>
          <w:b/>
          <w:bCs/>
        </w:rPr>
        <w:t>By:</w:t>
      </w:r>
      <w:r>
        <w:rPr>
          <w:rFonts w:ascii="Courier New" w:hAnsi="Courier New" w:cs="Courier New"/>
          <w:b/>
          <w:bCs/>
        </w:rPr>
        <w:tab/>
      </w:r>
      <w:r>
        <w:rPr>
          <w:rFonts w:ascii="Courier New" w:hAnsi="Courier New" w:cs="Courier New"/>
          <w:b/>
          <w:bCs/>
          <w:u w:val="single"/>
        </w:rPr>
        <w:tab/>
      </w:r>
      <w:r>
        <w:rPr>
          <w:rFonts w:ascii="Courier New" w:hAnsi="Courier New" w:cs="Courier New"/>
          <w:b/>
          <w:bCs/>
          <w:u w:val="single"/>
        </w:rPr>
        <w:tab/>
      </w:r>
      <w:r>
        <w:rPr>
          <w:rFonts w:ascii="Courier New" w:hAnsi="Courier New" w:cs="Courier New"/>
          <w:b/>
          <w:bCs/>
          <w:u w:val="single"/>
        </w:rPr>
        <w:tab/>
      </w:r>
      <w:r>
        <w:rPr>
          <w:rFonts w:ascii="Courier New" w:hAnsi="Courier New" w:cs="Courier New"/>
          <w:b/>
          <w:bCs/>
          <w:u w:val="single"/>
        </w:rPr>
        <w:tab/>
      </w:r>
      <w:r>
        <w:rPr>
          <w:rFonts w:ascii="Courier New" w:hAnsi="Courier New" w:cs="Courier New"/>
          <w:b/>
          <w:bCs/>
          <w:u w:val="single"/>
        </w:rPr>
        <w:tab/>
      </w:r>
      <w:r>
        <w:rPr>
          <w:rFonts w:ascii="Courier New" w:hAnsi="Courier New" w:cs="Courier New"/>
          <w:b/>
          <w:bCs/>
          <w:u w:val="single"/>
        </w:rPr>
        <w:tab/>
      </w:r>
      <w:r>
        <w:rPr>
          <w:rFonts w:ascii="Courier New" w:hAnsi="Courier New" w:cs="Courier New"/>
          <w:b/>
          <w:bCs/>
          <w:u w:val="single"/>
        </w:rPr>
        <w:tab/>
      </w:r>
    </w:p>
    <w:p w:rsidR="00A71143" w:rsidRPr="00F80EAC" w:rsidRDefault="009D73DB" w:rsidP="00F80EAC">
      <w:pPr>
        <w:ind w:left="2880" w:firstLine="720"/>
        <w:rPr>
          <w:rFonts w:ascii="Courier New" w:hAnsi="Courier New" w:cs="Courier New"/>
          <w:b/>
          <w:bCs/>
        </w:rPr>
      </w:pPr>
      <w:r w:rsidRPr="00F80EAC">
        <w:rPr>
          <w:rFonts w:ascii="Courier New" w:hAnsi="Courier New" w:cs="Courier New"/>
          <w:b/>
          <w:bCs/>
        </w:rPr>
        <w:tab/>
        <w:t>Thomas W</w:t>
      </w:r>
      <w:r w:rsidR="00A71143" w:rsidRPr="00F80EAC">
        <w:rPr>
          <w:rFonts w:ascii="Courier New" w:hAnsi="Courier New" w:cs="Courier New"/>
          <w:b/>
          <w:bCs/>
        </w:rPr>
        <w:t>. Hammond, Jr.</w:t>
      </w:r>
      <w:r w:rsidR="00F80EAC">
        <w:rPr>
          <w:rFonts w:ascii="Courier New" w:hAnsi="Courier New" w:cs="Courier New"/>
          <w:b/>
          <w:bCs/>
        </w:rPr>
        <w:t>, Chairman</w:t>
      </w:r>
    </w:p>
    <w:p w:rsidR="00A71143" w:rsidRPr="00A5326F" w:rsidRDefault="00A71143" w:rsidP="00A71143">
      <w:pPr>
        <w:spacing w:line="480" w:lineRule="atLeast"/>
        <w:ind w:left="2880"/>
        <w:rPr>
          <w:rFonts w:ascii="Courier New" w:hAnsi="Courier New" w:cs="Courier New"/>
          <w:b/>
          <w:bCs/>
          <w:sz w:val="22"/>
          <w:szCs w:val="22"/>
        </w:rPr>
      </w:pPr>
    </w:p>
    <w:p w:rsidR="00A71143" w:rsidRDefault="00A71143" w:rsidP="00A71143">
      <w:pPr>
        <w:ind w:left="2880" w:right="-360"/>
        <w:rPr>
          <w:rFonts w:ascii="Courier New" w:hAnsi="Courier New" w:cs="Courier New"/>
          <w:b/>
          <w:bCs/>
        </w:rPr>
      </w:pPr>
      <w:r>
        <w:rPr>
          <w:rFonts w:ascii="Courier New" w:hAnsi="Courier New" w:cs="Courier New"/>
          <w:b/>
          <w:bCs/>
          <w:sz w:val="22"/>
          <w:szCs w:val="22"/>
        </w:rPr>
        <w:t xml:space="preserve">   </w:t>
      </w:r>
    </w:p>
    <w:p w:rsidR="00A71143" w:rsidRDefault="00A71143" w:rsidP="00A71143">
      <w:pPr>
        <w:jc w:val="both"/>
        <w:rPr>
          <w:rFonts w:ascii="Courier New" w:hAnsi="Courier New" w:cs="Courier New"/>
          <w:b/>
          <w:bCs/>
        </w:rPr>
      </w:pPr>
    </w:p>
    <w:p w:rsidR="00A71143" w:rsidRPr="00A5326F" w:rsidRDefault="00A71143" w:rsidP="00A71143">
      <w:pPr>
        <w:spacing w:line="480" w:lineRule="atLeast"/>
        <w:jc w:val="both"/>
        <w:rPr>
          <w:rFonts w:ascii="Courier New" w:hAnsi="Courier New" w:cs="Courier New"/>
          <w:b/>
          <w:bCs/>
          <w:sz w:val="22"/>
          <w:szCs w:val="22"/>
        </w:rPr>
      </w:pPr>
      <w:r w:rsidRPr="00A5326F">
        <w:rPr>
          <w:rFonts w:ascii="Courier New" w:hAnsi="Courier New" w:cs="Courier New"/>
          <w:b/>
          <w:bCs/>
          <w:sz w:val="22"/>
          <w:szCs w:val="22"/>
        </w:rPr>
        <w:t>A true copy,</w:t>
      </w:r>
    </w:p>
    <w:p w:rsidR="00A71143" w:rsidRPr="00A5326F" w:rsidRDefault="00A71143" w:rsidP="00A71143">
      <w:pPr>
        <w:jc w:val="both"/>
        <w:rPr>
          <w:rFonts w:ascii="Courier New" w:hAnsi="Courier New" w:cs="Courier New"/>
          <w:b/>
          <w:bCs/>
          <w:sz w:val="22"/>
          <w:szCs w:val="22"/>
        </w:rPr>
      </w:pPr>
    </w:p>
    <w:p w:rsidR="00A71143" w:rsidRPr="00A5326F" w:rsidRDefault="00A71143" w:rsidP="00A71143">
      <w:pPr>
        <w:jc w:val="both"/>
        <w:rPr>
          <w:rFonts w:ascii="Courier New" w:hAnsi="Courier New" w:cs="Courier New"/>
          <w:b/>
          <w:bCs/>
          <w:sz w:val="22"/>
          <w:szCs w:val="22"/>
        </w:rPr>
      </w:pPr>
    </w:p>
    <w:p w:rsidR="00A71143" w:rsidRPr="00A5326F" w:rsidRDefault="00A71143" w:rsidP="00A71143">
      <w:pPr>
        <w:jc w:val="both"/>
        <w:rPr>
          <w:rFonts w:ascii="Courier New" w:hAnsi="Courier New" w:cs="Courier New"/>
          <w:b/>
          <w:bCs/>
          <w:sz w:val="22"/>
          <w:szCs w:val="22"/>
        </w:rPr>
      </w:pPr>
    </w:p>
    <w:p w:rsidR="00A71143" w:rsidRPr="00A5326F" w:rsidRDefault="00A71143" w:rsidP="00A71143">
      <w:pPr>
        <w:jc w:val="both"/>
        <w:rPr>
          <w:rFonts w:ascii="Courier New" w:hAnsi="Courier New" w:cs="Courier New"/>
          <w:b/>
          <w:bCs/>
          <w:sz w:val="22"/>
          <w:szCs w:val="22"/>
        </w:rPr>
      </w:pPr>
      <w:r w:rsidRPr="00A5326F">
        <w:rPr>
          <w:rFonts w:ascii="Courier New" w:hAnsi="Courier New" w:cs="Courier New"/>
          <w:b/>
          <w:bCs/>
          <w:sz w:val="22"/>
          <w:szCs w:val="22"/>
        </w:rPr>
        <w:t>Attest:____________________________</w:t>
      </w:r>
      <w:r>
        <w:rPr>
          <w:rFonts w:ascii="Courier New" w:hAnsi="Courier New" w:cs="Courier New"/>
          <w:b/>
          <w:bCs/>
          <w:sz w:val="22"/>
          <w:szCs w:val="22"/>
        </w:rPr>
        <w:t>_</w:t>
      </w:r>
    </w:p>
    <w:p w:rsidR="00A71143" w:rsidRDefault="00A71143" w:rsidP="00A71143">
      <w:pPr>
        <w:spacing w:line="480" w:lineRule="auto"/>
        <w:jc w:val="both"/>
        <w:rPr>
          <w:rFonts w:ascii="Courier New" w:hAnsi="Courier New" w:cs="Courier New"/>
          <w:u w:val="single"/>
        </w:rPr>
      </w:pPr>
      <w:r w:rsidRPr="00A5326F">
        <w:t xml:space="preserve">  </w:t>
      </w:r>
      <w:r>
        <w:tab/>
        <w:t xml:space="preserve">      </w:t>
      </w:r>
      <w:r w:rsidRPr="001A6AA4">
        <w:rPr>
          <w:rFonts w:ascii="Courier New" w:hAnsi="Courier New" w:cs="Courier New"/>
          <w:b/>
          <w:sz w:val="22"/>
          <w:szCs w:val="22"/>
        </w:rPr>
        <w:t>Clerk of the Board</w:t>
      </w:r>
    </w:p>
    <w:p w:rsidR="00A71143" w:rsidRPr="00992E03" w:rsidRDefault="00A71143" w:rsidP="00A71143">
      <w:pPr>
        <w:pStyle w:val="NoSpacing"/>
        <w:tabs>
          <w:tab w:val="left" w:pos="0"/>
        </w:tabs>
        <w:spacing w:line="480" w:lineRule="auto"/>
        <w:jc w:val="center"/>
        <w:rPr>
          <w:rFonts w:ascii="Courier New" w:hAnsi="Courier New" w:cs="Courier New"/>
          <w:sz w:val="24"/>
          <w:szCs w:val="24"/>
        </w:rPr>
      </w:pPr>
    </w:p>
    <w:sectPr w:rsidR="00A71143" w:rsidRPr="00992E03" w:rsidSect="00132645">
      <w:footerReference w:type="default" r:id="rId9"/>
      <w:pgSz w:w="12240" w:h="15840"/>
      <w:pgMar w:top="1440" w:right="1440" w:bottom="1440" w:left="1440" w:header="720" w:footer="720" w:gutter="0"/>
      <w:pgNumType w:start="112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D2E" w:rsidRDefault="006C3D2E" w:rsidP="00A30880">
      <w:r>
        <w:separator/>
      </w:r>
    </w:p>
  </w:endnote>
  <w:endnote w:type="continuationSeparator" w:id="0">
    <w:p w:rsidR="006C3D2E" w:rsidRDefault="006C3D2E" w:rsidP="00A3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rPr>
      <w:id w:val="197286831"/>
      <w:docPartObj>
        <w:docPartGallery w:val="Page Numbers (Bottom of Page)"/>
        <w:docPartUnique/>
      </w:docPartObj>
    </w:sdtPr>
    <w:sdtEndPr>
      <w:rPr>
        <w:b/>
        <w:noProof/>
      </w:rPr>
    </w:sdtEndPr>
    <w:sdtContent>
      <w:p w:rsidR="00A30880" w:rsidRPr="00132645" w:rsidRDefault="00132645">
        <w:pPr>
          <w:pStyle w:val="Footer"/>
          <w:jc w:val="center"/>
          <w:rPr>
            <w:rFonts w:ascii="Courier New" w:hAnsi="Courier New" w:cs="Courier New"/>
            <w:b/>
          </w:rPr>
        </w:pPr>
        <w:r w:rsidRPr="00132645">
          <w:rPr>
            <w:rFonts w:ascii="Courier New" w:hAnsi="Courier New" w:cs="Courier New"/>
            <w:b/>
          </w:rPr>
          <w:t>ATB 2014-</w:t>
        </w:r>
        <w:r w:rsidR="00A30880" w:rsidRPr="00132645">
          <w:rPr>
            <w:rFonts w:ascii="Courier New" w:hAnsi="Courier New" w:cs="Courier New"/>
            <w:b/>
          </w:rPr>
          <w:fldChar w:fldCharType="begin"/>
        </w:r>
        <w:r w:rsidR="00A30880" w:rsidRPr="00132645">
          <w:rPr>
            <w:rFonts w:ascii="Courier New" w:hAnsi="Courier New" w:cs="Courier New"/>
            <w:b/>
          </w:rPr>
          <w:instrText xml:space="preserve"> PAGE   \* MERGEFORMAT </w:instrText>
        </w:r>
        <w:r w:rsidR="00A30880" w:rsidRPr="00132645">
          <w:rPr>
            <w:rFonts w:ascii="Courier New" w:hAnsi="Courier New" w:cs="Courier New"/>
            <w:b/>
          </w:rPr>
          <w:fldChar w:fldCharType="separate"/>
        </w:r>
        <w:r w:rsidR="00CA3D99">
          <w:rPr>
            <w:rFonts w:ascii="Courier New" w:hAnsi="Courier New" w:cs="Courier New"/>
            <w:b/>
            <w:noProof/>
          </w:rPr>
          <w:t>1130</w:t>
        </w:r>
        <w:r w:rsidR="00A30880" w:rsidRPr="00132645">
          <w:rPr>
            <w:rFonts w:ascii="Courier New" w:hAnsi="Courier New" w:cs="Courier New"/>
            <w:b/>
            <w:noProof/>
          </w:rPr>
          <w:fldChar w:fldCharType="end"/>
        </w:r>
      </w:p>
    </w:sdtContent>
  </w:sdt>
  <w:p w:rsidR="00A30880" w:rsidRPr="00A30880" w:rsidRDefault="00A30880">
    <w:pPr>
      <w:pStyle w:val="Footer"/>
      <w:rPr>
        <w:rFonts w:ascii="Courier New" w:hAnsi="Courier New" w:cs="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D2E" w:rsidRDefault="006C3D2E" w:rsidP="00A30880">
      <w:r>
        <w:separator/>
      </w:r>
    </w:p>
  </w:footnote>
  <w:footnote w:type="continuationSeparator" w:id="0">
    <w:p w:rsidR="006C3D2E" w:rsidRDefault="006C3D2E" w:rsidP="00A30880">
      <w:r>
        <w:continuationSeparator/>
      </w:r>
    </w:p>
  </w:footnote>
  <w:footnote w:id="1">
    <w:p w:rsidR="00BC0C4D" w:rsidRPr="00CC150C" w:rsidRDefault="00BC0C4D" w:rsidP="00F80EAC">
      <w:pPr>
        <w:pStyle w:val="FootnoteText"/>
        <w:jc w:val="both"/>
        <w:rPr>
          <w:rFonts w:ascii="Courier New" w:hAnsi="Courier New" w:cs="Courier New"/>
        </w:rPr>
      </w:pPr>
      <w:r>
        <w:rPr>
          <w:rStyle w:val="FootnoteReference"/>
        </w:rPr>
        <w:footnoteRef/>
      </w:r>
      <w:r>
        <w:rPr>
          <w:rFonts w:ascii="Courier New" w:hAnsi="Courier New" w:cs="Courier New"/>
        </w:rPr>
        <w:t xml:space="preserve"> The property record card </w:t>
      </w:r>
      <w:r w:rsidR="00D55B91">
        <w:rPr>
          <w:rFonts w:ascii="Courier New" w:hAnsi="Courier New" w:cs="Courier New"/>
        </w:rPr>
        <w:t>for</w:t>
      </w:r>
      <w:r>
        <w:rPr>
          <w:rFonts w:ascii="Courier New" w:hAnsi="Courier New" w:cs="Courier New"/>
        </w:rPr>
        <w:t xml:space="preserve"> the subject property indicates that the subject home contains 7,323 square feet of gross living area.  </w:t>
      </w:r>
      <w:r w:rsidR="00F80EAC">
        <w:rPr>
          <w:rFonts w:ascii="Courier New" w:hAnsi="Courier New" w:cs="Courier New"/>
        </w:rPr>
        <w:t>However</w:t>
      </w:r>
      <w:r>
        <w:rPr>
          <w:rFonts w:ascii="Courier New" w:hAnsi="Courier New" w:cs="Courier New"/>
        </w:rPr>
        <w:t>, the appellant’s real estate valuation witness, Eric J. O’Neil, testified at the hearing before the Board that the property record card improperly omits approximately 1,000 square feet of living area in the attic.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27696"/>
    <w:multiLevelType w:val="hybridMultilevel"/>
    <w:tmpl w:val="C344B268"/>
    <w:lvl w:ilvl="0" w:tplc="B0A2BE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1E66C3"/>
    <w:multiLevelType w:val="hybridMultilevel"/>
    <w:tmpl w:val="14E6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A21324"/>
    <w:multiLevelType w:val="hybridMultilevel"/>
    <w:tmpl w:val="885EE11E"/>
    <w:lvl w:ilvl="0" w:tplc="CEEA7D80">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16"/>
    <w:rsid w:val="00001FC3"/>
    <w:rsid w:val="000104C3"/>
    <w:rsid w:val="00011F81"/>
    <w:rsid w:val="0001386B"/>
    <w:rsid w:val="0002053E"/>
    <w:rsid w:val="00021956"/>
    <w:rsid w:val="00023365"/>
    <w:rsid w:val="00025984"/>
    <w:rsid w:val="00027FD4"/>
    <w:rsid w:val="0003065B"/>
    <w:rsid w:val="00035799"/>
    <w:rsid w:val="00035BB6"/>
    <w:rsid w:val="000370DE"/>
    <w:rsid w:val="000404C3"/>
    <w:rsid w:val="00041205"/>
    <w:rsid w:val="00044395"/>
    <w:rsid w:val="00045451"/>
    <w:rsid w:val="00051203"/>
    <w:rsid w:val="00055C32"/>
    <w:rsid w:val="000578F8"/>
    <w:rsid w:val="00060891"/>
    <w:rsid w:val="000618F4"/>
    <w:rsid w:val="00061BA3"/>
    <w:rsid w:val="000637F5"/>
    <w:rsid w:val="00063B6A"/>
    <w:rsid w:val="00064E8D"/>
    <w:rsid w:val="00065239"/>
    <w:rsid w:val="0006697B"/>
    <w:rsid w:val="000678D8"/>
    <w:rsid w:val="00074524"/>
    <w:rsid w:val="000752EC"/>
    <w:rsid w:val="000765B0"/>
    <w:rsid w:val="000842CC"/>
    <w:rsid w:val="00084442"/>
    <w:rsid w:val="0009123A"/>
    <w:rsid w:val="00095E62"/>
    <w:rsid w:val="00096658"/>
    <w:rsid w:val="00096883"/>
    <w:rsid w:val="00096F54"/>
    <w:rsid w:val="000A496E"/>
    <w:rsid w:val="000A63D0"/>
    <w:rsid w:val="000A7972"/>
    <w:rsid w:val="000A79A9"/>
    <w:rsid w:val="000A7A36"/>
    <w:rsid w:val="000B043B"/>
    <w:rsid w:val="000B047A"/>
    <w:rsid w:val="000B1869"/>
    <w:rsid w:val="000B1AAD"/>
    <w:rsid w:val="000B6D31"/>
    <w:rsid w:val="000C07DF"/>
    <w:rsid w:val="000C123E"/>
    <w:rsid w:val="000C6676"/>
    <w:rsid w:val="000D33A6"/>
    <w:rsid w:val="000D6C9D"/>
    <w:rsid w:val="000E6A03"/>
    <w:rsid w:val="000F0B2D"/>
    <w:rsid w:val="000F18B4"/>
    <w:rsid w:val="000F27BC"/>
    <w:rsid w:val="00101079"/>
    <w:rsid w:val="00102974"/>
    <w:rsid w:val="00106743"/>
    <w:rsid w:val="00106B05"/>
    <w:rsid w:val="001073AF"/>
    <w:rsid w:val="00107504"/>
    <w:rsid w:val="00112F8C"/>
    <w:rsid w:val="00114499"/>
    <w:rsid w:val="00117432"/>
    <w:rsid w:val="00117AC8"/>
    <w:rsid w:val="0012106F"/>
    <w:rsid w:val="001231AB"/>
    <w:rsid w:val="00126677"/>
    <w:rsid w:val="00126B1D"/>
    <w:rsid w:val="00127816"/>
    <w:rsid w:val="00132645"/>
    <w:rsid w:val="00132F28"/>
    <w:rsid w:val="001358CE"/>
    <w:rsid w:val="00137017"/>
    <w:rsid w:val="00137365"/>
    <w:rsid w:val="00143FE8"/>
    <w:rsid w:val="00146517"/>
    <w:rsid w:val="00151B74"/>
    <w:rsid w:val="00152617"/>
    <w:rsid w:val="001535BE"/>
    <w:rsid w:val="0015433D"/>
    <w:rsid w:val="001563A8"/>
    <w:rsid w:val="00157BF0"/>
    <w:rsid w:val="00160484"/>
    <w:rsid w:val="0016591C"/>
    <w:rsid w:val="00167124"/>
    <w:rsid w:val="001677ED"/>
    <w:rsid w:val="001717D6"/>
    <w:rsid w:val="001760C2"/>
    <w:rsid w:val="00176E50"/>
    <w:rsid w:val="00177FCC"/>
    <w:rsid w:val="00180440"/>
    <w:rsid w:val="00182709"/>
    <w:rsid w:val="00183AD5"/>
    <w:rsid w:val="001904C2"/>
    <w:rsid w:val="001904F1"/>
    <w:rsid w:val="00190C13"/>
    <w:rsid w:val="00190C9D"/>
    <w:rsid w:val="001915A1"/>
    <w:rsid w:val="001947DC"/>
    <w:rsid w:val="0019771F"/>
    <w:rsid w:val="001A57E0"/>
    <w:rsid w:val="001A6A68"/>
    <w:rsid w:val="001B07C1"/>
    <w:rsid w:val="001B3F30"/>
    <w:rsid w:val="001B4E9F"/>
    <w:rsid w:val="001B7D1A"/>
    <w:rsid w:val="001C02D9"/>
    <w:rsid w:val="001C20FE"/>
    <w:rsid w:val="001C3EDA"/>
    <w:rsid w:val="001D381F"/>
    <w:rsid w:val="001D4084"/>
    <w:rsid w:val="001D433F"/>
    <w:rsid w:val="001D4DF4"/>
    <w:rsid w:val="001D5D4B"/>
    <w:rsid w:val="001E13E2"/>
    <w:rsid w:val="001E3440"/>
    <w:rsid w:val="001E6B69"/>
    <w:rsid w:val="001F2024"/>
    <w:rsid w:val="001F4C24"/>
    <w:rsid w:val="001F4FCC"/>
    <w:rsid w:val="001F64A6"/>
    <w:rsid w:val="001F6926"/>
    <w:rsid w:val="001F6F56"/>
    <w:rsid w:val="001F7672"/>
    <w:rsid w:val="002073B7"/>
    <w:rsid w:val="0020793D"/>
    <w:rsid w:val="002079A9"/>
    <w:rsid w:val="00210EB3"/>
    <w:rsid w:val="002149A5"/>
    <w:rsid w:val="00215B0B"/>
    <w:rsid w:val="00222052"/>
    <w:rsid w:val="002229CA"/>
    <w:rsid w:val="00222A5F"/>
    <w:rsid w:val="002260FF"/>
    <w:rsid w:val="00226281"/>
    <w:rsid w:val="002272AE"/>
    <w:rsid w:val="0023183A"/>
    <w:rsid w:val="00233CAE"/>
    <w:rsid w:val="00233D46"/>
    <w:rsid w:val="002355D8"/>
    <w:rsid w:val="00235FC4"/>
    <w:rsid w:val="00242479"/>
    <w:rsid w:val="00242F5C"/>
    <w:rsid w:val="0024499F"/>
    <w:rsid w:val="002461D1"/>
    <w:rsid w:val="002504B2"/>
    <w:rsid w:val="00250935"/>
    <w:rsid w:val="00251428"/>
    <w:rsid w:val="002529B7"/>
    <w:rsid w:val="002555BF"/>
    <w:rsid w:val="00256A70"/>
    <w:rsid w:val="002573C7"/>
    <w:rsid w:val="002639E5"/>
    <w:rsid w:val="00265DF7"/>
    <w:rsid w:val="002669E8"/>
    <w:rsid w:val="00267BE1"/>
    <w:rsid w:val="00270BF5"/>
    <w:rsid w:val="00270FDD"/>
    <w:rsid w:val="00272EAC"/>
    <w:rsid w:val="002753E6"/>
    <w:rsid w:val="0027688E"/>
    <w:rsid w:val="00280974"/>
    <w:rsid w:val="00282A95"/>
    <w:rsid w:val="00283390"/>
    <w:rsid w:val="00284E1C"/>
    <w:rsid w:val="00291036"/>
    <w:rsid w:val="0029103A"/>
    <w:rsid w:val="0029300B"/>
    <w:rsid w:val="00293B47"/>
    <w:rsid w:val="002961CC"/>
    <w:rsid w:val="00296E5A"/>
    <w:rsid w:val="002973DC"/>
    <w:rsid w:val="002A0519"/>
    <w:rsid w:val="002A2263"/>
    <w:rsid w:val="002A4398"/>
    <w:rsid w:val="002A7719"/>
    <w:rsid w:val="002A7C06"/>
    <w:rsid w:val="002B0BB1"/>
    <w:rsid w:val="002B1A1F"/>
    <w:rsid w:val="002B68DB"/>
    <w:rsid w:val="002C3ECF"/>
    <w:rsid w:val="002C6A86"/>
    <w:rsid w:val="002D38F8"/>
    <w:rsid w:val="002D7DDB"/>
    <w:rsid w:val="002E13FE"/>
    <w:rsid w:val="002E278B"/>
    <w:rsid w:val="002E2D9D"/>
    <w:rsid w:val="002E4569"/>
    <w:rsid w:val="002E4909"/>
    <w:rsid w:val="002E606A"/>
    <w:rsid w:val="002E71E8"/>
    <w:rsid w:val="002F2E23"/>
    <w:rsid w:val="002F487D"/>
    <w:rsid w:val="00304667"/>
    <w:rsid w:val="00304AB9"/>
    <w:rsid w:val="00307FC5"/>
    <w:rsid w:val="00310118"/>
    <w:rsid w:val="00310D3F"/>
    <w:rsid w:val="00312394"/>
    <w:rsid w:val="00315B7D"/>
    <w:rsid w:val="003162F7"/>
    <w:rsid w:val="00320929"/>
    <w:rsid w:val="003223C1"/>
    <w:rsid w:val="00324841"/>
    <w:rsid w:val="00326E22"/>
    <w:rsid w:val="003319D5"/>
    <w:rsid w:val="00333563"/>
    <w:rsid w:val="0033378F"/>
    <w:rsid w:val="00340080"/>
    <w:rsid w:val="00340CA8"/>
    <w:rsid w:val="00340E4A"/>
    <w:rsid w:val="00342C08"/>
    <w:rsid w:val="00352247"/>
    <w:rsid w:val="00352382"/>
    <w:rsid w:val="003535A8"/>
    <w:rsid w:val="00361633"/>
    <w:rsid w:val="00362398"/>
    <w:rsid w:val="00362495"/>
    <w:rsid w:val="003634CC"/>
    <w:rsid w:val="00370293"/>
    <w:rsid w:val="003724D9"/>
    <w:rsid w:val="00372A5E"/>
    <w:rsid w:val="0037457B"/>
    <w:rsid w:val="00374D56"/>
    <w:rsid w:val="0037510A"/>
    <w:rsid w:val="0037656E"/>
    <w:rsid w:val="00376FD0"/>
    <w:rsid w:val="00377981"/>
    <w:rsid w:val="0038078A"/>
    <w:rsid w:val="00381887"/>
    <w:rsid w:val="00382345"/>
    <w:rsid w:val="00382AF2"/>
    <w:rsid w:val="003848CE"/>
    <w:rsid w:val="003904AF"/>
    <w:rsid w:val="0039124C"/>
    <w:rsid w:val="003914FA"/>
    <w:rsid w:val="00392C5E"/>
    <w:rsid w:val="0039630A"/>
    <w:rsid w:val="003A0048"/>
    <w:rsid w:val="003A2C89"/>
    <w:rsid w:val="003A47CF"/>
    <w:rsid w:val="003A51B0"/>
    <w:rsid w:val="003A5378"/>
    <w:rsid w:val="003A5CB1"/>
    <w:rsid w:val="003A67E2"/>
    <w:rsid w:val="003A6E12"/>
    <w:rsid w:val="003B0005"/>
    <w:rsid w:val="003B3B5B"/>
    <w:rsid w:val="003B6CB9"/>
    <w:rsid w:val="003C1603"/>
    <w:rsid w:val="003C3007"/>
    <w:rsid w:val="003C529E"/>
    <w:rsid w:val="003D0B74"/>
    <w:rsid w:val="003D102D"/>
    <w:rsid w:val="003D270D"/>
    <w:rsid w:val="003D3BCE"/>
    <w:rsid w:val="003D6E45"/>
    <w:rsid w:val="003D77F9"/>
    <w:rsid w:val="003E0E16"/>
    <w:rsid w:val="003E1608"/>
    <w:rsid w:val="003E212F"/>
    <w:rsid w:val="003E2154"/>
    <w:rsid w:val="003E2ADA"/>
    <w:rsid w:val="003F055B"/>
    <w:rsid w:val="003F5288"/>
    <w:rsid w:val="003F655C"/>
    <w:rsid w:val="00402CC9"/>
    <w:rsid w:val="00402EC3"/>
    <w:rsid w:val="004037DE"/>
    <w:rsid w:val="004065FB"/>
    <w:rsid w:val="00407C8C"/>
    <w:rsid w:val="00411A8B"/>
    <w:rsid w:val="00414167"/>
    <w:rsid w:val="004152A2"/>
    <w:rsid w:val="00415A39"/>
    <w:rsid w:val="00415DC6"/>
    <w:rsid w:val="004161D9"/>
    <w:rsid w:val="00417834"/>
    <w:rsid w:val="00417854"/>
    <w:rsid w:val="00417A09"/>
    <w:rsid w:val="00420311"/>
    <w:rsid w:val="004213DB"/>
    <w:rsid w:val="00421722"/>
    <w:rsid w:val="00423D28"/>
    <w:rsid w:val="0042468F"/>
    <w:rsid w:val="00434DD9"/>
    <w:rsid w:val="00434F96"/>
    <w:rsid w:val="00435FCA"/>
    <w:rsid w:val="00436CE2"/>
    <w:rsid w:val="00440204"/>
    <w:rsid w:val="00441022"/>
    <w:rsid w:val="00444DAB"/>
    <w:rsid w:val="00445D1C"/>
    <w:rsid w:val="00447EE5"/>
    <w:rsid w:val="00453D20"/>
    <w:rsid w:val="0045430F"/>
    <w:rsid w:val="00455769"/>
    <w:rsid w:val="00455ECE"/>
    <w:rsid w:val="00461A6D"/>
    <w:rsid w:val="004637C4"/>
    <w:rsid w:val="004638E7"/>
    <w:rsid w:val="00466F7F"/>
    <w:rsid w:val="00470698"/>
    <w:rsid w:val="00470739"/>
    <w:rsid w:val="00473174"/>
    <w:rsid w:val="004753A4"/>
    <w:rsid w:val="00475EE2"/>
    <w:rsid w:val="00476C8C"/>
    <w:rsid w:val="004772D5"/>
    <w:rsid w:val="00477889"/>
    <w:rsid w:val="00490665"/>
    <w:rsid w:val="004907D3"/>
    <w:rsid w:val="00491079"/>
    <w:rsid w:val="0049227B"/>
    <w:rsid w:val="00494BD0"/>
    <w:rsid w:val="0049630F"/>
    <w:rsid w:val="004972A1"/>
    <w:rsid w:val="004978F1"/>
    <w:rsid w:val="004A3444"/>
    <w:rsid w:val="004A4127"/>
    <w:rsid w:val="004B1BB0"/>
    <w:rsid w:val="004B2D12"/>
    <w:rsid w:val="004B6539"/>
    <w:rsid w:val="004C02AE"/>
    <w:rsid w:val="004C33FA"/>
    <w:rsid w:val="004C39C0"/>
    <w:rsid w:val="004D01F4"/>
    <w:rsid w:val="004D1A16"/>
    <w:rsid w:val="004D446F"/>
    <w:rsid w:val="004D6AFA"/>
    <w:rsid w:val="004E0A77"/>
    <w:rsid w:val="004E28BD"/>
    <w:rsid w:val="004E3CAE"/>
    <w:rsid w:val="004E5C8D"/>
    <w:rsid w:val="004E6F0E"/>
    <w:rsid w:val="004F078B"/>
    <w:rsid w:val="004F24A7"/>
    <w:rsid w:val="004F24F2"/>
    <w:rsid w:val="00500650"/>
    <w:rsid w:val="00502940"/>
    <w:rsid w:val="00503112"/>
    <w:rsid w:val="00505C52"/>
    <w:rsid w:val="0050616C"/>
    <w:rsid w:val="005075E0"/>
    <w:rsid w:val="00510E19"/>
    <w:rsid w:val="0051588C"/>
    <w:rsid w:val="00516712"/>
    <w:rsid w:val="00516F48"/>
    <w:rsid w:val="00517267"/>
    <w:rsid w:val="00520C80"/>
    <w:rsid w:val="005218A1"/>
    <w:rsid w:val="005252F1"/>
    <w:rsid w:val="00525CB6"/>
    <w:rsid w:val="00527CD5"/>
    <w:rsid w:val="00533D46"/>
    <w:rsid w:val="00536658"/>
    <w:rsid w:val="005432FD"/>
    <w:rsid w:val="005507E8"/>
    <w:rsid w:val="005516F0"/>
    <w:rsid w:val="005534E9"/>
    <w:rsid w:val="00553F61"/>
    <w:rsid w:val="00554E2E"/>
    <w:rsid w:val="00557FD9"/>
    <w:rsid w:val="00561BB2"/>
    <w:rsid w:val="0056580C"/>
    <w:rsid w:val="005771EF"/>
    <w:rsid w:val="00581745"/>
    <w:rsid w:val="00581D59"/>
    <w:rsid w:val="00583F14"/>
    <w:rsid w:val="00584116"/>
    <w:rsid w:val="00585B34"/>
    <w:rsid w:val="00590269"/>
    <w:rsid w:val="00590E42"/>
    <w:rsid w:val="00592D0A"/>
    <w:rsid w:val="005930F3"/>
    <w:rsid w:val="0059445B"/>
    <w:rsid w:val="0059459E"/>
    <w:rsid w:val="005A241A"/>
    <w:rsid w:val="005A30DC"/>
    <w:rsid w:val="005A48E7"/>
    <w:rsid w:val="005A51AD"/>
    <w:rsid w:val="005A6588"/>
    <w:rsid w:val="005A6DF7"/>
    <w:rsid w:val="005B19CE"/>
    <w:rsid w:val="005B446F"/>
    <w:rsid w:val="005B5316"/>
    <w:rsid w:val="005C239A"/>
    <w:rsid w:val="005C262A"/>
    <w:rsid w:val="005C3244"/>
    <w:rsid w:val="005C7CDC"/>
    <w:rsid w:val="005D0AEF"/>
    <w:rsid w:val="005D1D5A"/>
    <w:rsid w:val="005D240D"/>
    <w:rsid w:val="005D3369"/>
    <w:rsid w:val="005E07E8"/>
    <w:rsid w:val="005E1EA6"/>
    <w:rsid w:val="005E28D9"/>
    <w:rsid w:val="005E3118"/>
    <w:rsid w:val="005E7AD7"/>
    <w:rsid w:val="005F2DA4"/>
    <w:rsid w:val="005F71C6"/>
    <w:rsid w:val="005F7B4C"/>
    <w:rsid w:val="00601815"/>
    <w:rsid w:val="006023AD"/>
    <w:rsid w:val="00602A36"/>
    <w:rsid w:val="00604C31"/>
    <w:rsid w:val="006105D1"/>
    <w:rsid w:val="00611282"/>
    <w:rsid w:val="006117C7"/>
    <w:rsid w:val="006125C5"/>
    <w:rsid w:val="00613FFD"/>
    <w:rsid w:val="006148AC"/>
    <w:rsid w:val="00615B16"/>
    <w:rsid w:val="00617635"/>
    <w:rsid w:val="0061799A"/>
    <w:rsid w:val="00621233"/>
    <w:rsid w:val="00622FDB"/>
    <w:rsid w:val="00630BDB"/>
    <w:rsid w:val="00631079"/>
    <w:rsid w:val="00634486"/>
    <w:rsid w:val="00640D01"/>
    <w:rsid w:val="00641576"/>
    <w:rsid w:val="006416CF"/>
    <w:rsid w:val="00643260"/>
    <w:rsid w:val="00643987"/>
    <w:rsid w:val="006439E4"/>
    <w:rsid w:val="00645838"/>
    <w:rsid w:val="00646C34"/>
    <w:rsid w:val="0065038E"/>
    <w:rsid w:val="006531A6"/>
    <w:rsid w:val="00654825"/>
    <w:rsid w:val="0066012D"/>
    <w:rsid w:val="0066065A"/>
    <w:rsid w:val="00660CB5"/>
    <w:rsid w:val="006671D2"/>
    <w:rsid w:val="00672C60"/>
    <w:rsid w:val="006737F0"/>
    <w:rsid w:val="00676C7C"/>
    <w:rsid w:val="00683455"/>
    <w:rsid w:val="006838F1"/>
    <w:rsid w:val="00684F28"/>
    <w:rsid w:val="0068551A"/>
    <w:rsid w:val="00685740"/>
    <w:rsid w:val="006859D5"/>
    <w:rsid w:val="0068639F"/>
    <w:rsid w:val="00690B82"/>
    <w:rsid w:val="0069177D"/>
    <w:rsid w:val="006971FD"/>
    <w:rsid w:val="006A1B39"/>
    <w:rsid w:val="006A5AB1"/>
    <w:rsid w:val="006A5B7B"/>
    <w:rsid w:val="006A7160"/>
    <w:rsid w:val="006A7A3B"/>
    <w:rsid w:val="006B236A"/>
    <w:rsid w:val="006B30A1"/>
    <w:rsid w:val="006B4EEA"/>
    <w:rsid w:val="006B7390"/>
    <w:rsid w:val="006C05DE"/>
    <w:rsid w:val="006C0645"/>
    <w:rsid w:val="006C3D2E"/>
    <w:rsid w:val="006C7EBE"/>
    <w:rsid w:val="006D1CDF"/>
    <w:rsid w:val="006D4182"/>
    <w:rsid w:val="006D4E99"/>
    <w:rsid w:val="006D77B4"/>
    <w:rsid w:val="006D7FFA"/>
    <w:rsid w:val="006E1B9E"/>
    <w:rsid w:val="006E427A"/>
    <w:rsid w:val="006E43D7"/>
    <w:rsid w:val="006E5363"/>
    <w:rsid w:val="006E75A8"/>
    <w:rsid w:val="006E7820"/>
    <w:rsid w:val="006F11BD"/>
    <w:rsid w:val="006F1486"/>
    <w:rsid w:val="006F458C"/>
    <w:rsid w:val="006F494C"/>
    <w:rsid w:val="006F5159"/>
    <w:rsid w:val="006F5531"/>
    <w:rsid w:val="006F646F"/>
    <w:rsid w:val="006F7D83"/>
    <w:rsid w:val="006F7FA0"/>
    <w:rsid w:val="007031DF"/>
    <w:rsid w:val="00713B55"/>
    <w:rsid w:val="007154D1"/>
    <w:rsid w:val="00716676"/>
    <w:rsid w:val="00716D2D"/>
    <w:rsid w:val="00720203"/>
    <w:rsid w:val="00721070"/>
    <w:rsid w:val="0072439E"/>
    <w:rsid w:val="00724B25"/>
    <w:rsid w:val="00731C49"/>
    <w:rsid w:val="00735FFF"/>
    <w:rsid w:val="00736094"/>
    <w:rsid w:val="00740E17"/>
    <w:rsid w:val="007419B2"/>
    <w:rsid w:val="00744681"/>
    <w:rsid w:val="00746A0A"/>
    <w:rsid w:val="00750D25"/>
    <w:rsid w:val="007533EA"/>
    <w:rsid w:val="007549B6"/>
    <w:rsid w:val="00762535"/>
    <w:rsid w:val="00764A7E"/>
    <w:rsid w:val="00765EEE"/>
    <w:rsid w:val="00770594"/>
    <w:rsid w:val="00770C39"/>
    <w:rsid w:val="007715E0"/>
    <w:rsid w:val="007750FB"/>
    <w:rsid w:val="007755FA"/>
    <w:rsid w:val="0077777C"/>
    <w:rsid w:val="007813D9"/>
    <w:rsid w:val="00782E98"/>
    <w:rsid w:val="0078459C"/>
    <w:rsid w:val="00785777"/>
    <w:rsid w:val="007865FA"/>
    <w:rsid w:val="00787F4F"/>
    <w:rsid w:val="00790A8F"/>
    <w:rsid w:val="007921F7"/>
    <w:rsid w:val="007944BF"/>
    <w:rsid w:val="00796603"/>
    <w:rsid w:val="007A04D6"/>
    <w:rsid w:val="007A5481"/>
    <w:rsid w:val="007A72D8"/>
    <w:rsid w:val="007A78FB"/>
    <w:rsid w:val="007A790A"/>
    <w:rsid w:val="007B0FA6"/>
    <w:rsid w:val="007B2938"/>
    <w:rsid w:val="007B464F"/>
    <w:rsid w:val="007C2219"/>
    <w:rsid w:val="007C25F3"/>
    <w:rsid w:val="007C622A"/>
    <w:rsid w:val="007C6230"/>
    <w:rsid w:val="007D0D0C"/>
    <w:rsid w:val="007D20A6"/>
    <w:rsid w:val="007D2114"/>
    <w:rsid w:val="007D69E2"/>
    <w:rsid w:val="007D6FA1"/>
    <w:rsid w:val="007F094D"/>
    <w:rsid w:val="007F0D16"/>
    <w:rsid w:val="007F1165"/>
    <w:rsid w:val="007F1179"/>
    <w:rsid w:val="007F54B0"/>
    <w:rsid w:val="007F6205"/>
    <w:rsid w:val="008025ED"/>
    <w:rsid w:val="00806700"/>
    <w:rsid w:val="00806BCF"/>
    <w:rsid w:val="008074B7"/>
    <w:rsid w:val="00812844"/>
    <w:rsid w:val="0081653F"/>
    <w:rsid w:val="00817F54"/>
    <w:rsid w:val="008201EB"/>
    <w:rsid w:val="00821AC3"/>
    <w:rsid w:val="008276CE"/>
    <w:rsid w:val="0082788B"/>
    <w:rsid w:val="00827D96"/>
    <w:rsid w:val="00830C50"/>
    <w:rsid w:val="008337DA"/>
    <w:rsid w:val="008345F8"/>
    <w:rsid w:val="008361E9"/>
    <w:rsid w:val="0084074F"/>
    <w:rsid w:val="00845D7C"/>
    <w:rsid w:val="00847943"/>
    <w:rsid w:val="00851AAC"/>
    <w:rsid w:val="008566CF"/>
    <w:rsid w:val="0085750C"/>
    <w:rsid w:val="008636F3"/>
    <w:rsid w:val="00864725"/>
    <w:rsid w:val="00870523"/>
    <w:rsid w:val="008712F7"/>
    <w:rsid w:val="00873D09"/>
    <w:rsid w:val="0087666D"/>
    <w:rsid w:val="00877663"/>
    <w:rsid w:val="00881144"/>
    <w:rsid w:val="00886B6E"/>
    <w:rsid w:val="00886D21"/>
    <w:rsid w:val="00890621"/>
    <w:rsid w:val="00891FC8"/>
    <w:rsid w:val="00894510"/>
    <w:rsid w:val="00897E1F"/>
    <w:rsid w:val="008A0427"/>
    <w:rsid w:val="008A46AE"/>
    <w:rsid w:val="008A715F"/>
    <w:rsid w:val="008B5FB5"/>
    <w:rsid w:val="008B613B"/>
    <w:rsid w:val="008B7900"/>
    <w:rsid w:val="008C1D13"/>
    <w:rsid w:val="008C318A"/>
    <w:rsid w:val="008C4247"/>
    <w:rsid w:val="008C5730"/>
    <w:rsid w:val="008D3FDD"/>
    <w:rsid w:val="008D56C5"/>
    <w:rsid w:val="008D6292"/>
    <w:rsid w:val="008E0827"/>
    <w:rsid w:val="008E2CE0"/>
    <w:rsid w:val="008E4A66"/>
    <w:rsid w:val="008F1448"/>
    <w:rsid w:val="008F4079"/>
    <w:rsid w:val="00902D70"/>
    <w:rsid w:val="0090366C"/>
    <w:rsid w:val="00905729"/>
    <w:rsid w:val="00905CE8"/>
    <w:rsid w:val="00905FA7"/>
    <w:rsid w:val="00905FF9"/>
    <w:rsid w:val="00911AFC"/>
    <w:rsid w:val="00913420"/>
    <w:rsid w:val="0091425C"/>
    <w:rsid w:val="0091437B"/>
    <w:rsid w:val="00914EBA"/>
    <w:rsid w:val="0091786F"/>
    <w:rsid w:val="00920CD9"/>
    <w:rsid w:val="009251F9"/>
    <w:rsid w:val="00930FED"/>
    <w:rsid w:val="00933026"/>
    <w:rsid w:val="00934D80"/>
    <w:rsid w:val="009377AD"/>
    <w:rsid w:val="00940C99"/>
    <w:rsid w:val="00941D65"/>
    <w:rsid w:val="00942B17"/>
    <w:rsid w:val="00945773"/>
    <w:rsid w:val="00946CCE"/>
    <w:rsid w:val="00950587"/>
    <w:rsid w:val="00956FE3"/>
    <w:rsid w:val="00960031"/>
    <w:rsid w:val="009608B8"/>
    <w:rsid w:val="00967E3B"/>
    <w:rsid w:val="00973F5B"/>
    <w:rsid w:val="00975BCF"/>
    <w:rsid w:val="009767C2"/>
    <w:rsid w:val="00976A50"/>
    <w:rsid w:val="009807BE"/>
    <w:rsid w:val="00981576"/>
    <w:rsid w:val="00981F68"/>
    <w:rsid w:val="009822C5"/>
    <w:rsid w:val="00983267"/>
    <w:rsid w:val="00985C20"/>
    <w:rsid w:val="00990E79"/>
    <w:rsid w:val="00992E03"/>
    <w:rsid w:val="00995948"/>
    <w:rsid w:val="009964E8"/>
    <w:rsid w:val="009A04A1"/>
    <w:rsid w:val="009A1252"/>
    <w:rsid w:val="009A18CE"/>
    <w:rsid w:val="009A1B0D"/>
    <w:rsid w:val="009A5316"/>
    <w:rsid w:val="009A63FC"/>
    <w:rsid w:val="009A7422"/>
    <w:rsid w:val="009B0BE0"/>
    <w:rsid w:val="009B17FB"/>
    <w:rsid w:val="009B3A3D"/>
    <w:rsid w:val="009B3BE8"/>
    <w:rsid w:val="009B7D04"/>
    <w:rsid w:val="009C1641"/>
    <w:rsid w:val="009C3F52"/>
    <w:rsid w:val="009C7540"/>
    <w:rsid w:val="009D24AE"/>
    <w:rsid w:val="009D3A34"/>
    <w:rsid w:val="009D73DB"/>
    <w:rsid w:val="009E1CEB"/>
    <w:rsid w:val="009E62FD"/>
    <w:rsid w:val="009E6F1D"/>
    <w:rsid w:val="009E7CFB"/>
    <w:rsid w:val="009F3E8D"/>
    <w:rsid w:val="00A04942"/>
    <w:rsid w:val="00A05459"/>
    <w:rsid w:val="00A05D33"/>
    <w:rsid w:val="00A06AFD"/>
    <w:rsid w:val="00A06D78"/>
    <w:rsid w:val="00A10382"/>
    <w:rsid w:val="00A20102"/>
    <w:rsid w:val="00A20659"/>
    <w:rsid w:val="00A230A6"/>
    <w:rsid w:val="00A23B6B"/>
    <w:rsid w:val="00A30880"/>
    <w:rsid w:val="00A3220D"/>
    <w:rsid w:val="00A33015"/>
    <w:rsid w:val="00A333F4"/>
    <w:rsid w:val="00A340C7"/>
    <w:rsid w:val="00A36F64"/>
    <w:rsid w:val="00A37F2E"/>
    <w:rsid w:val="00A402B5"/>
    <w:rsid w:val="00A40B3C"/>
    <w:rsid w:val="00A413DE"/>
    <w:rsid w:val="00A4269C"/>
    <w:rsid w:val="00A42BFE"/>
    <w:rsid w:val="00A42DB9"/>
    <w:rsid w:val="00A466EB"/>
    <w:rsid w:val="00A469D3"/>
    <w:rsid w:val="00A472AC"/>
    <w:rsid w:val="00A53136"/>
    <w:rsid w:val="00A543DA"/>
    <w:rsid w:val="00A5701A"/>
    <w:rsid w:val="00A57BAE"/>
    <w:rsid w:val="00A61E09"/>
    <w:rsid w:val="00A633CE"/>
    <w:rsid w:val="00A701DB"/>
    <w:rsid w:val="00A70219"/>
    <w:rsid w:val="00A71143"/>
    <w:rsid w:val="00A75604"/>
    <w:rsid w:val="00A75CF8"/>
    <w:rsid w:val="00A773E8"/>
    <w:rsid w:val="00A82316"/>
    <w:rsid w:val="00A828D5"/>
    <w:rsid w:val="00A90C9A"/>
    <w:rsid w:val="00A94905"/>
    <w:rsid w:val="00A972C9"/>
    <w:rsid w:val="00AA161F"/>
    <w:rsid w:val="00AA2F9A"/>
    <w:rsid w:val="00AA4E00"/>
    <w:rsid w:val="00AA597F"/>
    <w:rsid w:val="00AB2863"/>
    <w:rsid w:val="00AB4C0E"/>
    <w:rsid w:val="00AB70D2"/>
    <w:rsid w:val="00AB77A8"/>
    <w:rsid w:val="00AC0F48"/>
    <w:rsid w:val="00AC6A90"/>
    <w:rsid w:val="00AD2923"/>
    <w:rsid w:val="00AD59DF"/>
    <w:rsid w:val="00AD5B79"/>
    <w:rsid w:val="00AD611F"/>
    <w:rsid w:val="00AD6BD4"/>
    <w:rsid w:val="00AE32DA"/>
    <w:rsid w:val="00AE5E19"/>
    <w:rsid w:val="00AE721B"/>
    <w:rsid w:val="00AE7AD7"/>
    <w:rsid w:val="00AF5840"/>
    <w:rsid w:val="00B00131"/>
    <w:rsid w:val="00B02089"/>
    <w:rsid w:val="00B04BA1"/>
    <w:rsid w:val="00B13B5F"/>
    <w:rsid w:val="00B14A74"/>
    <w:rsid w:val="00B155E1"/>
    <w:rsid w:val="00B17223"/>
    <w:rsid w:val="00B21025"/>
    <w:rsid w:val="00B21BE1"/>
    <w:rsid w:val="00B236DA"/>
    <w:rsid w:val="00B25077"/>
    <w:rsid w:val="00B250E2"/>
    <w:rsid w:val="00B36B68"/>
    <w:rsid w:val="00B36CD8"/>
    <w:rsid w:val="00B373FA"/>
    <w:rsid w:val="00B405CD"/>
    <w:rsid w:val="00B469C6"/>
    <w:rsid w:val="00B50E94"/>
    <w:rsid w:val="00B5464B"/>
    <w:rsid w:val="00B5488F"/>
    <w:rsid w:val="00B611B8"/>
    <w:rsid w:val="00B612E8"/>
    <w:rsid w:val="00B61B04"/>
    <w:rsid w:val="00B62A4E"/>
    <w:rsid w:val="00B76C02"/>
    <w:rsid w:val="00B77AB2"/>
    <w:rsid w:val="00B82DB9"/>
    <w:rsid w:val="00B87C38"/>
    <w:rsid w:val="00B90E57"/>
    <w:rsid w:val="00B94E3C"/>
    <w:rsid w:val="00B95D45"/>
    <w:rsid w:val="00B972FC"/>
    <w:rsid w:val="00BA1C94"/>
    <w:rsid w:val="00BA1F9F"/>
    <w:rsid w:val="00BA647A"/>
    <w:rsid w:val="00BA746F"/>
    <w:rsid w:val="00BB30EF"/>
    <w:rsid w:val="00BB5407"/>
    <w:rsid w:val="00BB5860"/>
    <w:rsid w:val="00BC0C4D"/>
    <w:rsid w:val="00BC359C"/>
    <w:rsid w:val="00BC426B"/>
    <w:rsid w:val="00BC544F"/>
    <w:rsid w:val="00BD1233"/>
    <w:rsid w:val="00BE6CC3"/>
    <w:rsid w:val="00BF0B48"/>
    <w:rsid w:val="00BF0E40"/>
    <w:rsid w:val="00BF0EE1"/>
    <w:rsid w:val="00BF57C6"/>
    <w:rsid w:val="00BF7CAF"/>
    <w:rsid w:val="00C01019"/>
    <w:rsid w:val="00C01E14"/>
    <w:rsid w:val="00C0295A"/>
    <w:rsid w:val="00C035F9"/>
    <w:rsid w:val="00C12898"/>
    <w:rsid w:val="00C1399C"/>
    <w:rsid w:val="00C14AB6"/>
    <w:rsid w:val="00C15583"/>
    <w:rsid w:val="00C162A6"/>
    <w:rsid w:val="00C165AC"/>
    <w:rsid w:val="00C2640E"/>
    <w:rsid w:val="00C318CB"/>
    <w:rsid w:val="00C341EF"/>
    <w:rsid w:val="00C3436F"/>
    <w:rsid w:val="00C3784F"/>
    <w:rsid w:val="00C40FFE"/>
    <w:rsid w:val="00C41B54"/>
    <w:rsid w:val="00C445F2"/>
    <w:rsid w:val="00C452BE"/>
    <w:rsid w:val="00C45CA0"/>
    <w:rsid w:val="00C478A4"/>
    <w:rsid w:val="00C47FBB"/>
    <w:rsid w:val="00C507A0"/>
    <w:rsid w:val="00C50E76"/>
    <w:rsid w:val="00C52CD1"/>
    <w:rsid w:val="00C563B7"/>
    <w:rsid w:val="00C57E03"/>
    <w:rsid w:val="00C61985"/>
    <w:rsid w:val="00C619FD"/>
    <w:rsid w:val="00C62666"/>
    <w:rsid w:val="00C70554"/>
    <w:rsid w:val="00C719EF"/>
    <w:rsid w:val="00C730AA"/>
    <w:rsid w:val="00C74C80"/>
    <w:rsid w:val="00C80042"/>
    <w:rsid w:val="00C80BF2"/>
    <w:rsid w:val="00C8159C"/>
    <w:rsid w:val="00C83FBC"/>
    <w:rsid w:val="00C845A0"/>
    <w:rsid w:val="00C84791"/>
    <w:rsid w:val="00C84E45"/>
    <w:rsid w:val="00C8629F"/>
    <w:rsid w:val="00C90187"/>
    <w:rsid w:val="00C90C97"/>
    <w:rsid w:val="00C9245F"/>
    <w:rsid w:val="00C93830"/>
    <w:rsid w:val="00C97880"/>
    <w:rsid w:val="00CA0720"/>
    <w:rsid w:val="00CA2035"/>
    <w:rsid w:val="00CA2B56"/>
    <w:rsid w:val="00CA3D99"/>
    <w:rsid w:val="00CA54EC"/>
    <w:rsid w:val="00CA6DE0"/>
    <w:rsid w:val="00CB1F36"/>
    <w:rsid w:val="00CB2B69"/>
    <w:rsid w:val="00CB32F9"/>
    <w:rsid w:val="00CB33F5"/>
    <w:rsid w:val="00CB3637"/>
    <w:rsid w:val="00CC150C"/>
    <w:rsid w:val="00CC5BE4"/>
    <w:rsid w:val="00CC7ACD"/>
    <w:rsid w:val="00CD1569"/>
    <w:rsid w:val="00CD26B7"/>
    <w:rsid w:val="00CD49FC"/>
    <w:rsid w:val="00CD7BC7"/>
    <w:rsid w:val="00CE1DDE"/>
    <w:rsid w:val="00CE42E9"/>
    <w:rsid w:val="00CF1129"/>
    <w:rsid w:val="00CF25AA"/>
    <w:rsid w:val="00CF2BB5"/>
    <w:rsid w:val="00CF40E4"/>
    <w:rsid w:val="00CF54CE"/>
    <w:rsid w:val="00CF7700"/>
    <w:rsid w:val="00CF7B1F"/>
    <w:rsid w:val="00D03D89"/>
    <w:rsid w:val="00D055E4"/>
    <w:rsid w:val="00D058BD"/>
    <w:rsid w:val="00D06A10"/>
    <w:rsid w:val="00D12F44"/>
    <w:rsid w:val="00D17D98"/>
    <w:rsid w:val="00D23FDB"/>
    <w:rsid w:val="00D26C8C"/>
    <w:rsid w:val="00D340F7"/>
    <w:rsid w:val="00D40539"/>
    <w:rsid w:val="00D40D66"/>
    <w:rsid w:val="00D410C1"/>
    <w:rsid w:val="00D42988"/>
    <w:rsid w:val="00D42EC8"/>
    <w:rsid w:val="00D47812"/>
    <w:rsid w:val="00D53300"/>
    <w:rsid w:val="00D55B91"/>
    <w:rsid w:val="00D571CE"/>
    <w:rsid w:val="00D629D1"/>
    <w:rsid w:val="00D62F39"/>
    <w:rsid w:val="00D63715"/>
    <w:rsid w:val="00D70C7C"/>
    <w:rsid w:val="00D71C47"/>
    <w:rsid w:val="00D71E89"/>
    <w:rsid w:val="00D725EA"/>
    <w:rsid w:val="00D72664"/>
    <w:rsid w:val="00D72A38"/>
    <w:rsid w:val="00D751FE"/>
    <w:rsid w:val="00D76326"/>
    <w:rsid w:val="00D779B6"/>
    <w:rsid w:val="00D82500"/>
    <w:rsid w:val="00D82C42"/>
    <w:rsid w:val="00D84679"/>
    <w:rsid w:val="00D868A7"/>
    <w:rsid w:val="00D95DE0"/>
    <w:rsid w:val="00DA1B22"/>
    <w:rsid w:val="00DA2B6F"/>
    <w:rsid w:val="00DB443F"/>
    <w:rsid w:val="00DB6949"/>
    <w:rsid w:val="00DB6D23"/>
    <w:rsid w:val="00DB788D"/>
    <w:rsid w:val="00DC1A2B"/>
    <w:rsid w:val="00DC2DEF"/>
    <w:rsid w:val="00DC609E"/>
    <w:rsid w:val="00DC6F77"/>
    <w:rsid w:val="00DC6F88"/>
    <w:rsid w:val="00DD0245"/>
    <w:rsid w:val="00DD12AF"/>
    <w:rsid w:val="00DD285B"/>
    <w:rsid w:val="00DD34D5"/>
    <w:rsid w:val="00DD45ED"/>
    <w:rsid w:val="00DD4B9C"/>
    <w:rsid w:val="00DE05A9"/>
    <w:rsid w:val="00DE22FA"/>
    <w:rsid w:val="00DE404D"/>
    <w:rsid w:val="00DE6A2D"/>
    <w:rsid w:val="00DF1594"/>
    <w:rsid w:val="00DF1635"/>
    <w:rsid w:val="00DF1879"/>
    <w:rsid w:val="00DF2369"/>
    <w:rsid w:val="00DF32C1"/>
    <w:rsid w:val="00DF5122"/>
    <w:rsid w:val="00DF592B"/>
    <w:rsid w:val="00DF6A92"/>
    <w:rsid w:val="00DF7B10"/>
    <w:rsid w:val="00E039BA"/>
    <w:rsid w:val="00E03D86"/>
    <w:rsid w:val="00E0413C"/>
    <w:rsid w:val="00E04E2C"/>
    <w:rsid w:val="00E06100"/>
    <w:rsid w:val="00E1023F"/>
    <w:rsid w:val="00E11168"/>
    <w:rsid w:val="00E12BD6"/>
    <w:rsid w:val="00E134B1"/>
    <w:rsid w:val="00E1544F"/>
    <w:rsid w:val="00E1603E"/>
    <w:rsid w:val="00E16937"/>
    <w:rsid w:val="00E17B74"/>
    <w:rsid w:val="00E214C2"/>
    <w:rsid w:val="00E31FB8"/>
    <w:rsid w:val="00E36674"/>
    <w:rsid w:val="00E44EF2"/>
    <w:rsid w:val="00E465DE"/>
    <w:rsid w:val="00E5170E"/>
    <w:rsid w:val="00E538EC"/>
    <w:rsid w:val="00E549CC"/>
    <w:rsid w:val="00E54E3F"/>
    <w:rsid w:val="00E55407"/>
    <w:rsid w:val="00E562D3"/>
    <w:rsid w:val="00E57507"/>
    <w:rsid w:val="00E608F8"/>
    <w:rsid w:val="00E61F0E"/>
    <w:rsid w:val="00E63CDC"/>
    <w:rsid w:val="00E64045"/>
    <w:rsid w:val="00E64B7F"/>
    <w:rsid w:val="00E668B4"/>
    <w:rsid w:val="00E74216"/>
    <w:rsid w:val="00E7552B"/>
    <w:rsid w:val="00E8205E"/>
    <w:rsid w:val="00E8212D"/>
    <w:rsid w:val="00E83A4C"/>
    <w:rsid w:val="00E865CA"/>
    <w:rsid w:val="00E90CBD"/>
    <w:rsid w:val="00E968A3"/>
    <w:rsid w:val="00EB06F5"/>
    <w:rsid w:val="00EB0836"/>
    <w:rsid w:val="00EB5BD8"/>
    <w:rsid w:val="00EB5CE8"/>
    <w:rsid w:val="00EB6B08"/>
    <w:rsid w:val="00EB7DCA"/>
    <w:rsid w:val="00EC0B21"/>
    <w:rsid w:val="00EC145E"/>
    <w:rsid w:val="00ED1033"/>
    <w:rsid w:val="00ED2059"/>
    <w:rsid w:val="00ED3995"/>
    <w:rsid w:val="00ED5008"/>
    <w:rsid w:val="00EE1EAE"/>
    <w:rsid w:val="00EE3072"/>
    <w:rsid w:val="00EE3C95"/>
    <w:rsid w:val="00EE3EB9"/>
    <w:rsid w:val="00EF1A39"/>
    <w:rsid w:val="00EF2F93"/>
    <w:rsid w:val="00EF54F5"/>
    <w:rsid w:val="00EF5885"/>
    <w:rsid w:val="00F00B34"/>
    <w:rsid w:val="00F00C4F"/>
    <w:rsid w:val="00F00D15"/>
    <w:rsid w:val="00F01D14"/>
    <w:rsid w:val="00F01FD3"/>
    <w:rsid w:val="00F0364D"/>
    <w:rsid w:val="00F10DB3"/>
    <w:rsid w:val="00F11760"/>
    <w:rsid w:val="00F12E6D"/>
    <w:rsid w:val="00F13C62"/>
    <w:rsid w:val="00F150B8"/>
    <w:rsid w:val="00F17718"/>
    <w:rsid w:val="00F232CE"/>
    <w:rsid w:val="00F23C41"/>
    <w:rsid w:val="00F25D94"/>
    <w:rsid w:val="00F26072"/>
    <w:rsid w:val="00F30CBF"/>
    <w:rsid w:val="00F3332D"/>
    <w:rsid w:val="00F338F4"/>
    <w:rsid w:val="00F34BDC"/>
    <w:rsid w:val="00F36308"/>
    <w:rsid w:val="00F36885"/>
    <w:rsid w:val="00F37E6B"/>
    <w:rsid w:val="00F45B5E"/>
    <w:rsid w:val="00F46A12"/>
    <w:rsid w:val="00F5179A"/>
    <w:rsid w:val="00F60795"/>
    <w:rsid w:val="00F61C5C"/>
    <w:rsid w:val="00F62ECE"/>
    <w:rsid w:val="00F67767"/>
    <w:rsid w:val="00F7184A"/>
    <w:rsid w:val="00F7347F"/>
    <w:rsid w:val="00F8051C"/>
    <w:rsid w:val="00F80EAC"/>
    <w:rsid w:val="00F8140B"/>
    <w:rsid w:val="00F815A6"/>
    <w:rsid w:val="00F82AA8"/>
    <w:rsid w:val="00F83D47"/>
    <w:rsid w:val="00F85E0D"/>
    <w:rsid w:val="00F87225"/>
    <w:rsid w:val="00F95803"/>
    <w:rsid w:val="00FA0971"/>
    <w:rsid w:val="00FA2E73"/>
    <w:rsid w:val="00FA33B8"/>
    <w:rsid w:val="00FA4A2D"/>
    <w:rsid w:val="00FA5545"/>
    <w:rsid w:val="00FA59CF"/>
    <w:rsid w:val="00FA7DA8"/>
    <w:rsid w:val="00FB6BDA"/>
    <w:rsid w:val="00FC0CAC"/>
    <w:rsid w:val="00FC2F2E"/>
    <w:rsid w:val="00FD1A92"/>
    <w:rsid w:val="00FD1F7C"/>
    <w:rsid w:val="00FD20E8"/>
    <w:rsid w:val="00FD26E7"/>
    <w:rsid w:val="00FD43D0"/>
    <w:rsid w:val="00FD4906"/>
    <w:rsid w:val="00FE1117"/>
    <w:rsid w:val="00FE19B9"/>
    <w:rsid w:val="00FE1B78"/>
    <w:rsid w:val="00FE4735"/>
    <w:rsid w:val="00FE6B1A"/>
    <w:rsid w:val="00FF0642"/>
    <w:rsid w:val="00FF0A4A"/>
    <w:rsid w:val="00FF2536"/>
    <w:rsid w:val="00FF2A12"/>
    <w:rsid w:val="00FF5BE6"/>
    <w:rsid w:val="00FF5CDC"/>
    <w:rsid w:val="00FF66DC"/>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316"/>
    <w:pPr>
      <w:spacing w:after="0" w:line="240" w:lineRule="auto"/>
    </w:pPr>
  </w:style>
  <w:style w:type="paragraph" w:styleId="Header">
    <w:name w:val="header"/>
    <w:basedOn w:val="Normal"/>
    <w:link w:val="HeaderChar"/>
    <w:uiPriority w:val="99"/>
    <w:unhideWhenUsed/>
    <w:rsid w:val="00A30880"/>
    <w:pPr>
      <w:tabs>
        <w:tab w:val="center" w:pos="4680"/>
        <w:tab w:val="right" w:pos="9360"/>
      </w:tabs>
    </w:pPr>
  </w:style>
  <w:style w:type="character" w:customStyle="1" w:styleId="HeaderChar">
    <w:name w:val="Header Char"/>
    <w:basedOn w:val="DefaultParagraphFont"/>
    <w:link w:val="Header"/>
    <w:uiPriority w:val="99"/>
    <w:rsid w:val="00A308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0880"/>
    <w:pPr>
      <w:tabs>
        <w:tab w:val="center" w:pos="4680"/>
        <w:tab w:val="right" w:pos="9360"/>
      </w:tabs>
    </w:pPr>
  </w:style>
  <w:style w:type="character" w:customStyle="1" w:styleId="FooterChar">
    <w:name w:val="Footer Char"/>
    <w:basedOn w:val="DefaultParagraphFont"/>
    <w:link w:val="Footer"/>
    <w:uiPriority w:val="99"/>
    <w:rsid w:val="00A30880"/>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7777C"/>
    <w:rPr>
      <w:sz w:val="20"/>
      <w:szCs w:val="20"/>
    </w:rPr>
  </w:style>
  <w:style w:type="character" w:customStyle="1" w:styleId="FootnoteTextChar">
    <w:name w:val="Footnote Text Char"/>
    <w:basedOn w:val="DefaultParagraphFont"/>
    <w:link w:val="FootnoteText"/>
    <w:uiPriority w:val="99"/>
    <w:rsid w:val="0077777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777C"/>
    <w:rPr>
      <w:vertAlign w:val="superscript"/>
    </w:rPr>
  </w:style>
  <w:style w:type="paragraph" w:styleId="BalloonText">
    <w:name w:val="Balloon Text"/>
    <w:basedOn w:val="Normal"/>
    <w:link w:val="BalloonTextChar"/>
    <w:uiPriority w:val="99"/>
    <w:semiHidden/>
    <w:unhideWhenUsed/>
    <w:rsid w:val="008D56C5"/>
    <w:rPr>
      <w:rFonts w:ascii="Tahoma" w:hAnsi="Tahoma" w:cs="Tahoma"/>
      <w:sz w:val="16"/>
      <w:szCs w:val="16"/>
    </w:rPr>
  </w:style>
  <w:style w:type="character" w:customStyle="1" w:styleId="BalloonTextChar">
    <w:name w:val="Balloon Text Char"/>
    <w:basedOn w:val="DefaultParagraphFont"/>
    <w:link w:val="BalloonText"/>
    <w:uiPriority w:val="99"/>
    <w:semiHidden/>
    <w:rsid w:val="008D56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316"/>
    <w:pPr>
      <w:spacing w:after="0" w:line="240" w:lineRule="auto"/>
    </w:pPr>
  </w:style>
  <w:style w:type="paragraph" w:styleId="Header">
    <w:name w:val="header"/>
    <w:basedOn w:val="Normal"/>
    <w:link w:val="HeaderChar"/>
    <w:uiPriority w:val="99"/>
    <w:unhideWhenUsed/>
    <w:rsid w:val="00A30880"/>
    <w:pPr>
      <w:tabs>
        <w:tab w:val="center" w:pos="4680"/>
        <w:tab w:val="right" w:pos="9360"/>
      </w:tabs>
    </w:pPr>
  </w:style>
  <w:style w:type="character" w:customStyle="1" w:styleId="HeaderChar">
    <w:name w:val="Header Char"/>
    <w:basedOn w:val="DefaultParagraphFont"/>
    <w:link w:val="Header"/>
    <w:uiPriority w:val="99"/>
    <w:rsid w:val="00A308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0880"/>
    <w:pPr>
      <w:tabs>
        <w:tab w:val="center" w:pos="4680"/>
        <w:tab w:val="right" w:pos="9360"/>
      </w:tabs>
    </w:pPr>
  </w:style>
  <w:style w:type="character" w:customStyle="1" w:styleId="FooterChar">
    <w:name w:val="Footer Char"/>
    <w:basedOn w:val="DefaultParagraphFont"/>
    <w:link w:val="Footer"/>
    <w:uiPriority w:val="99"/>
    <w:rsid w:val="00A30880"/>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7777C"/>
    <w:rPr>
      <w:sz w:val="20"/>
      <w:szCs w:val="20"/>
    </w:rPr>
  </w:style>
  <w:style w:type="character" w:customStyle="1" w:styleId="FootnoteTextChar">
    <w:name w:val="Footnote Text Char"/>
    <w:basedOn w:val="DefaultParagraphFont"/>
    <w:link w:val="FootnoteText"/>
    <w:uiPriority w:val="99"/>
    <w:rsid w:val="0077777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777C"/>
    <w:rPr>
      <w:vertAlign w:val="superscript"/>
    </w:rPr>
  </w:style>
  <w:style w:type="paragraph" w:styleId="BalloonText">
    <w:name w:val="Balloon Text"/>
    <w:basedOn w:val="Normal"/>
    <w:link w:val="BalloonTextChar"/>
    <w:uiPriority w:val="99"/>
    <w:semiHidden/>
    <w:unhideWhenUsed/>
    <w:rsid w:val="008D56C5"/>
    <w:rPr>
      <w:rFonts w:ascii="Tahoma" w:hAnsi="Tahoma" w:cs="Tahoma"/>
      <w:sz w:val="16"/>
      <w:szCs w:val="16"/>
    </w:rPr>
  </w:style>
  <w:style w:type="character" w:customStyle="1" w:styleId="BalloonTextChar">
    <w:name w:val="Balloon Text Char"/>
    <w:basedOn w:val="DefaultParagraphFont"/>
    <w:link w:val="BalloonText"/>
    <w:uiPriority w:val="99"/>
    <w:semiHidden/>
    <w:rsid w:val="008D56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3286">
      <w:bodyDiv w:val="1"/>
      <w:marLeft w:val="0"/>
      <w:marRight w:val="0"/>
      <w:marTop w:val="0"/>
      <w:marBottom w:val="0"/>
      <w:divBdr>
        <w:top w:val="none" w:sz="0" w:space="0" w:color="auto"/>
        <w:left w:val="none" w:sz="0" w:space="0" w:color="auto"/>
        <w:bottom w:val="none" w:sz="0" w:space="0" w:color="auto"/>
        <w:right w:val="none" w:sz="0" w:space="0" w:color="auto"/>
      </w:divBdr>
    </w:div>
    <w:div w:id="165093028">
      <w:bodyDiv w:val="1"/>
      <w:marLeft w:val="0"/>
      <w:marRight w:val="0"/>
      <w:marTop w:val="0"/>
      <w:marBottom w:val="0"/>
      <w:divBdr>
        <w:top w:val="none" w:sz="0" w:space="0" w:color="auto"/>
        <w:left w:val="none" w:sz="0" w:space="0" w:color="auto"/>
        <w:bottom w:val="none" w:sz="0" w:space="0" w:color="auto"/>
        <w:right w:val="none" w:sz="0" w:space="0" w:color="auto"/>
      </w:divBdr>
    </w:div>
    <w:div w:id="835917921">
      <w:bodyDiv w:val="1"/>
      <w:marLeft w:val="0"/>
      <w:marRight w:val="0"/>
      <w:marTop w:val="0"/>
      <w:marBottom w:val="0"/>
      <w:divBdr>
        <w:top w:val="none" w:sz="0" w:space="0" w:color="auto"/>
        <w:left w:val="none" w:sz="0" w:space="0" w:color="auto"/>
        <w:bottom w:val="none" w:sz="0" w:space="0" w:color="auto"/>
        <w:right w:val="none" w:sz="0" w:space="0" w:color="auto"/>
      </w:divBdr>
    </w:div>
    <w:div w:id="979774333">
      <w:bodyDiv w:val="1"/>
      <w:marLeft w:val="0"/>
      <w:marRight w:val="0"/>
      <w:marTop w:val="0"/>
      <w:marBottom w:val="0"/>
      <w:divBdr>
        <w:top w:val="none" w:sz="0" w:space="0" w:color="auto"/>
        <w:left w:val="none" w:sz="0" w:space="0" w:color="auto"/>
        <w:bottom w:val="none" w:sz="0" w:space="0" w:color="auto"/>
        <w:right w:val="none" w:sz="0" w:space="0" w:color="auto"/>
      </w:divBdr>
    </w:div>
    <w:div w:id="1527253547">
      <w:bodyDiv w:val="1"/>
      <w:marLeft w:val="0"/>
      <w:marRight w:val="0"/>
      <w:marTop w:val="0"/>
      <w:marBottom w:val="0"/>
      <w:divBdr>
        <w:top w:val="none" w:sz="0" w:space="0" w:color="auto"/>
        <w:left w:val="none" w:sz="0" w:space="0" w:color="auto"/>
        <w:bottom w:val="none" w:sz="0" w:space="0" w:color="auto"/>
        <w:right w:val="none" w:sz="0" w:space="0" w:color="auto"/>
      </w:divBdr>
    </w:div>
    <w:div w:id="1559046397">
      <w:bodyDiv w:val="1"/>
      <w:marLeft w:val="0"/>
      <w:marRight w:val="0"/>
      <w:marTop w:val="0"/>
      <w:marBottom w:val="0"/>
      <w:divBdr>
        <w:top w:val="none" w:sz="0" w:space="0" w:color="auto"/>
        <w:left w:val="none" w:sz="0" w:space="0" w:color="auto"/>
        <w:bottom w:val="none" w:sz="0" w:space="0" w:color="auto"/>
        <w:right w:val="none" w:sz="0" w:space="0" w:color="auto"/>
      </w:divBdr>
    </w:div>
    <w:div w:id="1635603995">
      <w:bodyDiv w:val="1"/>
      <w:marLeft w:val="0"/>
      <w:marRight w:val="0"/>
      <w:marTop w:val="0"/>
      <w:marBottom w:val="0"/>
      <w:divBdr>
        <w:top w:val="none" w:sz="0" w:space="0" w:color="auto"/>
        <w:left w:val="none" w:sz="0" w:space="0" w:color="auto"/>
        <w:bottom w:val="none" w:sz="0" w:space="0" w:color="auto"/>
        <w:right w:val="none" w:sz="0" w:space="0" w:color="auto"/>
      </w:divBdr>
    </w:div>
    <w:div w:id="1701006430">
      <w:bodyDiv w:val="1"/>
      <w:marLeft w:val="0"/>
      <w:marRight w:val="0"/>
      <w:marTop w:val="0"/>
      <w:marBottom w:val="0"/>
      <w:divBdr>
        <w:top w:val="none" w:sz="0" w:space="0" w:color="auto"/>
        <w:left w:val="none" w:sz="0" w:space="0" w:color="auto"/>
        <w:bottom w:val="none" w:sz="0" w:space="0" w:color="auto"/>
        <w:right w:val="none" w:sz="0" w:space="0" w:color="auto"/>
      </w:divBdr>
    </w:div>
    <w:div w:id="199271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84A75-B5E8-4B58-A44E-C7D9F33D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3536</Words>
  <Characters>20157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2014-12-12T15:16:00Z</dcterms:created>
  <dc:creator>Chris Mehrmann</dc:creator>
  <lastModifiedBy>ANF</lastModifiedBy>
  <lastPrinted>2014-12-12T15:15:00Z</lastPrinted>
  <dcterms:modified xsi:type="dcterms:W3CDTF">2014-12-12T15:16:00Z</dcterms:modified>
  <revision>2</revision>
</coreProperties>
</file>