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DF" w:rsidRDefault="00901CDF" w:rsidP="00901CDF">
      <w:pPr>
        <w:jc w:val="center"/>
      </w:pPr>
      <w:bookmarkStart w:id="0" w:name="_GoBack"/>
      <w:bookmarkEnd w:id="0"/>
      <w:r>
        <w:t>COMMONWEALTH OF MASSACHUSETTS</w:t>
      </w:r>
    </w:p>
    <w:p w:rsidR="00901CDF" w:rsidRDefault="00901CDF" w:rsidP="00901CDF">
      <w:pPr>
        <w:jc w:val="center"/>
      </w:pPr>
    </w:p>
    <w:p w:rsidR="00901CDF" w:rsidRDefault="00901CDF" w:rsidP="00901CDF">
      <w:r>
        <w:t>Suffolk, ss.</w:t>
      </w:r>
      <w:r>
        <w:tab/>
      </w:r>
      <w:r>
        <w:tab/>
      </w:r>
      <w:r>
        <w:tab/>
      </w:r>
      <w:r>
        <w:tab/>
      </w:r>
      <w:r>
        <w:tab/>
      </w:r>
      <w:r w:rsidRPr="005C47AD">
        <w:rPr>
          <w:b/>
        </w:rPr>
        <w:t>Division of Administrative Law Appeals</w:t>
      </w:r>
    </w:p>
    <w:p w:rsidR="00901CDF" w:rsidRDefault="00901CDF" w:rsidP="00901CDF"/>
    <w:p w:rsidR="00901CDF" w:rsidRDefault="001E27CF" w:rsidP="00901CDF">
      <w:r>
        <w:rPr>
          <w:b/>
        </w:rPr>
        <w:t>Barbara Fritz-Elliott</w:t>
      </w:r>
      <w:r w:rsidR="00901CDF">
        <w:t>,</w:t>
      </w:r>
    </w:p>
    <w:p w:rsidR="00901CDF" w:rsidRDefault="00901CDF" w:rsidP="00901CDF">
      <w:r>
        <w:tab/>
        <w:t>Petitioner</w:t>
      </w:r>
    </w:p>
    <w:p w:rsidR="00901CDF" w:rsidRDefault="00901CDF" w:rsidP="00901CDF"/>
    <w:p w:rsidR="00901CDF" w:rsidRDefault="00901CDF" w:rsidP="00901CDF">
      <w:r>
        <w:t>v.</w:t>
      </w:r>
      <w:r>
        <w:tab/>
      </w:r>
      <w:r>
        <w:tab/>
      </w:r>
      <w:r>
        <w:tab/>
      </w:r>
      <w:r>
        <w:tab/>
      </w:r>
      <w:r>
        <w:tab/>
      </w:r>
      <w:r>
        <w:tab/>
        <w:t xml:space="preserve">Docket No. </w:t>
      </w:r>
      <w:r w:rsidR="005777CD">
        <w:tab/>
      </w:r>
      <w:r w:rsidR="00A960F9">
        <w:t>CR-</w:t>
      </w:r>
      <w:r w:rsidR="001E27CF">
        <w:t>14-368</w:t>
      </w:r>
    </w:p>
    <w:p w:rsidR="00542558" w:rsidRDefault="00212BBF" w:rsidP="00901CDF">
      <w:r>
        <w:tab/>
      </w:r>
      <w:r>
        <w:tab/>
      </w:r>
      <w:r>
        <w:tab/>
      </w:r>
      <w:r>
        <w:tab/>
      </w:r>
      <w:r>
        <w:tab/>
      </w:r>
      <w:r>
        <w:tab/>
        <w:t xml:space="preserve">Date Issued: </w:t>
      </w:r>
      <w:r w:rsidR="005777CD">
        <w:tab/>
      </w:r>
      <w:r w:rsidR="00E33F1E">
        <w:t>Apr. 22, 2016</w:t>
      </w:r>
    </w:p>
    <w:p w:rsidR="00901CDF" w:rsidRPr="000D4ACD" w:rsidRDefault="001E27CF" w:rsidP="00901CDF">
      <w:pPr>
        <w:rPr>
          <w:b/>
        </w:rPr>
      </w:pPr>
      <w:r>
        <w:rPr>
          <w:b/>
        </w:rPr>
        <w:t>State Board of Retirement</w:t>
      </w:r>
      <w:r w:rsidR="00901CDF">
        <w:t>,</w:t>
      </w:r>
    </w:p>
    <w:p w:rsidR="00901CDF" w:rsidRDefault="00901CDF" w:rsidP="00901CDF">
      <w:r>
        <w:tab/>
        <w:t>Respondent</w:t>
      </w:r>
    </w:p>
    <w:p w:rsidR="00901CDF" w:rsidRDefault="00901CDF" w:rsidP="00901CDF"/>
    <w:p w:rsidR="000C395F" w:rsidRDefault="000C395F" w:rsidP="00901CDF">
      <w:pPr>
        <w:rPr>
          <w:b/>
        </w:rPr>
      </w:pPr>
    </w:p>
    <w:p w:rsidR="00901CDF" w:rsidRPr="005C47AD" w:rsidRDefault="00901CDF" w:rsidP="00901CDF">
      <w:pPr>
        <w:rPr>
          <w:b/>
        </w:rPr>
      </w:pPr>
      <w:r w:rsidRPr="005C47AD">
        <w:rPr>
          <w:b/>
        </w:rPr>
        <w:t>Appearance for Petitioner:</w:t>
      </w:r>
      <w:r w:rsidRPr="005C47AD">
        <w:rPr>
          <w:b/>
        </w:rPr>
        <w:tab/>
      </w:r>
      <w:r w:rsidRPr="005C47AD">
        <w:rPr>
          <w:b/>
        </w:rPr>
        <w:tab/>
      </w:r>
      <w:r w:rsidRPr="005C47AD">
        <w:rPr>
          <w:b/>
        </w:rPr>
        <w:tab/>
      </w:r>
    </w:p>
    <w:p w:rsidR="00901CDF" w:rsidRDefault="00901CDF" w:rsidP="00901CDF"/>
    <w:p w:rsidR="00A07422" w:rsidRDefault="001E27CF" w:rsidP="00A960F9">
      <w:pPr>
        <w:ind w:firstLine="720"/>
      </w:pPr>
      <w:r>
        <w:t>Richard B. Aronson, Esq.</w:t>
      </w:r>
    </w:p>
    <w:p w:rsidR="001E27CF" w:rsidRDefault="008471F3" w:rsidP="00A960F9">
      <w:pPr>
        <w:ind w:firstLine="720"/>
      </w:pPr>
      <w:r>
        <w:t>890 Winter Street</w:t>
      </w:r>
      <w:r w:rsidR="001E27CF">
        <w:t>, S</w:t>
      </w:r>
      <w:r>
        <w:t>ui</w:t>
      </w:r>
      <w:r w:rsidR="001E27CF">
        <w:t>te 208</w:t>
      </w:r>
    </w:p>
    <w:p w:rsidR="001E27CF" w:rsidRPr="001E27CF" w:rsidRDefault="001E27CF" w:rsidP="00A960F9">
      <w:pPr>
        <w:ind w:firstLine="720"/>
      </w:pPr>
      <w:r>
        <w:t>Waltham, MA 02451</w:t>
      </w:r>
    </w:p>
    <w:p w:rsidR="00901CDF" w:rsidRDefault="00014B75" w:rsidP="00014B75">
      <w:pPr>
        <w:tabs>
          <w:tab w:val="left" w:pos="2025"/>
        </w:tabs>
      </w:pPr>
      <w:r>
        <w:tab/>
      </w:r>
    </w:p>
    <w:p w:rsidR="00901CDF" w:rsidRPr="005C47AD" w:rsidRDefault="00901CDF" w:rsidP="00901CDF">
      <w:pPr>
        <w:rPr>
          <w:b/>
        </w:rPr>
      </w:pPr>
      <w:r w:rsidRPr="005C47AD">
        <w:rPr>
          <w:b/>
        </w:rPr>
        <w:t>Appearance for Respondent:</w:t>
      </w:r>
      <w:r w:rsidRPr="005C47AD">
        <w:rPr>
          <w:b/>
        </w:rPr>
        <w:tab/>
      </w:r>
      <w:r w:rsidRPr="005C47AD">
        <w:rPr>
          <w:b/>
        </w:rPr>
        <w:tab/>
      </w:r>
      <w:r w:rsidRPr="005C47AD">
        <w:rPr>
          <w:b/>
        </w:rPr>
        <w:tab/>
      </w:r>
    </w:p>
    <w:p w:rsidR="00901CDF" w:rsidRDefault="00901CDF" w:rsidP="00901CDF"/>
    <w:p w:rsidR="00A07422" w:rsidRDefault="001E27CF" w:rsidP="00546C1F">
      <w:pPr>
        <w:ind w:left="900" w:hanging="180"/>
      </w:pPr>
      <w:r>
        <w:t>Salvatore Coco, Esq.</w:t>
      </w:r>
    </w:p>
    <w:p w:rsidR="001E27CF" w:rsidRDefault="001E27CF" w:rsidP="00546C1F">
      <w:pPr>
        <w:ind w:left="900" w:hanging="180"/>
      </w:pPr>
      <w:r>
        <w:t>State Board of Retirement</w:t>
      </w:r>
    </w:p>
    <w:p w:rsidR="001E27CF" w:rsidRDefault="001E27CF" w:rsidP="00546C1F">
      <w:pPr>
        <w:ind w:left="900" w:hanging="180"/>
      </w:pPr>
      <w:r>
        <w:t>One Winter Street</w:t>
      </w:r>
    </w:p>
    <w:p w:rsidR="001E27CF" w:rsidRDefault="001E27CF" w:rsidP="00546C1F">
      <w:pPr>
        <w:ind w:left="900" w:hanging="180"/>
      </w:pPr>
      <w:r>
        <w:t>Boston, MA 02108</w:t>
      </w:r>
    </w:p>
    <w:p w:rsidR="000C395F" w:rsidRDefault="000C395F" w:rsidP="00901CDF">
      <w:pPr>
        <w:ind w:firstLine="720"/>
      </w:pPr>
    </w:p>
    <w:p w:rsidR="009F2DE7" w:rsidRPr="00014B75" w:rsidRDefault="009F2DE7" w:rsidP="00901CDF">
      <w:pPr>
        <w:ind w:firstLine="720"/>
      </w:pPr>
    </w:p>
    <w:p w:rsidR="00901CDF" w:rsidRPr="005C47AD" w:rsidRDefault="00901CDF" w:rsidP="00901CDF">
      <w:pPr>
        <w:rPr>
          <w:b/>
        </w:rPr>
      </w:pPr>
      <w:r w:rsidRPr="005C47AD">
        <w:rPr>
          <w:b/>
        </w:rPr>
        <w:t>Administrative Magistrate:</w:t>
      </w:r>
      <w:r w:rsidRPr="005C47AD">
        <w:rPr>
          <w:b/>
        </w:rPr>
        <w:tab/>
      </w:r>
      <w:r w:rsidRPr="005C47AD">
        <w:rPr>
          <w:b/>
        </w:rPr>
        <w:tab/>
      </w:r>
      <w:r w:rsidR="00D03ABD">
        <w:rPr>
          <w:b/>
        </w:rPr>
        <w:t xml:space="preserve"> </w:t>
      </w:r>
      <w:r w:rsidRPr="005C47AD">
        <w:rPr>
          <w:b/>
        </w:rPr>
        <w:tab/>
      </w:r>
    </w:p>
    <w:p w:rsidR="00901CDF" w:rsidRDefault="00901CDF" w:rsidP="00901CDF"/>
    <w:p w:rsidR="00901CDF" w:rsidRPr="00C25657" w:rsidRDefault="00C25657" w:rsidP="00901CDF">
      <w:pPr>
        <w:ind w:firstLine="720"/>
      </w:pPr>
      <w:r w:rsidRPr="00C25657">
        <w:t>Kenneth Forton</w:t>
      </w:r>
      <w:r w:rsidR="00901CDF" w:rsidRPr="00C25657">
        <w:t>, Esq.</w:t>
      </w:r>
    </w:p>
    <w:p w:rsidR="00901CDF" w:rsidRDefault="00901CDF" w:rsidP="00901CDF"/>
    <w:p w:rsidR="000E2F86" w:rsidRDefault="000E2F86" w:rsidP="00901CDF"/>
    <w:p w:rsidR="00901CDF" w:rsidRPr="005C47AD" w:rsidRDefault="00901CDF" w:rsidP="00901CDF">
      <w:pPr>
        <w:jc w:val="center"/>
        <w:rPr>
          <w:b/>
        </w:rPr>
      </w:pPr>
      <w:r w:rsidRPr="005C47AD">
        <w:rPr>
          <w:b/>
        </w:rPr>
        <w:t>SUMMARY</w:t>
      </w:r>
    </w:p>
    <w:p w:rsidR="000D4ACD" w:rsidRDefault="000D4ACD" w:rsidP="000D4ACD">
      <w:pPr>
        <w:jc w:val="center"/>
      </w:pPr>
    </w:p>
    <w:p w:rsidR="00FE0F35" w:rsidRDefault="00352899" w:rsidP="00FE0F35">
      <w:pPr>
        <w:ind w:firstLine="720"/>
        <w:rPr>
          <w:b/>
        </w:rPr>
      </w:pPr>
      <w:r>
        <w:t xml:space="preserve">The </w:t>
      </w:r>
      <w:r w:rsidR="00EB2254">
        <w:t>State Board of Retirement</w:t>
      </w:r>
      <w:r>
        <w:t xml:space="preserve"> properly </w:t>
      </w:r>
      <w:r w:rsidR="00987679">
        <w:t xml:space="preserve">determined that </w:t>
      </w:r>
      <w:r w:rsidR="00EB2254">
        <w:t>Petitioner’s late ex-husband</w:t>
      </w:r>
      <w:r w:rsidR="0088566B">
        <w:t xml:space="preserve">’s retirement account </w:t>
      </w:r>
      <w:r w:rsidR="00EB2254">
        <w:t xml:space="preserve">should be paid to his estate – and not to the Petitioner – because the beneficiary nomination form naming the Petitioner as the beneficiary was </w:t>
      </w:r>
      <w:r w:rsidR="0088566B">
        <w:t xml:space="preserve">not witnessed and was otherwise </w:t>
      </w:r>
      <w:r w:rsidR="00EB2254">
        <w:t>defective</w:t>
      </w:r>
      <w:r w:rsidR="00B210D7">
        <w:t>.</w:t>
      </w:r>
      <w:r w:rsidR="0088566B">
        <w:t xml:space="preserve">  G.L. c. 32, § 11(2)(c).</w:t>
      </w:r>
    </w:p>
    <w:p w:rsidR="00B308E2" w:rsidRDefault="00B308E2" w:rsidP="004D73AE">
      <w:pPr>
        <w:jc w:val="center"/>
        <w:rPr>
          <w:b/>
        </w:rPr>
      </w:pPr>
    </w:p>
    <w:p w:rsidR="005E05D3" w:rsidRPr="000E2F86" w:rsidRDefault="005E05D3" w:rsidP="004D73AE">
      <w:pPr>
        <w:jc w:val="center"/>
        <w:rPr>
          <w:b/>
        </w:rPr>
      </w:pPr>
      <w:r w:rsidRPr="000E2F86">
        <w:rPr>
          <w:b/>
        </w:rPr>
        <w:t>DECISION</w:t>
      </w:r>
    </w:p>
    <w:p w:rsidR="005E05D3" w:rsidRDefault="005E05D3" w:rsidP="005E05D3">
      <w:pPr>
        <w:jc w:val="center"/>
      </w:pPr>
    </w:p>
    <w:p w:rsidR="00987679" w:rsidRDefault="009E7FD2" w:rsidP="00504594">
      <w:pPr>
        <w:spacing w:line="480" w:lineRule="auto"/>
      </w:pPr>
      <w:r>
        <w:tab/>
      </w:r>
      <w:r w:rsidR="008471F3">
        <w:t>On July 12, 2014</w:t>
      </w:r>
      <w:r w:rsidR="00A07422">
        <w:t>, t</w:t>
      </w:r>
      <w:r w:rsidR="00362CA0">
        <w:t xml:space="preserve">he Petitioner, </w:t>
      </w:r>
      <w:r w:rsidR="008471F3">
        <w:t>Barbara Fritz-Elliott</w:t>
      </w:r>
      <w:r w:rsidR="00362CA0">
        <w:t>, appealed t</w:t>
      </w:r>
      <w:r w:rsidR="005E0924">
        <w:t>imely under G.L. c. 32, § 16(4)</w:t>
      </w:r>
      <w:r w:rsidR="00362CA0">
        <w:t xml:space="preserve"> the </w:t>
      </w:r>
      <w:r w:rsidR="00A07422">
        <w:t xml:space="preserve">July </w:t>
      </w:r>
      <w:r w:rsidR="008471F3">
        <w:t>1, 2014</w:t>
      </w:r>
      <w:r w:rsidR="00DA49A1">
        <w:t xml:space="preserve"> determination of the Respondent, State Board of </w:t>
      </w:r>
      <w:r w:rsidR="00DA49A1">
        <w:lastRenderedPageBreak/>
        <w:t>Retirement</w:t>
      </w:r>
      <w:r w:rsidR="00987679">
        <w:t>,</w:t>
      </w:r>
      <w:r w:rsidR="00DA49A1">
        <w:t xml:space="preserve"> that </w:t>
      </w:r>
      <w:r w:rsidR="00E33F1E">
        <w:t xml:space="preserve">the accumulated retirement deductions of </w:t>
      </w:r>
      <w:r w:rsidR="008471F3">
        <w:t xml:space="preserve">Ms. Fritz-Elliott’s late ex-husband should be paid to his estate, and not to </w:t>
      </w:r>
      <w:r w:rsidR="00E33F1E">
        <w:t>her</w:t>
      </w:r>
      <w:r w:rsidR="008471F3">
        <w:t xml:space="preserve">.  </w:t>
      </w:r>
      <w:r w:rsidR="008452B1">
        <w:t xml:space="preserve">  </w:t>
      </w:r>
    </w:p>
    <w:p w:rsidR="00DA49A1" w:rsidRDefault="00357041" w:rsidP="00987679">
      <w:pPr>
        <w:spacing w:line="480" w:lineRule="auto"/>
        <w:ind w:firstLine="720"/>
      </w:pPr>
      <w:r>
        <w:t xml:space="preserve">On August 24, 2015, the Division of Administrative Law Appeals (DALA) </w:t>
      </w:r>
      <w:r w:rsidR="006D2200">
        <w:t xml:space="preserve">ordered the </w:t>
      </w:r>
      <w:r>
        <w:t xml:space="preserve">parties to submit pre-hearing memoranda.  On October 7, 2015, DALA issued an Order to Show Cause in response to Ms. Fritz-Elliott’s failure to submit a pre-hearing memorandum.  </w:t>
      </w:r>
      <w:r w:rsidR="00A07422">
        <w:t xml:space="preserve">On </w:t>
      </w:r>
      <w:r>
        <w:t>October 12</w:t>
      </w:r>
      <w:r w:rsidR="00A07422">
        <w:t xml:space="preserve">, 2015, Ms. </w:t>
      </w:r>
      <w:r>
        <w:t>Fritz-Elliott</w:t>
      </w:r>
      <w:r w:rsidR="00A07422">
        <w:t xml:space="preserve"> submitted a </w:t>
      </w:r>
      <w:r w:rsidR="00FA0AFE">
        <w:t>response</w:t>
      </w:r>
      <w:r w:rsidR="00A07422">
        <w:t xml:space="preserve">; I have marked this </w:t>
      </w:r>
      <w:r w:rsidR="00FA0AFE">
        <w:t>submission</w:t>
      </w:r>
      <w:r w:rsidR="00A07422">
        <w:t xml:space="preserve"> “A” for identification.  </w:t>
      </w:r>
      <w:r>
        <w:t>On December 31, 2015, the Board submitted a memorandum with five attachments; I have marked this memorandum “B” for identification.</w:t>
      </w:r>
      <w:r w:rsidR="00995174">
        <w:t xml:space="preserve">  </w:t>
      </w:r>
    </w:p>
    <w:p w:rsidR="00995174" w:rsidRDefault="00995174" w:rsidP="00995174">
      <w:pPr>
        <w:spacing w:line="480" w:lineRule="auto"/>
        <w:ind w:firstLine="720"/>
      </w:pPr>
      <w:r>
        <w:t xml:space="preserve">I have marked the following </w:t>
      </w:r>
      <w:r w:rsidR="00357041">
        <w:t>five</w:t>
      </w:r>
      <w:r w:rsidR="002E200C">
        <w:t xml:space="preserve"> </w:t>
      </w:r>
      <w:r>
        <w:t>documents as exhibits:</w:t>
      </w:r>
    </w:p>
    <w:p w:rsidR="00273A48" w:rsidRDefault="00995174" w:rsidP="001E27CF">
      <w:pPr>
        <w:spacing w:line="480" w:lineRule="auto"/>
        <w:ind w:firstLine="720"/>
      </w:pPr>
      <w:r>
        <w:t xml:space="preserve">Ex. 1   </w:t>
      </w:r>
      <w:r w:rsidR="00357041">
        <w:t>Letter from the Board, to Ms. Fritz-Elliott’s attorney, dated July 1, 2014, notifying Ms. Fritz-Elliott of the Board’s determination that her ex-husband’s contributions should be paid to his estate;</w:t>
      </w:r>
    </w:p>
    <w:p w:rsidR="00357041" w:rsidRDefault="00357041" w:rsidP="001E27CF">
      <w:pPr>
        <w:spacing w:line="480" w:lineRule="auto"/>
        <w:ind w:firstLine="720"/>
      </w:pPr>
      <w:r>
        <w:t>Ex. 2   Ms. Fritz-Elliott’s appeal letter to DALA, dated July 12, 2014;</w:t>
      </w:r>
    </w:p>
    <w:p w:rsidR="00357041" w:rsidRDefault="00357041" w:rsidP="001E27CF">
      <w:pPr>
        <w:spacing w:line="480" w:lineRule="auto"/>
        <w:ind w:firstLine="720"/>
      </w:pPr>
      <w:r>
        <w:t>Ex. 3   Enrollment Blank of Michael Bedwell</w:t>
      </w:r>
      <w:r w:rsidR="00EB2254">
        <w:t xml:space="preserve"> with attached Nomination of Beneficiary</w:t>
      </w:r>
      <w:r w:rsidR="00FA0AFE">
        <w:t xml:space="preserve"> form</w:t>
      </w:r>
      <w:r w:rsidR="00EB2254">
        <w:t>, dated May 29, 1985;</w:t>
      </w:r>
    </w:p>
    <w:p w:rsidR="00EB2254" w:rsidRDefault="00EB2254" w:rsidP="001E27CF">
      <w:pPr>
        <w:spacing w:line="480" w:lineRule="auto"/>
        <w:ind w:firstLine="720"/>
      </w:pPr>
      <w:r>
        <w:t>Ex. 4   Letter from Ms. Fritz-Elliott to Jean Simone of the Board</w:t>
      </w:r>
      <w:r w:rsidR="00961C3C">
        <w:t>, dated M</w:t>
      </w:r>
      <w:r>
        <w:t>ay 27, 2014, with attachments; and</w:t>
      </w:r>
    </w:p>
    <w:p w:rsidR="006D2200" w:rsidRDefault="00EB2254" w:rsidP="006D2200">
      <w:pPr>
        <w:spacing w:line="480" w:lineRule="auto"/>
        <w:ind w:firstLine="720"/>
      </w:pPr>
      <w:r>
        <w:t>Ex. 5   Records of Mr. Bedwell’s retirement account from 1985-2015, including contributions, accrued interest, and annual balances.</w:t>
      </w:r>
      <w:r w:rsidR="006D2200" w:rsidRPr="006D2200">
        <w:t xml:space="preserve"> </w:t>
      </w:r>
    </w:p>
    <w:p w:rsidR="00380D2D" w:rsidRDefault="00380D2D" w:rsidP="00380D2D">
      <w:pPr>
        <w:spacing w:line="480" w:lineRule="auto"/>
      </w:pPr>
      <w:r>
        <w:t xml:space="preserve">After reviewing the evidence, I have determined that there are no disputed issues of material fact and that relief cannot be granted on this claim.  I therefore decide the matter on the papers pursuant to </w:t>
      </w:r>
      <w:r w:rsidRPr="00DC014F">
        <w:t>801 CMR 1.01(7)(g)(3).</w:t>
      </w:r>
    </w:p>
    <w:p w:rsidR="009E7FD2" w:rsidRDefault="009E7FD2" w:rsidP="009E7FD2">
      <w:pPr>
        <w:spacing w:line="480" w:lineRule="auto"/>
        <w:jc w:val="center"/>
        <w:rPr>
          <w:b/>
          <w:u w:val="single"/>
        </w:rPr>
      </w:pPr>
      <w:r w:rsidRPr="009E7FD2">
        <w:rPr>
          <w:b/>
          <w:u w:val="single"/>
        </w:rPr>
        <w:lastRenderedPageBreak/>
        <w:t>FINDINGS OF FACT</w:t>
      </w:r>
    </w:p>
    <w:p w:rsidR="00F62766" w:rsidRPr="00F62766" w:rsidRDefault="00F62766" w:rsidP="00396114">
      <w:pPr>
        <w:spacing w:line="480" w:lineRule="auto"/>
        <w:ind w:firstLine="720"/>
      </w:pPr>
      <w:r>
        <w:t xml:space="preserve">Based on the </w:t>
      </w:r>
      <w:r w:rsidR="00AB77E4">
        <w:t>evidence</w:t>
      </w:r>
      <w:r w:rsidR="00F160E6">
        <w:t xml:space="preserve"> </w:t>
      </w:r>
      <w:r>
        <w:t>presented by the parties, I make the following findings of fact:</w:t>
      </w:r>
    </w:p>
    <w:p w:rsidR="00986B48" w:rsidRDefault="00986B48" w:rsidP="0038481C">
      <w:pPr>
        <w:numPr>
          <w:ilvl w:val="0"/>
          <w:numId w:val="1"/>
        </w:numPr>
        <w:spacing w:line="480" w:lineRule="auto"/>
      </w:pPr>
      <w:r>
        <w:t>On May 29, 1985, Mr. Bedwell began his employment as a custodian at the Massachusetts College of Art and enrolled with the Board</w:t>
      </w:r>
      <w:r w:rsidR="00961C3C">
        <w:t xml:space="preserve"> as a member of </w:t>
      </w:r>
      <w:r w:rsidR="00380D2D">
        <w:t xml:space="preserve">the </w:t>
      </w:r>
      <w:r w:rsidR="00961C3C">
        <w:t>S</w:t>
      </w:r>
      <w:r w:rsidR="00380D2D">
        <w:t>tate Retirement System</w:t>
      </w:r>
      <w:r>
        <w:t xml:space="preserve">.  (Ex. 3.) </w:t>
      </w:r>
    </w:p>
    <w:p w:rsidR="00122614" w:rsidRDefault="00986B48" w:rsidP="0038481C">
      <w:pPr>
        <w:numPr>
          <w:ilvl w:val="0"/>
          <w:numId w:val="1"/>
        </w:numPr>
        <w:spacing w:line="480" w:lineRule="auto"/>
      </w:pPr>
      <w:r>
        <w:t>Mr. Bedwell was married to Ms. Fritz-Elliott at the time of his enrollment</w:t>
      </w:r>
      <w:r w:rsidR="00122614">
        <w:t>.  As part of his enrollment, Mr. Bedwell completed a Nomination of Beneficiary form, and named Ms. Fritz-Elliott (</w:t>
      </w:r>
      <w:r w:rsidR="00741ADA">
        <w:t xml:space="preserve">listed as </w:t>
      </w:r>
      <w:r w:rsidR="00122614">
        <w:t>“Barbara Bedwell”) as the beneficiary of his retirement contributions upon his death.</w:t>
      </w:r>
      <w:r w:rsidR="00D96399">
        <w:t xml:space="preserve">  The Nomination of Beneficiary form was not signed by a witness, and </w:t>
      </w:r>
      <w:r w:rsidR="00741ADA">
        <w:t xml:space="preserve">the area for </w:t>
      </w:r>
      <w:r w:rsidR="00D96399">
        <w:t>Mr. Bedwell to indicate the proportion of his contributions to be paid out to the named beneficiary</w:t>
      </w:r>
      <w:r w:rsidR="00741ADA">
        <w:t xml:space="preserve"> was left blank</w:t>
      </w:r>
      <w:r w:rsidR="00D96399">
        <w:t>.</w:t>
      </w:r>
      <w:r w:rsidR="00122614">
        <w:t xml:space="preserve">  (</w:t>
      </w:r>
      <w:r w:rsidR="00380D2D">
        <w:t xml:space="preserve">Stipulation; </w:t>
      </w:r>
      <w:r w:rsidR="00122614">
        <w:t xml:space="preserve">Ex. 3.)  </w:t>
      </w:r>
    </w:p>
    <w:p w:rsidR="00A26E40" w:rsidRDefault="00A26E40" w:rsidP="0038481C">
      <w:pPr>
        <w:numPr>
          <w:ilvl w:val="0"/>
          <w:numId w:val="1"/>
        </w:numPr>
        <w:spacing w:line="480" w:lineRule="auto"/>
      </w:pPr>
      <w:r>
        <w:t xml:space="preserve">On October 15, 1987, </w:t>
      </w:r>
      <w:r w:rsidR="00CC3EC2">
        <w:t xml:space="preserve">the Probate Court entered a divorce nisi and approved a </w:t>
      </w:r>
      <w:r>
        <w:t>separation agreement between Mr. Bedwell and Ms. Fritz-Elliott.  (Ex. 4.)</w:t>
      </w:r>
    </w:p>
    <w:p w:rsidR="001E520D" w:rsidRDefault="00122614" w:rsidP="0038481C">
      <w:pPr>
        <w:numPr>
          <w:ilvl w:val="0"/>
          <w:numId w:val="1"/>
        </w:numPr>
        <w:spacing w:line="480" w:lineRule="auto"/>
      </w:pPr>
      <w:r>
        <w:t>Mr. Bedwell and Ms. Fritz-Elliott were divorced on February 16, 1988.  Mr. Bedwell never remarried.  (Ex. 4.)</w:t>
      </w:r>
    </w:p>
    <w:p w:rsidR="00A26E40" w:rsidRDefault="00A26E40" w:rsidP="0038481C">
      <w:pPr>
        <w:numPr>
          <w:ilvl w:val="0"/>
          <w:numId w:val="1"/>
        </w:numPr>
        <w:spacing w:line="480" w:lineRule="auto"/>
      </w:pPr>
      <w:r>
        <w:t xml:space="preserve">From June 1985 to April 1991, Mr. Bedwell contributed </w:t>
      </w:r>
      <w:r w:rsidR="00464495">
        <w:t xml:space="preserve">$7,788.78 </w:t>
      </w:r>
      <w:r w:rsidR="00741ADA">
        <w:t>into his retirement account</w:t>
      </w:r>
      <w:r w:rsidR="00464495">
        <w:t xml:space="preserve">.  </w:t>
      </w:r>
      <w:r w:rsidR="00DA7681">
        <w:t>By</w:t>
      </w:r>
      <w:r w:rsidR="00464495">
        <w:t xml:space="preserve"> the end of 2015, the accumulated interest on these contributions </w:t>
      </w:r>
      <w:r w:rsidR="00C73A16">
        <w:t>was</w:t>
      </w:r>
      <w:r w:rsidR="00464495">
        <w:t xml:space="preserve"> $4,883.99, and the total balance of Mr. Bedwell’s account </w:t>
      </w:r>
      <w:r w:rsidR="00C73A16">
        <w:t>was</w:t>
      </w:r>
      <w:r w:rsidR="00464495">
        <w:t xml:space="preserve"> $12,672.77.  (Ex. 5.)</w:t>
      </w:r>
    </w:p>
    <w:p w:rsidR="00122614" w:rsidRDefault="00122614" w:rsidP="00DA5D8D">
      <w:pPr>
        <w:numPr>
          <w:ilvl w:val="0"/>
          <w:numId w:val="1"/>
        </w:numPr>
        <w:spacing w:line="480" w:lineRule="auto"/>
      </w:pPr>
      <w:r>
        <w:t>On December 13, 1993, Mr. Bedwell died from acute respiratory failure</w:t>
      </w:r>
      <w:r w:rsidR="008B5E05">
        <w:t xml:space="preserve"> due to chronic obstructive lung disease and coronary artery disease.</w:t>
      </w:r>
      <w:r w:rsidR="00DA5D8D">
        <w:t xml:space="preserve">  The informant listed on Mr. Bedwell’s Certificate of Death is his sister Norma C. VanLiew.</w:t>
      </w:r>
      <w:r w:rsidR="008B5E05">
        <w:t xml:space="preserve">  (Ex. 4.)</w:t>
      </w:r>
    </w:p>
    <w:p w:rsidR="00A13138" w:rsidRDefault="00A13138" w:rsidP="00DA5D8D">
      <w:pPr>
        <w:numPr>
          <w:ilvl w:val="0"/>
          <w:numId w:val="1"/>
        </w:numPr>
        <w:spacing w:line="480" w:lineRule="auto"/>
      </w:pPr>
      <w:r>
        <w:lastRenderedPageBreak/>
        <w:t>At the time of his death, Mr. Bedwell had no children</w:t>
      </w:r>
      <w:r w:rsidR="003B6C14">
        <w:t>,</w:t>
      </w:r>
      <w:r>
        <w:t xml:space="preserve"> and his parents were deceased.  (Ex. 2.)</w:t>
      </w:r>
    </w:p>
    <w:p w:rsidR="00DA5D8D" w:rsidRDefault="00464495" w:rsidP="00DA5D8D">
      <w:pPr>
        <w:numPr>
          <w:ilvl w:val="0"/>
          <w:numId w:val="1"/>
        </w:numPr>
        <w:spacing w:line="480" w:lineRule="auto"/>
      </w:pPr>
      <w:r>
        <w:t xml:space="preserve">On February 24, 2014, the Board contacted Ms. Fritz-Elliott about her potential </w:t>
      </w:r>
      <w:r w:rsidR="00D96399">
        <w:t>claim</w:t>
      </w:r>
      <w:r>
        <w:t xml:space="preserve"> to Mr. Bedwell’s retirement account.  (Exs. 4, 5.)</w:t>
      </w:r>
    </w:p>
    <w:p w:rsidR="00D96399" w:rsidRDefault="00464495" w:rsidP="00DA5D8D">
      <w:pPr>
        <w:numPr>
          <w:ilvl w:val="0"/>
          <w:numId w:val="1"/>
        </w:numPr>
        <w:spacing w:line="480" w:lineRule="auto"/>
      </w:pPr>
      <w:r>
        <w:t>On May 27, 2014, Ms. Fritz-Elliott sent documents to the Board</w:t>
      </w:r>
      <w:r w:rsidR="00D96399">
        <w:t xml:space="preserve"> to </w:t>
      </w:r>
      <w:r w:rsidR="003B6C14">
        <w:t xml:space="preserve">attempt to </w:t>
      </w:r>
      <w:r w:rsidR="00D96399">
        <w:t>establish her claim to Mr. Bedwell’s retirement account.  (Ex. 4.)</w:t>
      </w:r>
    </w:p>
    <w:p w:rsidR="00D96399" w:rsidRDefault="00D96399" w:rsidP="00DA5D8D">
      <w:pPr>
        <w:numPr>
          <w:ilvl w:val="0"/>
          <w:numId w:val="1"/>
        </w:numPr>
        <w:spacing w:line="480" w:lineRule="auto"/>
      </w:pPr>
      <w:r>
        <w:t xml:space="preserve">On July 1, 2014, the Board notified Ms. Fritz-Elliott of its determination that </w:t>
      </w:r>
      <w:r w:rsidR="003B6C14">
        <w:t>“</w:t>
      </w:r>
      <w:r>
        <w:t>the funds on account which are attributable to Mr. Bedwell</w:t>
      </w:r>
      <w:r w:rsidR="003B6C14">
        <w:t>”</w:t>
      </w:r>
      <w:r>
        <w:t xml:space="preserve"> should be paid to Mr. Bedwell’s estate.  (Ex. 1.)</w:t>
      </w:r>
    </w:p>
    <w:p w:rsidR="00464495" w:rsidRDefault="003B6C14" w:rsidP="00DA5D8D">
      <w:pPr>
        <w:numPr>
          <w:ilvl w:val="0"/>
          <w:numId w:val="1"/>
        </w:numPr>
        <w:spacing w:line="480" w:lineRule="auto"/>
      </w:pPr>
      <w:r>
        <w:t xml:space="preserve">By letter dated </w:t>
      </w:r>
      <w:r w:rsidR="00D96399">
        <w:t xml:space="preserve">July 12, 2014, Ms. Fritz-Elliott </w:t>
      </w:r>
      <w:r>
        <w:t xml:space="preserve">timely </w:t>
      </w:r>
      <w:r w:rsidR="00D96399">
        <w:t xml:space="preserve">appealed the Board’s decision to DALA.  (Ex. 2.) </w:t>
      </w:r>
    </w:p>
    <w:p w:rsidR="00D053B6" w:rsidRDefault="00D053B6" w:rsidP="00916F2A">
      <w:pPr>
        <w:jc w:val="center"/>
        <w:rPr>
          <w:b/>
          <w:u w:val="single"/>
        </w:rPr>
      </w:pPr>
      <w:r w:rsidRPr="00720DDA">
        <w:rPr>
          <w:b/>
          <w:u w:val="single"/>
        </w:rPr>
        <w:t>CONCLUSION AND ORDER</w:t>
      </w:r>
    </w:p>
    <w:p w:rsidR="0015004E" w:rsidRDefault="0015004E" w:rsidP="00916F2A">
      <w:pPr>
        <w:jc w:val="center"/>
        <w:rPr>
          <w:b/>
          <w:u w:val="single"/>
        </w:rPr>
      </w:pPr>
    </w:p>
    <w:p w:rsidR="007D77C2" w:rsidRDefault="003B6C14" w:rsidP="007D77C2">
      <w:pPr>
        <w:spacing w:line="480" w:lineRule="auto"/>
        <w:ind w:firstLine="720"/>
      </w:pPr>
      <w:r>
        <w:t>T</w:t>
      </w:r>
      <w:r w:rsidR="007D77C2">
        <w:t xml:space="preserve">he Board’s </w:t>
      </w:r>
      <w:r w:rsidR="00152020">
        <w:t xml:space="preserve">determination that Mr. Bedwell’s retirement </w:t>
      </w:r>
      <w:r w:rsidR="00E95AAF">
        <w:t>account</w:t>
      </w:r>
      <w:r w:rsidR="00152020">
        <w:t xml:space="preserve"> should be paid to </w:t>
      </w:r>
      <w:r>
        <w:t xml:space="preserve">his </w:t>
      </w:r>
      <w:r w:rsidR="00152020">
        <w:t xml:space="preserve">estate instead of to Ms. Fritz-Elliott </w:t>
      </w:r>
      <w:r w:rsidR="007D77C2">
        <w:t xml:space="preserve">is affirmed.  </w:t>
      </w:r>
    </w:p>
    <w:p w:rsidR="00A56648" w:rsidRDefault="0068049C" w:rsidP="0068049C">
      <w:pPr>
        <w:spacing w:line="480" w:lineRule="auto"/>
      </w:pPr>
      <w:r>
        <w:tab/>
        <w:t xml:space="preserve">Massachusetts retirement law provides </w:t>
      </w:r>
      <w:r w:rsidR="00566523">
        <w:t xml:space="preserve">a mechanism for members to designate beneficiaries who </w:t>
      </w:r>
      <w:r w:rsidR="0052470B">
        <w:t xml:space="preserve">will receive </w:t>
      </w:r>
      <w:r w:rsidR="00871A79">
        <w:t xml:space="preserve">their retirement benefits </w:t>
      </w:r>
      <w:r w:rsidR="00E95AAF">
        <w:t>if they die before retiring</w:t>
      </w:r>
      <w:r w:rsidR="00871A79">
        <w:t>:</w:t>
      </w:r>
    </w:p>
    <w:p w:rsidR="005F74C5" w:rsidRDefault="00871A79" w:rsidP="00871A79">
      <w:pPr>
        <w:ind w:left="720" w:right="720"/>
        <w:rPr>
          <w:shd w:val="clear" w:color="auto" w:fill="FFFFFF"/>
        </w:rPr>
      </w:pPr>
      <w:r w:rsidRPr="00871A79">
        <w:rPr>
          <w:shd w:val="clear" w:color="auto" w:fill="FFFFFF"/>
        </w:rPr>
        <w:t>Any member, upon his written notice on a prescribed form filed with the board prior to his death, may nominate, and from time to time change, one or more beneficiaries to receive in designated proportions, or in the alternative, any sum becoming payable under the provisions of this subdivision on his death, and/or any uncashed checks in payment of amounts to which he was entitled from the funds of the system of which he was a member, or any sum payable to his estate from said funds</w:t>
      </w:r>
      <w:r w:rsidR="005F74C5">
        <w:rPr>
          <w:shd w:val="clear" w:color="auto" w:fill="FFFFFF"/>
        </w:rPr>
        <w:t xml:space="preserve"> . . . .</w:t>
      </w:r>
    </w:p>
    <w:p w:rsidR="005F74C5" w:rsidRDefault="005F74C5" w:rsidP="00871A79">
      <w:pPr>
        <w:ind w:left="720" w:right="720"/>
        <w:rPr>
          <w:shd w:val="clear" w:color="auto" w:fill="FFFFFF"/>
        </w:rPr>
      </w:pPr>
    </w:p>
    <w:p w:rsidR="00055352" w:rsidRDefault="005F74C5" w:rsidP="005F74C5">
      <w:pPr>
        <w:spacing w:line="480" w:lineRule="auto"/>
        <w:rPr>
          <w:shd w:val="clear" w:color="auto" w:fill="FFFFFF"/>
        </w:rPr>
      </w:pPr>
      <w:r>
        <w:rPr>
          <w:shd w:val="clear" w:color="auto" w:fill="FFFFFF"/>
        </w:rPr>
        <w:t xml:space="preserve">G.L. c. 32, § 11(2)(c).  </w:t>
      </w:r>
    </w:p>
    <w:p w:rsidR="00EC248E" w:rsidRDefault="00055352" w:rsidP="00E95AAF">
      <w:pPr>
        <w:spacing w:line="480" w:lineRule="auto"/>
        <w:rPr>
          <w:shd w:val="clear" w:color="auto" w:fill="FFFFFF"/>
        </w:rPr>
      </w:pPr>
      <w:r>
        <w:rPr>
          <w:shd w:val="clear" w:color="auto" w:fill="FFFFFF"/>
        </w:rPr>
        <w:tab/>
        <w:t>Mr. Bedwell’s Nomination of Beneficiary form indicates that he attempt</w:t>
      </w:r>
      <w:r w:rsidR="00E95AAF">
        <w:rPr>
          <w:shd w:val="clear" w:color="auto" w:fill="FFFFFF"/>
        </w:rPr>
        <w:t>ed</w:t>
      </w:r>
      <w:r w:rsidR="00EC248E">
        <w:rPr>
          <w:shd w:val="clear" w:color="auto" w:fill="FFFFFF"/>
        </w:rPr>
        <w:t xml:space="preserve"> to</w:t>
      </w:r>
      <w:r>
        <w:rPr>
          <w:shd w:val="clear" w:color="auto" w:fill="FFFFFF"/>
        </w:rPr>
        <w:t xml:space="preserve"> </w:t>
      </w:r>
      <w:r w:rsidR="00E95AAF">
        <w:rPr>
          <w:shd w:val="clear" w:color="auto" w:fill="FFFFFF"/>
        </w:rPr>
        <w:t xml:space="preserve">designate </w:t>
      </w:r>
      <w:r>
        <w:rPr>
          <w:shd w:val="clear" w:color="auto" w:fill="FFFFFF"/>
        </w:rPr>
        <w:t>Ms. Fritz-Elliott as his beneficiary when he joined the S</w:t>
      </w:r>
      <w:r w:rsidR="00380D2D">
        <w:rPr>
          <w:shd w:val="clear" w:color="auto" w:fill="FFFFFF"/>
        </w:rPr>
        <w:t>tate Retirement System</w:t>
      </w:r>
      <w:r>
        <w:rPr>
          <w:shd w:val="clear" w:color="auto" w:fill="FFFFFF"/>
        </w:rPr>
        <w:t xml:space="preserve"> </w:t>
      </w:r>
      <w:r>
        <w:rPr>
          <w:shd w:val="clear" w:color="auto" w:fill="FFFFFF"/>
        </w:rPr>
        <w:lastRenderedPageBreak/>
        <w:t>in 1985.  (Ex. 3.)</w:t>
      </w:r>
      <w:r w:rsidR="006E1681">
        <w:rPr>
          <w:shd w:val="clear" w:color="auto" w:fill="FFFFFF"/>
        </w:rPr>
        <w:t xml:space="preserve">  However, Mr. Bedwell failed to indicate the proportion of his benefits to be paid to Ms. Fritz-Elliott upon his death, and the form was not signed by a witness.</w:t>
      </w:r>
      <w:r w:rsidR="00EC248E">
        <w:rPr>
          <w:shd w:val="clear" w:color="auto" w:fill="FFFFFF"/>
        </w:rPr>
        <w:t xml:space="preserve">  These omissions are fatal</w:t>
      </w:r>
      <w:r w:rsidR="00BD7C78">
        <w:rPr>
          <w:shd w:val="clear" w:color="auto" w:fill="FFFFFF"/>
        </w:rPr>
        <w:t>,</w:t>
      </w:r>
      <w:r w:rsidR="00EC248E">
        <w:rPr>
          <w:shd w:val="clear" w:color="auto" w:fill="FFFFFF"/>
        </w:rPr>
        <w:t xml:space="preserve"> and as a consequence the Nomination of Beneficiary form is without effect.  </w:t>
      </w:r>
      <w:r w:rsidR="00EC248E">
        <w:rPr>
          <w:i/>
          <w:shd w:val="clear" w:color="auto" w:fill="FFFFFF"/>
        </w:rPr>
        <w:t xml:space="preserve">See </w:t>
      </w:r>
      <w:r w:rsidR="00BD7C78">
        <w:rPr>
          <w:i/>
          <w:shd w:val="clear" w:color="auto" w:fill="FFFFFF"/>
        </w:rPr>
        <w:t>Sullivan-O’Grady v. State Bd. of Retirement</w:t>
      </w:r>
      <w:r w:rsidR="00BD7C78">
        <w:rPr>
          <w:shd w:val="clear" w:color="auto" w:fill="FFFFFF"/>
        </w:rPr>
        <w:t xml:space="preserve">, </w:t>
      </w:r>
      <w:r w:rsidR="00EF7C78">
        <w:rPr>
          <w:shd w:val="clear" w:color="auto" w:fill="FFFFFF"/>
        </w:rPr>
        <w:t xml:space="preserve">CR-07-1126 (CRAB 2012), </w:t>
      </w:r>
      <w:r w:rsidR="00EF7C78" w:rsidRPr="00EF7C78">
        <w:rPr>
          <w:i/>
          <w:shd w:val="clear" w:color="auto" w:fill="FFFFFF"/>
        </w:rPr>
        <w:t>aff’d</w:t>
      </w:r>
      <w:r w:rsidR="00EF7C78">
        <w:rPr>
          <w:shd w:val="clear" w:color="auto" w:fill="FFFFFF"/>
        </w:rPr>
        <w:t xml:space="preserve">  </w:t>
      </w:r>
      <w:r w:rsidR="00BD7C78">
        <w:rPr>
          <w:shd w:val="clear" w:color="auto" w:fill="FFFFFF"/>
        </w:rPr>
        <w:t xml:space="preserve">14-P-1420 (Mass. App. Ct. 2015) (concluding that no valid </w:t>
      </w:r>
      <w:r w:rsidR="000818DB">
        <w:rPr>
          <w:shd w:val="clear" w:color="auto" w:fill="FFFFFF"/>
        </w:rPr>
        <w:t>o</w:t>
      </w:r>
      <w:r w:rsidR="00BD7C78">
        <w:rPr>
          <w:shd w:val="clear" w:color="auto" w:fill="FFFFFF"/>
        </w:rPr>
        <w:t>ption D benef</w:t>
      </w:r>
      <w:r w:rsidR="00EF7C78">
        <w:rPr>
          <w:shd w:val="clear" w:color="auto" w:fill="FFFFFF"/>
        </w:rPr>
        <w:t xml:space="preserve">iciary nomination had occurred </w:t>
      </w:r>
      <w:r w:rsidR="00BD7C78">
        <w:rPr>
          <w:shd w:val="clear" w:color="auto" w:fill="FFFFFF"/>
        </w:rPr>
        <w:t xml:space="preserve">because “there was no evidence that Sullivan took any of the necessary steps to effectuate an option D designation, including . . . having the option D form witnessed.”); </w:t>
      </w:r>
      <w:r w:rsidR="00EC248E">
        <w:rPr>
          <w:i/>
          <w:shd w:val="clear" w:color="auto" w:fill="FFFFFF"/>
        </w:rPr>
        <w:t>McHugh v. Middlesex County Retirement System</w:t>
      </w:r>
      <w:r w:rsidR="00EC248E">
        <w:rPr>
          <w:shd w:val="clear" w:color="auto" w:fill="FFFFFF"/>
        </w:rPr>
        <w:t>, CR-08-692 (DALA 2014) (concluding that petitioner’s application for membership was incomplete, and therefore ineffectual, because it did not bear the required signature of his employer’s Payroll Department)</w:t>
      </w:r>
      <w:r w:rsidR="00BD7C78">
        <w:rPr>
          <w:shd w:val="clear" w:color="auto" w:fill="FFFFFF"/>
        </w:rPr>
        <w:t>.</w:t>
      </w:r>
      <w:r w:rsidR="00A9150F">
        <w:rPr>
          <w:shd w:val="clear" w:color="auto" w:fill="FFFFFF"/>
        </w:rPr>
        <w:t xml:space="preserve">  Without a properly completed Nomination of Beneficiary form, Mr. Bedwell died with no beneficiary of record.</w:t>
      </w:r>
      <w:r w:rsidR="00BD7C78">
        <w:rPr>
          <w:shd w:val="clear" w:color="auto" w:fill="FFFFFF"/>
        </w:rPr>
        <w:t xml:space="preserve">  </w:t>
      </w:r>
    </w:p>
    <w:p w:rsidR="002672F0" w:rsidRDefault="00805ADE" w:rsidP="003A51C3">
      <w:pPr>
        <w:spacing w:line="480" w:lineRule="auto"/>
        <w:ind w:firstLine="720"/>
        <w:rPr>
          <w:shd w:val="clear" w:color="auto" w:fill="FFFFFF"/>
        </w:rPr>
      </w:pPr>
      <w:r>
        <w:rPr>
          <w:shd w:val="clear" w:color="auto" w:fill="FFFFFF"/>
        </w:rPr>
        <w:t>I</w:t>
      </w:r>
      <w:r w:rsidR="002672F0" w:rsidRPr="00871A79">
        <w:rPr>
          <w:shd w:val="clear" w:color="auto" w:fill="FFFFFF"/>
        </w:rPr>
        <w:t>f there is no beneficiary of record</w:t>
      </w:r>
      <w:r>
        <w:rPr>
          <w:shd w:val="clear" w:color="auto" w:fill="FFFFFF"/>
        </w:rPr>
        <w:t>, the retirement law directs that the decedent’s retirement account be paid to his “</w:t>
      </w:r>
      <w:r w:rsidR="002672F0" w:rsidRPr="00871A79">
        <w:rPr>
          <w:shd w:val="clear" w:color="auto" w:fill="FFFFFF"/>
        </w:rPr>
        <w:t>legal representatives</w:t>
      </w:r>
      <w:r>
        <w:rPr>
          <w:shd w:val="clear" w:color="auto" w:fill="FFFFFF"/>
        </w:rPr>
        <w:t xml:space="preserve">.”  G.L. c. 32, § 11(2)(c).  </w:t>
      </w:r>
      <w:r w:rsidR="00554407">
        <w:rPr>
          <w:shd w:val="clear" w:color="auto" w:fill="FFFFFF"/>
        </w:rPr>
        <w:t xml:space="preserve">The Board has interpreted </w:t>
      </w:r>
      <w:r w:rsidR="004A5A03">
        <w:rPr>
          <w:shd w:val="clear" w:color="auto" w:fill="FFFFFF"/>
        </w:rPr>
        <w:t xml:space="preserve">that term to mean </w:t>
      </w:r>
      <w:r w:rsidR="00554407">
        <w:rPr>
          <w:shd w:val="clear" w:color="auto" w:fill="FFFFFF"/>
        </w:rPr>
        <w:t xml:space="preserve">the executor </w:t>
      </w:r>
      <w:r w:rsidR="004A5A03">
        <w:rPr>
          <w:shd w:val="clear" w:color="auto" w:fill="FFFFFF"/>
        </w:rPr>
        <w:t xml:space="preserve">or administrator </w:t>
      </w:r>
      <w:r w:rsidR="00554407">
        <w:rPr>
          <w:shd w:val="clear" w:color="auto" w:fill="FFFFFF"/>
        </w:rPr>
        <w:t>of the member’s estate</w:t>
      </w:r>
      <w:r w:rsidR="00BC7C31">
        <w:rPr>
          <w:shd w:val="clear" w:color="auto" w:fill="FFFFFF"/>
        </w:rPr>
        <w:t>.</w:t>
      </w:r>
      <w:r w:rsidR="00554407">
        <w:rPr>
          <w:shd w:val="clear" w:color="auto" w:fill="FFFFFF"/>
        </w:rPr>
        <w:t xml:space="preserve"> </w:t>
      </w:r>
      <w:r w:rsidR="00BC7C31">
        <w:rPr>
          <w:shd w:val="clear" w:color="auto" w:fill="FFFFFF"/>
        </w:rPr>
        <w:t xml:space="preserve"> </w:t>
      </w:r>
      <w:r w:rsidR="004A5A03">
        <w:rPr>
          <w:shd w:val="clear" w:color="auto" w:fill="FFFFFF"/>
        </w:rPr>
        <w:t>In similar circumstances, the Massachusetts Uniform Probate Code designates a “personal representative,” who is defined as the “</w:t>
      </w:r>
      <w:r w:rsidR="004A5A03" w:rsidRPr="00055352">
        <w:rPr>
          <w:shd w:val="clear" w:color="auto" w:fill="FFFFFF"/>
        </w:rPr>
        <w:t>executor, administrator, successor personal representative, special administrator, special personal representative, and persons who perform substantially the same function under th</w:t>
      </w:r>
      <w:r w:rsidR="004A5A03">
        <w:rPr>
          <w:shd w:val="clear" w:color="auto" w:fill="FFFFFF"/>
        </w:rPr>
        <w:t xml:space="preserve">e law governing their status.”  G.L. c. 190B, § 1-201(37). </w:t>
      </w:r>
      <w:r w:rsidR="00BC7C31">
        <w:rPr>
          <w:shd w:val="clear" w:color="auto" w:fill="FFFFFF"/>
        </w:rPr>
        <w:t xml:space="preserve"> </w:t>
      </w:r>
      <w:r w:rsidR="00554407">
        <w:rPr>
          <w:shd w:val="clear" w:color="auto" w:fill="FFFFFF"/>
        </w:rPr>
        <w:t>I agree with the Board’s interpretation, and conclude that Mr. Bedwell’s accumulated retirement contributions must be paid to his estate.</w:t>
      </w:r>
      <w:r w:rsidR="002672F0">
        <w:rPr>
          <w:shd w:val="clear" w:color="auto" w:fill="FFFFFF"/>
        </w:rPr>
        <w:t xml:space="preserve">  </w:t>
      </w:r>
    </w:p>
    <w:p w:rsidR="00826BE6" w:rsidRDefault="006E1681" w:rsidP="003F5AE2">
      <w:pPr>
        <w:spacing w:line="480" w:lineRule="auto"/>
        <w:ind w:firstLine="720"/>
        <w:rPr>
          <w:shd w:val="clear" w:color="auto" w:fill="FFFFFF"/>
        </w:rPr>
      </w:pPr>
      <w:r>
        <w:rPr>
          <w:shd w:val="clear" w:color="auto" w:fill="FFFFFF"/>
        </w:rPr>
        <w:t xml:space="preserve">Ms. Fritz-Elliott </w:t>
      </w:r>
      <w:r w:rsidR="00A13138">
        <w:rPr>
          <w:shd w:val="clear" w:color="auto" w:fill="FFFFFF"/>
        </w:rPr>
        <w:t xml:space="preserve">argues </w:t>
      </w:r>
      <w:r w:rsidR="007E7411">
        <w:rPr>
          <w:shd w:val="clear" w:color="auto" w:fill="FFFFFF"/>
        </w:rPr>
        <w:t xml:space="preserve">that she is entitled to </w:t>
      </w:r>
      <w:r w:rsidR="003D7AD6">
        <w:rPr>
          <w:shd w:val="clear" w:color="auto" w:fill="FFFFFF"/>
        </w:rPr>
        <w:t xml:space="preserve">her ex-husband’s account </w:t>
      </w:r>
      <w:r w:rsidR="007E7411">
        <w:rPr>
          <w:shd w:val="clear" w:color="auto" w:fill="FFFFFF"/>
        </w:rPr>
        <w:t xml:space="preserve">because she has the greatest claim to it.  </w:t>
      </w:r>
      <w:r w:rsidR="003F5AE2">
        <w:rPr>
          <w:shd w:val="clear" w:color="auto" w:fill="FFFFFF"/>
        </w:rPr>
        <w:t xml:space="preserve">She </w:t>
      </w:r>
      <w:r w:rsidR="003D7AD6">
        <w:rPr>
          <w:shd w:val="clear" w:color="auto" w:fill="FFFFFF"/>
        </w:rPr>
        <w:t>asserts</w:t>
      </w:r>
      <w:r w:rsidR="003F5AE2">
        <w:rPr>
          <w:shd w:val="clear" w:color="auto" w:fill="FFFFFF"/>
        </w:rPr>
        <w:t xml:space="preserve"> that </w:t>
      </w:r>
      <w:r w:rsidR="004C46C2">
        <w:rPr>
          <w:shd w:val="clear" w:color="auto" w:fill="FFFFFF"/>
        </w:rPr>
        <w:t xml:space="preserve">since Mr. Bedwell had no children, his </w:t>
      </w:r>
      <w:r w:rsidR="004C46C2">
        <w:rPr>
          <w:shd w:val="clear" w:color="auto" w:fill="FFFFFF"/>
        </w:rPr>
        <w:lastRenderedPageBreak/>
        <w:t xml:space="preserve">parents are dead, and there is no way to find his sister, </w:t>
      </w:r>
      <w:r w:rsidR="007E7411">
        <w:rPr>
          <w:shd w:val="clear" w:color="auto" w:fill="FFFFFF"/>
        </w:rPr>
        <w:t>there is no one to inherit Mr. Bedwell’s retirement funds, and so the money would escheat to the Commonwealth</w:t>
      </w:r>
      <w:r w:rsidR="003F5AE2">
        <w:rPr>
          <w:shd w:val="clear" w:color="auto" w:fill="FFFFFF"/>
        </w:rPr>
        <w:t xml:space="preserve">.  </w:t>
      </w:r>
      <w:r w:rsidR="003D7AD6" w:rsidRPr="003D7AD6">
        <w:rPr>
          <w:i/>
          <w:shd w:val="clear" w:color="auto" w:fill="FFFFFF"/>
        </w:rPr>
        <w:t>See</w:t>
      </w:r>
      <w:r w:rsidR="003D7AD6">
        <w:rPr>
          <w:shd w:val="clear" w:color="auto" w:fill="FFFFFF"/>
        </w:rPr>
        <w:t xml:space="preserve"> G.L. c. 190B, § 2-105 (if there is no taker, the intestate estate passes to the commonwealth).  She insists that </w:t>
      </w:r>
      <w:r w:rsidR="00554407">
        <w:rPr>
          <w:shd w:val="clear" w:color="auto" w:fill="FFFFFF"/>
        </w:rPr>
        <w:t>“[e]quity dictates that [she] has a greater claim to her former husband’s retirement account proceeds than the Commonwealth of Massachusetts.”  (Ex. 2.)</w:t>
      </w:r>
    </w:p>
    <w:p w:rsidR="00094C5C" w:rsidRDefault="003D7AD6" w:rsidP="003D7AD6">
      <w:pPr>
        <w:spacing w:line="480" w:lineRule="auto"/>
        <w:ind w:firstLine="720"/>
      </w:pPr>
      <w:r>
        <w:rPr>
          <w:shd w:val="clear" w:color="auto" w:fill="FFFFFF"/>
        </w:rPr>
        <w:t>N</w:t>
      </w:r>
      <w:r w:rsidR="001830D2">
        <w:rPr>
          <w:shd w:val="clear" w:color="auto" w:fill="FFFFFF"/>
        </w:rPr>
        <w:t xml:space="preserve">either </w:t>
      </w:r>
      <w:r w:rsidR="00C73A16">
        <w:rPr>
          <w:shd w:val="clear" w:color="auto" w:fill="FFFFFF"/>
        </w:rPr>
        <w:t>the Contributory Retirement Appeal Board (CRAB)</w:t>
      </w:r>
      <w:r w:rsidR="001830D2">
        <w:rPr>
          <w:shd w:val="clear" w:color="auto" w:fill="FFFFFF"/>
        </w:rPr>
        <w:t xml:space="preserve"> nor DALA </w:t>
      </w:r>
      <w:r w:rsidR="001830D2">
        <w:t xml:space="preserve">have the authority to grant equitable relief that is contrary to the clear wording of the statute.  </w:t>
      </w:r>
      <w:r w:rsidR="001830D2">
        <w:rPr>
          <w:i/>
        </w:rPr>
        <w:t>Petrillo v. Public Employee Retirement Admin.</w:t>
      </w:r>
      <w:r w:rsidR="00526645">
        <w:t xml:space="preserve">, CR-92-731 *1 </w:t>
      </w:r>
      <w:r w:rsidR="001830D2">
        <w:t>(CRAB 1993)</w:t>
      </w:r>
      <w:r w:rsidR="00526645">
        <w:t xml:space="preserve"> </w:t>
      </w:r>
      <w:r w:rsidR="00526645">
        <w:rPr>
          <w:i/>
        </w:rPr>
        <w:t xml:space="preserve">affirming </w:t>
      </w:r>
      <w:r w:rsidR="00526645">
        <w:t>CR-92-731 (DALA 1992)</w:t>
      </w:r>
      <w:r w:rsidR="001830D2">
        <w:t xml:space="preserve"> (CRAB does not have the “au</w:t>
      </w:r>
      <w:r w:rsidR="00526645">
        <w:t>thority to employ an</w:t>
      </w:r>
      <w:r w:rsidR="001830D2">
        <w:t xml:space="preserve"> equitable remedy in the face of specific statutory language [to the] contrary.”).  </w:t>
      </w:r>
      <w:r w:rsidR="00526645">
        <w:t>Because</w:t>
      </w:r>
      <w:r w:rsidR="001830D2">
        <w:t xml:space="preserve"> </w:t>
      </w:r>
      <w:r w:rsidR="00094C5C">
        <w:t>the statute clearly states that absent a beneficiary of record the money must be paid to Mr. Bedwell’s “legal representative,” distributi</w:t>
      </w:r>
      <w:r>
        <w:t>ng the account to M</w:t>
      </w:r>
      <w:r w:rsidR="00094C5C">
        <w:t xml:space="preserve">s. Fritz-Elliott would be contrary to the </w:t>
      </w:r>
      <w:r>
        <w:t>“</w:t>
      </w:r>
      <w:r w:rsidR="00094C5C">
        <w:t xml:space="preserve">specific statutory language.”  </w:t>
      </w:r>
      <w:r w:rsidR="001830D2">
        <w:t xml:space="preserve">Furthermore, </w:t>
      </w:r>
      <w:r>
        <w:t xml:space="preserve">her </w:t>
      </w:r>
      <w:r w:rsidR="001830D2">
        <w:t xml:space="preserve">assertion that Mr. Bedwell has no living heirs to inherit his estate is unsupported by </w:t>
      </w:r>
      <w:r>
        <w:t xml:space="preserve">record </w:t>
      </w:r>
      <w:r w:rsidR="001830D2">
        <w:t>evidence</w:t>
      </w:r>
      <w:r>
        <w:t xml:space="preserve"> and is premature</w:t>
      </w:r>
      <w:r w:rsidR="001830D2">
        <w:t>.</w:t>
      </w:r>
    </w:p>
    <w:p w:rsidR="00555736" w:rsidRPr="00BA1305" w:rsidRDefault="00094C5C" w:rsidP="003F5AE2">
      <w:pPr>
        <w:spacing w:line="480" w:lineRule="auto"/>
        <w:ind w:firstLine="720"/>
      </w:pPr>
      <w:r>
        <w:t xml:space="preserve">Next, Ms. Fritz-Elliott argues that DALA should overlook the lack of a witness signature on the Nomination of Beneficiary form, because “[t]he purpose of having a witness sign is to make certain that the signature is not a forgery or is not being signed under other improper circumstances,” and “[a]s Mr. Bedwell was designating his wife to benefit from his retirement account, it is somewhat obvious that he did, in fact, execute the form that he submitted to the Retirement Board.”  (Ex. 2.)  This again asks for an equitable remedy that is contrary to the statutory language.  G.L. c. 32, § 11(2)(c) </w:t>
      </w:r>
      <w:r w:rsidR="0056167A">
        <w:t>grants</w:t>
      </w:r>
      <w:r>
        <w:t xml:space="preserve"> members </w:t>
      </w:r>
      <w:r w:rsidR="0056167A">
        <w:t xml:space="preserve">the option </w:t>
      </w:r>
      <w:r>
        <w:t>to nominate</w:t>
      </w:r>
      <w:r w:rsidR="00555736">
        <w:t xml:space="preserve"> a</w:t>
      </w:r>
      <w:r>
        <w:t xml:space="preserve"> beneficiary, provided that they do so “</w:t>
      </w:r>
      <w:r>
        <w:rPr>
          <w:shd w:val="clear" w:color="auto" w:fill="FFFFFF"/>
        </w:rPr>
        <w:t>upon . . .</w:t>
      </w:r>
      <w:r w:rsidRPr="00871A79">
        <w:rPr>
          <w:shd w:val="clear" w:color="auto" w:fill="FFFFFF"/>
        </w:rPr>
        <w:t xml:space="preserve"> written </w:t>
      </w:r>
      <w:r w:rsidRPr="00871A79">
        <w:rPr>
          <w:shd w:val="clear" w:color="auto" w:fill="FFFFFF"/>
        </w:rPr>
        <w:lastRenderedPageBreak/>
        <w:t xml:space="preserve">notice </w:t>
      </w:r>
      <w:r w:rsidRPr="00555736">
        <w:rPr>
          <w:i/>
          <w:shd w:val="clear" w:color="auto" w:fill="FFFFFF"/>
        </w:rPr>
        <w:t>on a prescribed form</w:t>
      </w:r>
      <w:r w:rsidRPr="00871A79">
        <w:rPr>
          <w:shd w:val="clear" w:color="auto" w:fill="FFFFFF"/>
        </w:rPr>
        <w:t xml:space="preserve"> filed with the board</w:t>
      </w:r>
      <w:r>
        <w:rPr>
          <w:shd w:val="clear" w:color="auto" w:fill="FFFFFF"/>
        </w:rPr>
        <w:t xml:space="preserve"> . . . .</w:t>
      </w:r>
      <w:r>
        <w:t>”</w:t>
      </w:r>
      <w:r w:rsidR="00555736">
        <w:t xml:space="preserve">  (</w:t>
      </w:r>
      <w:r w:rsidR="00555736">
        <w:rPr>
          <w:i/>
        </w:rPr>
        <w:t>Emphasis added</w:t>
      </w:r>
      <w:r w:rsidR="00555736">
        <w:t>.)</w:t>
      </w:r>
      <w:r>
        <w:t xml:space="preserve">  The “prescribed form” </w:t>
      </w:r>
      <w:r w:rsidR="003D7AD6">
        <w:t xml:space="preserve">provided </w:t>
      </w:r>
      <w:r>
        <w:t xml:space="preserve">by the Board requires that the member’s signature be witnessed; DALA does not have the authority to </w:t>
      </w:r>
      <w:r w:rsidR="00555736">
        <w:t xml:space="preserve">ignore </w:t>
      </w:r>
      <w:r w:rsidR="004A5A03">
        <w:t>the form’s requirements</w:t>
      </w:r>
      <w:r w:rsidR="00555736">
        <w:t xml:space="preserve">.  </w:t>
      </w:r>
      <w:r w:rsidR="00555736">
        <w:rPr>
          <w:i/>
        </w:rPr>
        <w:t>See Petrillo</w:t>
      </w:r>
      <w:r w:rsidR="00526645">
        <w:t>, CR-92-731</w:t>
      </w:r>
      <w:r w:rsidR="00555736">
        <w:t xml:space="preserve">.  Furthermore, </w:t>
      </w:r>
      <w:r w:rsidR="00600401">
        <w:t xml:space="preserve">the cases cited above confirm that a Nomination of Beneficiary </w:t>
      </w:r>
      <w:r w:rsidR="009632C9">
        <w:t xml:space="preserve">form is not valid if it is missing </w:t>
      </w:r>
      <w:r w:rsidR="00BA1305">
        <w:t xml:space="preserve">any required information or signatures.  </w:t>
      </w:r>
      <w:r w:rsidR="00BA1305">
        <w:rPr>
          <w:i/>
        </w:rPr>
        <w:t xml:space="preserve">See </w:t>
      </w:r>
      <w:r w:rsidR="00BA1305">
        <w:rPr>
          <w:i/>
          <w:shd w:val="clear" w:color="auto" w:fill="FFFFFF"/>
        </w:rPr>
        <w:t>Sullivan-O’Grady</w:t>
      </w:r>
      <w:r w:rsidR="00BA1305">
        <w:rPr>
          <w:shd w:val="clear" w:color="auto" w:fill="FFFFFF"/>
        </w:rPr>
        <w:t xml:space="preserve">, 14-P-1420; </w:t>
      </w:r>
      <w:r w:rsidR="00BA1305">
        <w:rPr>
          <w:i/>
          <w:shd w:val="clear" w:color="auto" w:fill="FFFFFF"/>
        </w:rPr>
        <w:t>McHugh</w:t>
      </w:r>
      <w:r w:rsidR="00BA1305">
        <w:rPr>
          <w:shd w:val="clear" w:color="auto" w:fill="FFFFFF"/>
        </w:rPr>
        <w:t>, CR-08-692.</w:t>
      </w:r>
    </w:p>
    <w:p w:rsidR="00055352" w:rsidRDefault="00555736" w:rsidP="003F5AE2">
      <w:pPr>
        <w:spacing w:line="480" w:lineRule="auto"/>
        <w:ind w:firstLine="720"/>
        <w:rPr>
          <w:shd w:val="clear" w:color="auto" w:fill="FFFFFF"/>
        </w:rPr>
      </w:pPr>
      <w:r>
        <w:t>Finally, Ms. Fritz-Elliott argues that the Board had a duty when Mr. Bedwell submitted his Nomination of Beneficiary form to notify him that it was incomplete</w:t>
      </w:r>
      <w:r w:rsidR="00C73A16">
        <w:t xml:space="preserve">, and therefore Mr. Bedwell, and by extension Ms. Fritz-Elliott, should not be punished for the Board’s negligence.  DALA has </w:t>
      </w:r>
      <w:r w:rsidR="0056167A">
        <w:t xml:space="preserve">repeatedly </w:t>
      </w:r>
      <w:r w:rsidR="00C73A16">
        <w:t xml:space="preserve">addressed </w:t>
      </w:r>
      <w:r w:rsidR="0056167A">
        <w:t>the argument of whether retirement boards owe members a</w:t>
      </w:r>
      <w:r w:rsidR="004A5A03">
        <w:t xml:space="preserve"> general f</w:t>
      </w:r>
      <w:r w:rsidR="0056167A">
        <w:t>iduciary duty</w:t>
      </w:r>
      <w:r w:rsidR="00C73A16">
        <w:t xml:space="preserve">, and has consistently rejected it.  </w:t>
      </w:r>
      <w:r w:rsidR="00C73A16">
        <w:rPr>
          <w:i/>
        </w:rPr>
        <w:t>See, e.g., Picheny v. Teachers’ Retirement System</w:t>
      </w:r>
      <w:r w:rsidR="00C73A16">
        <w:t>, CR-12-46 *9 (DALA) (“[I]t is well established that ‘</w:t>
      </w:r>
      <w:r w:rsidR="00C73A16" w:rsidRPr="00C73A16">
        <w:t>retirement boards do not owe any general fiduciary duty to their members, except as regar</w:t>
      </w:r>
      <w:r w:rsidR="00C73A16">
        <w:t xml:space="preserve">ds the investment of the boards’ funds.’”  (quoting </w:t>
      </w:r>
      <w:r w:rsidR="00C73A16">
        <w:rPr>
          <w:i/>
        </w:rPr>
        <w:t>Abele v. Newton Retirement B</w:t>
      </w:r>
      <w:r w:rsidR="00C73A16" w:rsidRPr="00C73A16">
        <w:rPr>
          <w:i/>
        </w:rPr>
        <w:t>d</w:t>
      </w:r>
      <w:r w:rsidR="00C73A16">
        <w:rPr>
          <w:i/>
        </w:rPr>
        <w:t>.</w:t>
      </w:r>
      <w:r w:rsidR="00C73A16" w:rsidRPr="00C73A16">
        <w:t>, CR-08-495 *8 (DALA 2009</w:t>
      </w:r>
      <w:r w:rsidR="00C73A16">
        <w:t>)).</w:t>
      </w:r>
      <w:r w:rsidR="00E22F80">
        <w:t xml:space="preserve">  It was Mr. Bedwell’s responsibility to ensure that his form was complete and accurate, not the Board’s.</w:t>
      </w:r>
      <w:r w:rsidR="00094C5C">
        <w:t xml:space="preserve">    </w:t>
      </w:r>
      <w:r w:rsidR="001830D2">
        <w:t xml:space="preserve">  </w:t>
      </w:r>
      <w:r w:rsidR="006E1681">
        <w:rPr>
          <w:shd w:val="clear" w:color="auto" w:fill="FFFFFF"/>
        </w:rPr>
        <w:t xml:space="preserve">    </w:t>
      </w:r>
    </w:p>
    <w:p w:rsidR="00BC7C31" w:rsidRDefault="00017F26" w:rsidP="00E22F80">
      <w:pPr>
        <w:spacing w:line="480" w:lineRule="auto"/>
        <w:ind w:firstLine="720"/>
      </w:pPr>
      <w:r>
        <w:t xml:space="preserve">In conclusion, </w:t>
      </w:r>
      <w:r w:rsidR="00247F31">
        <w:t>the Board</w:t>
      </w:r>
      <w:r>
        <w:t xml:space="preserve"> properly</w:t>
      </w:r>
      <w:r w:rsidR="00E22F80">
        <w:t xml:space="preserve"> determined that Mr. Bedwell’s accumulated retirement contributions should be paid to his estate – and not to Ms. Fritz-Elliott – because the Nomination of Beneficiary form naming Ms. Fritz-Elliot as the beneficiary was defective.</w:t>
      </w:r>
      <w:r w:rsidR="00C22998">
        <w:t xml:space="preserve">  As a result, Mr. Bedwell’s accumulated retirement contributions </w:t>
      </w:r>
      <w:r w:rsidR="0056167A">
        <w:t>must</w:t>
      </w:r>
      <w:r w:rsidR="00C22998">
        <w:t xml:space="preserve"> be </w:t>
      </w:r>
    </w:p>
    <w:p w:rsidR="00BC7C31" w:rsidRDefault="00BC7C31">
      <w:r>
        <w:br w:type="page"/>
      </w:r>
    </w:p>
    <w:p w:rsidR="00AB40FB" w:rsidRDefault="00C22998" w:rsidP="00213F5A">
      <w:pPr>
        <w:spacing w:line="480" w:lineRule="auto"/>
      </w:pPr>
      <w:r>
        <w:lastRenderedPageBreak/>
        <w:t>distributed to his estate.</w:t>
      </w:r>
      <w:r w:rsidR="00E22F80">
        <w:t xml:space="preserve">  </w:t>
      </w:r>
      <w:r w:rsidR="00BC7C31">
        <w:t>Accordingly, t</w:t>
      </w:r>
      <w:r w:rsidR="00247F31">
        <w:t>he Board’s</w:t>
      </w:r>
      <w:r w:rsidR="00017F26">
        <w:t xml:space="preserve"> decision is affirmed</w:t>
      </w:r>
      <w:r w:rsidR="00E22F80">
        <w:t xml:space="preserve"> and Ms. Fritz-Elliott’s appeal is dismissed</w:t>
      </w:r>
      <w:r w:rsidR="00017F26">
        <w:t xml:space="preserve">. </w:t>
      </w:r>
    </w:p>
    <w:p w:rsidR="00AB38D6" w:rsidRDefault="00AB38D6" w:rsidP="00AB38D6">
      <w:pPr>
        <w:spacing w:line="480" w:lineRule="auto"/>
      </w:pPr>
      <w:r>
        <w:t>SO ORDERED.</w:t>
      </w:r>
    </w:p>
    <w:p w:rsidR="00D053B6" w:rsidRDefault="00450FA0" w:rsidP="00D053B6">
      <w:pPr>
        <w:spacing w:line="480" w:lineRule="auto"/>
      </w:pPr>
      <w:r>
        <w:t>D</w:t>
      </w:r>
      <w:r w:rsidR="00D053B6">
        <w:t>IVISION OF ADMINISTRATIVE LAW APPEALS</w:t>
      </w:r>
    </w:p>
    <w:p w:rsidR="00D053B6" w:rsidRDefault="00D053B6" w:rsidP="00D053B6">
      <w:pPr>
        <w:pStyle w:val="Header"/>
        <w:tabs>
          <w:tab w:val="clear" w:pos="4320"/>
          <w:tab w:val="clear" w:pos="8640"/>
        </w:tabs>
      </w:pPr>
    </w:p>
    <w:p w:rsidR="00D053B6" w:rsidRDefault="00D053B6" w:rsidP="00D053B6">
      <w:pPr>
        <w:pStyle w:val="Header"/>
        <w:tabs>
          <w:tab w:val="clear" w:pos="4320"/>
          <w:tab w:val="clear" w:pos="8640"/>
        </w:tabs>
      </w:pPr>
    </w:p>
    <w:p w:rsidR="00D053B6" w:rsidRDefault="00D053B6" w:rsidP="00D053B6">
      <w:pPr>
        <w:pStyle w:val="Header"/>
        <w:tabs>
          <w:tab w:val="clear" w:pos="4320"/>
          <w:tab w:val="clear" w:pos="8640"/>
        </w:tabs>
      </w:pPr>
      <w:r>
        <w:t xml:space="preserve">___________________________________________     </w:t>
      </w:r>
    </w:p>
    <w:p w:rsidR="00D053B6" w:rsidRDefault="00B3407D" w:rsidP="00504594">
      <w:pPr>
        <w:pStyle w:val="Header"/>
        <w:tabs>
          <w:tab w:val="clear" w:pos="8640"/>
        </w:tabs>
      </w:pPr>
      <w:r>
        <w:t>Kenneth Forton</w:t>
      </w:r>
      <w:r w:rsidR="00D053B6">
        <w:t>, Esq.</w:t>
      </w:r>
      <w:r w:rsidR="00504594">
        <w:tab/>
      </w:r>
    </w:p>
    <w:p w:rsidR="00D053B6" w:rsidRDefault="00D053B6" w:rsidP="00D053B6">
      <w:pPr>
        <w:pStyle w:val="Header"/>
        <w:tabs>
          <w:tab w:val="clear" w:pos="4320"/>
          <w:tab w:val="clear" w:pos="8640"/>
        </w:tabs>
      </w:pPr>
      <w:r>
        <w:t>Administrative Magistrate</w:t>
      </w:r>
    </w:p>
    <w:p w:rsidR="00D053B6" w:rsidRDefault="00D053B6" w:rsidP="00D053B6">
      <w:pPr>
        <w:pStyle w:val="Header"/>
        <w:tabs>
          <w:tab w:val="clear" w:pos="4320"/>
          <w:tab w:val="clear" w:pos="8640"/>
        </w:tabs>
      </w:pPr>
    </w:p>
    <w:p w:rsidR="006F40E2" w:rsidRDefault="00B84338" w:rsidP="00D053B6">
      <w:pPr>
        <w:pStyle w:val="Header"/>
        <w:tabs>
          <w:tab w:val="clear" w:pos="4320"/>
          <w:tab w:val="clear" w:pos="8640"/>
        </w:tabs>
        <w:spacing w:line="480" w:lineRule="auto"/>
      </w:pPr>
      <w:r>
        <w:t xml:space="preserve">DATED:  </w:t>
      </w:r>
      <w:r w:rsidR="00E33F1E">
        <w:t>Apr. 22, 2016</w:t>
      </w:r>
    </w:p>
    <w:sectPr w:rsidR="006F40E2" w:rsidSect="00E02BDA">
      <w:headerReference w:type="default" r:id="rId9"/>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6A" w:rsidRDefault="00553D6A">
      <w:r>
        <w:separator/>
      </w:r>
    </w:p>
  </w:endnote>
  <w:endnote w:type="continuationSeparator" w:id="0">
    <w:p w:rsidR="00553D6A" w:rsidRDefault="0055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E50" w:rsidRDefault="00BD2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8C9">
      <w:rPr>
        <w:rStyle w:val="PageNumber"/>
        <w:noProof/>
      </w:rPr>
      <w:t>5</w:t>
    </w:r>
    <w:r>
      <w:rPr>
        <w:rStyle w:val="PageNumber"/>
      </w:rPr>
      <w:fldChar w:fldCharType="end"/>
    </w:r>
  </w:p>
  <w:p w:rsidR="00BD2E50" w:rsidRDefault="00BD2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6A" w:rsidRDefault="00553D6A">
      <w:r>
        <w:separator/>
      </w:r>
    </w:p>
  </w:footnote>
  <w:footnote w:type="continuationSeparator" w:id="0">
    <w:p w:rsidR="00553D6A" w:rsidRDefault="00553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Pr="00CA067F" w:rsidRDefault="001E27CF">
    <w:pPr>
      <w:pStyle w:val="Header"/>
      <w:rPr>
        <w:i/>
      </w:rPr>
    </w:pPr>
    <w:r>
      <w:rPr>
        <w:i/>
      </w:rPr>
      <w:t>Barbara Fritz-Elliott</w:t>
    </w:r>
    <w:r w:rsidR="00A960F9">
      <w:rPr>
        <w:i/>
      </w:rPr>
      <w:t xml:space="preserve"> v. </w:t>
    </w:r>
    <w:r>
      <w:rPr>
        <w:i/>
      </w:rPr>
      <w:t>State Bd. of Retirement</w:t>
    </w:r>
    <w:r w:rsidR="009B1066" w:rsidRPr="00CA067F">
      <w:rPr>
        <w:i/>
      </w:rPr>
      <w:tab/>
    </w:r>
    <w:r w:rsidR="00864289">
      <w:rPr>
        <w:i/>
      </w:rPr>
      <w:t>CR-</w:t>
    </w:r>
    <w:r>
      <w:rPr>
        <w:i/>
      </w:rPr>
      <w:t>14-368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C6C25"/>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647ADF"/>
    <w:multiLevelType w:val="hybridMultilevel"/>
    <w:tmpl w:val="13305D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B30AA8"/>
    <w:multiLevelType w:val="hybridMultilevel"/>
    <w:tmpl w:val="B9A6B132"/>
    <w:lvl w:ilvl="0" w:tplc="78421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F4635A"/>
    <w:multiLevelType w:val="hybridMultilevel"/>
    <w:tmpl w:val="9C04BA44"/>
    <w:lvl w:ilvl="0" w:tplc="C4C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542E22"/>
    <w:multiLevelType w:val="hybridMultilevel"/>
    <w:tmpl w:val="FC026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A2391C"/>
    <w:multiLevelType w:val="hybridMultilevel"/>
    <w:tmpl w:val="0C06A8FA"/>
    <w:lvl w:ilvl="0" w:tplc="90C6858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14"/>
    <w:rsid w:val="000004E1"/>
    <w:rsid w:val="000028A1"/>
    <w:rsid w:val="000035AC"/>
    <w:rsid w:val="00003D98"/>
    <w:rsid w:val="00004C55"/>
    <w:rsid w:val="00004E6F"/>
    <w:rsid w:val="0000764A"/>
    <w:rsid w:val="00007935"/>
    <w:rsid w:val="00007F9F"/>
    <w:rsid w:val="00012285"/>
    <w:rsid w:val="00014B75"/>
    <w:rsid w:val="00017F26"/>
    <w:rsid w:val="00020EA3"/>
    <w:rsid w:val="000227AB"/>
    <w:rsid w:val="00030420"/>
    <w:rsid w:val="0003052F"/>
    <w:rsid w:val="000376F2"/>
    <w:rsid w:val="000422A9"/>
    <w:rsid w:val="00042AB7"/>
    <w:rsid w:val="00045254"/>
    <w:rsid w:val="000465D6"/>
    <w:rsid w:val="0005324C"/>
    <w:rsid w:val="00054379"/>
    <w:rsid w:val="00055352"/>
    <w:rsid w:val="000641EB"/>
    <w:rsid w:val="00066EB4"/>
    <w:rsid w:val="00067C4B"/>
    <w:rsid w:val="00070836"/>
    <w:rsid w:val="00080E94"/>
    <w:rsid w:val="000818DB"/>
    <w:rsid w:val="0008486A"/>
    <w:rsid w:val="00085438"/>
    <w:rsid w:val="00085DE8"/>
    <w:rsid w:val="00090EFE"/>
    <w:rsid w:val="00094C5C"/>
    <w:rsid w:val="000A32D4"/>
    <w:rsid w:val="000B1D88"/>
    <w:rsid w:val="000B53FB"/>
    <w:rsid w:val="000B6113"/>
    <w:rsid w:val="000C090B"/>
    <w:rsid w:val="000C395F"/>
    <w:rsid w:val="000C50B2"/>
    <w:rsid w:val="000D2F4C"/>
    <w:rsid w:val="000D3133"/>
    <w:rsid w:val="000D45D5"/>
    <w:rsid w:val="000D4ACD"/>
    <w:rsid w:val="000E2F86"/>
    <w:rsid w:val="000E69F4"/>
    <w:rsid w:val="000F4533"/>
    <w:rsid w:val="000F5C12"/>
    <w:rsid w:val="000F6CC8"/>
    <w:rsid w:val="001019D9"/>
    <w:rsid w:val="00103DE6"/>
    <w:rsid w:val="00110809"/>
    <w:rsid w:val="00111BBF"/>
    <w:rsid w:val="00122614"/>
    <w:rsid w:val="00123B02"/>
    <w:rsid w:val="0012508A"/>
    <w:rsid w:val="00125860"/>
    <w:rsid w:val="0013070A"/>
    <w:rsid w:val="00133B5B"/>
    <w:rsid w:val="00141517"/>
    <w:rsid w:val="001444DB"/>
    <w:rsid w:val="00145804"/>
    <w:rsid w:val="00146037"/>
    <w:rsid w:val="0015004E"/>
    <w:rsid w:val="001502A8"/>
    <w:rsid w:val="00150328"/>
    <w:rsid w:val="00150B4E"/>
    <w:rsid w:val="00152020"/>
    <w:rsid w:val="00153392"/>
    <w:rsid w:val="00154081"/>
    <w:rsid w:val="001605EE"/>
    <w:rsid w:val="00164098"/>
    <w:rsid w:val="00166BAB"/>
    <w:rsid w:val="001675CA"/>
    <w:rsid w:val="0017115B"/>
    <w:rsid w:val="001745D7"/>
    <w:rsid w:val="00175B28"/>
    <w:rsid w:val="00175CDB"/>
    <w:rsid w:val="00177D76"/>
    <w:rsid w:val="00177E35"/>
    <w:rsid w:val="001830D2"/>
    <w:rsid w:val="0018378F"/>
    <w:rsid w:val="00191CBB"/>
    <w:rsid w:val="00195D5C"/>
    <w:rsid w:val="001960E5"/>
    <w:rsid w:val="001967F3"/>
    <w:rsid w:val="001A3813"/>
    <w:rsid w:val="001A62E7"/>
    <w:rsid w:val="001A75ED"/>
    <w:rsid w:val="001B07C2"/>
    <w:rsid w:val="001B2553"/>
    <w:rsid w:val="001B54F7"/>
    <w:rsid w:val="001B5B30"/>
    <w:rsid w:val="001B661B"/>
    <w:rsid w:val="001B669F"/>
    <w:rsid w:val="001B7842"/>
    <w:rsid w:val="001C0F05"/>
    <w:rsid w:val="001C40CA"/>
    <w:rsid w:val="001C607B"/>
    <w:rsid w:val="001C7905"/>
    <w:rsid w:val="001D5110"/>
    <w:rsid w:val="001D6DF7"/>
    <w:rsid w:val="001E0550"/>
    <w:rsid w:val="001E2472"/>
    <w:rsid w:val="001E27CF"/>
    <w:rsid w:val="001E4C61"/>
    <w:rsid w:val="001E520D"/>
    <w:rsid w:val="001E719E"/>
    <w:rsid w:val="001E7DBE"/>
    <w:rsid w:val="001F0567"/>
    <w:rsid w:val="001F50B9"/>
    <w:rsid w:val="001F57DF"/>
    <w:rsid w:val="001F6051"/>
    <w:rsid w:val="001F66F0"/>
    <w:rsid w:val="001F758D"/>
    <w:rsid w:val="001F786C"/>
    <w:rsid w:val="002037D3"/>
    <w:rsid w:val="00205EB1"/>
    <w:rsid w:val="002114E1"/>
    <w:rsid w:val="00212BBF"/>
    <w:rsid w:val="00213F5A"/>
    <w:rsid w:val="00216854"/>
    <w:rsid w:val="00220851"/>
    <w:rsid w:val="00220FC6"/>
    <w:rsid w:val="00222E2A"/>
    <w:rsid w:val="00226527"/>
    <w:rsid w:val="00227DED"/>
    <w:rsid w:val="0023552F"/>
    <w:rsid w:val="0024017A"/>
    <w:rsid w:val="00244ADF"/>
    <w:rsid w:val="00247F31"/>
    <w:rsid w:val="002538DA"/>
    <w:rsid w:val="0025495E"/>
    <w:rsid w:val="0025699F"/>
    <w:rsid w:val="00260D77"/>
    <w:rsid w:val="002616A3"/>
    <w:rsid w:val="002672F0"/>
    <w:rsid w:val="00271B0F"/>
    <w:rsid w:val="00273A48"/>
    <w:rsid w:val="002757B9"/>
    <w:rsid w:val="0028524B"/>
    <w:rsid w:val="0028529F"/>
    <w:rsid w:val="0028559E"/>
    <w:rsid w:val="0028758D"/>
    <w:rsid w:val="00291F1E"/>
    <w:rsid w:val="00292684"/>
    <w:rsid w:val="002935F1"/>
    <w:rsid w:val="0029456B"/>
    <w:rsid w:val="002945F8"/>
    <w:rsid w:val="002A431F"/>
    <w:rsid w:val="002B1E4E"/>
    <w:rsid w:val="002B3AAD"/>
    <w:rsid w:val="002B4497"/>
    <w:rsid w:val="002D17DE"/>
    <w:rsid w:val="002D669A"/>
    <w:rsid w:val="002D70D7"/>
    <w:rsid w:val="002D7CB6"/>
    <w:rsid w:val="002E200C"/>
    <w:rsid w:val="002E4C33"/>
    <w:rsid w:val="002E7E52"/>
    <w:rsid w:val="002F4A06"/>
    <w:rsid w:val="002F55BE"/>
    <w:rsid w:val="002F6EFD"/>
    <w:rsid w:val="00300219"/>
    <w:rsid w:val="003050B4"/>
    <w:rsid w:val="00305826"/>
    <w:rsid w:val="003063CB"/>
    <w:rsid w:val="00306AC4"/>
    <w:rsid w:val="003111A5"/>
    <w:rsid w:val="003115D5"/>
    <w:rsid w:val="00311B44"/>
    <w:rsid w:val="003161B7"/>
    <w:rsid w:val="00324B00"/>
    <w:rsid w:val="00325C21"/>
    <w:rsid w:val="00335E67"/>
    <w:rsid w:val="00340B2D"/>
    <w:rsid w:val="0034226D"/>
    <w:rsid w:val="00343FA5"/>
    <w:rsid w:val="00344AE5"/>
    <w:rsid w:val="0034540E"/>
    <w:rsid w:val="0034657D"/>
    <w:rsid w:val="00352899"/>
    <w:rsid w:val="00352FCC"/>
    <w:rsid w:val="00354EB6"/>
    <w:rsid w:val="003550EF"/>
    <w:rsid w:val="00357041"/>
    <w:rsid w:val="00361501"/>
    <w:rsid w:val="003619CA"/>
    <w:rsid w:val="00362CA0"/>
    <w:rsid w:val="00363A9F"/>
    <w:rsid w:val="00364BEE"/>
    <w:rsid w:val="00365306"/>
    <w:rsid w:val="003653F5"/>
    <w:rsid w:val="00367362"/>
    <w:rsid w:val="0037598F"/>
    <w:rsid w:val="00376316"/>
    <w:rsid w:val="00380D2D"/>
    <w:rsid w:val="0038309F"/>
    <w:rsid w:val="00383D9E"/>
    <w:rsid w:val="003842D6"/>
    <w:rsid w:val="0038481C"/>
    <w:rsid w:val="00384D84"/>
    <w:rsid w:val="0038520B"/>
    <w:rsid w:val="00386FB0"/>
    <w:rsid w:val="003904C4"/>
    <w:rsid w:val="003949F4"/>
    <w:rsid w:val="00396114"/>
    <w:rsid w:val="003A1871"/>
    <w:rsid w:val="003A31C9"/>
    <w:rsid w:val="003A51C3"/>
    <w:rsid w:val="003A7067"/>
    <w:rsid w:val="003B11DA"/>
    <w:rsid w:val="003B12D3"/>
    <w:rsid w:val="003B20F4"/>
    <w:rsid w:val="003B52A1"/>
    <w:rsid w:val="003B6C14"/>
    <w:rsid w:val="003C077F"/>
    <w:rsid w:val="003C76E4"/>
    <w:rsid w:val="003D2F65"/>
    <w:rsid w:val="003D32BA"/>
    <w:rsid w:val="003D7AD6"/>
    <w:rsid w:val="003E0C96"/>
    <w:rsid w:val="003E1D1C"/>
    <w:rsid w:val="003E2A60"/>
    <w:rsid w:val="003E3DA6"/>
    <w:rsid w:val="003E627F"/>
    <w:rsid w:val="003E771F"/>
    <w:rsid w:val="003F38AE"/>
    <w:rsid w:val="003F4F57"/>
    <w:rsid w:val="003F5AE2"/>
    <w:rsid w:val="00401B52"/>
    <w:rsid w:val="00410F14"/>
    <w:rsid w:val="0041104D"/>
    <w:rsid w:val="00412D76"/>
    <w:rsid w:val="004143AF"/>
    <w:rsid w:val="0042775B"/>
    <w:rsid w:val="00430F16"/>
    <w:rsid w:val="004311FE"/>
    <w:rsid w:val="00431F05"/>
    <w:rsid w:val="00432551"/>
    <w:rsid w:val="00436D42"/>
    <w:rsid w:val="00441EF2"/>
    <w:rsid w:val="004429BE"/>
    <w:rsid w:val="00450FA0"/>
    <w:rsid w:val="00451FAC"/>
    <w:rsid w:val="00452513"/>
    <w:rsid w:val="00455408"/>
    <w:rsid w:val="0045628B"/>
    <w:rsid w:val="00462FA5"/>
    <w:rsid w:val="00463000"/>
    <w:rsid w:val="00464495"/>
    <w:rsid w:val="004706A8"/>
    <w:rsid w:val="00470A78"/>
    <w:rsid w:val="004768AB"/>
    <w:rsid w:val="00476CDA"/>
    <w:rsid w:val="00477118"/>
    <w:rsid w:val="004773A3"/>
    <w:rsid w:val="00484AE4"/>
    <w:rsid w:val="004851B0"/>
    <w:rsid w:val="004851ED"/>
    <w:rsid w:val="00485E4E"/>
    <w:rsid w:val="004905E4"/>
    <w:rsid w:val="00495B78"/>
    <w:rsid w:val="004A1725"/>
    <w:rsid w:val="004A3322"/>
    <w:rsid w:val="004A5A03"/>
    <w:rsid w:val="004A5E09"/>
    <w:rsid w:val="004B1AF9"/>
    <w:rsid w:val="004B6378"/>
    <w:rsid w:val="004B64C1"/>
    <w:rsid w:val="004B75D9"/>
    <w:rsid w:val="004C15A5"/>
    <w:rsid w:val="004C46C2"/>
    <w:rsid w:val="004C4E0C"/>
    <w:rsid w:val="004D1B2F"/>
    <w:rsid w:val="004D73AE"/>
    <w:rsid w:val="004E1C1C"/>
    <w:rsid w:val="004E1F26"/>
    <w:rsid w:val="004E20BA"/>
    <w:rsid w:val="004E4166"/>
    <w:rsid w:val="004E4B94"/>
    <w:rsid w:val="004F0B18"/>
    <w:rsid w:val="004F3A3D"/>
    <w:rsid w:val="004F5030"/>
    <w:rsid w:val="004F55DA"/>
    <w:rsid w:val="004F5708"/>
    <w:rsid w:val="004F6F1A"/>
    <w:rsid w:val="00500949"/>
    <w:rsid w:val="00500CAF"/>
    <w:rsid w:val="00504594"/>
    <w:rsid w:val="00504984"/>
    <w:rsid w:val="005105D8"/>
    <w:rsid w:val="005119B7"/>
    <w:rsid w:val="0051324E"/>
    <w:rsid w:val="00514AC8"/>
    <w:rsid w:val="00522AF8"/>
    <w:rsid w:val="00523125"/>
    <w:rsid w:val="0052394C"/>
    <w:rsid w:val="00523BD0"/>
    <w:rsid w:val="0052470B"/>
    <w:rsid w:val="00524C9E"/>
    <w:rsid w:val="00525157"/>
    <w:rsid w:val="00526645"/>
    <w:rsid w:val="00526A4C"/>
    <w:rsid w:val="00526C0A"/>
    <w:rsid w:val="00526FAE"/>
    <w:rsid w:val="00527A6C"/>
    <w:rsid w:val="005340EC"/>
    <w:rsid w:val="005344E5"/>
    <w:rsid w:val="005360C7"/>
    <w:rsid w:val="00537607"/>
    <w:rsid w:val="00540699"/>
    <w:rsid w:val="00542558"/>
    <w:rsid w:val="00542900"/>
    <w:rsid w:val="005466BE"/>
    <w:rsid w:val="00546C1F"/>
    <w:rsid w:val="00552B1C"/>
    <w:rsid w:val="00553D6A"/>
    <w:rsid w:val="00554407"/>
    <w:rsid w:val="00555736"/>
    <w:rsid w:val="00561091"/>
    <w:rsid w:val="0056167A"/>
    <w:rsid w:val="005647FD"/>
    <w:rsid w:val="00566523"/>
    <w:rsid w:val="00572C01"/>
    <w:rsid w:val="00574999"/>
    <w:rsid w:val="00575DF0"/>
    <w:rsid w:val="005777CD"/>
    <w:rsid w:val="00581999"/>
    <w:rsid w:val="005850FE"/>
    <w:rsid w:val="00587713"/>
    <w:rsid w:val="00594A75"/>
    <w:rsid w:val="0059526F"/>
    <w:rsid w:val="00595EA9"/>
    <w:rsid w:val="00596BBD"/>
    <w:rsid w:val="005A1767"/>
    <w:rsid w:val="005A4305"/>
    <w:rsid w:val="005A55AB"/>
    <w:rsid w:val="005A65C7"/>
    <w:rsid w:val="005B0736"/>
    <w:rsid w:val="005B074B"/>
    <w:rsid w:val="005C2911"/>
    <w:rsid w:val="005C567D"/>
    <w:rsid w:val="005C7066"/>
    <w:rsid w:val="005D0061"/>
    <w:rsid w:val="005D2711"/>
    <w:rsid w:val="005E05D3"/>
    <w:rsid w:val="005E0924"/>
    <w:rsid w:val="005E1FBB"/>
    <w:rsid w:val="005E5303"/>
    <w:rsid w:val="005E77AA"/>
    <w:rsid w:val="005E7BAD"/>
    <w:rsid w:val="005F134F"/>
    <w:rsid w:val="005F1D95"/>
    <w:rsid w:val="005F2DE7"/>
    <w:rsid w:val="005F436F"/>
    <w:rsid w:val="005F520F"/>
    <w:rsid w:val="005F5B2A"/>
    <w:rsid w:val="005F74C5"/>
    <w:rsid w:val="00600401"/>
    <w:rsid w:val="00602E09"/>
    <w:rsid w:val="00602F7E"/>
    <w:rsid w:val="0060782E"/>
    <w:rsid w:val="00607D24"/>
    <w:rsid w:val="006110DB"/>
    <w:rsid w:val="00611993"/>
    <w:rsid w:val="006154CD"/>
    <w:rsid w:val="0062061C"/>
    <w:rsid w:val="00620AE5"/>
    <w:rsid w:val="0062216C"/>
    <w:rsid w:val="006277D7"/>
    <w:rsid w:val="00630864"/>
    <w:rsid w:val="00633217"/>
    <w:rsid w:val="0063384B"/>
    <w:rsid w:val="00634669"/>
    <w:rsid w:val="00635B27"/>
    <w:rsid w:val="00636084"/>
    <w:rsid w:val="0063789E"/>
    <w:rsid w:val="00640453"/>
    <w:rsid w:val="00651E10"/>
    <w:rsid w:val="006523BB"/>
    <w:rsid w:val="006527E5"/>
    <w:rsid w:val="0066677F"/>
    <w:rsid w:val="00666A74"/>
    <w:rsid w:val="006670F1"/>
    <w:rsid w:val="00667BFD"/>
    <w:rsid w:val="006705E5"/>
    <w:rsid w:val="00673832"/>
    <w:rsid w:val="00675465"/>
    <w:rsid w:val="0068049C"/>
    <w:rsid w:val="00683EDF"/>
    <w:rsid w:val="00685911"/>
    <w:rsid w:val="006862BC"/>
    <w:rsid w:val="00686927"/>
    <w:rsid w:val="006871D1"/>
    <w:rsid w:val="006A551F"/>
    <w:rsid w:val="006B1EC5"/>
    <w:rsid w:val="006B4C6A"/>
    <w:rsid w:val="006C0C1F"/>
    <w:rsid w:val="006D2200"/>
    <w:rsid w:val="006D4014"/>
    <w:rsid w:val="006D61E8"/>
    <w:rsid w:val="006E1681"/>
    <w:rsid w:val="006E1F0C"/>
    <w:rsid w:val="006E242D"/>
    <w:rsid w:val="006E2CA2"/>
    <w:rsid w:val="006E5E23"/>
    <w:rsid w:val="006E68E2"/>
    <w:rsid w:val="006E7947"/>
    <w:rsid w:val="006F1B94"/>
    <w:rsid w:val="006F40E2"/>
    <w:rsid w:val="006F5011"/>
    <w:rsid w:val="00702279"/>
    <w:rsid w:val="007037E5"/>
    <w:rsid w:val="00704D08"/>
    <w:rsid w:val="007151CF"/>
    <w:rsid w:val="007165AB"/>
    <w:rsid w:val="007167BB"/>
    <w:rsid w:val="00720DDA"/>
    <w:rsid w:val="00726BB7"/>
    <w:rsid w:val="0072749E"/>
    <w:rsid w:val="007278AD"/>
    <w:rsid w:val="00727D86"/>
    <w:rsid w:val="0073022B"/>
    <w:rsid w:val="00731C8E"/>
    <w:rsid w:val="00735EDC"/>
    <w:rsid w:val="007366E6"/>
    <w:rsid w:val="0073780E"/>
    <w:rsid w:val="00741ADA"/>
    <w:rsid w:val="00746D1B"/>
    <w:rsid w:val="0074706C"/>
    <w:rsid w:val="007505D6"/>
    <w:rsid w:val="00763D1D"/>
    <w:rsid w:val="007670D7"/>
    <w:rsid w:val="00767D7A"/>
    <w:rsid w:val="00770A9B"/>
    <w:rsid w:val="0077412B"/>
    <w:rsid w:val="007874D5"/>
    <w:rsid w:val="00794D01"/>
    <w:rsid w:val="00797A7A"/>
    <w:rsid w:val="007A2070"/>
    <w:rsid w:val="007B117E"/>
    <w:rsid w:val="007C4397"/>
    <w:rsid w:val="007C68D6"/>
    <w:rsid w:val="007C7093"/>
    <w:rsid w:val="007D3487"/>
    <w:rsid w:val="007D4609"/>
    <w:rsid w:val="007D4827"/>
    <w:rsid w:val="007D77C2"/>
    <w:rsid w:val="007E3C59"/>
    <w:rsid w:val="007E7158"/>
    <w:rsid w:val="007E7411"/>
    <w:rsid w:val="007F5EC4"/>
    <w:rsid w:val="007F6A31"/>
    <w:rsid w:val="0080111A"/>
    <w:rsid w:val="0080152F"/>
    <w:rsid w:val="00802EFF"/>
    <w:rsid w:val="0080420B"/>
    <w:rsid w:val="00804753"/>
    <w:rsid w:val="00805ADE"/>
    <w:rsid w:val="008066CB"/>
    <w:rsid w:val="00806CA6"/>
    <w:rsid w:val="00810809"/>
    <w:rsid w:val="008117ED"/>
    <w:rsid w:val="0081575C"/>
    <w:rsid w:val="0082039A"/>
    <w:rsid w:val="0082094C"/>
    <w:rsid w:val="00822CF8"/>
    <w:rsid w:val="00823346"/>
    <w:rsid w:val="00824479"/>
    <w:rsid w:val="00824C88"/>
    <w:rsid w:val="00825180"/>
    <w:rsid w:val="00826BE6"/>
    <w:rsid w:val="00831617"/>
    <w:rsid w:val="0083244C"/>
    <w:rsid w:val="00832A39"/>
    <w:rsid w:val="0084391A"/>
    <w:rsid w:val="008452B1"/>
    <w:rsid w:val="008460C2"/>
    <w:rsid w:val="00846514"/>
    <w:rsid w:val="008471F3"/>
    <w:rsid w:val="0085561B"/>
    <w:rsid w:val="00861C39"/>
    <w:rsid w:val="00864289"/>
    <w:rsid w:val="0086674D"/>
    <w:rsid w:val="00871A79"/>
    <w:rsid w:val="00871B8F"/>
    <w:rsid w:val="00871BB8"/>
    <w:rsid w:val="0087450C"/>
    <w:rsid w:val="00877C89"/>
    <w:rsid w:val="008816BF"/>
    <w:rsid w:val="00882AC0"/>
    <w:rsid w:val="0088566B"/>
    <w:rsid w:val="00887989"/>
    <w:rsid w:val="008901C4"/>
    <w:rsid w:val="00892DE6"/>
    <w:rsid w:val="00893D12"/>
    <w:rsid w:val="0089408D"/>
    <w:rsid w:val="008A0173"/>
    <w:rsid w:val="008A39B2"/>
    <w:rsid w:val="008A7A48"/>
    <w:rsid w:val="008B4D90"/>
    <w:rsid w:val="008B54B8"/>
    <w:rsid w:val="008B5E05"/>
    <w:rsid w:val="008C1713"/>
    <w:rsid w:val="008C2962"/>
    <w:rsid w:val="008C2F68"/>
    <w:rsid w:val="008C32C6"/>
    <w:rsid w:val="008C55BC"/>
    <w:rsid w:val="008C5DCA"/>
    <w:rsid w:val="008C6D7B"/>
    <w:rsid w:val="008D1301"/>
    <w:rsid w:val="008D14D8"/>
    <w:rsid w:val="008D1700"/>
    <w:rsid w:val="008D2787"/>
    <w:rsid w:val="008D42B1"/>
    <w:rsid w:val="008E2DD4"/>
    <w:rsid w:val="008E74B3"/>
    <w:rsid w:val="008E7903"/>
    <w:rsid w:val="008F379C"/>
    <w:rsid w:val="008F3879"/>
    <w:rsid w:val="008F3B59"/>
    <w:rsid w:val="009000E3"/>
    <w:rsid w:val="00901CDF"/>
    <w:rsid w:val="00902297"/>
    <w:rsid w:val="0090306F"/>
    <w:rsid w:val="00904A83"/>
    <w:rsid w:val="009051DD"/>
    <w:rsid w:val="009057A7"/>
    <w:rsid w:val="009074B5"/>
    <w:rsid w:val="0091207F"/>
    <w:rsid w:val="00916F2A"/>
    <w:rsid w:val="00924615"/>
    <w:rsid w:val="00934CA4"/>
    <w:rsid w:val="00934F78"/>
    <w:rsid w:val="00940B03"/>
    <w:rsid w:val="00944FA3"/>
    <w:rsid w:val="00952BBA"/>
    <w:rsid w:val="00953180"/>
    <w:rsid w:val="00953DCF"/>
    <w:rsid w:val="00955742"/>
    <w:rsid w:val="00956000"/>
    <w:rsid w:val="00961C3C"/>
    <w:rsid w:val="009632C9"/>
    <w:rsid w:val="00963583"/>
    <w:rsid w:val="00970FE5"/>
    <w:rsid w:val="00972467"/>
    <w:rsid w:val="009733D0"/>
    <w:rsid w:val="00973F53"/>
    <w:rsid w:val="009748FD"/>
    <w:rsid w:val="00974BBB"/>
    <w:rsid w:val="00975098"/>
    <w:rsid w:val="009773A3"/>
    <w:rsid w:val="009824C2"/>
    <w:rsid w:val="009846C5"/>
    <w:rsid w:val="0098508B"/>
    <w:rsid w:val="009859FE"/>
    <w:rsid w:val="00986B48"/>
    <w:rsid w:val="00987679"/>
    <w:rsid w:val="00991C60"/>
    <w:rsid w:val="00995174"/>
    <w:rsid w:val="009A2B5D"/>
    <w:rsid w:val="009A37D8"/>
    <w:rsid w:val="009B1066"/>
    <w:rsid w:val="009B31CF"/>
    <w:rsid w:val="009B4390"/>
    <w:rsid w:val="009B53F2"/>
    <w:rsid w:val="009C2CFB"/>
    <w:rsid w:val="009C444D"/>
    <w:rsid w:val="009C4DFB"/>
    <w:rsid w:val="009C660C"/>
    <w:rsid w:val="009C6AFA"/>
    <w:rsid w:val="009D03AD"/>
    <w:rsid w:val="009D3AF2"/>
    <w:rsid w:val="009D4793"/>
    <w:rsid w:val="009D57A3"/>
    <w:rsid w:val="009D7116"/>
    <w:rsid w:val="009E31FC"/>
    <w:rsid w:val="009E516C"/>
    <w:rsid w:val="009E6E48"/>
    <w:rsid w:val="009E7FD2"/>
    <w:rsid w:val="009F0710"/>
    <w:rsid w:val="009F2382"/>
    <w:rsid w:val="009F26F0"/>
    <w:rsid w:val="009F2DE7"/>
    <w:rsid w:val="009F605B"/>
    <w:rsid w:val="00A05137"/>
    <w:rsid w:val="00A07422"/>
    <w:rsid w:val="00A13138"/>
    <w:rsid w:val="00A15079"/>
    <w:rsid w:val="00A17BB4"/>
    <w:rsid w:val="00A207F0"/>
    <w:rsid w:val="00A23B10"/>
    <w:rsid w:val="00A26E40"/>
    <w:rsid w:val="00A30D00"/>
    <w:rsid w:val="00A35297"/>
    <w:rsid w:val="00A41B23"/>
    <w:rsid w:val="00A4798B"/>
    <w:rsid w:val="00A50100"/>
    <w:rsid w:val="00A50A66"/>
    <w:rsid w:val="00A56648"/>
    <w:rsid w:val="00A60D8E"/>
    <w:rsid w:val="00A61B7B"/>
    <w:rsid w:val="00A62CF6"/>
    <w:rsid w:val="00A641E3"/>
    <w:rsid w:val="00A70404"/>
    <w:rsid w:val="00A7044B"/>
    <w:rsid w:val="00A70A9A"/>
    <w:rsid w:val="00A71C0A"/>
    <w:rsid w:val="00A7345A"/>
    <w:rsid w:val="00A76942"/>
    <w:rsid w:val="00A77AD7"/>
    <w:rsid w:val="00A80B07"/>
    <w:rsid w:val="00A828C9"/>
    <w:rsid w:val="00A82900"/>
    <w:rsid w:val="00A83DB9"/>
    <w:rsid w:val="00A9150F"/>
    <w:rsid w:val="00A92417"/>
    <w:rsid w:val="00A934C6"/>
    <w:rsid w:val="00A956C1"/>
    <w:rsid w:val="00A960F9"/>
    <w:rsid w:val="00AA104B"/>
    <w:rsid w:val="00AA11AD"/>
    <w:rsid w:val="00AA1DC3"/>
    <w:rsid w:val="00AA6BB5"/>
    <w:rsid w:val="00AB1020"/>
    <w:rsid w:val="00AB38D6"/>
    <w:rsid w:val="00AB40FB"/>
    <w:rsid w:val="00AB6140"/>
    <w:rsid w:val="00AB7363"/>
    <w:rsid w:val="00AB77E4"/>
    <w:rsid w:val="00AC15B6"/>
    <w:rsid w:val="00AC212E"/>
    <w:rsid w:val="00AC3B66"/>
    <w:rsid w:val="00AC44CE"/>
    <w:rsid w:val="00AC5D9D"/>
    <w:rsid w:val="00AC7D0E"/>
    <w:rsid w:val="00AD0BA1"/>
    <w:rsid w:val="00AD34A6"/>
    <w:rsid w:val="00AD6461"/>
    <w:rsid w:val="00AD6DF9"/>
    <w:rsid w:val="00AE1AA3"/>
    <w:rsid w:val="00AE1DB9"/>
    <w:rsid w:val="00AE39DD"/>
    <w:rsid w:val="00AE580B"/>
    <w:rsid w:val="00AE587F"/>
    <w:rsid w:val="00AE5D55"/>
    <w:rsid w:val="00AE62FD"/>
    <w:rsid w:val="00AF26D9"/>
    <w:rsid w:val="00AF69AC"/>
    <w:rsid w:val="00B00078"/>
    <w:rsid w:val="00B02D52"/>
    <w:rsid w:val="00B04406"/>
    <w:rsid w:val="00B0626D"/>
    <w:rsid w:val="00B06742"/>
    <w:rsid w:val="00B136BC"/>
    <w:rsid w:val="00B147E7"/>
    <w:rsid w:val="00B1498E"/>
    <w:rsid w:val="00B17222"/>
    <w:rsid w:val="00B1795B"/>
    <w:rsid w:val="00B210D7"/>
    <w:rsid w:val="00B22030"/>
    <w:rsid w:val="00B22C86"/>
    <w:rsid w:val="00B2421C"/>
    <w:rsid w:val="00B2607A"/>
    <w:rsid w:val="00B308E2"/>
    <w:rsid w:val="00B32587"/>
    <w:rsid w:val="00B3407D"/>
    <w:rsid w:val="00B379B8"/>
    <w:rsid w:val="00B40FD5"/>
    <w:rsid w:val="00B443F1"/>
    <w:rsid w:val="00B44D52"/>
    <w:rsid w:val="00B52483"/>
    <w:rsid w:val="00B55708"/>
    <w:rsid w:val="00B566AE"/>
    <w:rsid w:val="00B60261"/>
    <w:rsid w:val="00B61BF9"/>
    <w:rsid w:val="00B67E20"/>
    <w:rsid w:val="00B73BEB"/>
    <w:rsid w:val="00B74718"/>
    <w:rsid w:val="00B748A5"/>
    <w:rsid w:val="00B74A9D"/>
    <w:rsid w:val="00B7587A"/>
    <w:rsid w:val="00B827E3"/>
    <w:rsid w:val="00B8319C"/>
    <w:rsid w:val="00B84338"/>
    <w:rsid w:val="00B84768"/>
    <w:rsid w:val="00B84CAA"/>
    <w:rsid w:val="00B84ED1"/>
    <w:rsid w:val="00B852D5"/>
    <w:rsid w:val="00B867E5"/>
    <w:rsid w:val="00B91AB5"/>
    <w:rsid w:val="00B9532F"/>
    <w:rsid w:val="00B95382"/>
    <w:rsid w:val="00BA0695"/>
    <w:rsid w:val="00BA0F2D"/>
    <w:rsid w:val="00BA1305"/>
    <w:rsid w:val="00BA26EF"/>
    <w:rsid w:val="00BA287C"/>
    <w:rsid w:val="00BA46A5"/>
    <w:rsid w:val="00BA5066"/>
    <w:rsid w:val="00BA5A93"/>
    <w:rsid w:val="00BB3CDD"/>
    <w:rsid w:val="00BB417E"/>
    <w:rsid w:val="00BB4D4C"/>
    <w:rsid w:val="00BB5254"/>
    <w:rsid w:val="00BB7537"/>
    <w:rsid w:val="00BC039C"/>
    <w:rsid w:val="00BC0F5B"/>
    <w:rsid w:val="00BC2E42"/>
    <w:rsid w:val="00BC7C31"/>
    <w:rsid w:val="00BC7F6D"/>
    <w:rsid w:val="00BD2E50"/>
    <w:rsid w:val="00BD7C78"/>
    <w:rsid w:val="00BE01FA"/>
    <w:rsid w:val="00BE2CAC"/>
    <w:rsid w:val="00BE3ACA"/>
    <w:rsid w:val="00BE4A2C"/>
    <w:rsid w:val="00BF3301"/>
    <w:rsid w:val="00BF34A6"/>
    <w:rsid w:val="00BF7748"/>
    <w:rsid w:val="00C01778"/>
    <w:rsid w:val="00C04B3A"/>
    <w:rsid w:val="00C10ACC"/>
    <w:rsid w:val="00C13F21"/>
    <w:rsid w:val="00C15977"/>
    <w:rsid w:val="00C20FE5"/>
    <w:rsid w:val="00C21D17"/>
    <w:rsid w:val="00C22998"/>
    <w:rsid w:val="00C25657"/>
    <w:rsid w:val="00C25F4E"/>
    <w:rsid w:val="00C260DB"/>
    <w:rsid w:val="00C27487"/>
    <w:rsid w:val="00C3041B"/>
    <w:rsid w:val="00C32AE3"/>
    <w:rsid w:val="00C32FE3"/>
    <w:rsid w:val="00C352C1"/>
    <w:rsid w:val="00C43512"/>
    <w:rsid w:val="00C43D86"/>
    <w:rsid w:val="00C44474"/>
    <w:rsid w:val="00C46624"/>
    <w:rsid w:val="00C502AD"/>
    <w:rsid w:val="00C53B69"/>
    <w:rsid w:val="00C5439D"/>
    <w:rsid w:val="00C54E29"/>
    <w:rsid w:val="00C5757A"/>
    <w:rsid w:val="00C577F8"/>
    <w:rsid w:val="00C60E84"/>
    <w:rsid w:val="00C61D07"/>
    <w:rsid w:val="00C63967"/>
    <w:rsid w:val="00C64A9A"/>
    <w:rsid w:val="00C72195"/>
    <w:rsid w:val="00C73A16"/>
    <w:rsid w:val="00C75FC8"/>
    <w:rsid w:val="00C807DD"/>
    <w:rsid w:val="00C81636"/>
    <w:rsid w:val="00C8364A"/>
    <w:rsid w:val="00C865E1"/>
    <w:rsid w:val="00C87BE0"/>
    <w:rsid w:val="00C91DC3"/>
    <w:rsid w:val="00C92252"/>
    <w:rsid w:val="00C9364A"/>
    <w:rsid w:val="00CA067F"/>
    <w:rsid w:val="00CA384E"/>
    <w:rsid w:val="00CA6648"/>
    <w:rsid w:val="00CB04C9"/>
    <w:rsid w:val="00CB072A"/>
    <w:rsid w:val="00CB38C0"/>
    <w:rsid w:val="00CB426E"/>
    <w:rsid w:val="00CB5AC3"/>
    <w:rsid w:val="00CC086E"/>
    <w:rsid w:val="00CC3EC2"/>
    <w:rsid w:val="00CC5C2C"/>
    <w:rsid w:val="00CC7651"/>
    <w:rsid w:val="00CC7B48"/>
    <w:rsid w:val="00CD00C7"/>
    <w:rsid w:val="00CD39A7"/>
    <w:rsid w:val="00CD41D4"/>
    <w:rsid w:val="00CD4D3B"/>
    <w:rsid w:val="00CE03E0"/>
    <w:rsid w:val="00CE2DED"/>
    <w:rsid w:val="00CE4BA4"/>
    <w:rsid w:val="00CE5E1A"/>
    <w:rsid w:val="00CF4D26"/>
    <w:rsid w:val="00CF51EF"/>
    <w:rsid w:val="00CF6F95"/>
    <w:rsid w:val="00CF7372"/>
    <w:rsid w:val="00D027AE"/>
    <w:rsid w:val="00D03ABD"/>
    <w:rsid w:val="00D03FFE"/>
    <w:rsid w:val="00D04370"/>
    <w:rsid w:val="00D053B6"/>
    <w:rsid w:val="00D113EB"/>
    <w:rsid w:val="00D11684"/>
    <w:rsid w:val="00D13AE4"/>
    <w:rsid w:val="00D15B7A"/>
    <w:rsid w:val="00D1643D"/>
    <w:rsid w:val="00D200B7"/>
    <w:rsid w:val="00D2551E"/>
    <w:rsid w:val="00D266DC"/>
    <w:rsid w:val="00D31251"/>
    <w:rsid w:val="00D3398D"/>
    <w:rsid w:val="00D347EA"/>
    <w:rsid w:val="00D430D4"/>
    <w:rsid w:val="00D44447"/>
    <w:rsid w:val="00D505CE"/>
    <w:rsid w:val="00D50C98"/>
    <w:rsid w:val="00D510BD"/>
    <w:rsid w:val="00D61BBE"/>
    <w:rsid w:val="00D6360B"/>
    <w:rsid w:val="00D6667A"/>
    <w:rsid w:val="00D71EFE"/>
    <w:rsid w:val="00D7221D"/>
    <w:rsid w:val="00D754D7"/>
    <w:rsid w:val="00D75A7B"/>
    <w:rsid w:val="00D76F3E"/>
    <w:rsid w:val="00D81B0E"/>
    <w:rsid w:val="00D83AFF"/>
    <w:rsid w:val="00D937FE"/>
    <w:rsid w:val="00D96399"/>
    <w:rsid w:val="00DA0284"/>
    <w:rsid w:val="00DA0286"/>
    <w:rsid w:val="00DA49A1"/>
    <w:rsid w:val="00DA5065"/>
    <w:rsid w:val="00DA5D8D"/>
    <w:rsid w:val="00DA620A"/>
    <w:rsid w:val="00DA66EF"/>
    <w:rsid w:val="00DA7681"/>
    <w:rsid w:val="00DB095D"/>
    <w:rsid w:val="00DB0ADC"/>
    <w:rsid w:val="00DB14B0"/>
    <w:rsid w:val="00DB1E98"/>
    <w:rsid w:val="00DB6A17"/>
    <w:rsid w:val="00DB71DF"/>
    <w:rsid w:val="00DC015A"/>
    <w:rsid w:val="00DC070A"/>
    <w:rsid w:val="00DC185D"/>
    <w:rsid w:val="00DC2BC8"/>
    <w:rsid w:val="00DD0DFA"/>
    <w:rsid w:val="00DD0FCD"/>
    <w:rsid w:val="00DD22FF"/>
    <w:rsid w:val="00DD2D80"/>
    <w:rsid w:val="00DE24A6"/>
    <w:rsid w:val="00DF137F"/>
    <w:rsid w:val="00DF1CFD"/>
    <w:rsid w:val="00DF4CB7"/>
    <w:rsid w:val="00E01802"/>
    <w:rsid w:val="00E01B4D"/>
    <w:rsid w:val="00E01E2E"/>
    <w:rsid w:val="00E02092"/>
    <w:rsid w:val="00E02588"/>
    <w:rsid w:val="00E02BDA"/>
    <w:rsid w:val="00E03776"/>
    <w:rsid w:val="00E05420"/>
    <w:rsid w:val="00E13F70"/>
    <w:rsid w:val="00E17867"/>
    <w:rsid w:val="00E1797A"/>
    <w:rsid w:val="00E22352"/>
    <w:rsid w:val="00E22F80"/>
    <w:rsid w:val="00E23DF4"/>
    <w:rsid w:val="00E25B33"/>
    <w:rsid w:val="00E26CAF"/>
    <w:rsid w:val="00E333A9"/>
    <w:rsid w:val="00E33F1E"/>
    <w:rsid w:val="00E372B3"/>
    <w:rsid w:val="00E402EA"/>
    <w:rsid w:val="00E41190"/>
    <w:rsid w:val="00E44288"/>
    <w:rsid w:val="00E4496E"/>
    <w:rsid w:val="00E45527"/>
    <w:rsid w:val="00E46015"/>
    <w:rsid w:val="00E4782D"/>
    <w:rsid w:val="00E47CF1"/>
    <w:rsid w:val="00E5216C"/>
    <w:rsid w:val="00E526EC"/>
    <w:rsid w:val="00E53270"/>
    <w:rsid w:val="00E55173"/>
    <w:rsid w:val="00E55267"/>
    <w:rsid w:val="00E55422"/>
    <w:rsid w:val="00E56EB5"/>
    <w:rsid w:val="00E61511"/>
    <w:rsid w:val="00E61845"/>
    <w:rsid w:val="00E61FFB"/>
    <w:rsid w:val="00E63ECE"/>
    <w:rsid w:val="00E66757"/>
    <w:rsid w:val="00E70381"/>
    <w:rsid w:val="00E77B93"/>
    <w:rsid w:val="00E80E9F"/>
    <w:rsid w:val="00E95AAF"/>
    <w:rsid w:val="00EA0DB6"/>
    <w:rsid w:val="00EA2130"/>
    <w:rsid w:val="00EA4297"/>
    <w:rsid w:val="00EA5A50"/>
    <w:rsid w:val="00EA7F12"/>
    <w:rsid w:val="00EB0C20"/>
    <w:rsid w:val="00EB2254"/>
    <w:rsid w:val="00EB6682"/>
    <w:rsid w:val="00EB6EA9"/>
    <w:rsid w:val="00EC248E"/>
    <w:rsid w:val="00ED2337"/>
    <w:rsid w:val="00ED70FF"/>
    <w:rsid w:val="00ED733C"/>
    <w:rsid w:val="00EE7DF7"/>
    <w:rsid w:val="00EF3BEC"/>
    <w:rsid w:val="00EF3F6F"/>
    <w:rsid w:val="00EF7C78"/>
    <w:rsid w:val="00F04799"/>
    <w:rsid w:val="00F10828"/>
    <w:rsid w:val="00F160E6"/>
    <w:rsid w:val="00F17AEB"/>
    <w:rsid w:val="00F221AB"/>
    <w:rsid w:val="00F23B20"/>
    <w:rsid w:val="00F24E07"/>
    <w:rsid w:val="00F2538D"/>
    <w:rsid w:val="00F25401"/>
    <w:rsid w:val="00F25D43"/>
    <w:rsid w:val="00F264EF"/>
    <w:rsid w:val="00F2711B"/>
    <w:rsid w:val="00F27A49"/>
    <w:rsid w:val="00F3091B"/>
    <w:rsid w:val="00F32D1E"/>
    <w:rsid w:val="00F35FDB"/>
    <w:rsid w:val="00F36992"/>
    <w:rsid w:val="00F41EE4"/>
    <w:rsid w:val="00F46D4E"/>
    <w:rsid w:val="00F473E0"/>
    <w:rsid w:val="00F47628"/>
    <w:rsid w:val="00F50DB8"/>
    <w:rsid w:val="00F52F61"/>
    <w:rsid w:val="00F5354A"/>
    <w:rsid w:val="00F55D37"/>
    <w:rsid w:val="00F55E05"/>
    <w:rsid w:val="00F5790A"/>
    <w:rsid w:val="00F62261"/>
    <w:rsid w:val="00F62766"/>
    <w:rsid w:val="00F667F7"/>
    <w:rsid w:val="00F708E9"/>
    <w:rsid w:val="00F708F9"/>
    <w:rsid w:val="00F74C39"/>
    <w:rsid w:val="00F84C4F"/>
    <w:rsid w:val="00F84FF2"/>
    <w:rsid w:val="00F8562B"/>
    <w:rsid w:val="00F85F73"/>
    <w:rsid w:val="00F86683"/>
    <w:rsid w:val="00FA0AFE"/>
    <w:rsid w:val="00FA42D7"/>
    <w:rsid w:val="00FA4356"/>
    <w:rsid w:val="00FA5723"/>
    <w:rsid w:val="00FA7212"/>
    <w:rsid w:val="00FB0C19"/>
    <w:rsid w:val="00FB1290"/>
    <w:rsid w:val="00FB1B81"/>
    <w:rsid w:val="00FB230C"/>
    <w:rsid w:val="00FB2709"/>
    <w:rsid w:val="00FB30D5"/>
    <w:rsid w:val="00FC5ACB"/>
    <w:rsid w:val="00FC5E45"/>
    <w:rsid w:val="00FC7D48"/>
    <w:rsid w:val="00FD2413"/>
    <w:rsid w:val="00FD3A08"/>
    <w:rsid w:val="00FD3F5A"/>
    <w:rsid w:val="00FD4B36"/>
    <w:rsid w:val="00FD565B"/>
    <w:rsid w:val="00FE0F35"/>
    <w:rsid w:val="00FE37EE"/>
    <w:rsid w:val="00FE4F7D"/>
    <w:rsid w:val="00FE63D1"/>
    <w:rsid w:val="00FF0272"/>
    <w:rsid w:val="00FF2A8C"/>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uiPriority w:val="99"/>
    <w:rsid w:val="00042AB7"/>
    <w:rPr>
      <w:sz w:val="16"/>
      <w:szCs w:val="16"/>
    </w:rPr>
  </w:style>
  <w:style w:type="paragraph" w:styleId="CommentText">
    <w:name w:val="annotation text"/>
    <w:basedOn w:val="Normal"/>
    <w:link w:val="CommentTextChar"/>
    <w:uiPriority w:val="99"/>
    <w:rsid w:val="00042AB7"/>
    <w:rPr>
      <w:sz w:val="20"/>
      <w:szCs w:val="20"/>
    </w:rPr>
  </w:style>
  <w:style w:type="character" w:customStyle="1" w:styleId="CommentTextChar">
    <w:name w:val="Comment Text Char"/>
    <w:basedOn w:val="DefaultParagraphFont"/>
    <w:link w:val="CommentText"/>
    <w:uiPriority w:val="99"/>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uiPriority w:val="99"/>
    <w:rsid w:val="00042AB7"/>
    <w:rPr>
      <w:sz w:val="16"/>
      <w:szCs w:val="16"/>
    </w:rPr>
  </w:style>
  <w:style w:type="paragraph" w:styleId="CommentText">
    <w:name w:val="annotation text"/>
    <w:basedOn w:val="Normal"/>
    <w:link w:val="CommentTextChar"/>
    <w:uiPriority w:val="99"/>
    <w:rsid w:val="00042AB7"/>
    <w:rPr>
      <w:sz w:val="20"/>
      <w:szCs w:val="20"/>
    </w:rPr>
  </w:style>
  <w:style w:type="character" w:customStyle="1" w:styleId="CommentTextChar">
    <w:name w:val="Comment Text Char"/>
    <w:basedOn w:val="DefaultParagraphFont"/>
    <w:link w:val="CommentText"/>
    <w:uiPriority w:val="99"/>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77974">
      <w:bodyDiv w:val="1"/>
      <w:marLeft w:val="0"/>
      <w:marRight w:val="0"/>
      <w:marTop w:val="0"/>
      <w:marBottom w:val="0"/>
      <w:divBdr>
        <w:top w:val="none" w:sz="0" w:space="0" w:color="auto"/>
        <w:left w:val="none" w:sz="0" w:space="0" w:color="auto"/>
        <w:bottom w:val="none" w:sz="0" w:space="0" w:color="auto"/>
        <w:right w:val="none" w:sz="0" w:space="0" w:color="auto"/>
      </w:divBdr>
    </w:div>
    <w:div w:id="1307474942">
      <w:bodyDiv w:val="1"/>
      <w:marLeft w:val="0"/>
      <w:marRight w:val="0"/>
      <w:marTop w:val="0"/>
      <w:marBottom w:val="0"/>
      <w:divBdr>
        <w:top w:val="none" w:sz="0" w:space="0" w:color="auto"/>
        <w:left w:val="none" w:sz="0" w:space="0" w:color="auto"/>
        <w:bottom w:val="none" w:sz="0" w:space="0" w:color="auto"/>
        <w:right w:val="none" w:sz="0" w:space="0" w:color="auto"/>
      </w:divBdr>
      <w:divsChild>
        <w:div w:id="365064599">
          <w:marLeft w:val="0"/>
          <w:marRight w:val="0"/>
          <w:marTop w:val="0"/>
          <w:marBottom w:val="0"/>
          <w:divBdr>
            <w:top w:val="single" w:sz="6" w:space="12" w:color="C7E2E2"/>
            <w:left w:val="none" w:sz="0" w:space="0" w:color="auto"/>
            <w:bottom w:val="single" w:sz="6" w:space="12" w:color="C7E2E2"/>
            <w:right w:val="none" w:sz="0" w:space="0" w:color="auto"/>
          </w:divBdr>
          <w:divsChild>
            <w:div w:id="944315084">
              <w:marLeft w:val="1584"/>
              <w:marRight w:val="0"/>
              <w:marTop w:val="0"/>
              <w:marBottom w:val="0"/>
              <w:divBdr>
                <w:top w:val="none" w:sz="0" w:space="0" w:color="auto"/>
                <w:left w:val="none" w:sz="0" w:space="0" w:color="auto"/>
                <w:bottom w:val="none" w:sz="0" w:space="0" w:color="auto"/>
                <w:right w:val="none" w:sz="0" w:space="0" w:color="auto"/>
              </w:divBdr>
            </w:div>
          </w:divsChild>
        </w:div>
      </w:divsChild>
    </w:div>
    <w:div w:id="1765417118">
      <w:bodyDiv w:val="1"/>
      <w:marLeft w:val="0"/>
      <w:marRight w:val="0"/>
      <w:marTop w:val="0"/>
      <w:marBottom w:val="0"/>
      <w:divBdr>
        <w:top w:val="none" w:sz="0" w:space="0" w:color="auto"/>
        <w:left w:val="none" w:sz="0" w:space="0" w:color="auto"/>
        <w:bottom w:val="none" w:sz="0" w:space="0" w:color="auto"/>
        <w:right w:val="none" w:sz="0" w:space="0" w:color="auto"/>
      </w:divBdr>
    </w:div>
    <w:div w:id="1827697188">
      <w:bodyDiv w:val="1"/>
      <w:marLeft w:val="0"/>
      <w:marRight w:val="0"/>
      <w:marTop w:val="0"/>
      <w:marBottom w:val="0"/>
      <w:divBdr>
        <w:top w:val="none" w:sz="0" w:space="0" w:color="auto"/>
        <w:left w:val="none" w:sz="0" w:space="0" w:color="auto"/>
        <w:bottom w:val="none" w:sz="0" w:space="0" w:color="auto"/>
        <w:right w:val="none" w:sz="0" w:space="0" w:color="auto"/>
      </w:divBdr>
      <w:divsChild>
        <w:div w:id="1326976477">
          <w:marLeft w:val="0"/>
          <w:marRight w:val="0"/>
          <w:marTop w:val="20"/>
          <w:marBottom w:val="20"/>
          <w:divBdr>
            <w:top w:val="none" w:sz="0" w:space="0" w:color="auto"/>
            <w:left w:val="none" w:sz="0" w:space="0" w:color="auto"/>
            <w:bottom w:val="none" w:sz="0" w:space="0" w:color="auto"/>
            <w:right w:val="none" w:sz="0" w:space="0" w:color="auto"/>
          </w:divBdr>
        </w:div>
        <w:div w:id="1665817083">
          <w:marLeft w:val="0"/>
          <w:marRight w:val="0"/>
          <w:marTop w:val="20"/>
          <w:marBottom w:val="20"/>
          <w:divBdr>
            <w:top w:val="none" w:sz="0" w:space="0" w:color="auto"/>
            <w:left w:val="none" w:sz="0" w:space="0" w:color="auto"/>
            <w:bottom w:val="none" w:sz="0" w:space="0" w:color="auto"/>
            <w:right w:val="none" w:sz="0" w:space="0" w:color="auto"/>
          </w:divBdr>
        </w:div>
        <w:div w:id="424812319">
          <w:marLeft w:val="0"/>
          <w:marRight w:val="0"/>
          <w:marTop w:val="20"/>
          <w:marBottom w:val="20"/>
          <w:divBdr>
            <w:top w:val="none" w:sz="0" w:space="0" w:color="auto"/>
            <w:left w:val="none" w:sz="0" w:space="0" w:color="auto"/>
            <w:bottom w:val="none" w:sz="0" w:space="0" w:color="auto"/>
            <w:right w:val="none" w:sz="0" w:space="0" w:color="auto"/>
          </w:divBdr>
        </w:div>
        <w:div w:id="2094275640">
          <w:marLeft w:val="0"/>
          <w:marRight w:val="0"/>
          <w:marTop w:val="20"/>
          <w:marBottom w:val="20"/>
          <w:divBdr>
            <w:top w:val="none" w:sz="0" w:space="0" w:color="auto"/>
            <w:left w:val="none" w:sz="0" w:space="0" w:color="auto"/>
            <w:bottom w:val="none" w:sz="0" w:space="0" w:color="auto"/>
            <w:right w:val="none" w:sz="0" w:space="0" w:color="auto"/>
          </w:divBdr>
        </w:div>
        <w:div w:id="389312025">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E102-F75F-4885-8C2E-82A70C32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11601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2016-05-24T20:14:00Z</dcterms:created>
  <dc:creator>Administrator</dc:creator>
  <lastModifiedBy>ANF</lastModifiedBy>
  <lastPrinted>2016-04-21T21:28:00Z</lastPrinted>
  <dcterms:modified xsi:type="dcterms:W3CDTF">2016-05-24T20:14:00Z</dcterms:modified>
  <revision>2</revision>
  <dc:title>COMMONWEALTH OF MASSACHUSETTS</dc:title>
</coreProperties>
</file>